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5F93C98" w14:textId="77777777" w:rsidR="0006454A" w:rsidRDefault="0006454A"/>
    <w:tbl>
      <w:tblPr>
        <w:tblW w:w="8931" w:type="dxa"/>
        <w:tblLayout w:type="fixed"/>
        <w:tblCellMar>
          <w:left w:w="0" w:type="dxa"/>
          <w:right w:w="0" w:type="dxa"/>
        </w:tblCellMar>
        <w:tblLook w:val="0000" w:firstRow="0" w:lastRow="0" w:firstColumn="0" w:lastColumn="0" w:noHBand="0" w:noVBand="0"/>
      </w:tblPr>
      <w:tblGrid>
        <w:gridCol w:w="4253"/>
        <w:gridCol w:w="4678"/>
      </w:tblGrid>
      <w:tr w:rsidR="001B33AE" w:rsidRPr="00183E4D" w14:paraId="4A498D7D" w14:textId="77777777" w:rsidTr="00F43F3E">
        <w:trPr>
          <w:cantSplit/>
          <w:trHeight w:hRule="exact" w:val="4820"/>
        </w:trPr>
        <w:tc>
          <w:tcPr>
            <w:tcW w:w="4253" w:type="dxa"/>
            <w:shd w:val="clear" w:color="auto" w:fill="auto"/>
            <w:vAlign w:val="bottom"/>
          </w:tcPr>
          <w:p w14:paraId="35966185" w14:textId="77777777" w:rsidR="001B33AE" w:rsidRPr="00183E4D" w:rsidRDefault="001B33AE" w:rsidP="00DF343F">
            <w:pPr>
              <w:pStyle w:val="TOC9"/>
            </w:pPr>
          </w:p>
        </w:tc>
        <w:tc>
          <w:tcPr>
            <w:tcW w:w="4678" w:type="dxa"/>
            <w:shd w:val="clear" w:color="auto" w:fill="auto"/>
            <w:vAlign w:val="bottom"/>
          </w:tcPr>
          <w:p w14:paraId="6527FE09" w14:textId="4BD8F7C3" w:rsidR="001B33AE" w:rsidRPr="00183E4D" w:rsidRDefault="00EB6AFF" w:rsidP="00353833">
            <w:pPr>
              <w:pStyle w:val="PublicationTitle"/>
              <w:jc w:val="left"/>
              <w:rPr>
                <w:szCs w:val="44"/>
              </w:rPr>
            </w:pPr>
            <w:r>
              <w:rPr>
                <w:szCs w:val="44"/>
              </w:rPr>
              <w:t xml:space="preserve">Assessment of </w:t>
            </w:r>
            <w:proofErr w:type="spellStart"/>
            <w:r>
              <w:rPr>
                <w:szCs w:val="44"/>
              </w:rPr>
              <w:t>mpMRI</w:t>
            </w:r>
            <w:proofErr w:type="spellEnd"/>
            <w:r>
              <w:rPr>
                <w:szCs w:val="44"/>
              </w:rPr>
              <w:t xml:space="preserve"> prostate diagnostic scans for diagnosis of prostate cancer</w:t>
            </w:r>
          </w:p>
        </w:tc>
      </w:tr>
      <w:tr w:rsidR="008F59A8" w:rsidRPr="00183E4D" w14:paraId="326F5E01" w14:textId="77777777" w:rsidTr="00E0760E">
        <w:trPr>
          <w:cantSplit/>
          <w:trHeight w:hRule="exact" w:val="2137"/>
        </w:trPr>
        <w:tc>
          <w:tcPr>
            <w:tcW w:w="4253" w:type="dxa"/>
            <w:shd w:val="clear" w:color="auto" w:fill="auto"/>
            <w:vAlign w:val="bottom"/>
          </w:tcPr>
          <w:p w14:paraId="02C5D5AC" w14:textId="77777777" w:rsidR="008F59A8" w:rsidRPr="00183E4D" w:rsidRDefault="008F59A8" w:rsidP="00DF343F"/>
        </w:tc>
        <w:tc>
          <w:tcPr>
            <w:tcW w:w="4678" w:type="dxa"/>
            <w:shd w:val="clear" w:color="auto" w:fill="auto"/>
            <w:vAlign w:val="bottom"/>
          </w:tcPr>
          <w:p w14:paraId="7AA2D21E" w14:textId="77777777" w:rsidR="008F59A8" w:rsidRPr="00183E4D" w:rsidRDefault="008F59A8" w:rsidP="00DF343F">
            <w:pPr>
              <w:pStyle w:val="Heading1"/>
            </w:pPr>
          </w:p>
          <w:p w14:paraId="5363B04D" w14:textId="77777777" w:rsidR="008F59A8" w:rsidRPr="00183E4D" w:rsidRDefault="008F59A8" w:rsidP="00DF343F"/>
        </w:tc>
      </w:tr>
      <w:tr w:rsidR="008F59A8" w:rsidRPr="00183E4D" w14:paraId="7F65B590" w14:textId="77777777" w:rsidTr="00F43F3E">
        <w:trPr>
          <w:cantSplit/>
          <w:trHeight w:hRule="exact" w:val="1265"/>
          <w:hidden/>
        </w:trPr>
        <w:tc>
          <w:tcPr>
            <w:tcW w:w="4253" w:type="dxa"/>
            <w:shd w:val="clear" w:color="auto" w:fill="auto"/>
            <w:vAlign w:val="center"/>
          </w:tcPr>
          <w:p w14:paraId="757612A5" w14:textId="363980A1" w:rsidR="008F59A8" w:rsidRPr="001B004D" w:rsidRDefault="008F59A8" w:rsidP="00DF343F">
            <w:pPr>
              <w:pStyle w:val="Date"/>
              <w:jc w:val="both"/>
              <w:rPr>
                <w:rFonts w:ascii="Calibri" w:hAnsi="Calibri"/>
                <w:b w:val="0"/>
                <w:vanish/>
                <w:color w:val="C00000"/>
                <w:sz w:val="22"/>
              </w:rPr>
            </w:pPr>
          </w:p>
        </w:tc>
        <w:tc>
          <w:tcPr>
            <w:tcW w:w="4678" w:type="dxa"/>
            <w:shd w:val="clear" w:color="auto" w:fill="auto"/>
            <w:vAlign w:val="center"/>
          </w:tcPr>
          <w:p w14:paraId="4DB62C51" w14:textId="40282C86" w:rsidR="008F59A8" w:rsidRDefault="00E71C41" w:rsidP="00DF343F">
            <w:pPr>
              <w:pStyle w:val="Date"/>
              <w:jc w:val="both"/>
            </w:pPr>
            <w:r>
              <w:t>September</w:t>
            </w:r>
            <w:r w:rsidR="00E91BE1" w:rsidRPr="00183E4D">
              <w:t xml:space="preserve"> </w:t>
            </w:r>
            <w:r>
              <w:t>2016</w:t>
            </w:r>
            <w:r w:rsidR="0032483C" w:rsidRPr="00183E4D">
              <w:t xml:space="preserve"> </w:t>
            </w:r>
          </w:p>
          <w:p w14:paraId="60CEFA50" w14:textId="77777777" w:rsidR="001B004D" w:rsidRPr="001B004D" w:rsidRDefault="001B004D" w:rsidP="001B004D">
            <w:pPr>
              <w:rPr>
                <w:vanish/>
                <w:color w:val="FF0000"/>
              </w:rPr>
            </w:pPr>
          </w:p>
        </w:tc>
      </w:tr>
      <w:tr w:rsidR="008F59A8" w:rsidRPr="00183E4D" w14:paraId="76E6D252" w14:textId="77777777" w:rsidTr="00E0760E">
        <w:trPr>
          <w:cantSplit/>
          <w:trHeight w:hRule="exact" w:val="998"/>
          <w:hidden/>
        </w:trPr>
        <w:tc>
          <w:tcPr>
            <w:tcW w:w="4253" w:type="dxa"/>
            <w:shd w:val="clear" w:color="auto" w:fill="auto"/>
          </w:tcPr>
          <w:p w14:paraId="7BF341BB" w14:textId="77777777" w:rsidR="008F59A8" w:rsidRPr="001B004D" w:rsidRDefault="008F59A8" w:rsidP="00DF343F">
            <w:pPr>
              <w:rPr>
                <w:vanish/>
                <w:color w:val="C00000"/>
              </w:rPr>
            </w:pPr>
          </w:p>
        </w:tc>
        <w:tc>
          <w:tcPr>
            <w:tcW w:w="4678" w:type="dxa"/>
            <w:shd w:val="clear" w:color="auto" w:fill="auto"/>
          </w:tcPr>
          <w:p w14:paraId="3E2D9CD8" w14:textId="77777777" w:rsidR="008F59A8" w:rsidRPr="00183E4D" w:rsidRDefault="008F59A8" w:rsidP="00DF343F">
            <w:pPr>
              <w:rPr>
                <w:highlight w:val="yellow"/>
              </w:rPr>
            </w:pPr>
          </w:p>
        </w:tc>
      </w:tr>
      <w:tr w:rsidR="008F59A8" w:rsidRPr="00183E4D" w14:paraId="57D3676A" w14:textId="77777777" w:rsidTr="003A7C8F">
        <w:trPr>
          <w:cantSplit/>
          <w:trHeight w:hRule="exact" w:val="3094"/>
        </w:trPr>
        <w:tc>
          <w:tcPr>
            <w:tcW w:w="4253" w:type="dxa"/>
            <w:shd w:val="clear" w:color="auto" w:fill="auto"/>
          </w:tcPr>
          <w:p w14:paraId="101F9B6A" w14:textId="77777777" w:rsidR="008F59A8" w:rsidRPr="00183E4D" w:rsidRDefault="008F59A8" w:rsidP="00DF343F">
            <w:pPr>
              <w:pStyle w:val="Sub-title"/>
              <w:jc w:val="both"/>
            </w:pPr>
          </w:p>
        </w:tc>
        <w:tc>
          <w:tcPr>
            <w:tcW w:w="4678" w:type="dxa"/>
            <w:shd w:val="clear" w:color="auto" w:fill="auto"/>
          </w:tcPr>
          <w:p w14:paraId="2799DC4B" w14:textId="0DBA041A" w:rsidR="006D587E" w:rsidRPr="00337B19" w:rsidRDefault="008F59A8" w:rsidP="00DF343F">
            <w:pPr>
              <w:pStyle w:val="Sub-title"/>
              <w:jc w:val="both"/>
            </w:pPr>
            <w:r w:rsidRPr="00183E4D">
              <w:t xml:space="preserve">MSAC application </w:t>
            </w:r>
            <w:r w:rsidR="001C3A68" w:rsidRPr="00183E4D">
              <w:t>no</w:t>
            </w:r>
            <w:r w:rsidR="00DB1DDF" w:rsidRPr="00183E4D">
              <w:t>.</w:t>
            </w:r>
            <w:r w:rsidR="001C3A68" w:rsidRPr="00183E4D">
              <w:t xml:space="preserve"> </w:t>
            </w:r>
            <w:r w:rsidR="00EB6AFF">
              <w:t>1397</w:t>
            </w:r>
          </w:p>
          <w:p w14:paraId="54A4F838" w14:textId="2CA5C289" w:rsidR="008F59A8" w:rsidRPr="00183E4D" w:rsidRDefault="008F59A8" w:rsidP="003B0858">
            <w:pPr>
              <w:pStyle w:val="Sub-title"/>
              <w:jc w:val="both"/>
              <w:rPr>
                <w:i/>
              </w:rPr>
            </w:pPr>
            <w:r w:rsidRPr="00183E4D">
              <w:br/>
            </w:r>
            <w:r w:rsidR="003B0858">
              <w:t>A</w:t>
            </w:r>
            <w:r w:rsidRPr="00183E4D">
              <w:t>ssessment report</w:t>
            </w:r>
          </w:p>
        </w:tc>
      </w:tr>
    </w:tbl>
    <w:p w14:paraId="64333D00" w14:textId="77777777" w:rsidR="003A7C8F" w:rsidRPr="00183E4D" w:rsidRDefault="003A7C8F" w:rsidP="00DF343F">
      <w:pPr>
        <w:autoSpaceDE w:val="0"/>
        <w:autoSpaceDN w:val="0"/>
        <w:adjustRightInd w:val="0"/>
        <w:spacing w:after="0"/>
      </w:pPr>
    </w:p>
    <w:p w14:paraId="1CB80DA2" w14:textId="77777777" w:rsidR="003A7C8F" w:rsidRPr="00183E4D" w:rsidRDefault="003A7C8F" w:rsidP="00DF343F">
      <w:pPr>
        <w:autoSpaceDE w:val="0"/>
        <w:autoSpaceDN w:val="0"/>
        <w:adjustRightInd w:val="0"/>
        <w:spacing w:after="0"/>
      </w:pPr>
    </w:p>
    <w:p w14:paraId="5BEFB127" w14:textId="77777777" w:rsidR="003A7C8F" w:rsidRPr="00183E4D" w:rsidRDefault="003A7C8F" w:rsidP="00DF343F">
      <w:pPr>
        <w:spacing w:after="0" w:line="240" w:lineRule="auto"/>
      </w:pPr>
      <w:r w:rsidRPr="00183E4D">
        <w:br w:type="page"/>
      </w:r>
    </w:p>
    <w:p w14:paraId="156C12F1" w14:textId="77777777" w:rsidR="009744A9" w:rsidRDefault="009744A9" w:rsidP="009744A9">
      <w:pPr>
        <w:pStyle w:val="Heading1"/>
        <w:rPr>
          <w:rFonts w:asciiTheme="majorHAnsi" w:eastAsiaTheme="minorHAnsi" w:hAnsiTheme="majorHAnsi" w:cs="Times New Roman"/>
          <w:sz w:val="36"/>
          <w:szCs w:val="36"/>
        </w:rPr>
      </w:pPr>
      <w:bookmarkStart w:id="0" w:name="_Toc443555803"/>
      <w:bookmarkStart w:id="1" w:name="_Toc460513862"/>
      <w:r>
        <w:rPr>
          <w:rFonts w:eastAsiaTheme="minorHAnsi"/>
        </w:rPr>
        <w:lastRenderedPageBreak/>
        <w:t>Version Control</w:t>
      </w:r>
      <w:bookmarkEnd w:id="0"/>
      <w:bookmarkEnd w:id="1"/>
      <w:r>
        <w:rPr>
          <w:rFonts w:eastAsiaTheme="minorHAnsi"/>
        </w:rPr>
        <w:tab/>
      </w:r>
    </w:p>
    <w:p w14:paraId="6E1F5EFF" w14:textId="77777777" w:rsidR="009744A9" w:rsidRDefault="009744A9" w:rsidP="009744A9">
      <w:pPr>
        <w:pStyle w:val="Heading2"/>
        <w:rPr>
          <w:rFonts w:eastAsiaTheme="minorHAnsi"/>
        </w:rPr>
      </w:pPr>
      <w:bookmarkStart w:id="2" w:name="_Toc443555804"/>
      <w:bookmarkStart w:id="3" w:name="_Toc460513863"/>
      <w:r>
        <w:rPr>
          <w:rFonts w:eastAsiaTheme="minorHAnsi"/>
        </w:rPr>
        <w:t>Document History</w:t>
      </w:r>
      <w:bookmarkEnd w:id="2"/>
      <w:bookmarkEnd w:id="3"/>
    </w:p>
    <w:tbl>
      <w:tblPr>
        <w:tblStyle w:val="TableGrid"/>
        <w:tblW w:w="0" w:type="auto"/>
        <w:tblLook w:val="04A0" w:firstRow="1" w:lastRow="0" w:firstColumn="1" w:lastColumn="0" w:noHBand="0" w:noVBand="1"/>
        <w:tblCaption w:val="Document History Table"/>
        <w:tblDescription w:val="This table records the versions of the document and the reasons for amenedment"/>
      </w:tblPr>
      <w:tblGrid>
        <w:gridCol w:w="1494"/>
        <w:gridCol w:w="2388"/>
        <w:gridCol w:w="1930"/>
        <w:gridCol w:w="3431"/>
      </w:tblGrid>
      <w:tr w:rsidR="00E84753" w14:paraId="4366FE8B" w14:textId="77777777" w:rsidTr="002F3005">
        <w:trPr>
          <w:cantSplit/>
          <w:tblHeader/>
        </w:trPr>
        <w:tc>
          <w:tcPr>
            <w:tcW w:w="1494" w:type="dxa"/>
            <w:tcBorders>
              <w:top w:val="single" w:sz="4" w:space="0" w:color="auto"/>
              <w:left w:val="single" w:sz="4" w:space="0" w:color="auto"/>
              <w:bottom w:val="single" w:sz="4" w:space="0" w:color="auto"/>
              <w:right w:val="single" w:sz="4" w:space="0" w:color="auto"/>
            </w:tcBorders>
            <w:shd w:val="clear" w:color="auto" w:fill="FFFFCC"/>
            <w:hideMark/>
          </w:tcPr>
          <w:p w14:paraId="622A5FF6" w14:textId="77777777" w:rsidR="00E84753" w:rsidRDefault="00E84753" w:rsidP="002F3005">
            <w:pPr>
              <w:pStyle w:val="Tableheading1"/>
            </w:pPr>
            <w:r>
              <w:t>Version Number</w:t>
            </w:r>
          </w:p>
        </w:tc>
        <w:tc>
          <w:tcPr>
            <w:tcW w:w="2388" w:type="dxa"/>
            <w:tcBorders>
              <w:top w:val="single" w:sz="4" w:space="0" w:color="auto"/>
              <w:left w:val="single" w:sz="4" w:space="0" w:color="auto"/>
              <w:bottom w:val="single" w:sz="4" w:space="0" w:color="auto"/>
              <w:right w:val="single" w:sz="4" w:space="0" w:color="auto"/>
            </w:tcBorders>
            <w:shd w:val="clear" w:color="auto" w:fill="FFFFCC"/>
            <w:hideMark/>
          </w:tcPr>
          <w:p w14:paraId="0EB03D22" w14:textId="77777777" w:rsidR="00E84753" w:rsidRDefault="00E84753" w:rsidP="002F3005">
            <w:pPr>
              <w:pStyle w:val="Tableheading1"/>
            </w:pPr>
            <w:r>
              <w:t>Date Changed</w:t>
            </w:r>
          </w:p>
        </w:tc>
        <w:tc>
          <w:tcPr>
            <w:tcW w:w="1930" w:type="dxa"/>
            <w:tcBorders>
              <w:top w:val="single" w:sz="4" w:space="0" w:color="auto"/>
              <w:left w:val="single" w:sz="4" w:space="0" w:color="auto"/>
              <w:bottom w:val="single" w:sz="4" w:space="0" w:color="auto"/>
              <w:right w:val="single" w:sz="4" w:space="0" w:color="auto"/>
            </w:tcBorders>
            <w:shd w:val="clear" w:color="auto" w:fill="FFFFCC"/>
            <w:hideMark/>
          </w:tcPr>
          <w:p w14:paraId="1A25EFE2" w14:textId="77777777" w:rsidR="00E84753" w:rsidRDefault="00E84753" w:rsidP="002F3005">
            <w:pPr>
              <w:pStyle w:val="Tableheading1"/>
            </w:pPr>
            <w:r>
              <w:t>Author</w:t>
            </w:r>
          </w:p>
        </w:tc>
        <w:tc>
          <w:tcPr>
            <w:tcW w:w="3431" w:type="dxa"/>
            <w:tcBorders>
              <w:top w:val="single" w:sz="4" w:space="0" w:color="auto"/>
              <w:left w:val="single" w:sz="4" w:space="0" w:color="auto"/>
              <w:bottom w:val="single" w:sz="4" w:space="0" w:color="auto"/>
              <w:right w:val="single" w:sz="4" w:space="0" w:color="auto"/>
            </w:tcBorders>
            <w:shd w:val="clear" w:color="auto" w:fill="FFFFCC"/>
            <w:hideMark/>
          </w:tcPr>
          <w:p w14:paraId="3C708339" w14:textId="77777777" w:rsidR="00E84753" w:rsidRDefault="00E84753" w:rsidP="002F3005">
            <w:pPr>
              <w:pStyle w:val="Tableheading1"/>
            </w:pPr>
            <w:r>
              <w:t>Reason for Change</w:t>
            </w:r>
          </w:p>
        </w:tc>
      </w:tr>
      <w:tr w:rsidR="00E84753" w14:paraId="399019DF" w14:textId="77777777" w:rsidTr="002F3005">
        <w:tc>
          <w:tcPr>
            <w:tcW w:w="1494" w:type="dxa"/>
            <w:tcBorders>
              <w:top w:val="single" w:sz="4" w:space="0" w:color="auto"/>
              <w:left w:val="single" w:sz="4" w:space="0" w:color="auto"/>
              <w:bottom w:val="single" w:sz="4" w:space="0" w:color="auto"/>
              <w:right w:val="single" w:sz="4" w:space="0" w:color="auto"/>
            </w:tcBorders>
            <w:hideMark/>
          </w:tcPr>
          <w:p w14:paraId="613FF65B" w14:textId="77777777" w:rsidR="00E84753" w:rsidRDefault="00E84753" w:rsidP="002F3005">
            <w:pPr>
              <w:pStyle w:val="Tabletext1"/>
            </w:pPr>
            <w:r>
              <w:t>1.1</w:t>
            </w:r>
          </w:p>
        </w:tc>
        <w:tc>
          <w:tcPr>
            <w:tcW w:w="2388" w:type="dxa"/>
            <w:tcBorders>
              <w:top w:val="single" w:sz="4" w:space="0" w:color="auto"/>
              <w:left w:val="single" w:sz="4" w:space="0" w:color="auto"/>
              <w:bottom w:val="single" w:sz="4" w:space="0" w:color="auto"/>
              <w:right w:val="single" w:sz="4" w:space="0" w:color="auto"/>
            </w:tcBorders>
            <w:hideMark/>
          </w:tcPr>
          <w:p w14:paraId="6DDAF56B" w14:textId="77777777" w:rsidR="00E84753" w:rsidRDefault="00E84753" w:rsidP="002F3005">
            <w:pPr>
              <w:pStyle w:val="Tabletext1"/>
            </w:pPr>
            <w:r>
              <w:t>18-Feb-2016</w:t>
            </w:r>
          </w:p>
        </w:tc>
        <w:tc>
          <w:tcPr>
            <w:tcW w:w="1930" w:type="dxa"/>
            <w:tcBorders>
              <w:top w:val="single" w:sz="4" w:space="0" w:color="auto"/>
              <w:left w:val="single" w:sz="4" w:space="0" w:color="auto"/>
              <w:bottom w:val="single" w:sz="4" w:space="0" w:color="auto"/>
              <w:right w:val="single" w:sz="4" w:space="0" w:color="auto"/>
            </w:tcBorders>
            <w:hideMark/>
          </w:tcPr>
          <w:p w14:paraId="04060D73" w14:textId="77777777" w:rsidR="00E84753" w:rsidRDefault="00E84753" w:rsidP="002F3005">
            <w:pPr>
              <w:pStyle w:val="Tabletext1"/>
            </w:pPr>
            <w:r>
              <w:t>Sean McCandless</w:t>
            </w:r>
          </w:p>
        </w:tc>
        <w:tc>
          <w:tcPr>
            <w:tcW w:w="3431" w:type="dxa"/>
            <w:tcBorders>
              <w:top w:val="single" w:sz="4" w:space="0" w:color="auto"/>
              <w:left w:val="single" w:sz="4" w:space="0" w:color="auto"/>
              <w:bottom w:val="single" w:sz="4" w:space="0" w:color="auto"/>
              <w:right w:val="single" w:sz="4" w:space="0" w:color="auto"/>
            </w:tcBorders>
            <w:hideMark/>
          </w:tcPr>
          <w:p w14:paraId="773EA6C0" w14:textId="77777777" w:rsidR="00E84753" w:rsidRDefault="00E84753" w:rsidP="002F3005">
            <w:pPr>
              <w:pStyle w:val="Tabletext1"/>
            </w:pPr>
            <w:r>
              <w:t>Version control introduced</w:t>
            </w:r>
          </w:p>
        </w:tc>
      </w:tr>
      <w:tr w:rsidR="00E84753" w:rsidRPr="00754539" w14:paraId="2446875A" w14:textId="77777777" w:rsidTr="002F3005">
        <w:tc>
          <w:tcPr>
            <w:tcW w:w="1494" w:type="dxa"/>
            <w:tcBorders>
              <w:top w:val="single" w:sz="4" w:space="0" w:color="auto"/>
              <w:left w:val="single" w:sz="4" w:space="0" w:color="auto"/>
              <w:bottom w:val="single" w:sz="4" w:space="0" w:color="auto"/>
              <w:right w:val="single" w:sz="4" w:space="0" w:color="auto"/>
            </w:tcBorders>
          </w:tcPr>
          <w:p w14:paraId="683D5F18" w14:textId="77777777" w:rsidR="00E84753" w:rsidRDefault="00E84753" w:rsidP="002F3005">
            <w:pPr>
              <w:pStyle w:val="Tabletext1"/>
            </w:pPr>
            <w:r>
              <w:t>2.1</w:t>
            </w:r>
          </w:p>
        </w:tc>
        <w:tc>
          <w:tcPr>
            <w:tcW w:w="2388" w:type="dxa"/>
            <w:tcBorders>
              <w:top w:val="single" w:sz="4" w:space="0" w:color="auto"/>
              <w:left w:val="single" w:sz="4" w:space="0" w:color="auto"/>
              <w:bottom w:val="single" w:sz="4" w:space="0" w:color="auto"/>
              <w:right w:val="single" w:sz="4" w:space="0" w:color="auto"/>
            </w:tcBorders>
          </w:tcPr>
          <w:p w14:paraId="157608D1" w14:textId="77777777" w:rsidR="00E84753" w:rsidRDefault="00E84753" w:rsidP="002F3005">
            <w:pPr>
              <w:pStyle w:val="Tabletext1"/>
            </w:pPr>
            <w:r>
              <w:t>9-Mar-2016</w:t>
            </w:r>
          </w:p>
        </w:tc>
        <w:tc>
          <w:tcPr>
            <w:tcW w:w="1930" w:type="dxa"/>
            <w:tcBorders>
              <w:top w:val="single" w:sz="4" w:space="0" w:color="auto"/>
              <w:left w:val="single" w:sz="4" w:space="0" w:color="auto"/>
              <w:bottom w:val="single" w:sz="4" w:space="0" w:color="auto"/>
              <w:right w:val="single" w:sz="4" w:space="0" w:color="auto"/>
            </w:tcBorders>
          </w:tcPr>
          <w:p w14:paraId="6C3CFF62" w14:textId="77777777" w:rsidR="00E84753" w:rsidRDefault="00E84753" w:rsidP="002F3005">
            <w:pPr>
              <w:pStyle w:val="Tabletext1"/>
            </w:pPr>
            <w:r>
              <w:t>Sean McCandless</w:t>
            </w:r>
          </w:p>
        </w:tc>
        <w:tc>
          <w:tcPr>
            <w:tcW w:w="3431" w:type="dxa"/>
            <w:tcBorders>
              <w:top w:val="single" w:sz="4" w:space="0" w:color="auto"/>
              <w:left w:val="single" w:sz="4" w:space="0" w:color="auto"/>
              <w:bottom w:val="single" w:sz="4" w:space="0" w:color="auto"/>
              <w:right w:val="single" w:sz="4" w:space="0" w:color="auto"/>
            </w:tcBorders>
          </w:tcPr>
          <w:p w14:paraId="7B1E3B0C" w14:textId="77777777" w:rsidR="00E84753" w:rsidRDefault="00E84753" w:rsidP="002F3005">
            <w:pPr>
              <w:pStyle w:val="Tabletext1"/>
            </w:pPr>
            <w:r>
              <w:t>Added Alt text to Version Control tables</w:t>
            </w:r>
          </w:p>
          <w:p w14:paraId="51CC4381" w14:textId="77777777" w:rsidR="00E84753" w:rsidRDefault="00E84753" w:rsidP="002F3005">
            <w:pPr>
              <w:pStyle w:val="Tabletext1"/>
            </w:pPr>
            <w:r>
              <w:t>Renamed and Printed document to Portable Document Format in preparation for publishing Online</w:t>
            </w:r>
          </w:p>
        </w:tc>
      </w:tr>
    </w:tbl>
    <w:p w14:paraId="40C35938" w14:textId="77777777" w:rsidR="00E84753" w:rsidRDefault="00E84753" w:rsidP="00E84753">
      <w:pPr>
        <w:spacing w:after="0" w:line="240" w:lineRule="auto"/>
        <w:rPr>
          <w:rFonts w:asciiTheme="majorHAnsi" w:hAnsiTheme="majorHAnsi" w:cstheme="majorBidi"/>
          <w:lang w:eastAsia="en-US"/>
        </w:rPr>
      </w:pPr>
    </w:p>
    <w:p w14:paraId="214284CC" w14:textId="77777777" w:rsidR="00E84753" w:rsidRDefault="00E84753" w:rsidP="00E84753">
      <w:pPr>
        <w:pStyle w:val="Heading2"/>
        <w:rPr>
          <w:rFonts w:eastAsiaTheme="minorHAnsi"/>
        </w:rPr>
      </w:pPr>
      <w:bookmarkStart w:id="4" w:name="_Toc443555805"/>
      <w:bookmarkStart w:id="5" w:name="_Toc460513864"/>
      <w:r>
        <w:rPr>
          <w:rFonts w:eastAsiaTheme="minorHAnsi"/>
        </w:rPr>
        <w:t>Document Approval</w:t>
      </w:r>
      <w:bookmarkEnd w:id="4"/>
      <w:bookmarkEnd w:id="5"/>
    </w:p>
    <w:tbl>
      <w:tblPr>
        <w:tblStyle w:val="TableGrid"/>
        <w:tblW w:w="0" w:type="auto"/>
        <w:tblLook w:val="04A0" w:firstRow="1" w:lastRow="0" w:firstColumn="1" w:lastColumn="0" w:noHBand="0" w:noVBand="1"/>
        <w:tblCaption w:val="Document Approval Table"/>
        <w:tblDescription w:val="This table provides a schedule of when the document moves from Draft to final version numbers listed in this table should always end with a (x.0)"/>
      </w:tblPr>
      <w:tblGrid>
        <w:gridCol w:w="1494"/>
        <w:gridCol w:w="2388"/>
        <w:gridCol w:w="1930"/>
        <w:gridCol w:w="3431"/>
      </w:tblGrid>
      <w:tr w:rsidR="00E84753" w14:paraId="1EC47A2F" w14:textId="77777777" w:rsidTr="002F3005">
        <w:trPr>
          <w:cantSplit/>
          <w:tblHeader/>
        </w:trPr>
        <w:tc>
          <w:tcPr>
            <w:tcW w:w="1494" w:type="dxa"/>
            <w:tcBorders>
              <w:top w:val="single" w:sz="4" w:space="0" w:color="auto"/>
              <w:left w:val="single" w:sz="4" w:space="0" w:color="auto"/>
              <w:bottom w:val="single" w:sz="4" w:space="0" w:color="auto"/>
              <w:right w:val="single" w:sz="4" w:space="0" w:color="auto"/>
            </w:tcBorders>
            <w:shd w:val="clear" w:color="auto" w:fill="FFFFCC"/>
            <w:hideMark/>
          </w:tcPr>
          <w:p w14:paraId="200564C5" w14:textId="77777777" w:rsidR="00E84753" w:rsidRDefault="00E84753" w:rsidP="002F3005">
            <w:pPr>
              <w:pStyle w:val="Tableheading1"/>
            </w:pPr>
            <w:r>
              <w:t>Version Number</w:t>
            </w:r>
          </w:p>
        </w:tc>
        <w:tc>
          <w:tcPr>
            <w:tcW w:w="2388" w:type="dxa"/>
            <w:tcBorders>
              <w:top w:val="single" w:sz="4" w:space="0" w:color="auto"/>
              <w:left w:val="single" w:sz="4" w:space="0" w:color="auto"/>
              <w:bottom w:val="single" w:sz="4" w:space="0" w:color="auto"/>
              <w:right w:val="single" w:sz="4" w:space="0" w:color="auto"/>
            </w:tcBorders>
            <w:shd w:val="clear" w:color="auto" w:fill="FFFFCC"/>
            <w:hideMark/>
          </w:tcPr>
          <w:p w14:paraId="09F7AC97" w14:textId="77777777" w:rsidR="00E84753" w:rsidRDefault="00E84753" w:rsidP="002F3005">
            <w:pPr>
              <w:pStyle w:val="Tableheading1"/>
            </w:pPr>
            <w:r>
              <w:t>Date Changed</w:t>
            </w:r>
          </w:p>
        </w:tc>
        <w:tc>
          <w:tcPr>
            <w:tcW w:w="1930" w:type="dxa"/>
            <w:tcBorders>
              <w:top w:val="single" w:sz="4" w:space="0" w:color="auto"/>
              <w:left w:val="single" w:sz="4" w:space="0" w:color="auto"/>
              <w:bottom w:val="single" w:sz="4" w:space="0" w:color="auto"/>
              <w:right w:val="single" w:sz="4" w:space="0" w:color="auto"/>
            </w:tcBorders>
            <w:shd w:val="clear" w:color="auto" w:fill="FFFFCC"/>
            <w:hideMark/>
          </w:tcPr>
          <w:p w14:paraId="7DA4DA38" w14:textId="77777777" w:rsidR="00E84753" w:rsidRDefault="00E84753" w:rsidP="002F3005">
            <w:pPr>
              <w:pStyle w:val="Tableheading1"/>
            </w:pPr>
            <w:r>
              <w:t>Author</w:t>
            </w:r>
          </w:p>
        </w:tc>
        <w:tc>
          <w:tcPr>
            <w:tcW w:w="3431" w:type="dxa"/>
            <w:tcBorders>
              <w:top w:val="single" w:sz="4" w:space="0" w:color="auto"/>
              <w:left w:val="single" w:sz="4" w:space="0" w:color="auto"/>
              <w:bottom w:val="single" w:sz="4" w:space="0" w:color="auto"/>
              <w:right w:val="single" w:sz="4" w:space="0" w:color="auto"/>
            </w:tcBorders>
            <w:shd w:val="clear" w:color="auto" w:fill="FFFFCC"/>
            <w:hideMark/>
          </w:tcPr>
          <w:p w14:paraId="38548D7B" w14:textId="77777777" w:rsidR="00E84753" w:rsidRDefault="00E84753" w:rsidP="002F3005">
            <w:pPr>
              <w:pStyle w:val="Tableheading1"/>
            </w:pPr>
            <w:r>
              <w:t>Reason for Change</w:t>
            </w:r>
          </w:p>
        </w:tc>
      </w:tr>
      <w:tr w:rsidR="00E84753" w14:paraId="6E9B131E" w14:textId="77777777" w:rsidTr="002F3005">
        <w:tc>
          <w:tcPr>
            <w:tcW w:w="1494" w:type="dxa"/>
            <w:tcBorders>
              <w:top w:val="single" w:sz="4" w:space="0" w:color="auto"/>
              <w:left w:val="single" w:sz="4" w:space="0" w:color="auto"/>
              <w:bottom w:val="single" w:sz="4" w:space="0" w:color="auto"/>
              <w:right w:val="single" w:sz="4" w:space="0" w:color="auto"/>
            </w:tcBorders>
            <w:hideMark/>
          </w:tcPr>
          <w:p w14:paraId="72901006" w14:textId="77777777" w:rsidR="00E84753" w:rsidRDefault="00E84753" w:rsidP="002F3005">
            <w:pPr>
              <w:pStyle w:val="Tabletext1"/>
            </w:pPr>
            <w:r>
              <w:t>2.0</w:t>
            </w:r>
          </w:p>
        </w:tc>
        <w:tc>
          <w:tcPr>
            <w:tcW w:w="2388" w:type="dxa"/>
            <w:tcBorders>
              <w:top w:val="single" w:sz="4" w:space="0" w:color="auto"/>
              <w:left w:val="single" w:sz="4" w:space="0" w:color="auto"/>
              <w:bottom w:val="single" w:sz="4" w:space="0" w:color="auto"/>
              <w:right w:val="single" w:sz="4" w:space="0" w:color="auto"/>
            </w:tcBorders>
            <w:hideMark/>
          </w:tcPr>
          <w:p w14:paraId="1BC3A3CD" w14:textId="77777777" w:rsidR="00E84753" w:rsidRDefault="00E84753" w:rsidP="002F3005">
            <w:pPr>
              <w:pStyle w:val="Tabletext1"/>
            </w:pPr>
            <w:r>
              <w:t>18-Feb-2016</w:t>
            </w:r>
          </w:p>
        </w:tc>
        <w:tc>
          <w:tcPr>
            <w:tcW w:w="1930" w:type="dxa"/>
            <w:tcBorders>
              <w:top w:val="single" w:sz="4" w:space="0" w:color="auto"/>
              <w:left w:val="single" w:sz="4" w:space="0" w:color="auto"/>
              <w:bottom w:val="single" w:sz="4" w:space="0" w:color="auto"/>
              <w:right w:val="single" w:sz="4" w:space="0" w:color="auto"/>
            </w:tcBorders>
            <w:hideMark/>
          </w:tcPr>
          <w:p w14:paraId="3B6FBF6C" w14:textId="77777777" w:rsidR="00E84753" w:rsidRDefault="00E84753" w:rsidP="002F3005">
            <w:pPr>
              <w:pStyle w:val="Tabletext1"/>
            </w:pPr>
            <w:r>
              <w:t>Sean McCandless</w:t>
            </w:r>
          </w:p>
        </w:tc>
        <w:tc>
          <w:tcPr>
            <w:tcW w:w="3431" w:type="dxa"/>
            <w:tcBorders>
              <w:top w:val="single" w:sz="4" w:space="0" w:color="auto"/>
              <w:left w:val="single" w:sz="4" w:space="0" w:color="auto"/>
              <w:bottom w:val="single" w:sz="4" w:space="0" w:color="auto"/>
              <w:right w:val="single" w:sz="4" w:space="0" w:color="auto"/>
            </w:tcBorders>
            <w:hideMark/>
          </w:tcPr>
          <w:p w14:paraId="490F64CE" w14:textId="77777777" w:rsidR="00E84753" w:rsidRDefault="00E84753" w:rsidP="002F3005">
            <w:pPr>
              <w:pStyle w:val="Tabletext1"/>
            </w:pPr>
            <w:r>
              <w:t>Version control introduced</w:t>
            </w:r>
          </w:p>
        </w:tc>
      </w:tr>
      <w:tr w:rsidR="00E84753" w:rsidRPr="00754539" w14:paraId="7D26371E" w14:textId="77777777" w:rsidTr="002F3005">
        <w:tc>
          <w:tcPr>
            <w:tcW w:w="1494" w:type="dxa"/>
            <w:tcBorders>
              <w:top w:val="single" w:sz="4" w:space="0" w:color="auto"/>
              <w:left w:val="single" w:sz="4" w:space="0" w:color="auto"/>
              <w:bottom w:val="single" w:sz="4" w:space="0" w:color="auto"/>
              <w:right w:val="single" w:sz="4" w:space="0" w:color="auto"/>
            </w:tcBorders>
          </w:tcPr>
          <w:p w14:paraId="4E394F66" w14:textId="77777777" w:rsidR="00E84753" w:rsidRDefault="00E84753" w:rsidP="002F3005">
            <w:pPr>
              <w:pStyle w:val="Tabletext1"/>
            </w:pPr>
            <w:r>
              <w:t>3.0</w:t>
            </w:r>
          </w:p>
        </w:tc>
        <w:tc>
          <w:tcPr>
            <w:tcW w:w="2388" w:type="dxa"/>
            <w:tcBorders>
              <w:top w:val="single" w:sz="4" w:space="0" w:color="auto"/>
              <w:left w:val="single" w:sz="4" w:space="0" w:color="auto"/>
              <w:bottom w:val="single" w:sz="4" w:space="0" w:color="auto"/>
              <w:right w:val="single" w:sz="4" w:space="0" w:color="auto"/>
            </w:tcBorders>
          </w:tcPr>
          <w:p w14:paraId="07A7CC4F" w14:textId="77777777" w:rsidR="00E84753" w:rsidRDefault="00E84753" w:rsidP="002F3005">
            <w:pPr>
              <w:pStyle w:val="Tabletext1"/>
            </w:pPr>
            <w:r>
              <w:t>9-Mar-2016</w:t>
            </w:r>
          </w:p>
        </w:tc>
        <w:tc>
          <w:tcPr>
            <w:tcW w:w="1930" w:type="dxa"/>
            <w:tcBorders>
              <w:top w:val="single" w:sz="4" w:space="0" w:color="auto"/>
              <w:left w:val="single" w:sz="4" w:space="0" w:color="auto"/>
              <w:bottom w:val="single" w:sz="4" w:space="0" w:color="auto"/>
              <w:right w:val="single" w:sz="4" w:space="0" w:color="auto"/>
            </w:tcBorders>
          </w:tcPr>
          <w:p w14:paraId="4B55946B" w14:textId="77777777" w:rsidR="00E84753" w:rsidRDefault="00E84753" w:rsidP="002F3005">
            <w:pPr>
              <w:pStyle w:val="Tabletext1"/>
            </w:pPr>
            <w:r>
              <w:t>Sean McCandless</w:t>
            </w:r>
          </w:p>
        </w:tc>
        <w:tc>
          <w:tcPr>
            <w:tcW w:w="3431" w:type="dxa"/>
            <w:tcBorders>
              <w:top w:val="single" w:sz="4" w:space="0" w:color="auto"/>
              <w:left w:val="single" w:sz="4" w:space="0" w:color="auto"/>
              <w:bottom w:val="single" w:sz="4" w:space="0" w:color="auto"/>
              <w:right w:val="single" w:sz="4" w:space="0" w:color="auto"/>
            </w:tcBorders>
          </w:tcPr>
          <w:p w14:paraId="2D2B9CAC" w14:textId="77777777" w:rsidR="00E84753" w:rsidRDefault="00E84753" w:rsidP="002F3005">
            <w:pPr>
              <w:pStyle w:val="Tabletext1"/>
            </w:pPr>
            <w:r>
              <w:t>Document Released</w:t>
            </w:r>
          </w:p>
        </w:tc>
      </w:tr>
    </w:tbl>
    <w:p w14:paraId="16D3CA1F" w14:textId="77777777" w:rsidR="009744A9" w:rsidRDefault="009744A9" w:rsidP="009744A9">
      <w:pPr>
        <w:rPr>
          <w:rStyle w:val="IntenseReference"/>
          <w:b w:val="0"/>
          <w:bCs w:val="0"/>
          <w:i/>
        </w:rPr>
      </w:pPr>
      <w:r>
        <w:rPr>
          <w:b/>
          <w:bCs/>
          <w:i/>
          <w:smallCaps/>
        </w:rPr>
        <w:br w:type="page"/>
      </w:r>
    </w:p>
    <w:p w14:paraId="2AA18B2E" w14:textId="1AF168C4" w:rsidR="00D11635" w:rsidRPr="00FC79BA" w:rsidRDefault="00D11635" w:rsidP="00D11635">
      <w:pPr>
        <w:autoSpaceDE w:val="0"/>
        <w:autoSpaceDN w:val="0"/>
        <w:adjustRightInd w:val="0"/>
        <w:spacing w:after="0"/>
        <w:rPr>
          <w:b/>
          <w:bCs/>
          <w:color w:val="000000"/>
          <w:sz w:val="20"/>
          <w:szCs w:val="20"/>
          <w:lang w:eastAsia="zh-TW"/>
        </w:rPr>
      </w:pPr>
      <w:bookmarkStart w:id="6" w:name="_Toc192054741"/>
      <w:bookmarkStart w:id="7" w:name="_Toc206489930"/>
      <w:bookmarkStart w:id="8" w:name="_Toc206494639"/>
      <w:bookmarkStart w:id="9" w:name="_Toc214339152"/>
      <w:bookmarkStart w:id="10" w:name="_Toc237759553"/>
      <w:bookmarkStart w:id="11" w:name="_Toc356462688"/>
      <w:bookmarkStart w:id="12" w:name="_Toc356462742"/>
      <w:bookmarkStart w:id="13" w:name="_Toc356462997"/>
      <w:bookmarkStart w:id="14" w:name="_Ref360694627"/>
      <w:bookmarkStart w:id="15" w:name="_Toc379117342"/>
      <w:bookmarkStart w:id="16" w:name="_Toc379118055"/>
      <w:bookmarkStart w:id="17" w:name="_Toc379118243"/>
      <w:bookmarkStart w:id="18" w:name="_Toc381796424"/>
      <w:r w:rsidRPr="00FC79BA">
        <w:rPr>
          <w:b/>
          <w:bCs/>
          <w:color w:val="000000"/>
          <w:sz w:val="20"/>
          <w:szCs w:val="20"/>
          <w:lang w:eastAsia="zh-TW"/>
        </w:rPr>
        <w:lastRenderedPageBreak/>
        <w:t xml:space="preserve">© Commonwealth of Australia </w:t>
      </w:r>
      <w:r w:rsidRPr="00E84753">
        <w:rPr>
          <w:b/>
          <w:bCs/>
          <w:color w:val="000000"/>
          <w:sz w:val="20"/>
          <w:szCs w:val="20"/>
          <w:lang w:eastAsia="zh-TW"/>
        </w:rPr>
        <w:t>201</w:t>
      </w:r>
      <w:r w:rsidR="00E84753" w:rsidRPr="00E84753">
        <w:rPr>
          <w:b/>
          <w:bCs/>
          <w:color w:val="000000"/>
          <w:sz w:val="20"/>
          <w:szCs w:val="20"/>
          <w:lang w:eastAsia="zh-TW"/>
        </w:rPr>
        <w:t>6</w:t>
      </w:r>
    </w:p>
    <w:p w14:paraId="126528B9" w14:textId="77777777" w:rsidR="00D11635" w:rsidRPr="00FC79BA" w:rsidRDefault="00D11635" w:rsidP="00D11635">
      <w:pPr>
        <w:autoSpaceDE w:val="0"/>
        <w:autoSpaceDN w:val="0"/>
        <w:adjustRightInd w:val="0"/>
        <w:spacing w:after="0" w:line="240" w:lineRule="auto"/>
        <w:rPr>
          <w:b/>
          <w:bCs/>
          <w:color w:val="000000"/>
          <w:sz w:val="20"/>
          <w:szCs w:val="20"/>
          <w:lang w:eastAsia="zh-TW"/>
        </w:rPr>
      </w:pPr>
    </w:p>
    <w:p w14:paraId="4DD7FFD9" w14:textId="4165421A" w:rsidR="00D11635" w:rsidRPr="00FC79BA" w:rsidRDefault="00D11635" w:rsidP="00D11635">
      <w:pPr>
        <w:autoSpaceDE w:val="0"/>
        <w:autoSpaceDN w:val="0"/>
        <w:adjustRightInd w:val="0"/>
        <w:spacing w:after="0" w:line="240" w:lineRule="auto"/>
        <w:rPr>
          <w:b/>
          <w:bCs/>
          <w:sz w:val="20"/>
          <w:szCs w:val="20"/>
          <w:lang w:eastAsia="zh-TW"/>
        </w:rPr>
      </w:pPr>
      <w:r w:rsidRPr="00FC79BA">
        <w:rPr>
          <w:b/>
          <w:bCs/>
          <w:color w:val="000000"/>
          <w:sz w:val="20"/>
          <w:szCs w:val="20"/>
          <w:lang w:eastAsia="zh-TW"/>
        </w:rPr>
        <w:t xml:space="preserve">ISBN (Online) </w:t>
      </w:r>
      <w:r w:rsidRPr="00E84753">
        <w:rPr>
          <w:b/>
          <w:bCs/>
          <w:color w:val="000000"/>
          <w:sz w:val="20"/>
          <w:szCs w:val="20"/>
          <w:lang w:eastAsia="zh-TW"/>
        </w:rPr>
        <w:t>TBA</w:t>
      </w:r>
    </w:p>
    <w:p w14:paraId="727EFBF9" w14:textId="77777777" w:rsidR="00D11635" w:rsidRPr="00FC79BA" w:rsidRDefault="00D11635" w:rsidP="00D11635">
      <w:pPr>
        <w:autoSpaceDE w:val="0"/>
        <w:autoSpaceDN w:val="0"/>
        <w:adjustRightInd w:val="0"/>
        <w:spacing w:after="0" w:line="240" w:lineRule="auto"/>
        <w:rPr>
          <w:b/>
          <w:bCs/>
          <w:color w:val="000000"/>
          <w:sz w:val="20"/>
          <w:szCs w:val="20"/>
          <w:lang w:eastAsia="zh-TW"/>
        </w:rPr>
      </w:pPr>
    </w:p>
    <w:p w14:paraId="0C957EFD" w14:textId="77777777" w:rsidR="00D11635" w:rsidRPr="00FC79BA" w:rsidRDefault="00D11635" w:rsidP="00D11635">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ISSN (Online) 1443-7139</w:t>
      </w:r>
    </w:p>
    <w:p w14:paraId="5E356961" w14:textId="77777777" w:rsidR="00D11635" w:rsidRPr="00FC79BA" w:rsidRDefault="00D11635" w:rsidP="00D11635">
      <w:pPr>
        <w:autoSpaceDE w:val="0"/>
        <w:autoSpaceDN w:val="0"/>
        <w:adjustRightInd w:val="0"/>
        <w:spacing w:after="0" w:line="240" w:lineRule="auto"/>
        <w:rPr>
          <w:b/>
          <w:bCs/>
          <w:color w:val="000000"/>
          <w:sz w:val="20"/>
          <w:szCs w:val="20"/>
          <w:lang w:eastAsia="zh-TW"/>
        </w:rPr>
      </w:pPr>
    </w:p>
    <w:p w14:paraId="4218944A" w14:textId="14EEA5F7" w:rsidR="00D11635" w:rsidRPr="00FC79BA" w:rsidRDefault="00D11635" w:rsidP="00D11635">
      <w:pPr>
        <w:autoSpaceDE w:val="0"/>
        <w:autoSpaceDN w:val="0"/>
        <w:adjustRightInd w:val="0"/>
        <w:spacing w:after="0" w:line="240" w:lineRule="auto"/>
        <w:rPr>
          <w:b/>
          <w:bCs/>
          <w:color w:val="000000"/>
          <w:sz w:val="20"/>
          <w:szCs w:val="20"/>
          <w:lang w:eastAsia="zh-TW"/>
        </w:rPr>
      </w:pPr>
      <w:r w:rsidRPr="00FC79BA">
        <w:rPr>
          <w:b/>
          <w:bCs/>
          <w:color w:val="000000"/>
          <w:sz w:val="20"/>
          <w:szCs w:val="20"/>
          <w:lang w:eastAsia="zh-TW"/>
        </w:rPr>
        <w:t xml:space="preserve">Internet site </w:t>
      </w:r>
      <w:hyperlink r:id="rId9" w:tooltip="Link to the Medical Services Advisory Committee website." w:history="1">
        <w:r w:rsidRPr="00FC79BA">
          <w:rPr>
            <w:color w:val="0000FF"/>
            <w:sz w:val="20"/>
            <w:szCs w:val="20"/>
            <w:u w:val="single"/>
            <w:lang w:eastAsia="zh-TW"/>
          </w:rPr>
          <w:t>http://www.msac.gov.au/</w:t>
        </w:r>
      </w:hyperlink>
    </w:p>
    <w:p w14:paraId="43FDC3DC" w14:textId="77777777" w:rsidR="00D11635" w:rsidRPr="00FC79BA" w:rsidRDefault="00D11635" w:rsidP="00D11635">
      <w:pPr>
        <w:autoSpaceDE w:val="0"/>
        <w:autoSpaceDN w:val="0"/>
        <w:adjustRightInd w:val="0"/>
        <w:spacing w:after="0" w:line="240" w:lineRule="auto"/>
        <w:rPr>
          <w:b/>
          <w:bCs/>
          <w:color w:val="000000"/>
          <w:sz w:val="20"/>
          <w:szCs w:val="20"/>
          <w:lang w:eastAsia="zh-TW"/>
        </w:rPr>
      </w:pPr>
    </w:p>
    <w:p w14:paraId="794F94C0" w14:textId="77777777" w:rsidR="00D11635" w:rsidRPr="00FC79BA" w:rsidRDefault="00D11635" w:rsidP="00D11635">
      <w:pPr>
        <w:autoSpaceDE w:val="0"/>
        <w:autoSpaceDN w:val="0"/>
        <w:adjustRightInd w:val="0"/>
        <w:spacing w:after="0" w:line="240" w:lineRule="auto"/>
        <w:rPr>
          <w:color w:val="000000"/>
          <w:sz w:val="20"/>
          <w:szCs w:val="20"/>
        </w:rPr>
      </w:pPr>
      <w:r w:rsidRPr="00FC79BA">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w:t>
      </w:r>
      <w:proofErr w:type="gramStart"/>
      <w:r w:rsidRPr="00FC79BA">
        <w:rPr>
          <w:color w:val="000000"/>
          <w:sz w:val="20"/>
          <w:szCs w:val="20"/>
        </w:rPr>
        <w:t>Barton</w:t>
      </w:r>
      <w:proofErr w:type="gramEnd"/>
      <w:r w:rsidRPr="00FC79BA">
        <w:rPr>
          <w:color w:val="000000"/>
          <w:sz w:val="20"/>
          <w:szCs w:val="20"/>
        </w:rPr>
        <w:t xml:space="preserve"> ACT 2600 or posted at </w:t>
      </w:r>
      <w:hyperlink r:id="rId10" w:tooltip="Link to the Australian Government's Attorney General's website." w:history="1">
        <w:r w:rsidRPr="00FC79BA">
          <w:rPr>
            <w:color w:val="0000FF"/>
            <w:sz w:val="20"/>
            <w:szCs w:val="20"/>
            <w:u w:val="single"/>
            <w:lang w:eastAsia="zh-TW"/>
          </w:rPr>
          <w:t>http://www.ag.gov.au/</w:t>
        </w:r>
      </w:hyperlink>
      <w:r w:rsidRPr="00FC79BA">
        <w:rPr>
          <w:color w:val="0000FF"/>
          <w:sz w:val="20"/>
          <w:szCs w:val="20"/>
          <w:lang w:eastAsia="zh-TW"/>
        </w:rPr>
        <w:t>.</w:t>
      </w:r>
    </w:p>
    <w:p w14:paraId="7D0A950A" w14:textId="77777777" w:rsidR="00D11635" w:rsidRPr="00FC79BA" w:rsidRDefault="00D11635" w:rsidP="00D11635">
      <w:pPr>
        <w:autoSpaceDE w:val="0"/>
        <w:autoSpaceDN w:val="0"/>
        <w:adjustRightInd w:val="0"/>
        <w:spacing w:after="0" w:line="240" w:lineRule="auto"/>
        <w:rPr>
          <w:color w:val="000000"/>
          <w:sz w:val="20"/>
          <w:szCs w:val="20"/>
        </w:rPr>
      </w:pPr>
    </w:p>
    <w:p w14:paraId="1A049440"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3CB81937" w14:textId="77777777" w:rsidR="00D11635" w:rsidRPr="00FC79BA" w:rsidRDefault="00D11635" w:rsidP="00D11635">
      <w:pPr>
        <w:autoSpaceDE w:val="0"/>
        <w:autoSpaceDN w:val="0"/>
        <w:adjustRightInd w:val="0"/>
        <w:spacing w:after="0" w:line="240" w:lineRule="auto"/>
        <w:rPr>
          <w:color w:val="1B1B1B"/>
          <w:sz w:val="20"/>
          <w:szCs w:val="20"/>
        </w:rPr>
      </w:pPr>
      <w:r w:rsidRPr="00FC79BA">
        <w:rPr>
          <w:color w:val="000000"/>
          <w:sz w:val="20"/>
          <w:szCs w:val="20"/>
          <w:lang w:eastAsia="zh-TW"/>
        </w:rPr>
        <w:t>Electronic copies of the report can be obtained from the Medical Service Advisory Committee’s Internet site at</w:t>
      </w:r>
      <w:r w:rsidRPr="00FC79BA">
        <w:rPr>
          <w:sz w:val="20"/>
          <w:szCs w:val="20"/>
          <w:lang w:eastAsia="zh-TW"/>
        </w:rPr>
        <w:t xml:space="preserve"> </w:t>
      </w:r>
      <w:hyperlink r:id="rId11" w:tooltip="Link to the Medical Services Advisory Committee website." w:history="1">
        <w:r w:rsidRPr="00FC79BA">
          <w:rPr>
            <w:color w:val="0000FF"/>
            <w:sz w:val="20"/>
            <w:szCs w:val="20"/>
            <w:u w:val="single"/>
            <w:lang w:eastAsia="zh-TW"/>
          </w:rPr>
          <w:t>http://www.msac.gov.au/</w:t>
        </w:r>
      </w:hyperlink>
    </w:p>
    <w:p w14:paraId="7DAC3522" w14:textId="77777777" w:rsidR="00D11635" w:rsidRPr="00FC79BA" w:rsidRDefault="00D11635" w:rsidP="00D11635">
      <w:pPr>
        <w:autoSpaceDE w:val="0"/>
        <w:autoSpaceDN w:val="0"/>
        <w:adjustRightInd w:val="0"/>
        <w:spacing w:after="0" w:line="240" w:lineRule="auto"/>
        <w:rPr>
          <w:color w:val="1B1B1B"/>
          <w:sz w:val="20"/>
          <w:szCs w:val="20"/>
          <w:lang w:eastAsia="zh-TW"/>
        </w:rPr>
      </w:pPr>
    </w:p>
    <w:p w14:paraId="527F579B" w14:textId="77777777" w:rsidR="00D11635" w:rsidRPr="00FC79BA" w:rsidRDefault="00D11635" w:rsidP="00D11635">
      <w:pPr>
        <w:autoSpaceDE w:val="0"/>
        <w:autoSpaceDN w:val="0"/>
        <w:adjustRightInd w:val="0"/>
        <w:spacing w:after="0" w:line="240" w:lineRule="auto"/>
        <w:rPr>
          <w:color w:val="000000"/>
          <w:sz w:val="20"/>
          <w:szCs w:val="20"/>
        </w:rPr>
      </w:pPr>
      <w:r w:rsidRPr="00FC79BA">
        <w:rPr>
          <w:color w:val="000000"/>
          <w:sz w:val="20"/>
          <w:szCs w:val="20"/>
        </w:rPr>
        <w:t xml:space="preserve">Enquiries about the content of the report should be emailed to </w:t>
      </w:r>
      <w:hyperlink r:id="rId12" w:history="1">
        <w:r w:rsidRPr="00FC79BA">
          <w:rPr>
            <w:color w:val="0000FF"/>
            <w:sz w:val="20"/>
            <w:szCs w:val="20"/>
            <w:u w:val="single"/>
          </w:rPr>
          <w:t>hta@health.gov.au</w:t>
        </w:r>
      </w:hyperlink>
      <w:r w:rsidRPr="00FC79BA">
        <w:rPr>
          <w:color w:val="000000"/>
          <w:sz w:val="20"/>
          <w:szCs w:val="20"/>
        </w:rPr>
        <w:t>.</w:t>
      </w:r>
    </w:p>
    <w:p w14:paraId="7A50B1B1" w14:textId="77777777" w:rsidR="00D11635" w:rsidRPr="00FC79BA" w:rsidRDefault="00D11635" w:rsidP="00D11635">
      <w:pPr>
        <w:autoSpaceDE w:val="0"/>
        <w:autoSpaceDN w:val="0"/>
        <w:adjustRightInd w:val="0"/>
        <w:spacing w:after="0" w:line="240" w:lineRule="auto"/>
        <w:rPr>
          <w:color w:val="1B1B1B"/>
          <w:sz w:val="20"/>
          <w:szCs w:val="20"/>
          <w:lang w:eastAsia="zh-TW"/>
        </w:rPr>
      </w:pPr>
    </w:p>
    <w:p w14:paraId="04BDD215" w14:textId="77777777" w:rsidR="00D11635" w:rsidRPr="00FC79BA" w:rsidRDefault="00D11635" w:rsidP="00D11635">
      <w:pPr>
        <w:autoSpaceDE w:val="0"/>
        <w:autoSpaceDN w:val="0"/>
        <w:adjustRightInd w:val="0"/>
        <w:spacing w:after="0" w:line="240" w:lineRule="auto"/>
        <w:rPr>
          <w:color w:val="1B1B1B"/>
          <w:sz w:val="20"/>
          <w:szCs w:val="20"/>
          <w:lang w:eastAsia="zh-TW"/>
        </w:rPr>
      </w:pPr>
    </w:p>
    <w:p w14:paraId="01312FFF" w14:textId="77777777" w:rsidR="00D11635" w:rsidRPr="00FC79BA" w:rsidRDefault="00D11635" w:rsidP="00D11635">
      <w:pPr>
        <w:autoSpaceDE w:val="0"/>
        <w:autoSpaceDN w:val="0"/>
        <w:adjustRightInd w:val="0"/>
        <w:spacing w:after="0" w:line="240" w:lineRule="auto"/>
        <w:rPr>
          <w:color w:val="000000"/>
          <w:sz w:val="20"/>
          <w:szCs w:val="20"/>
          <w:lang w:eastAsia="zh-TW"/>
        </w:rPr>
      </w:pPr>
      <w:r w:rsidRPr="00FC79BA">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FC79BA">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570AFE3C"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5BC83144"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2A16F178" w14:textId="77777777" w:rsidR="00D11635" w:rsidRPr="00FC79BA" w:rsidRDefault="00D11635" w:rsidP="00D11635">
      <w:pPr>
        <w:autoSpaceDE w:val="0"/>
        <w:autoSpaceDN w:val="0"/>
        <w:adjustRightInd w:val="0"/>
        <w:spacing w:after="0" w:line="240" w:lineRule="auto"/>
        <w:rPr>
          <w:b/>
          <w:bCs/>
          <w:color w:val="000000"/>
          <w:sz w:val="20"/>
          <w:szCs w:val="20"/>
          <w:u w:val="single"/>
          <w:lang w:eastAsia="zh-TW"/>
        </w:rPr>
      </w:pPr>
      <w:r w:rsidRPr="00FC79BA">
        <w:rPr>
          <w:b/>
          <w:bCs/>
          <w:color w:val="000000"/>
          <w:sz w:val="20"/>
          <w:szCs w:val="20"/>
          <w:u w:val="single"/>
          <w:lang w:eastAsia="zh-TW"/>
        </w:rPr>
        <w:t>MSAC’s advice does not necessarily reflect the views of all individuals who participated in the MSAC evaluation.</w:t>
      </w:r>
    </w:p>
    <w:p w14:paraId="4D3A546C"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51C5862E" w14:textId="77777777" w:rsidR="00D11635" w:rsidRPr="00FC79BA" w:rsidRDefault="00D11635" w:rsidP="00D11635">
      <w:pPr>
        <w:autoSpaceDE w:val="0"/>
        <w:autoSpaceDN w:val="0"/>
        <w:adjustRightInd w:val="0"/>
        <w:spacing w:after="0" w:line="240" w:lineRule="auto"/>
        <w:rPr>
          <w:color w:val="000000"/>
          <w:sz w:val="20"/>
          <w:szCs w:val="20"/>
          <w:lang w:eastAsia="zh-TW"/>
        </w:rPr>
      </w:pPr>
    </w:p>
    <w:p w14:paraId="21B96F79" w14:textId="0FCCA319" w:rsidR="00D11635" w:rsidRPr="00FC79BA" w:rsidRDefault="00D11635" w:rsidP="00D11635">
      <w:pPr>
        <w:autoSpaceDE w:val="0"/>
        <w:autoSpaceDN w:val="0"/>
        <w:adjustRightInd w:val="0"/>
        <w:spacing w:after="0" w:line="240" w:lineRule="auto"/>
        <w:rPr>
          <w:sz w:val="20"/>
          <w:szCs w:val="20"/>
        </w:rPr>
      </w:pPr>
      <w:r w:rsidRPr="00FC79BA">
        <w:rPr>
          <w:sz w:val="20"/>
          <w:szCs w:val="20"/>
        </w:rPr>
        <w:t>This report was prepared by</w:t>
      </w:r>
      <w:r w:rsidR="00E84753" w:rsidRPr="00E84753">
        <w:rPr>
          <w:shd w:val="clear" w:color="auto" w:fill="FFFFFF" w:themeFill="background1"/>
        </w:rPr>
        <w:t xml:space="preserve"> </w:t>
      </w:r>
      <w:r w:rsidR="00E84753" w:rsidRPr="00E84753">
        <w:rPr>
          <w:sz w:val="20"/>
          <w:szCs w:val="20"/>
        </w:rPr>
        <w:t xml:space="preserve">ASERNIP-S </w:t>
      </w:r>
      <w:r w:rsidR="00E84753">
        <w:rPr>
          <w:sz w:val="20"/>
          <w:szCs w:val="20"/>
        </w:rPr>
        <w:t>from</w:t>
      </w:r>
      <w:r w:rsidR="00E84753" w:rsidRPr="00E84753">
        <w:rPr>
          <w:sz w:val="20"/>
          <w:szCs w:val="20"/>
        </w:rPr>
        <w:t xml:space="preserve"> the Royal Australasian College of Surgeons</w:t>
      </w:r>
      <w:r w:rsidR="00E84753">
        <w:rPr>
          <w:sz w:val="20"/>
          <w:szCs w:val="20"/>
        </w:rPr>
        <w:t>.</w:t>
      </w:r>
      <w:r w:rsidRPr="00FC79BA">
        <w:rPr>
          <w:sz w:val="20"/>
          <w:szCs w:val="20"/>
        </w:rPr>
        <w:t xml:space="preserve"> The report was commissioned by the Australian Government Department of Health</w:t>
      </w:r>
      <w:r w:rsidRPr="009A413A">
        <w:rPr>
          <w:sz w:val="20"/>
          <w:szCs w:val="20"/>
        </w:rPr>
        <w:t xml:space="preserve">. It was edited by </w:t>
      </w:r>
      <w:r w:rsidR="009A413A" w:rsidRPr="009A413A">
        <w:rPr>
          <w:sz w:val="20"/>
          <w:szCs w:val="20"/>
        </w:rPr>
        <w:t>Mr N</w:t>
      </w:r>
      <w:r w:rsidR="009A413A">
        <w:rPr>
          <w:sz w:val="20"/>
          <w:szCs w:val="20"/>
        </w:rPr>
        <w:t xml:space="preserve"> Marlow (RACS, ASERNIP-S)</w:t>
      </w:r>
      <w:r>
        <w:rPr>
          <w:sz w:val="20"/>
          <w:szCs w:val="20"/>
        </w:rPr>
        <w:t>.</w:t>
      </w:r>
    </w:p>
    <w:p w14:paraId="61F649D9" w14:textId="77777777" w:rsidR="00D11635" w:rsidRPr="00FC79BA" w:rsidRDefault="00D11635" w:rsidP="00D11635">
      <w:pPr>
        <w:autoSpaceDE w:val="0"/>
        <w:autoSpaceDN w:val="0"/>
        <w:adjustRightInd w:val="0"/>
        <w:spacing w:after="0" w:line="240" w:lineRule="auto"/>
        <w:rPr>
          <w:sz w:val="20"/>
          <w:szCs w:val="20"/>
        </w:rPr>
      </w:pPr>
    </w:p>
    <w:p w14:paraId="407C0251" w14:textId="77777777" w:rsidR="00D11635" w:rsidRPr="00FC79BA" w:rsidRDefault="00D11635" w:rsidP="00D11635">
      <w:pPr>
        <w:autoSpaceDE w:val="0"/>
        <w:autoSpaceDN w:val="0"/>
        <w:adjustRightInd w:val="0"/>
        <w:spacing w:after="0" w:line="240" w:lineRule="auto"/>
        <w:rPr>
          <w:rFonts w:cs="Humanist521BT-Roman"/>
          <w:color w:val="231F20"/>
          <w:sz w:val="20"/>
          <w:szCs w:val="20"/>
        </w:rPr>
      </w:pPr>
      <w:r w:rsidRPr="00FC79BA">
        <w:rPr>
          <w:rFonts w:cs="Humanist521BT-Roman"/>
          <w:color w:val="231F20"/>
          <w:sz w:val="20"/>
          <w:szCs w:val="20"/>
        </w:rPr>
        <w:t>The suggested citation for this document is:</w:t>
      </w:r>
    </w:p>
    <w:p w14:paraId="7071BA42" w14:textId="77777777" w:rsidR="00D11635" w:rsidRPr="00FC79BA" w:rsidRDefault="00D11635" w:rsidP="00D11635">
      <w:pPr>
        <w:autoSpaceDE w:val="0"/>
        <w:autoSpaceDN w:val="0"/>
        <w:adjustRightInd w:val="0"/>
        <w:spacing w:after="0" w:line="240" w:lineRule="auto"/>
        <w:rPr>
          <w:rFonts w:cs="Humanist521BT-Roman"/>
          <w:color w:val="231F20"/>
          <w:sz w:val="20"/>
          <w:szCs w:val="20"/>
        </w:rPr>
      </w:pPr>
    </w:p>
    <w:p w14:paraId="3AA8E2CE" w14:textId="7FAE921A" w:rsidR="004C6CA6" w:rsidRPr="00183E4D" w:rsidRDefault="00E84753" w:rsidP="00E54571">
      <w:pPr>
        <w:autoSpaceDE w:val="0"/>
        <w:autoSpaceDN w:val="0"/>
        <w:adjustRightInd w:val="0"/>
        <w:spacing w:after="0" w:line="240" w:lineRule="auto"/>
        <w:rPr>
          <w:sz w:val="20"/>
          <w:szCs w:val="20"/>
        </w:rPr>
      </w:pPr>
      <w:proofErr w:type="gramStart"/>
      <w:r>
        <w:rPr>
          <w:sz w:val="20"/>
          <w:szCs w:val="20"/>
        </w:rPr>
        <w:t xml:space="preserve">Cameron, A, Tivey, D, Duncan, J, Scarfe, A, Goodall, S, van der Linden, N, </w:t>
      </w:r>
      <w:proofErr w:type="spellStart"/>
      <w:r>
        <w:rPr>
          <w:sz w:val="20"/>
          <w:szCs w:val="20"/>
        </w:rPr>
        <w:t>Manipis</w:t>
      </w:r>
      <w:proofErr w:type="spellEnd"/>
      <w:r>
        <w:rPr>
          <w:sz w:val="20"/>
          <w:szCs w:val="20"/>
        </w:rPr>
        <w:t>, K</w:t>
      </w:r>
      <w:r w:rsidR="00D11635" w:rsidRPr="00FC79BA">
        <w:rPr>
          <w:sz w:val="20"/>
          <w:szCs w:val="20"/>
        </w:rPr>
        <w:t>. (20</w:t>
      </w:r>
      <w:r>
        <w:rPr>
          <w:sz w:val="20"/>
          <w:szCs w:val="20"/>
        </w:rPr>
        <w:t>16</w:t>
      </w:r>
      <w:r w:rsidR="00D11635" w:rsidRPr="00FC79BA">
        <w:rPr>
          <w:sz w:val="20"/>
          <w:szCs w:val="20"/>
        </w:rPr>
        <w:t>).</w:t>
      </w:r>
      <w:proofErr w:type="gramEnd"/>
      <w:r w:rsidR="00D11635" w:rsidRPr="00FC79BA">
        <w:rPr>
          <w:sz w:val="20"/>
          <w:szCs w:val="20"/>
        </w:rPr>
        <w:t xml:space="preserve"> </w:t>
      </w:r>
      <w:proofErr w:type="gramStart"/>
      <w:r w:rsidRPr="00E84753">
        <w:rPr>
          <w:i/>
          <w:sz w:val="20"/>
          <w:szCs w:val="20"/>
        </w:rPr>
        <w:t xml:space="preserve">Assessment of </w:t>
      </w:r>
      <w:proofErr w:type="spellStart"/>
      <w:r w:rsidRPr="00E84753">
        <w:rPr>
          <w:i/>
          <w:sz w:val="20"/>
          <w:szCs w:val="20"/>
        </w:rPr>
        <w:t>mpMRI</w:t>
      </w:r>
      <w:proofErr w:type="spellEnd"/>
      <w:r w:rsidRPr="00E84753">
        <w:rPr>
          <w:i/>
          <w:sz w:val="20"/>
          <w:szCs w:val="20"/>
        </w:rPr>
        <w:t xml:space="preserve"> prostate diagnostic scans for diagnosis of prostate cancer</w:t>
      </w:r>
      <w:r>
        <w:rPr>
          <w:i/>
          <w:sz w:val="20"/>
          <w:szCs w:val="20"/>
        </w:rPr>
        <w:t>.</w:t>
      </w:r>
      <w:proofErr w:type="gramEnd"/>
      <w:r w:rsidR="00D11635" w:rsidRPr="00FC79BA">
        <w:rPr>
          <w:sz w:val="20"/>
          <w:szCs w:val="20"/>
        </w:rPr>
        <w:t xml:space="preserve"> MSAC Application </w:t>
      </w:r>
      <w:r>
        <w:rPr>
          <w:sz w:val="20"/>
          <w:szCs w:val="20"/>
        </w:rPr>
        <w:t>1397</w:t>
      </w:r>
      <w:r w:rsidR="00D11635" w:rsidRPr="00FC79BA">
        <w:rPr>
          <w:sz w:val="20"/>
          <w:szCs w:val="20"/>
        </w:rPr>
        <w:t xml:space="preserve">, Assessment Report. </w:t>
      </w:r>
      <w:proofErr w:type="gramStart"/>
      <w:r w:rsidR="00D11635" w:rsidRPr="00FC79BA">
        <w:rPr>
          <w:sz w:val="20"/>
          <w:szCs w:val="20"/>
        </w:rPr>
        <w:t>Commonwealth of Australia, Canberra, ACT.</w:t>
      </w:r>
      <w:proofErr w:type="gramEnd"/>
      <w:r w:rsidR="00E54571" w:rsidRPr="00183E4D">
        <w:rPr>
          <w:sz w:val="20"/>
          <w:szCs w:val="20"/>
        </w:rPr>
        <w:t xml:space="preserve"> </w:t>
      </w:r>
    </w:p>
    <w:p w14:paraId="338010AA" w14:textId="77777777" w:rsidR="001C0AA1" w:rsidRDefault="001C0AA1" w:rsidP="00DF343F">
      <w:pPr>
        <w:sectPr w:rsidR="001C0AA1" w:rsidSect="0080059D">
          <w:headerReference w:type="default" r:id="rId13"/>
          <w:headerReference w:type="first" r:id="rId14"/>
          <w:type w:val="oddPage"/>
          <w:pgSz w:w="11907" w:h="16840" w:code="9"/>
          <w:pgMar w:top="1440" w:right="1440" w:bottom="1440" w:left="1440" w:header="578" w:footer="578" w:gutter="0"/>
          <w:pgNumType w:fmt="lowerRoman" w:start="1"/>
          <w:cols w:space="720"/>
          <w:noEndnote/>
          <w:titlePg/>
        </w:sectPr>
      </w:pPr>
    </w:p>
    <w:p w14:paraId="4F81CE69" w14:textId="20C8F6F0" w:rsidR="008F59A8" w:rsidRPr="00E946A0" w:rsidRDefault="008F59A8" w:rsidP="00E946A0">
      <w:pPr>
        <w:pStyle w:val="Heading1"/>
      </w:pPr>
      <w:bookmarkStart w:id="19" w:name="_Toc395200735"/>
      <w:bookmarkStart w:id="20" w:name="_Toc399247190"/>
      <w:bookmarkStart w:id="21" w:name="_Toc460513865"/>
      <w:r w:rsidRPr="00E946A0">
        <w:lastRenderedPageBreak/>
        <w:t>Contents</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sdt>
      <w:sdtPr>
        <w:rPr>
          <w:b w:val="0"/>
          <w:noProof w:val="0"/>
        </w:rPr>
        <w:id w:val="-1664701443"/>
        <w:docPartObj>
          <w:docPartGallery w:val="Table of Contents"/>
          <w:docPartUnique/>
        </w:docPartObj>
      </w:sdtPr>
      <w:sdtEndPr>
        <w:rPr>
          <w:bCs/>
        </w:rPr>
      </w:sdtEndPr>
      <w:sdtContent>
        <w:p w14:paraId="2A8031B3" w14:textId="77777777" w:rsidR="00B14A18" w:rsidRDefault="00F81651">
          <w:pPr>
            <w:pStyle w:val="TOC1"/>
            <w:rPr>
              <w:rFonts w:asciiTheme="minorHAnsi" w:eastAsiaTheme="minorEastAsia" w:hAnsiTheme="minorHAnsi" w:cstheme="minorBidi"/>
              <w:b w:val="0"/>
            </w:rPr>
          </w:pPr>
          <w:r>
            <w:fldChar w:fldCharType="begin"/>
          </w:r>
          <w:r>
            <w:instrText xml:space="preserve"> TOC \o "1-3" \h \z \u </w:instrText>
          </w:r>
          <w:r>
            <w:fldChar w:fldCharType="separate"/>
          </w:r>
          <w:hyperlink w:anchor="_Toc460513862" w:history="1">
            <w:r w:rsidR="00B14A18" w:rsidRPr="00EA6AD3">
              <w:rPr>
                <w:rStyle w:val="Hyperlink"/>
                <w:rFonts w:eastAsiaTheme="minorHAnsi"/>
              </w:rPr>
              <w:t>Version Control</w:t>
            </w:r>
            <w:r w:rsidR="00B14A18">
              <w:rPr>
                <w:webHidden/>
              </w:rPr>
              <w:tab/>
            </w:r>
            <w:r w:rsidR="00B14A18">
              <w:rPr>
                <w:webHidden/>
              </w:rPr>
              <w:fldChar w:fldCharType="begin"/>
            </w:r>
            <w:r w:rsidR="00B14A18">
              <w:rPr>
                <w:webHidden/>
              </w:rPr>
              <w:instrText xml:space="preserve"> PAGEREF _Toc460513862 \h </w:instrText>
            </w:r>
            <w:r w:rsidR="00B14A18">
              <w:rPr>
                <w:webHidden/>
              </w:rPr>
            </w:r>
            <w:r w:rsidR="00B14A18">
              <w:rPr>
                <w:webHidden/>
              </w:rPr>
              <w:fldChar w:fldCharType="separate"/>
            </w:r>
            <w:r w:rsidR="0029649D">
              <w:rPr>
                <w:webHidden/>
              </w:rPr>
              <w:t>ii</w:t>
            </w:r>
            <w:r w:rsidR="00B14A18">
              <w:rPr>
                <w:webHidden/>
              </w:rPr>
              <w:fldChar w:fldCharType="end"/>
            </w:r>
          </w:hyperlink>
        </w:p>
        <w:p w14:paraId="12FF69E9" w14:textId="77777777" w:rsidR="00B14A18" w:rsidRDefault="00DD0356">
          <w:pPr>
            <w:pStyle w:val="TOC2"/>
            <w:rPr>
              <w:rFonts w:asciiTheme="minorHAnsi" w:eastAsiaTheme="minorEastAsia" w:hAnsiTheme="minorHAnsi" w:cstheme="minorBidi"/>
            </w:rPr>
          </w:pPr>
          <w:hyperlink w:anchor="_Toc460513863" w:history="1">
            <w:r w:rsidR="00B14A18" w:rsidRPr="00EA6AD3">
              <w:rPr>
                <w:rStyle w:val="Hyperlink"/>
                <w:rFonts w:eastAsiaTheme="minorHAnsi"/>
              </w:rPr>
              <w:t>Document History</w:t>
            </w:r>
            <w:r w:rsidR="00B14A18">
              <w:rPr>
                <w:webHidden/>
              </w:rPr>
              <w:tab/>
            </w:r>
            <w:r w:rsidR="00B14A18">
              <w:rPr>
                <w:webHidden/>
              </w:rPr>
              <w:fldChar w:fldCharType="begin"/>
            </w:r>
            <w:r w:rsidR="00B14A18">
              <w:rPr>
                <w:webHidden/>
              </w:rPr>
              <w:instrText xml:space="preserve"> PAGEREF _Toc460513863 \h </w:instrText>
            </w:r>
            <w:r w:rsidR="00B14A18">
              <w:rPr>
                <w:webHidden/>
              </w:rPr>
            </w:r>
            <w:r w:rsidR="00B14A18">
              <w:rPr>
                <w:webHidden/>
              </w:rPr>
              <w:fldChar w:fldCharType="separate"/>
            </w:r>
            <w:r w:rsidR="0029649D">
              <w:rPr>
                <w:webHidden/>
              </w:rPr>
              <w:t>ii</w:t>
            </w:r>
            <w:r w:rsidR="00B14A18">
              <w:rPr>
                <w:webHidden/>
              </w:rPr>
              <w:fldChar w:fldCharType="end"/>
            </w:r>
          </w:hyperlink>
        </w:p>
        <w:p w14:paraId="6B8EC6DD" w14:textId="77777777" w:rsidR="00B14A18" w:rsidRDefault="00DD0356">
          <w:pPr>
            <w:pStyle w:val="TOC2"/>
            <w:rPr>
              <w:rFonts w:asciiTheme="minorHAnsi" w:eastAsiaTheme="minorEastAsia" w:hAnsiTheme="minorHAnsi" w:cstheme="minorBidi"/>
            </w:rPr>
          </w:pPr>
          <w:hyperlink w:anchor="_Toc460513864" w:history="1">
            <w:r w:rsidR="00B14A18" w:rsidRPr="00EA6AD3">
              <w:rPr>
                <w:rStyle w:val="Hyperlink"/>
                <w:rFonts w:eastAsiaTheme="minorHAnsi"/>
              </w:rPr>
              <w:t>Document Approval</w:t>
            </w:r>
            <w:r w:rsidR="00B14A18">
              <w:rPr>
                <w:webHidden/>
              </w:rPr>
              <w:tab/>
            </w:r>
            <w:r w:rsidR="00B14A18">
              <w:rPr>
                <w:webHidden/>
              </w:rPr>
              <w:fldChar w:fldCharType="begin"/>
            </w:r>
            <w:r w:rsidR="00B14A18">
              <w:rPr>
                <w:webHidden/>
              </w:rPr>
              <w:instrText xml:space="preserve"> PAGEREF _Toc460513864 \h </w:instrText>
            </w:r>
            <w:r w:rsidR="00B14A18">
              <w:rPr>
                <w:webHidden/>
              </w:rPr>
            </w:r>
            <w:r w:rsidR="00B14A18">
              <w:rPr>
                <w:webHidden/>
              </w:rPr>
              <w:fldChar w:fldCharType="separate"/>
            </w:r>
            <w:r w:rsidR="0029649D">
              <w:rPr>
                <w:webHidden/>
              </w:rPr>
              <w:t>ii</w:t>
            </w:r>
            <w:r w:rsidR="00B14A18">
              <w:rPr>
                <w:webHidden/>
              </w:rPr>
              <w:fldChar w:fldCharType="end"/>
            </w:r>
          </w:hyperlink>
        </w:p>
        <w:p w14:paraId="5F700777" w14:textId="77777777" w:rsidR="00B14A18" w:rsidRDefault="00DD0356">
          <w:pPr>
            <w:pStyle w:val="TOC1"/>
            <w:rPr>
              <w:rFonts w:asciiTheme="minorHAnsi" w:eastAsiaTheme="minorEastAsia" w:hAnsiTheme="minorHAnsi" w:cstheme="minorBidi"/>
              <w:b w:val="0"/>
            </w:rPr>
          </w:pPr>
          <w:hyperlink w:anchor="_Toc460513865" w:history="1">
            <w:r w:rsidR="00B14A18" w:rsidRPr="00EA6AD3">
              <w:rPr>
                <w:rStyle w:val="Hyperlink"/>
              </w:rPr>
              <w:t>Contents</w:t>
            </w:r>
            <w:r w:rsidR="00B14A18">
              <w:rPr>
                <w:webHidden/>
              </w:rPr>
              <w:tab/>
            </w:r>
            <w:r w:rsidR="00B14A18">
              <w:rPr>
                <w:webHidden/>
              </w:rPr>
              <w:fldChar w:fldCharType="begin"/>
            </w:r>
            <w:r w:rsidR="00B14A18">
              <w:rPr>
                <w:webHidden/>
              </w:rPr>
              <w:instrText xml:space="preserve"> PAGEREF _Toc460513865 \h </w:instrText>
            </w:r>
            <w:r w:rsidR="00B14A18">
              <w:rPr>
                <w:webHidden/>
              </w:rPr>
            </w:r>
            <w:r w:rsidR="00B14A18">
              <w:rPr>
                <w:webHidden/>
              </w:rPr>
              <w:fldChar w:fldCharType="separate"/>
            </w:r>
            <w:r w:rsidR="0029649D">
              <w:rPr>
                <w:webHidden/>
              </w:rPr>
              <w:t>i</w:t>
            </w:r>
            <w:r w:rsidR="00B14A18">
              <w:rPr>
                <w:webHidden/>
              </w:rPr>
              <w:fldChar w:fldCharType="end"/>
            </w:r>
          </w:hyperlink>
        </w:p>
        <w:p w14:paraId="67DB51BF" w14:textId="77777777" w:rsidR="00B14A18" w:rsidRDefault="00DD0356">
          <w:pPr>
            <w:pStyle w:val="TOC2"/>
            <w:rPr>
              <w:rFonts w:asciiTheme="minorHAnsi" w:eastAsiaTheme="minorEastAsia" w:hAnsiTheme="minorHAnsi" w:cstheme="minorBidi"/>
            </w:rPr>
          </w:pPr>
          <w:hyperlink w:anchor="_Toc460513866" w:history="1">
            <w:r w:rsidR="00B14A18" w:rsidRPr="00EA6AD3">
              <w:rPr>
                <w:rStyle w:val="Hyperlink"/>
              </w:rPr>
              <w:t>Tables</w:t>
            </w:r>
            <w:r w:rsidR="00B14A18">
              <w:rPr>
                <w:webHidden/>
              </w:rPr>
              <w:tab/>
            </w:r>
            <w:r w:rsidR="00B14A18">
              <w:rPr>
                <w:webHidden/>
              </w:rPr>
              <w:fldChar w:fldCharType="begin"/>
            </w:r>
            <w:r w:rsidR="00B14A18">
              <w:rPr>
                <w:webHidden/>
              </w:rPr>
              <w:instrText xml:space="preserve"> PAGEREF _Toc460513866 \h </w:instrText>
            </w:r>
            <w:r w:rsidR="00B14A18">
              <w:rPr>
                <w:webHidden/>
              </w:rPr>
            </w:r>
            <w:r w:rsidR="00B14A18">
              <w:rPr>
                <w:webHidden/>
              </w:rPr>
              <w:fldChar w:fldCharType="separate"/>
            </w:r>
            <w:r w:rsidR="0029649D">
              <w:rPr>
                <w:webHidden/>
              </w:rPr>
              <w:t>vii</w:t>
            </w:r>
            <w:r w:rsidR="00B14A18">
              <w:rPr>
                <w:webHidden/>
              </w:rPr>
              <w:fldChar w:fldCharType="end"/>
            </w:r>
          </w:hyperlink>
        </w:p>
        <w:p w14:paraId="63DBED58" w14:textId="77777777" w:rsidR="00B14A18" w:rsidRDefault="00DD0356">
          <w:pPr>
            <w:pStyle w:val="TOC2"/>
            <w:rPr>
              <w:rFonts w:asciiTheme="minorHAnsi" w:eastAsiaTheme="minorEastAsia" w:hAnsiTheme="minorHAnsi" w:cstheme="minorBidi"/>
            </w:rPr>
          </w:pPr>
          <w:hyperlink w:anchor="_Toc460513867" w:history="1">
            <w:r w:rsidR="00B14A18" w:rsidRPr="00EA6AD3">
              <w:rPr>
                <w:rStyle w:val="Hyperlink"/>
              </w:rPr>
              <w:t>Boxes</w:t>
            </w:r>
            <w:r w:rsidR="00B14A18">
              <w:rPr>
                <w:webHidden/>
              </w:rPr>
              <w:tab/>
            </w:r>
            <w:r w:rsidR="00B14A18">
              <w:rPr>
                <w:webHidden/>
              </w:rPr>
              <w:fldChar w:fldCharType="begin"/>
            </w:r>
            <w:r w:rsidR="00B14A18">
              <w:rPr>
                <w:webHidden/>
              </w:rPr>
              <w:instrText xml:space="preserve"> PAGEREF _Toc460513867 \h </w:instrText>
            </w:r>
            <w:r w:rsidR="00B14A18">
              <w:rPr>
                <w:webHidden/>
              </w:rPr>
            </w:r>
            <w:r w:rsidR="00B14A18">
              <w:rPr>
                <w:webHidden/>
              </w:rPr>
              <w:fldChar w:fldCharType="separate"/>
            </w:r>
            <w:r w:rsidR="0029649D">
              <w:rPr>
                <w:webHidden/>
              </w:rPr>
              <w:t>xii</w:t>
            </w:r>
            <w:r w:rsidR="00B14A18">
              <w:rPr>
                <w:webHidden/>
              </w:rPr>
              <w:fldChar w:fldCharType="end"/>
            </w:r>
          </w:hyperlink>
        </w:p>
        <w:p w14:paraId="072D2476" w14:textId="77777777" w:rsidR="00B14A18" w:rsidRDefault="00DD0356">
          <w:pPr>
            <w:pStyle w:val="TOC2"/>
            <w:rPr>
              <w:rFonts w:asciiTheme="minorHAnsi" w:eastAsiaTheme="minorEastAsia" w:hAnsiTheme="minorHAnsi" w:cstheme="minorBidi"/>
            </w:rPr>
          </w:pPr>
          <w:hyperlink w:anchor="_Toc460513868" w:history="1">
            <w:r w:rsidR="00B14A18" w:rsidRPr="00EA6AD3">
              <w:rPr>
                <w:rStyle w:val="Hyperlink"/>
              </w:rPr>
              <w:t>Figures</w:t>
            </w:r>
            <w:r w:rsidR="00B14A18">
              <w:rPr>
                <w:webHidden/>
              </w:rPr>
              <w:tab/>
            </w:r>
            <w:r w:rsidR="00B14A18">
              <w:rPr>
                <w:webHidden/>
              </w:rPr>
              <w:fldChar w:fldCharType="begin"/>
            </w:r>
            <w:r w:rsidR="00B14A18">
              <w:rPr>
                <w:webHidden/>
              </w:rPr>
              <w:instrText xml:space="preserve"> PAGEREF _Toc460513868 \h </w:instrText>
            </w:r>
            <w:r w:rsidR="00B14A18">
              <w:rPr>
                <w:webHidden/>
              </w:rPr>
            </w:r>
            <w:r w:rsidR="00B14A18">
              <w:rPr>
                <w:webHidden/>
              </w:rPr>
              <w:fldChar w:fldCharType="separate"/>
            </w:r>
            <w:r w:rsidR="0029649D">
              <w:rPr>
                <w:webHidden/>
              </w:rPr>
              <w:t>xii</w:t>
            </w:r>
            <w:r w:rsidR="00B14A18">
              <w:rPr>
                <w:webHidden/>
              </w:rPr>
              <w:fldChar w:fldCharType="end"/>
            </w:r>
          </w:hyperlink>
        </w:p>
        <w:p w14:paraId="69DC6E06" w14:textId="77777777" w:rsidR="00B14A18" w:rsidRDefault="00DD0356">
          <w:pPr>
            <w:pStyle w:val="TOC1"/>
            <w:rPr>
              <w:rFonts w:asciiTheme="minorHAnsi" w:eastAsiaTheme="minorEastAsia" w:hAnsiTheme="minorHAnsi" w:cstheme="minorBidi"/>
              <w:b w:val="0"/>
            </w:rPr>
          </w:pPr>
          <w:hyperlink w:anchor="_Toc460513869" w:history="1">
            <w:r w:rsidR="00B14A18" w:rsidRPr="00EA6AD3">
              <w:rPr>
                <w:rStyle w:val="Hyperlink"/>
              </w:rPr>
              <w:t>Executive Summary</w:t>
            </w:r>
            <w:r w:rsidR="00B14A18">
              <w:rPr>
                <w:webHidden/>
              </w:rPr>
              <w:tab/>
            </w:r>
            <w:r w:rsidR="00B14A18">
              <w:rPr>
                <w:webHidden/>
              </w:rPr>
              <w:fldChar w:fldCharType="begin"/>
            </w:r>
            <w:r w:rsidR="00B14A18">
              <w:rPr>
                <w:webHidden/>
              </w:rPr>
              <w:instrText xml:space="preserve"> PAGEREF _Toc460513869 \h </w:instrText>
            </w:r>
            <w:r w:rsidR="00B14A18">
              <w:rPr>
                <w:webHidden/>
              </w:rPr>
            </w:r>
            <w:r w:rsidR="00B14A18">
              <w:rPr>
                <w:webHidden/>
              </w:rPr>
              <w:fldChar w:fldCharType="separate"/>
            </w:r>
            <w:r w:rsidR="0029649D">
              <w:rPr>
                <w:webHidden/>
              </w:rPr>
              <w:t>1</w:t>
            </w:r>
            <w:r w:rsidR="00B14A18">
              <w:rPr>
                <w:webHidden/>
              </w:rPr>
              <w:fldChar w:fldCharType="end"/>
            </w:r>
          </w:hyperlink>
        </w:p>
        <w:p w14:paraId="4875CDFF" w14:textId="77777777" w:rsidR="00B14A18" w:rsidRDefault="00DD0356">
          <w:pPr>
            <w:pStyle w:val="TOC2"/>
            <w:rPr>
              <w:rFonts w:asciiTheme="minorHAnsi" w:eastAsiaTheme="minorEastAsia" w:hAnsiTheme="minorHAnsi" w:cstheme="minorBidi"/>
            </w:rPr>
          </w:pPr>
          <w:hyperlink w:anchor="_Toc460513870" w:history="1">
            <w:r w:rsidR="00B14A18" w:rsidRPr="00EA6AD3">
              <w:rPr>
                <w:rStyle w:val="Hyperlink"/>
              </w:rPr>
              <w:t>Assessment of mpMRI prostate diagnostic scans for diagnosis of prostate cancer</w:t>
            </w:r>
            <w:r w:rsidR="00B14A18">
              <w:rPr>
                <w:webHidden/>
              </w:rPr>
              <w:tab/>
            </w:r>
            <w:r w:rsidR="00B14A18">
              <w:rPr>
                <w:webHidden/>
              </w:rPr>
              <w:fldChar w:fldCharType="begin"/>
            </w:r>
            <w:r w:rsidR="00B14A18">
              <w:rPr>
                <w:webHidden/>
              </w:rPr>
              <w:instrText xml:space="preserve"> PAGEREF _Toc460513870 \h </w:instrText>
            </w:r>
            <w:r w:rsidR="00B14A18">
              <w:rPr>
                <w:webHidden/>
              </w:rPr>
            </w:r>
            <w:r w:rsidR="00B14A18">
              <w:rPr>
                <w:webHidden/>
              </w:rPr>
              <w:fldChar w:fldCharType="separate"/>
            </w:r>
            <w:r w:rsidR="0029649D">
              <w:rPr>
                <w:webHidden/>
              </w:rPr>
              <w:t>2</w:t>
            </w:r>
            <w:r w:rsidR="00B14A18">
              <w:rPr>
                <w:webHidden/>
              </w:rPr>
              <w:fldChar w:fldCharType="end"/>
            </w:r>
          </w:hyperlink>
        </w:p>
        <w:p w14:paraId="6A6C861A" w14:textId="77777777" w:rsidR="00B14A18" w:rsidRDefault="00DD0356">
          <w:pPr>
            <w:pStyle w:val="TOC3"/>
            <w:rPr>
              <w:rFonts w:asciiTheme="minorHAnsi" w:eastAsiaTheme="minorEastAsia" w:hAnsiTheme="minorHAnsi" w:cstheme="minorBidi"/>
            </w:rPr>
          </w:pPr>
          <w:hyperlink w:anchor="_Toc460513871" w:history="1">
            <w:r w:rsidR="00B14A18" w:rsidRPr="00EA6AD3">
              <w:rPr>
                <w:rStyle w:val="Hyperlink"/>
              </w:rPr>
              <w:t>Alignment with agreed protocol</w:t>
            </w:r>
            <w:r w:rsidR="00B14A18">
              <w:rPr>
                <w:webHidden/>
              </w:rPr>
              <w:tab/>
            </w:r>
            <w:r w:rsidR="00B14A18">
              <w:rPr>
                <w:webHidden/>
              </w:rPr>
              <w:fldChar w:fldCharType="begin"/>
            </w:r>
            <w:r w:rsidR="00B14A18">
              <w:rPr>
                <w:webHidden/>
              </w:rPr>
              <w:instrText xml:space="preserve"> PAGEREF _Toc460513871 \h </w:instrText>
            </w:r>
            <w:r w:rsidR="00B14A18">
              <w:rPr>
                <w:webHidden/>
              </w:rPr>
            </w:r>
            <w:r w:rsidR="00B14A18">
              <w:rPr>
                <w:webHidden/>
              </w:rPr>
              <w:fldChar w:fldCharType="separate"/>
            </w:r>
            <w:r w:rsidR="0029649D">
              <w:rPr>
                <w:webHidden/>
              </w:rPr>
              <w:t>2</w:t>
            </w:r>
            <w:r w:rsidR="00B14A18">
              <w:rPr>
                <w:webHidden/>
              </w:rPr>
              <w:fldChar w:fldCharType="end"/>
            </w:r>
          </w:hyperlink>
        </w:p>
        <w:p w14:paraId="606184CF" w14:textId="77777777" w:rsidR="00B14A18" w:rsidRDefault="00DD0356">
          <w:pPr>
            <w:pStyle w:val="TOC3"/>
            <w:rPr>
              <w:rFonts w:asciiTheme="minorHAnsi" w:eastAsiaTheme="minorEastAsia" w:hAnsiTheme="minorHAnsi" w:cstheme="minorBidi"/>
            </w:rPr>
          </w:pPr>
          <w:hyperlink w:anchor="_Toc460513872" w:history="1">
            <w:r w:rsidR="00B14A18" w:rsidRPr="00EA6AD3">
              <w:rPr>
                <w:rStyle w:val="Hyperlink"/>
              </w:rPr>
              <w:t>Proposed Medical Service</w:t>
            </w:r>
            <w:r w:rsidR="00B14A18">
              <w:rPr>
                <w:webHidden/>
              </w:rPr>
              <w:tab/>
            </w:r>
            <w:r w:rsidR="00B14A18">
              <w:rPr>
                <w:webHidden/>
              </w:rPr>
              <w:fldChar w:fldCharType="begin"/>
            </w:r>
            <w:r w:rsidR="00B14A18">
              <w:rPr>
                <w:webHidden/>
              </w:rPr>
              <w:instrText xml:space="preserve"> PAGEREF _Toc460513872 \h </w:instrText>
            </w:r>
            <w:r w:rsidR="00B14A18">
              <w:rPr>
                <w:webHidden/>
              </w:rPr>
            </w:r>
            <w:r w:rsidR="00B14A18">
              <w:rPr>
                <w:webHidden/>
              </w:rPr>
              <w:fldChar w:fldCharType="separate"/>
            </w:r>
            <w:r w:rsidR="0029649D">
              <w:rPr>
                <w:webHidden/>
              </w:rPr>
              <w:t>2</w:t>
            </w:r>
            <w:r w:rsidR="00B14A18">
              <w:rPr>
                <w:webHidden/>
              </w:rPr>
              <w:fldChar w:fldCharType="end"/>
            </w:r>
          </w:hyperlink>
        </w:p>
        <w:p w14:paraId="1830F296" w14:textId="77777777" w:rsidR="00B14A18" w:rsidRDefault="00DD0356">
          <w:pPr>
            <w:pStyle w:val="TOC3"/>
            <w:rPr>
              <w:rFonts w:asciiTheme="minorHAnsi" w:eastAsiaTheme="minorEastAsia" w:hAnsiTheme="minorHAnsi" w:cstheme="minorBidi"/>
            </w:rPr>
          </w:pPr>
          <w:hyperlink w:anchor="_Toc460513873" w:history="1">
            <w:r w:rsidR="00B14A18" w:rsidRPr="00EA6AD3">
              <w:rPr>
                <w:rStyle w:val="Hyperlink"/>
              </w:rPr>
              <w:t>Proposal for Public Funding</w:t>
            </w:r>
            <w:r w:rsidR="00B14A18">
              <w:rPr>
                <w:webHidden/>
              </w:rPr>
              <w:tab/>
            </w:r>
            <w:r w:rsidR="00B14A18">
              <w:rPr>
                <w:webHidden/>
              </w:rPr>
              <w:fldChar w:fldCharType="begin"/>
            </w:r>
            <w:r w:rsidR="00B14A18">
              <w:rPr>
                <w:webHidden/>
              </w:rPr>
              <w:instrText xml:space="preserve"> PAGEREF _Toc460513873 \h </w:instrText>
            </w:r>
            <w:r w:rsidR="00B14A18">
              <w:rPr>
                <w:webHidden/>
              </w:rPr>
            </w:r>
            <w:r w:rsidR="00B14A18">
              <w:rPr>
                <w:webHidden/>
              </w:rPr>
              <w:fldChar w:fldCharType="separate"/>
            </w:r>
            <w:r w:rsidR="0029649D">
              <w:rPr>
                <w:webHidden/>
              </w:rPr>
              <w:t>3</w:t>
            </w:r>
            <w:r w:rsidR="00B14A18">
              <w:rPr>
                <w:webHidden/>
              </w:rPr>
              <w:fldChar w:fldCharType="end"/>
            </w:r>
          </w:hyperlink>
        </w:p>
        <w:p w14:paraId="28D721DC" w14:textId="77777777" w:rsidR="00B14A18" w:rsidRDefault="00DD0356">
          <w:pPr>
            <w:pStyle w:val="TOC3"/>
            <w:rPr>
              <w:rFonts w:asciiTheme="minorHAnsi" w:eastAsiaTheme="minorEastAsia" w:hAnsiTheme="minorHAnsi" w:cstheme="minorBidi"/>
            </w:rPr>
          </w:pPr>
          <w:hyperlink w:anchor="_Toc460513874" w:history="1">
            <w:r w:rsidR="00B14A18" w:rsidRPr="00EA6AD3">
              <w:rPr>
                <w:rStyle w:val="Hyperlink"/>
              </w:rPr>
              <w:t>Population</w:t>
            </w:r>
            <w:r w:rsidR="00B14A18">
              <w:rPr>
                <w:webHidden/>
              </w:rPr>
              <w:tab/>
            </w:r>
            <w:r w:rsidR="00B14A18">
              <w:rPr>
                <w:webHidden/>
              </w:rPr>
              <w:fldChar w:fldCharType="begin"/>
            </w:r>
            <w:r w:rsidR="00B14A18">
              <w:rPr>
                <w:webHidden/>
              </w:rPr>
              <w:instrText xml:space="preserve"> PAGEREF _Toc460513874 \h </w:instrText>
            </w:r>
            <w:r w:rsidR="00B14A18">
              <w:rPr>
                <w:webHidden/>
              </w:rPr>
            </w:r>
            <w:r w:rsidR="00B14A18">
              <w:rPr>
                <w:webHidden/>
              </w:rPr>
              <w:fldChar w:fldCharType="separate"/>
            </w:r>
            <w:r w:rsidR="0029649D">
              <w:rPr>
                <w:webHidden/>
              </w:rPr>
              <w:t>3</w:t>
            </w:r>
            <w:r w:rsidR="00B14A18">
              <w:rPr>
                <w:webHidden/>
              </w:rPr>
              <w:fldChar w:fldCharType="end"/>
            </w:r>
          </w:hyperlink>
        </w:p>
        <w:p w14:paraId="603AC5B1" w14:textId="77777777" w:rsidR="00B14A18" w:rsidRDefault="00DD0356">
          <w:pPr>
            <w:pStyle w:val="TOC3"/>
            <w:rPr>
              <w:rFonts w:asciiTheme="minorHAnsi" w:eastAsiaTheme="minorEastAsia" w:hAnsiTheme="minorHAnsi" w:cstheme="minorBidi"/>
            </w:rPr>
          </w:pPr>
          <w:hyperlink w:anchor="_Toc460513875" w:history="1">
            <w:r w:rsidR="00B14A18" w:rsidRPr="00EA6AD3">
              <w:rPr>
                <w:rStyle w:val="Hyperlink"/>
              </w:rPr>
              <w:t>Comparator Details</w:t>
            </w:r>
            <w:r w:rsidR="00B14A18">
              <w:rPr>
                <w:webHidden/>
              </w:rPr>
              <w:tab/>
            </w:r>
            <w:r w:rsidR="00B14A18">
              <w:rPr>
                <w:webHidden/>
              </w:rPr>
              <w:fldChar w:fldCharType="begin"/>
            </w:r>
            <w:r w:rsidR="00B14A18">
              <w:rPr>
                <w:webHidden/>
              </w:rPr>
              <w:instrText xml:space="preserve"> PAGEREF _Toc460513875 \h </w:instrText>
            </w:r>
            <w:r w:rsidR="00B14A18">
              <w:rPr>
                <w:webHidden/>
              </w:rPr>
            </w:r>
            <w:r w:rsidR="00B14A18">
              <w:rPr>
                <w:webHidden/>
              </w:rPr>
              <w:fldChar w:fldCharType="separate"/>
            </w:r>
            <w:r w:rsidR="0029649D">
              <w:rPr>
                <w:webHidden/>
              </w:rPr>
              <w:t>4</w:t>
            </w:r>
            <w:r w:rsidR="00B14A18">
              <w:rPr>
                <w:webHidden/>
              </w:rPr>
              <w:fldChar w:fldCharType="end"/>
            </w:r>
          </w:hyperlink>
        </w:p>
        <w:p w14:paraId="49BF1029" w14:textId="77777777" w:rsidR="00B14A18" w:rsidRDefault="00DD0356">
          <w:pPr>
            <w:pStyle w:val="TOC3"/>
            <w:rPr>
              <w:rFonts w:asciiTheme="minorHAnsi" w:eastAsiaTheme="minorEastAsia" w:hAnsiTheme="minorHAnsi" w:cstheme="minorBidi"/>
            </w:rPr>
          </w:pPr>
          <w:hyperlink w:anchor="_Toc460513876" w:history="1">
            <w:r w:rsidR="00B14A18" w:rsidRPr="00EA6AD3">
              <w:rPr>
                <w:rStyle w:val="Hyperlink"/>
              </w:rPr>
              <w:t>Clinical management algorithm(s)</w:t>
            </w:r>
            <w:r w:rsidR="00B14A18">
              <w:rPr>
                <w:webHidden/>
              </w:rPr>
              <w:tab/>
            </w:r>
            <w:r w:rsidR="00B14A18">
              <w:rPr>
                <w:webHidden/>
              </w:rPr>
              <w:fldChar w:fldCharType="begin"/>
            </w:r>
            <w:r w:rsidR="00B14A18">
              <w:rPr>
                <w:webHidden/>
              </w:rPr>
              <w:instrText xml:space="preserve"> PAGEREF _Toc460513876 \h </w:instrText>
            </w:r>
            <w:r w:rsidR="00B14A18">
              <w:rPr>
                <w:webHidden/>
              </w:rPr>
            </w:r>
            <w:r w:rsidR="00B14A18">
              <w:rPr>
                <w:webHidden/>
              </w:rPr>
              <w:fldChar w:fldCharType="separate"/>
            </w:r>
            <w:r w:rsidR="0029649D">
              <w:rPr>
                <w:webHidden/>
              </w:rPr>
              <w:t>4</w:t>
            </w:r>
            <w:r w:rsidR="00B14A18">
              <w:rPr>
                <w:webHidden/>
              </w:rPr>
              <w:fldChar w:fldCharType="end"/>
            </w:r>
          </w:hyperlink>
        </w:p>
        <w:p w14:paraId="41DBCE36" w14:textId="77777777" w:rsidR="00B14A18" w:rsidRDefault="00DD0356">
          <w:pPr>
            <w:pStyle w:val="TOC3"/>
            <w:rPr>
              <w:rFonts w:asciiTheme="minorHAnsi" w:eastAsiaTheme="minorEastAsia" w:hAnsiTheme="minorHAnsi" w:cstheme="minorBidi"/>
            </w:rPr>
          </w:pPr>
          <w:hyperlink w:anchor="_Toc460513877" w:history="1">
            <w:r w:rsidR="00B14A18" w:rsidRPr="00EA6AD3">
              <w:rPr>
                <w:rStyle w:val="Hyperlink"/>
              </w:rPr>
              <w:t>Key Differences in the Delivery of the Proposed Medical Service and the Main Comparator</w:t>
            </w:r>
            <w:r w:rsidR="00B14A18">
              <w:rPr>
                <w:webHidden/>
              </w:rPr>
              <w:tab/>
            </w:r>
            <w:r w:rsidR="00B14A18">
              <w:rPr>
                <w:webHidden/>
              </w:rPr>
              <w:fldChar w:fldCharType="begin"/>
            </w:r>
            <w:r w:rsidR="00B14A18">
              <w:rPr>
                <w:webHidden/>
              </w:rPr>
              <w:instrText xml:space="preserve"> PAGEREF _Toc460513877 \h </w:instrText>
            </w:r>
            <w:r w:rsidR="00B14A18">
              <w:rPr>
                <w:webHidden/>
              </w:rPr>
            </w:r>
            <w:r w:rsidR="00B14A18">
              <w:rPr>
                <w:webHidden/>
              </w:rPr>
              <w:fldChar w:fldCharType="separate"/>
            </w:r>
            <w:r w:rsidR="0029649D">
              <w:rPr>
                <w:webHidden/>
              </w:rPr>
              <w:t>6</w:t>
            </w:r>
            <w:r w:rsidR="00B14A18">
              <w:rPr>
                <w:webHidden/>
              </w:rPr>
              <w:fldChar w:fldCharType="end"/>
            </w:r>
          </w:hyperlink>
        </w:p>
        <w:p w14:paraId="2882B4E0" w14:textId="77777777" w:rsidR="00B14A18" w:rsidRDefault="00DD0356">
          <w:pPr>
            <w:pStyle w:val="TOC3"/>
            <w:rPr>
              <w:rFonts w:asciiTheme="minorHAnsi" w:eastAsiaTheme="minorEastAsia" w:hAnsiTheme="minorHAnsi" w:cstheme="minorBidi"/>
            </w:rPr>
          </w:pPr>
          <w:hyperlink w:anchor="_Toc460513878" w:history="1">
            <w:r w:rsidR="00B14A18" w:rsidRPr="00EA6AD3">
              <w:rPr>
                <w:rStyle w:val="Hyperlink"/>
              </w:rPr>
              <w:t>Clinical Claim</w:t>
            </w:r>
            <w:r w:rsidR="00B14A18">
              <w:rPr>
                <w:webHidden/>
              </w:rPr>
              <w:tab/>
            </w:r>
            <w:r w:rsidR="00B14A18">
              <w:rPr>
                <w:webHidden/>
              </w:rPr>
              <w:fldChar w:fldCharType="begin"/>
            </w:r>
            <w:r w:rsidR="00B14A18">
              <w:rPr>
                <w:webHidden/>
              </w:rPr>
              <w:instrText xml:space="preserve"> PAGEREF _Toc460513878 \h </w:instrText>
            </w:r>
            <w:r w:rsidR="00B14A18">
              <w:rPr>
                <w:webHidden/>
              </w:rPr>
            </w:r>
            <w:r w:rsidR="00B14A18">
              <w:rPr>
                <w:webHidden/>
              </w:rPr>
              <w:fldChar w:fldCharType="separate"/>
            </w:r>
            <w:r w:rsidR="0029649D">
              <w:rPr>
                <w:webHidden/>
              </w:rPr>
              <w:t>6</w:t>
            </w:r>
            <w:r w:rsidR="00B14A18">
              <w:rPr>
                <w:webHidden/>
              </w:rPr>
              <w:fldChar w:fldCharType="end"/>
            </w:r>
          </w:hyperlink>
        </w:p>
        <w:p w14:paraId="3961C540" w14:textId="77777777" w:rsidR="00B14A18" w:rsidRDefault="00DD0356">
          <w:pPr>
            <w:pStyle w:val="TOC3"/>
            <w:rPr>
              <w:rFonts w:asciiTheme="minorHAnsi" w:eastAsiaTheme="minorEastAsia" w:hAnsiTheme="minorHAnsi" w:cstheme="minorBidi"/>
            </w:rPr>
          </w:pPr>
          <w:hyperlink w:anchor="_Toc460513879" w:history="1">
            <w:r w:rsidR="00B14A18" w:rsidRPr="00EA6AD3">
              <w:rPr>
                <w:rStyle w:val="Hyperlink"/>
              </w:rPr>
              <w:t>Approach Taken to the Evidence Assessment</w:t>
            </w:r>
            <w:r w:rsidR="00B14A18">
              <w:rPr>
                <w:webHidden/>
              </w:rPr>
              <w:tab/>
            </w:r>
            <w:r w:rsidR="00B14A18">
              <w:rPr>
                <w:webHidden/>
              </w:rPr>
              <w:fldChar w:fldCharType="begin"/>
            </w:r>
            <w:r w:rsidR="00B14A18">
              <w:rPr>
                <w:webHidden/>
              </w:rPr>
              <w:instrText xml:space="preserve"> PAGEREF _Toc460513879 \h </w:instrText>
            </w:r>
            <w:r w:rsidR="00B14A18">
              <w:rPr>
                <w:webHidden/>
              </w:rPr>
            </w:r>
            <w:r w:rsidR="00B14A18">
              <w:rPr>
                <w:webHidden/>
              </w:rPr>
              <w:fldChar w:fldCharType="separate"/>
            </w:r>
            <w:r w:rsidR="0029649D">
              <w:rPr>
                <w:webHidden/>
              </w:rPr>
              <w:t>6</w:t>
            </w:r>
            <w:r w:rsidR="00B14A18">
              <w:rPr>
                <w:webHidden/>
              </w:rPr>
              <w:fldChar w:fldCharType="end"/>
            </w:r>
          </w:hyperlink>
        </w:p>
        <w:p w14:paraId="76D8F3DA" w14:textId="77777777" w:rsidR="00B14A18" w:rsidRDefault="00DD0356">
          <w:pPr>
            <w:pStyle w:val="TOC3"/>
            <w:rPr>
              <w:rFonts w:asciiTheme="minorHAnsi" w:eastAsiaTheme="minorEastAsia" w:hAnsiTheme="minorHAnsi" w:cstheme="minorBidi"/>
            </w:rPr>
          </w:pPr>
          <w:hyperlink w:anchor="_Toc460513880" w:history="1">
            <w:r w:rsidR="00B14A18" w:rsidRPr="00EA6AD3">
              <w:rPr>
                <w:rStyle w:val="Hyperlink"/>
              </w:rPr>
              <w:t>Characteristics of the Evidence Base</w:t>
            </w:r>
            <w:r w:rsidR="00B14A18">
              <w:rPr>
                <w:webHidden/>
              </w:rPr>
              <w:tab/>
            </w:r>
            <w:r w:rsidR="00B14A18">
              <w:rPr>
                <w:webHidden/>
              </w:rPr>
              <w:fldChar w:fldCharType="begin"/>
            </w:r>
            <w:r w:rsidR="00B14A18">
              <w:rPr>
                <w:webHidden/>
              </w:rPr>
              <w:instrText xml:space="preserve"> PAGEREF _Toc460513880 \h </w:instrText>
            </w:r>
            <w:r w:rsidR="00B14A18">
              <w:rPr>
                <w:webHidden/>
              </w:rPr>
            </w:r>
            <w:r w:rsidR="00B14A18">
              <w:rPr>
                <w:webHidden/>
              </w:rPr>
              <w:fldChar w:fldCharType="separate"/>
            </w:r>
            <w:r w:rsidR="0029649D">
              <w:rPr>
                <w:webHidden/>
              </w:rPr>
              <w:t>6</w:t>
            </w:r>
            <w:r w:rsidR="00B14A18">
              <w:rPr>
                <w:webHidden/>
              </w:rPr>
              <w:fldChar w:fldCharType="end"/>
            </w:r>
          </w:hyperlink>
        </w:p>
        <w:p w14:paraId="7C0FD699" w14:textId="77777777" w:rsidR="00B14A18" w:rsidRDefault="00DD0356">
          <w:pPr>
            <w:pStyle w:val="TOC3"/>
            <w:rPr>
              <w:rFonts w:asciiTheme="minorHAnsi" w:eastAsiaTheme="minorEastAsia" w:hAnsiTheme="minorHAnsi" w:cstheme="minorBidi"/>
            </w:rPr>
          </w:pPr>
          <w:hyperlink w:anchor="_Toc460513881" w:history="1">
            <w:r w:rsidR="00B14A18" w:rsidRPr="00EA6AD3">
              <w:rPr>
                <w:rStyle w:val="Hyperlink"/>
              </w:rPr>
              <w:t>Results</w:t>
            </w:r>
            <w:r w:rsidR="00B14A18">
              <w:rPr>
                <w:webHidden/>
              </w:rPr>
              <w:tab/>
            </w:r>
            <w:r w:rsidR="00B14A18">
              <w:rPr>
                <w:webHidden/>
              </w:rPr>
              <w:fldChar w:fldCharType="begin"/>
            </w:r>
            <w:r w:rsidR="00B14A18">
              <w:rPr>
                <w:webHidden/>
              </w:rPr>
              <w:instrText xml:space="preserve"> PAGEREF _Toc460513881 \h </w:instrText>
            </w:r>
            <w:r w:rsidR="00B14A18">
              <w:rPr>
                <w:webHidden/>
              </w:rPr>
            </w:r>
            <w:r w:rsidR="00B14A18">
              <w:rPr>
                <w:webHidden/>
              </w:rPr>
              <w:fldChar w:fldCharType="separate"/>
            </w:r>
            <w:r w:rsidR="0029649D">
              <w:rPr>
                <w:webHidden/>
              </w:rPr>
              <w:t>7</w:t>
            </w:r>
            <w:r w:rsidR="00B14A18">
              <w:rPr>
                <w:webHidden/>
              </w:rPr>
              <w:fldChar w:fldCharType="end"/>
            </w:r>
          </w:hyperlink>
        </w:p>
        <w:p w14:paraId="06A894B6" w14:textId="77777777" w:rsidR="00B14A18" w:rsidRDefault="00DD0356">
          <w:pPr>
            <w:pStyle w:val="TOC3"/>
            <w:rPr>
              <w:rFonts w:asciiTheme="minorHAnsi" w:eastAsiaTheme="minorEastAsia" w:hAnsiTheme="minorHAnsi" w:cstheme="minorBidi"/>
            </w:rPr>
          </w:pPr>
          <w:hyperlink w:anchor="_Toc460513882" w:history="1">
            <w:r w:rsidR="00B14A18" w:rsidRPr="00EA6AD3">
              <w:rPr>
                <w:rStyle w:val="Hyperlink"/>
              </w:rPr>
              <w:t>Translation Issues</w:t>
            </w:r>
            <w:r w:rsidR="00B14A18">
              <w:rPr>
                <w:webHidden/>
              </w:rPr>
              <w:tab/>
            </w:r>
            <w:r w:rsidR="00B14A18">
              <w:rPr>
                <w:webHidden/>
              </w:rPr>
              <w:fldChar w:fldCharType="begin"/>
            </w:r>
            <w:r w:rsidR="00B14A18">
              <w:rPr>
                <w:webHidden/>
              </w:rPr>
              <w:instrText xml:space="preserve"> PAGEREF _Toc460513882 \h </w:instrText>
            </w:r>
            <w:r w:rsidR="00B14A18">
              <w:rPr>
                <w:webHidden/>
              </w:rPr>
            </w:r>
            <w:r w:rsidR="00B14A18">
              <w:rPr>
                <w:webHidden/>
              </w:rPr>
              <w:fldChar w:fldCharType="separate"/>
            </w:r>
            <w:r w:rsidR="0029649D">
              <w:rPr>
                <w:webHidden/>
              </w:rPr>
              <w:t>15</w:t>
            </w:r>
            <w:r w:rsidR="00B14A18">
              <w:rPr>
                <w:webHidden/>
              </w:rPr>
              <w:fldChar w:fldCharType="end"/>
            </w:r>
          </w:hyperlink>
        </w:p>
        <w:p w14:paraId="0C5DB79A" w14:textId="77777777" w:rsidR="00B14A18" w:rsidRDefault="00DD0356">
          <w:pPr>
            <w:pStyle w:val="TOC3"/>
            <w:rPr>
              <w:rFonts w:asciiTheme="minorHAnsi" w:eastAsiaTheme="minorEastAsia" w:hAnsiTheme="minorHAnsi" w:cstheme="minorBidi"/>
            </w:rPr>
          </w:pPr>
          <w:hyperlink w:anchor="_Toc460513883" w:history="1">
            <w:r w:rsidR="00B14A18" w:rsidRPr="00EA6AD3">
              <w:rPr>
                <w:rStyle w:val="Hyperlink"/>
              </w:rPr>
              <w:t>Economic Evaluation</w:t>
            </w:r>
            <w:r w:rsidR="00B14A18">
              <w:rPr>
                <w:webHidden/>
              </w:rPr>
              <w:tab/>
            </w:r>
            <w:r w:rsidR="00B14A18">
              <w:rPr>
                <w:webHidden/>
              </w:rPr>
              <w:fldChar w:fldCharType="begin"/>
            </w:r>
            <w:r w:rsidR="00B14A18">
              <w:rPr>
                <w:webHidden/>
              </w:rPr>
              <w:instrText xml:space="preserve"> PAGEREF _Toc460513883 \h </w:instrText>
            </w:r>
            <w:r w:rsidR="00B14A18">
              <w:rPr>
                <w:webHidden/>
              </w:rPr>
            </w:r>
            <w:r w:rsidR="00B14A18">
              <w:rPr>
                <w:webHidden/>
              </w:rPr>
              <w:fldChar w:fldCharType="separate"/>
            </w:r>
            <w:r w:rsidR="0029649D">
              <w:rPr>
                <w:webHidden/>
              </w:rPr>
              <w:t>17</w:t>
            </w:r>
            <w:r w:rsidR="00B14A18">
              <w:rPr>
                <w:webHidden/>
              </w:rPr>
              <w:fldChar w:fldCharType="end"/>
            </w:r>
          </w:hyperlink>
        </w:p>
        <w:p w14:paraId="02594C3E" w14:textId="77777777" w:rsidR="00B14A18" w:rsidRDefault="00DD0356">
          <w:pPr>
            <w:pStyle w:val="TOC3"/>
            <w:rPr>
              <w:rFonts w:asciiTheme="minorHAnsi" w:eastAsiaTheme="minorEastAsia" w:hAnsiTheme="minorHAnsi" w:cstheme="minorBidi"/>
            </w:rPr>
          </w:pPr>
          <w:hyperlink w:anchor="_Toc460513884" w:history="1">
            <w:r w:rsidR="00B14A18" w:rsidRPr="00EA6AD3">
              <w:rPr>
                <w:rStyle w:val="Hyperlink"/>
              </w:rPr>
              <w:t>Estimated Extent of Use and Financial Implications</w:t>
            </w:r>
            <w:r w:rsidR="00B14A18">
              <w:rPr>
                <w:webHidden/>
              </w:rPr>
              <w:tab/>
            </w:r>
            <w:r w:rsidR="00B14A18">
              <w:rPr>
                <w:webHidden/>
              </w:rPr>
              <w:fldChar w:fldCharType="begin"/>
            </w:r>
            <w:r w:rsidR="00B14A18">
              <w:rPr>
                <w:webHidden/>
              </w:rPr>
              <w:instrText xml:space="preserve"> PAGEREF _Toc460513884 \h </w:instrText>
            </w:r>
            <w:r w:rsidR="00B14A18">
              <w:rPr>
                <w:webHidden/>
              </w:rPr>
            </w:r>
            <w:r w:rsidR="00B14A18">
              <w:rPr>
                <w:webHidden/>
              </w:rPr>
              <w:fldChar w:fldCharType="separate"/>
            </w:r>
            <w:r w:rsidR="0029649D">
              <w:rPr>
                <w:webHidden/>
              </w:rPr>
              <w:t>22</w:t>
            </w:r>
            <w:r w:rsidR="00B14A18">
              <w:rPr>
                <w:webHidden/>
              </w:rPr>
              <w:fldChar w:fldCharType="end"/>
            </w:r>
          </w:hyperlink>
        </w:p>
        <w:p w14:paraId="36CE89F7" w14:textId="77777777" w:rsidR="00B14A18" w:rsidRDefault="00DD0356">
          <w:pPr>
            <w:pStyle w:val="TOC1"/>
            <w:rPr>
              <w:rFonts w:asciiTheme="minorHAnsi" w:eastAsiaTheme="minorEastAsia" w:hAnsiTheme="minorHAnsi" w:cstheme="minorBidi"/>
              <w:b w:val="0"/>
            </w:rPr>
          </w:pPr>
          <w:hyperlink w:anchor="_Toc460513885" w:history="1">
            <w:r w:rsidR="00B14A18" w:rsidRPr="00EA6AD3">
              <w:rPr>
                <w:rStyle w:val="Hyperlink"/>
              </w:rPr>
              <w:t>Acronyms and Abbreviations</w:t>
            </w:r>
            <w:r w:rsidR="00B14A18">
              <w:rPr>
                <w:webHidden/>
              </w:rPr>
              <w:tab/>
            </w:r>
            <w:r w:rsidR="00B14A18">
              <w:rPr>
                <w:webHidden/>
              </w:rPr>
              <w:fldChar w:fldCharType="begin"/>
            </w:r>
            <w:r w:rsidR="00B14A18">
              <w:rPr>
                <w:webHidden/>
              </w:rPr>
              <w:instrText xml:space="preserve"> PAGEREF _Toc460513885 \h </w:instrText>
            </w:r>
            <w:r w:rsidR="00B14A18">
              <w:rPr>
                <w:webHidden/>
              </w:rPr>
            </w:r>
            <w:r w:rsidR="00B14A18">
              <w:rPr>
                <w:webHidden/>
              </w:rPr>
              <w:fldChar w:fldCharType="separate"/>
            </w:r>
            <w:r w:rsidR="0029649D">
              <w:rPr>
                <w:webHidden/>
              </w:rPr>
              <w:t>25</w:t>
            </w:r>
            <w:r w:rsidR="00B14A18">
              <w:rPr>
                <w:webHidden/>
              </w:rPr>
              <w:fldChar w:fldCharType="end"/>
            </w:r>
          </w:hyperlink>
        </w:p>
        <w:p w14:paraId="2C8F9F5A" w14:textId="77777777" w:rsidR="00B14A18" w:rsidRDefault="00DD0356">
          <w:pPr>
            <w:pStyle w:val="TOC1"/>
            <w:rPr>
              <w:rFonts w:asciiTheme="minorHAnsi" w:eastAsiaTheme="minorEastAsia" w:hAnsiTheme="minorHAnsi" w:cstheme="minorBidi"/>
              <w:b w:val="0"/>
            </w:rPr>
          </w:pPr>
          <w:hyperlink w:anchor="_Toc460513886" w:history="1">
            <w:r w:rsidR="00B14A18" w:rsidRPr="00EA6AD3">
              <w:rPr>
                <w:rStyle w:val="Hyperlink"/>
              </w:rPr>
              <w:t>Section A</w:t>
            </w:r>
            <w:r w:rsidR="00B14A18">
              <w:rPr>
                <w:rFonts w:asciiTheme="minorHAnsi" w:eastAsiaTheme="minorEastAsia" w:hAnsiTheme="minorHAnsi" w:cstheme="minorBidi"/>
                <w:b w:val="0"/>
              </w:rPr>
              <w:tab/>
            </w:r>
            <w:r w:rsidR="00B14A18" w:rsidRPr="00EA6AD3">
              <w:rPr>
                <w:rStyle w:val="Hyperlink"/>
              </w:rPr>
              <w:t>Context</w:t>
            </w:r>
            <w:r w:rsidR="00B14A18">
              <w:rPr>
                <w:webHidden/>
              </w:rPr>
              <w:tab/>
            </w:r>
            <w:r w:rsidR="00B14A18">
              <w:rPr>
                <w:webHidden/>
              </w:rPr>
              <w:fldChar w:fldCharType="begin"/>
            </w:r>
            <w:r w:rsidR="00B14A18">
              <w:rPr>
                <w:webHidden/>
              </w:rPr>
              <w:instrText xml:space="preserve"> PAGEREF _Toc460513886 \h </w:instrText>
            </w:r>
            <w:r w:rsidR="00B14A18">
              <w:rPr>
                <w:webHidden/>
              </w:rPr>
            </w:r>
            <w:r w:rsidR="00B14A18">
              <w:rPr>
                <w:webHidden/>
              </w:rPr>
              <w:fldChar w:fldCharType="separate"/>
            </w:r>
            <w:r w:rsidR="0029649D">
              <w:rPr>
                <w:webHidden/>
              </w:rPr>
              <w:t>28</w:t>
            </w:r>
            <w:r w:rsidR="00B14A18">
              <w:rPr>
                <w:webHidden/>
              </w:rPr>
              <w:fldChar w:fldCharType="end"/>
            </w:r>
          </w:hyperlink>
        </w:p>
        <w:p w14:paraId="1CE10947" w14:textId="77777777" w:rsidR="00B14A18" w:rsidRDefault="00DD0356">
          <w:pPr>
            <w:pStyle w:val="TOC2"/>
            <w:tabs>
              <w:tab w:val="left" w:pos="1418"/>
            </w:tabs>
            <w:rPr>
              <w:rFonts w:asciiTheme="minorHAnsi" w:eastAsiaTheme="minorEastAsia" w:hAnsiTheme="minorHAnsi" w:cstheme="minorBidi"/>
            </w:rPr>
          </w:pPr>
          <w:hyperlink w:anchor="_Toc460513887" w:history="1">
            <w:r w:rsidR="00B14A18" w:rsidRPr="00EA6AD3">
              <w:rPr>
                <w:rStyle w:val="Hyperlink"/>
              </w:rPr>
              <w:t>A1</w:t>
            </w:r>
            <w:r w:rsidR="00B14A18">
              <w:rPr>
                <w:rFonts w:asciiTheme="minorHAnsi" w:eastAsiaTheme="minorEastAsia" w:hAnsiTheme="minorHAnsi" w:cstheme="minorBidi"/>
              </w:rPr>
              <w:tab/>
            </w:r>
            <w:r w:rsidR="00B14A18" w:rsidRPr="00EA6AD3">
              <w:rPr>
                <w:rStyle w:val="Hyperlink"/>
              </w:rPr>
              <w:t>Items in the agreed protocol</w:t>
            </w:r>
            <w:r w:rsidR="00B14A18">
              <w:rPr>
                <w:webHidden/>
              </w:rPr>
              <w:tab/>
            </w:r>
            <w:r w:rsidR="00B14A18">
              <w:rPr>
                <w:webHidden/>
              </w:rPr>
              <w:fldChar w:fldCharType="begin"/>
            </w:r>
            <w:r w:rsidR="00B14A18">
              <w:rPr>
                <w:webHidden/>
              </w:rPr>
              <w:instrText xml:space="preserve"> PAGEREF _Toc460513887 \h </w:instrText>
            </w:r>
            <w:r w:rsidR="00B14A18">
              <w:rPr>
                <w:webHidden/>
              </w:rPr>
            </w:r>
            <w:r w:rsidR="00B14A18">
              <w:rPr>
                <w:webHidden/>
              </w:rPr>
              <w:fldChar w:fldCharType="separate"/>
            </w:r>
            <w:r w:rsidR="0029649D">
              <w:rPr>
                <w:webHidden/>
              </w:rPr>
              <w:t>28</w:t>
            </w:r>
            <w:r w:rsidR="00B14A18">
              <w:rPr>
                <w:webHidden/>
              </w:rPr>
              <w:fldChar w:fldCharType="end"/>
            </w:r>
          </w:hyperlink>
        </w:p>
        <w:p w14:paraId="002DAA82" w14:textId="77777777" w:rsidR="00B14A18" w:rsidRDefault="00DD0356">
          <w:pPr>
            <w:pStyle w:val="TOC2"/>
            <w:tabs>
              <w:tab w:val="left" w:pos="1418"/>
            </w:tabs>
            <w:rPr>
              <w:rFonts w:asciiTheme="minorHAnsi" w:eastAsiaTheme="minorEastAsia" w:hAnsiTheme="minorHAnsi" w:cstheme="minorBidi"/>
            </w:rPr>
          </w:pPr>
          <w:hyperlink w:anchor="_Toc460513888" w:history="1">
            <w:r w:rsidR="00B14A18" w:rsidRPr="00EA6AD3">
              <w:rPr>
                <w:rStyle w:val="Hyperlink"/>
              </w:rPr>
              <w:t>A2</w:t>
            </w:r>
            <w:r w:rsidR="00B14A18">
              <w:rPr>
                <w:rFonts w:asciiTheme="minorHAnsi" w:eastAsiaTheme="minorEastAsia" w:hAnsiTheme="minorHAnsi" w:cstheme="minorBidi"/>
              </w:rPr>
              <w:tab/>
            </w:r>
            <w:r w:rsidR="00B14A18" w:rsidRPr="00EA6AD3">
              <w:rPr>
                <w:rStyle w:val="Hyperlink"/>
              </w:rPr>
              <w:t>Proposed Medical Service</w:t>
            </w:r>
            <w:r w:rsidR="00B14A18">
              <w:rPr>
                <w:webHidden/>
              </w:rPr>
              <w:tab/>
            </w:r>
            <w:r w:rsidR="00B14A18">
              <w:rPr>
                <w:webHidden/>
              </w:rPr>
              <w:fldChar w:fldCharType="begin"/>
            </w:r>
            <w:r w:rsidR="00B14A18">
              <w:rPr>
                <w:webHidden/>
              </w:rPr>
              <w:instrText xml:space="preserve"> PAGEREF _Toc460513888 \h </w:instrText>
            </w:r>
            <w:r w:rsidR="00B14A18">
              <w:rPr>
                <w:webHidden/>
              </w:rPr>
            </w:r>
            <w:r w:rsidR="00B14A18">
              <w:rPr>
                <w:webHidden/>
              </w:rPr>
              <w:fldChar w:fldCharType="separate"/>
            </w:r>
            <w:r w:rsidR="0029649D">
              <w:rPr>
                <w:webHidden/>
              </w:rPr>
              <w:t>28</w:t>
            </w:r>
            <w:r w:rsidR="00B14A18">
              <w:rPr>
                <w:webHidden/>
              </w:rPr>
              <w:fldChar w:fldCharType="end"/>
            </w:r>
          </w:hyperlink>
        </w:p>
        <w:p w14:paraId="72F2FC2A" w14:textId="77777777" w:rsidR="00B14A18" w:rsidRDefault="00DD0356">
          <w:pPr>
            <w:pStyle w:val="TOC2"/>
            <w:tabs>
              <w:tab w:val="left" w:pos="1418"/>
            </w:tabs>
            <w:rPr>
              <w:rFonts w:asciiTheme="minorHAnsi" w:eastAsiaTheme="minorEastAsia" w:hAnsiTheme="minorHAnsi" w:cstheme="minorBidi"/>
            </w:rPr>
          </w:pPr>
          <w:hyperlink w:anchor="_Toc460513889" w:history="1">
            <w:r w:rsidR="00B14A18" w:rsidRPr="00EA6AD3">
              <w:rPr>
                <w:rStyle w:val="Hyperlink"/>
              </w:rPr>
              <w:t>A3</w:t>
            </w:r>
            <w:r w:rsidR="00B14A18">
              <w:rPr>
                <w:rFonts w:asciiTheme="minorHAnsi" w:eastAsiaTheme="minorEastAsia" w:hAnsiTheme="minorHAnsi" w:cstheme="minorBidi"/>
              </w:rPr>
              <w:tab/>
            </w:r>
            <w:r w:rsidR="00B14A18" w:rsidRPr="00EA6AD3">
              <w:rPr>
                <w:rStyle w:val="Hyperlink"/>
              </w:rPr>
              <w:t>Proposal for Public Funding</w:t>
            </w:r>
            <w:r w:rsidR="00B14A18">
              <w:rPr>
                <w:webHidden/>
              </w:rPr>
              <w:tab/>
            </w:r>
            <w:r w:rsidR="00B14A18">
              <w:rPr>
                <w:webHidden/>
              </w:rPr>
              <w:fldChar w:fldCharType="begin"/>
            </w:r>
            <w:r w:rsidR="00B14A18">
              <w:rPr>
                <w:webHidden/>
              </w:rPr>
              <w:instrText xml:space="preserve"> PAGEREF _Toc460513889 \h </w:instrText>
            </w:r>
            <w:r w:rsidR="00B14A18">
              <w:rPr>
                <w:webHidden/>
              </w:rPr>
            </w:r>
            <w:r w:rsidR="00B14A18">
              <w:rPr>
                <w:webHidden/>
              </w:rPr>
              <w:fldChar w:fldCharType="separate"/>
            </w:r>
            <w:r w:rsidR="0029649D">
              <w:rPr>
                <w:webHidden/>
              </w:rPr>
              <w:t>30</w:t>
            </w:r>
            <w:r w:rsidR="00B14A18">
              <w:rPr>
                <w:webHidden/>
              </w:rPr>
              <w:fldChar w:fldCharType="end"/>
            </w:r>
          </w:hyperlink>
        </w:p>
        <w:p w14:paraId="6EC0C746" w14:textId="77777777" w:rsidR="00B14A18" w:rsidRDefault="00DD0356">
          <w:pPr>
            <w:pStyle w:val="TOC2"/>
            <w:tabs>
              <w:tab w:val="left" w:pos="1418"/>
            </w:tabs>
            <w:rPr>
              <w:rFonts w:asciiTheme="minorHAnsi" w:eastAsiaTheme="minorEastAsia" w:hAnsiTheme="minorHAnsi" w:cstheme="minorBidi"/>
            </w:rPr>
          </w:pPr>
          <w:hyperlink w:anchor="_Toc460513890" w:history="1">
            <w:r w:rsidR="00B14A18" w:rsidRPr="00EA6AD3">
              <w:rPr>
                <w:rStyle w:val="Hyperlink"/>
              </w:rPr>
              <w:t>A4</w:t>
            </w:r>
            <w:r w:rsidR="00B14A18">
              <w:rPr>
                <w:rFonts w:asciiTheme="minorHAnsi" w:eastAsiaTheme="minorEastAsia" w:hAnsiTheme="minorHAnsi" w:cstheme="minorBidi"/>
              </w:rPr>
              <w:tab/>
            </w:r>
            <w:r w:rsidR="00B14A18" w:rsidRPr="00EA6AD3">
              <w:rPr>
                <w:rStyle w:val="Hyperlink"/>
              </w:rPr>
              <w:t>Proposed Population</w:t>
            </w:r>
            <w:r w:rsidR="00B14A18">
              <w:rPr>
                <w:webHidden/>
              </w:rPr>
              <w:tab/>
            </w:r>
            <w:r w:rsidR="00B14A18">
              <w:rPr>
                <w:webHidden/>
              </w:rPr>
              <w:fldChar w:fldCharType="begin"/>
            </w:r>
            <w:r w:rsidR="00B14A18">
              <w:rPr>
                <w:webHidden/>
              </w:rPr>
              <w:instrText xml:space="preserve"> PAGEREF _Toc460513890 \h </w:instrText>
            </w:r>
            <w:r w:rsidR="00B14A18">
              <w:rPr>
                <w:webHidden/>
              </w:rPr>
            </w:r>
            <w:r w:rsidR="00B14A18">
              <w:rPr>
                <w:webHidden/>
              </w:rPr>
              <w:fldChar w:fldCharType="separate"/>
            </w:r>
            <w:r w:rsidR="0029649D">
              <w:rPr>
                <w:webHidden/>
              </w:rPr>
              <w:t>30</w:t>
            </w:r>
            <w:r w:rsidR="00B14A18">
              <w:rPr>
                <w:webHidden/>
              </w:rPr>
              <w:fldChar w:fldCharType="end"/>
            </w:r>
          </w:hyperlink>
        </w:p>
        <w:p w14:paraId="74A9C5C8" w14:textId="77777777" w:rsidR="00B14A18" w:rsidRDefault="00DD0356">
          <w:pPr>
            <w:pStyle w:val="TOC2"/>
            <w:tabs>
              <w:tab w:val="left" w:pos="1540"/>
            </w:tabs>
            <w:rPr>
              <w:rFonts w:asciiTheme="minorHAnsi" w:eastAsiaTheme="minorEastAsia" w:hAnsiTheme="minorHAnsi" w:cstheme="minorBidi"/>
            </w:rPr>
          </w:pPr>
          <w:hyperlink w:anchor="_Toc460513891" w:history="1">
            <w:r w:rsidR="00B14A18" w:rsidRPr="00EA6AD3">
              <w:rPr>
                <w:rStyle w:val="Hyperlink"/>
              </w:rPr>
              <w:t>A4.1</w:t>
            </w:r>
            <w:r w:rsidR="00B14A18">
              <w:rPr>
                <w:rFonts w:asciiTheme="minorHAnsi" w:eastAsiaTheme="minorEastAsia" w:hAnsiTheme="minorHAnsi" w:cstheme="minorBidi"/>
              </w:rPr>
              <w:tab/>
            </w:r>
            <w:r w:rsidR="00B14A18" w:rsidRPr="00EA6AD3">
              <w:rPr>
                <w:rStyle w:val="Hyperlink"/>
              </w:rPr>
              <w:t xml:space="preserve"> Utilisation</w:t>
            </w:r>
            <w:r w:rsidR="00B14A18">
              <w:rPr>
                <w:webHidden/>
              </w:rPr>
              <w:tab/>
            </w:r>
            <w:r w:rsidR="00B14A18">
              <w:rPr>
                <w:webHidden/>
              </w:rPr>
              <w:fldChar w:fldCharType="begin"/>
            </w:r>
            <w:r w:rsidR="00B14A18">
              <w:rPr>
                <w:webHidden/>
              </w:rPr>
              <w:instrText xml:space="preserve"> PAGEREF _Toc460513891 \h </w:instrText>
            </w:r>
            <w:r w:rsidR="00B14A18">
              <w:rPr>
                <w:webHidden/>
              </w:rPr>
            </w:r>
            <w:r w:rsidR="00B14A18">
              <w:rPr>
                <w:webHidden/>
              </w:rPr>
              <w:fldChar w:fldCharType="separate"/>
            </w:r>
            <w:r w:rsidR="0029649D">
              <w:rPr>
                <w:webHidden/>
              </w:rPr>
              <w:t>31</w:t>
            </w:r>
            <w:r w:rsidR="00B14A18">
              <w:rPr>
                <w:webHidden/>
              </w:rPr>
              <w:fldChar w:fldCharType="end"/>
            </w:r>
          </w:hyperlink>
        </w:p>
        <w:p w14:paraId="30158584" w14:textId="77777777" w:rsidR="00B14A18" w:rsidRDefault="00DD0356">
          <w:pPr>
            <w:pStyle w:val="TOC3"/>
            <w:tabs>
              <w:tab w:val="left" w:pos="2211"/>
            </w:tabs>
            <w:rPr>
              <w:rFonts w:asciiTheme="minorHAnsi" w:eastAsiaTheme="minorEastAsia" w:hAnsiTheme="minorHAnsi" w:cstheme="minorBidi"/>
            </w:rPr>
          </w:pPr>
          <w:hyperlink w:anchor="_Toc460513892" w:history="1">
            <w:r w:rsidR="00B14A18" w:rsidRPr="00EA6AD3">
              <w:rPr>
                <w:rStyle w:val="Hyperlink"/>
              </w:rPr>
              <w:t>A4.1.1</w:t>
            </w:r>
            <w:r w:rsidR="00B14A18">
              <w:rPr>
                <w:rFonts w:asciiTheme="minorHAnsi" w:eastAsiaTheme="minorEastAsia" w:hAnsiTheme="minorHAnsi" w:cstheme="minorBidi"/>
              </w:rPr>
              <w:tab/>
            </w:r>
            <w:r w:rsidR="00B14A18" w:rsidRPr="00EA6AD3">
              <w:rPr>
                <w:rStyle w:val="Hyperlink"/>
              </w:rPr>
              <w:t>Men with suspected prostate cancer</w:t>
            </w:r>
            <w:r w:rsidR="00B14A18">
              <w:rPr>
                <w:webHidden/>
              </w:rPr>
              <w:tab/>
            </w:r>
            <w:r w:rsidR="00B14A18">
              <w:rPr>
                <w:webHidden/>
              </w:rPr>
              <w:fldChar w:fldCharType="begin"/>
            </w:r>
            <w:r w:rsidR="00B14A18">
              <w:rPr>
                <w:webHidden/>
              </w:rPr>
              <w:instrText xml:space="preserve"> PAGEREF _Toc460513892 \h </w:instrText>
            </w:r>
            <w:r w:rsidR="00B14A18">
              <w:rPr>
                <w:webHidden/>
              </w:rPr>
            </w:r>
            <w:r w:rsidR="00B14A18">
              <w:rPr>
                <w:webHidden/>
              </w:rPr>
              <w:fldChar w:fldCharType="separate"/>
            </w:r>
            <w:r w:rsidR="0029649D">
              <w:rPr>
                <w:webHidden/>
              </w:rPr>
              <w:t>31</w:t>
            </w:r>
            <w:r w:rsidR="00B14A18">
              <w:rPr>
                <w:webHidden/>
              </w:rPr>
              <w:fldChar w:fldCharType="end"/>
            </w:r>
          </w:hyperlink>
        </w:p>
        <w:p w14:paraId="44AFD62B" w14:textId="77777777" w:rsidR="00B14A18" w:rsidRDefault="00DD0356">
          <w:pPr>
            <w:pStyle w:val="TOC3"/>
            <w:tabs>
              <w:tab w:val="left" w:pos="2211"/>
            </w:tabs>
            <w:rPr>
              <w:rFonts w:asciiTheme="minorHAnsi" w:eastAsiaTheme="minorEastAsia" w:hAnsiTheme="minorHAnsi" w:cstheme="minorBidi"/>
            </w:rPr>
          </w:pPr>
          <w:hyperlink w:anchor="_Toc460513893" w:history="1">
            <w:r w:rsidR="00B14A18" w:rsidRPr="00EA6AD3">
              <w:rPr>
                <w:rStyle w:val="Hyperlink"/>
              </w:rPr>
              <w:t>A4.1.2</w:t>
            </w:r>
            <w:r w:rsidR="00B14A18">
              <w:rPr>
                <w:rFonts w:asciiTheme="minorHAnsi" w:eastAsiaTheme="minorEastAsia" w:hAnsiTheme="minorHAnsi" w:cstheme="minorBidi"/>
              </w:rPr>
              <w:tab/>
            </w:r>
            <w:r w:rsidR="00B14A18" w:rsidRPr="00EA6AD3">
              <w:rPr>
                <w:rStyle w:val="Hyperlink"/>
              </w:rPr>
              <w:t>Men diagnosed with low or intermediate risk prostate cancer undertaking active surveillance</w:t>
            </w:r>
            <w:r w:rsidR="00B14A18">
              <w:rPr>
                <w:webHidden/>
              </w:rPr>
              <w:tab/>
            </w:r>
            <w:r w:rsidR="00B14A18">
              <w:rPr>
                <w:webHidden/>
              </w:rPr>
              <w:fldChar w:fldCharType="begin"/>
            </w:r>
            <w:r w:rsidR="00B14A18">
              <w:rPr>
                <w:webHidden/>
              </w:rPr>
              <w:instrText xml:space="preserve"> PAGEREF _Toc460513893 \h </w:instrText>
            </w:r>
            <w:r w:rsidR="00B14A18">
              <w:rPr>
                <w:webHidden/>
              </w:rPr>
            </w:r>
            <w:r w:rsidR="00B14A18">
              <w:rPr>
                <w:webHidden/>
              </w:rPr>
              <w:fldChar w:fldCharType="separate"/>
            </w:r>
            <w:r w:rsidR="0029649D">
              <w:rPr>
                <w:webHidden/>
              </w:rPr>
              <w:t>31</w:t>
            </w:r>
            <w:r w:rsidR="00B14A18">
              <w:rPr>
                <w:webHidden/>
              </w:rPr>
              <w:fldChar w:fldCharType="end"/>
            </w:r>
          </w:hyperlink>
        </w:p>
        <w:p w14:paraId="28B818D2" w14:textId="77777777" w:rsidR="00B14A18" w:rsidRDefault="00DD0356">
          <w:pPr>
            <w:pStyle w:val="TOC3"/>
            <w:tabs>
              <w:tab w:val="left" w:pos="2044"/>
            </w:tabs>
            <w:rPr>
              <w:rFonts w:asciiTheme="minorHAnsi" w:eastAsiaTheme="minorEastAsia" w:hAnsiTheme="minorHAnsi" w:cstheme="minorBidi"/>
            </w:rPr>
          </w:pPr>
          <w:hyperlink w:anchor="_Toc460513894" w:history="1">
            <w:r w:rsidR="00B14A18" w:rsidRPr="00EA6AD3">
              <w:rPr>
                <w:rStyle w:val="Hyperlink"/>
              </w:rPr>
              <w:t>A4.2</w:t>
            </w:r>
            <w:r w:rsidR="00B14A18">
              <w:rPr>
                <w:rFonts w:asciiTheme="minorHAnsi" w:eastAsiaTheme="minorEastAsia" w:hAnsiTheme="minorHAnsi" w:cstheme="minorBidi"/>
              </w:rPr>
              <w:tab/>
            </w:r>
            <w:r w:rsidR="00B14A18" w:rsidRPr="00EA6AD3">
              <w:rPr>
                <w:rStyle w:val="Hyperlink"/>
              </w:rPr>
              <w:t xml:space="preserve"> Administration, dose, frequency of administration, duration of treatment</w:t>
            </w:r>
            <w:r w:rsidR="00B14A18">
              <w:rPr>
                <w:webHidden/>
              </w:rPr>
              <w:tab/>
            </w:r>
            <w:r w:rsidR="00B14A18">
              <w:rPr>
                <w:webHidden/>
              </w:rPr>
              <w:fldChar w:fldCharType="begin"/>
            </w:r>
            <w:r w:rsidR="00B14A18">
              <w:rPr>
                <w:webHidden/>
              </w:rPr>
              <w:instrText xml:space="preserve"> PAGEREF _Toc460513894 \h </w:instrText>
            </w:r>
            <w:r w:rsidR="00B14A18">
              <w:rPr>
                <w:webHidden/>
              </w:rPr>
            </w:r>
            <w:r w:rsidR="00B14A18">
              <w:rPr>
                <w:webHidden/>
              </w:rPr>
              <w:fldChar w:fldCharType="separate"/>
            </w:r>
            <w:r w:rsidR="0029649D">
              <w:rPr>
                <w:webHidden/>
              </w:rPr>
              <w:t>32</w:t>
            </w:r>
            <w:r w:rsidR="00B14A18">
              <w:rPr>
                <w:webHidden/>
              </w:rPr>
              <w:fldChar w:fldCharType="end"/>
            </w:r>
          </w:hyperlink>
        </w:p>
        <w:p w14:paraId="399D0B07" w14:textId="77777777" w:rsidR="00B14A18" w:rsidRDefault="00DD0356">
          <w:pPr>
            <w:pStyle w:val="TOC2"/>
            <w:tabs>
              <w:tab w:val="left" w:pos="1418"/>
            </w:tabs>
            <w:rPr>
              <w:rFonts w:asciiTheme="minorHAnsi" w:eastAsiaTheme="minorEastAsia" w:hAnsiTheme="minorHAnsi" w:cstheme="minorBidi"/>
            </w:rPr>
          </w:pPr>
          <w:hyperlink w:anchor="_Toc460513895" w:history="1">
            <w:r w:rsidR="00B14A18" w:rsidRPr="00EA6AD3">
              <w:rPr>
                <w:rStyle w:val="Hyperlink"/>
              </w:rPr>
              <w:t>A5</w:t>
            </w:r>
            <w:r w:rsidR="00B14A18">
              <w:rPr>
                <w:rFonts w:asciiTheme="minorHAnsi" w:eastAsiaTheme="minorEastAsia" w:hAnsiTheme="minorHAnsi" w:cstheme="minorBidi"/>
              </w:rPr>
              <w:tab/>
            </w:r>
            <w:r w:rsidR="00B14A18" w:rsidRPr="00EA6AD3">
              <w:rPr>
                <w:rStyle w:val="Hyperlink"/>
              </w:rPr>
              <w:t>Comparator Details</w:t>
            </w:r>
            <w:r w:rsidR="00B14A18">
              <w:rPr>
                <w:webHidden/>
              </w:rPr>
              <w:tab/>
            </w:r>
            <w:r w:rsidR="00B14A18">
              <w:rPr>
                <w:webHidden/>
              </w:rPr>
              <w:fldChar w:fldCharType="begin"/>
            </w:r>
            <w:r w:rsidR="00B14A18">
              <w:rPr>
                <w:webHidden/>
              </w:rPr>
              <w:instrText xml:space="preserve"> PAGEREF _Toc460513895 \h </w:instrText>
            </w:r>
            <w:r w:rsidR="00B14A18">
              <w:rPr>
                <w:webHidden/>
              </w:rPr>
            </w:r>
            <w:r w:rsidR="00B14A18">
              <w:rPr>
                <w:webHidden/>
              </w:rPr>
              <w:fldChar w:fldCharType="separate"/>
            </w:r>
            <w:r w:rsidR="0029649D">
              <w:rPr>
                <w:webHidden/>
              </w:rPr>
              <w:t>32</w:t>
            </w:r>
            <w:r w:rsidR="00B14A18">
              <w:rPr>
                <w:webHidden/>
              </w:rPr>
              <w:fldChar w:fldCharType="end"/>
            </w:r>
          </w:hyperlink>
        </w:p>
        <w:p w14:paraId="58BCE41B" w14:textId="77777777" w:rsidR="00B14A18" w:rsidRDefault="00DD0356">
          <w:pPr>
            <w:pStyle w:val="TOC2"/>
            <w:tabs>
              <w:tab w:val="left" w:pos="1418"/>
            </w:tabs>
            <w:rPr>
              <w:rFonts w:asciiTheme="minorHAnsi" w:eastAsiaTheme="minorEastAsia" w:hAnsiTheme="minorHAnsi" w:cstheme="minorBidi"/>
            </w:rPr>
          </w:pPr>
          <w:hyperlink w:anchor="_Toc460513896" w:history="1">
            <w:r w:rsidR="00B14A18" w:rsidRPr="00EA6AD3">
              <w:rPr>
                <w:rStyle w:val="Hyperlink"/>
              </w:rPr>
              <w:t>A6</w:t>
            </w:r>
            <w:r w:rsidR="00B14A18">
              <w:rPr>
                <w:rFonts w:asciiTheme="minorHAnsi" w:eastAsiaTheme="minorEastAsia" w:hAnsiTheme="minorHAnsi" w:cstheme="minorBidi"/>
              </w:rPr>
              <w:tab/>
            </w:r>
            <w:r w:rsidR="00B14A18" w:rsidRPr="00EA6AD3">
              <w:rPr>
                <w:rStyle w:val="Hyperlink"/>
              </w:rPr>
              <w:t>Clinical Management Algorithm(s)</w:t>
            </w:r>
            <w:r w:rsidR="00B14A18">
              <w:rPr>
                <w:webHidden/>
              </w:rPr>
              <w:tab/>
            </w:r>
            <w:r w:rsidR="00B14A18">
              <w:rPr>
                <w:webHidden/>
              </w:rPr>
              <w:fldChar w:fldCharType="begin"/>
            </w:r>
            <w:r w:rsidR="00B14A18">
              <w:rPr>
                <w:webHidden/>
              </w:rPr>
              <w:instrText xml:space="preserve"> PAGEREF _Toc460513896 \h </w:instrText>
            </w:r>
            <w:r w:rsidR="00B14A18">
              <w:rPr>
                <w:webHidden/>
              </w:rPr>
            </w:r>
            <w:r w:rsidR="00B14A18">
              <w:rPr>
                <w:webHidden/>
              </w:rPr>
              <w:fldChar w:fldCharType="separate"/>
            </w:r>
            <w:r w:rsidR="0029649D">
              <w:rPr>
                <w:webHidden/>
              </w:rPr>
              <w:t>35</w:t>
            </w:r>
            <w:r w:rsidR="00B14A18">
              <w:rPr>
                <w:webHidden/>
              </w:rPr>
              <w:fldChar w:fldCharType="end"/>
            </w:r>
          </w:hyperlink>
        </w:p>
        <w:p w14:paraId="6187D478" w14:textId="77777777" w:rsidR="00B14A18" w:rsidRDefault="00DD0356">
          <w:pPr>
            <w:pStyle w:val="TOC2"/>
            <w:tabs>
              <w:tab w:val="left" w:pos="1418"/>
            </w:tabs>
            <w:rPr>
              <w:rFonts w:asciiTheme="minorHAnsi" w:eastAsiaTheme="minorEastAsia" w:hAnsiTheme="minorHAnsi" w:cstheme="minorBidi"/>
            </w:rPr>
          </w:pPr>
          <w:hyperlink w:anchor="_Toc460513897" w:history="1">
            <w:r w:rsidR="00B14A18" w:rsidRPr="00EA6AD3">
              <w:rPr>
                <w:rStyle w:val="Hyperlink"/>
              </w:rPr>
              <w:t>A7</w:t>
            </w:r>
            <w:r w:rsidR="00B14A18">
              <w:rPr>
                <w:rFonts w:asciiTheme="minorHAnsi" w:eastAsiaTheme="minorEastAsia" w:hAnsiTheme="minorHAnsi" w:cstheme="minorBidi"/>
              </w:rPr>
              <w:tab/>
            </w:r>
            <w:r w:rsidR="00B14A18" w:rsidRPr="00EA6AD3">
              <w:rPr>
                <w:rStyle w:val="Hyperlink"/>
              </w:rPr>
              <w:t>Key Differences in the Proposed Medical Service and the Main Comparator</w:t>
            </w:r>
            <w:r w:rsidR="00B14A18">
              <w:rPr>
                <w:webHidden/>
              </w:rPr>
              <w:tab/>
            </w:r>
            <w:r w:rsidR="00B14A18">
              <w:rPr>
                <w:webHidden/>
              </w:rPr>
              <w:fldChar w:fldCharType="begin"/>
            </w:r>
            <w:r w:rsidR="00B14A18">
              <w:rPr>
                <w:webHidden/>
              </w:rPr>
              <w:instrText xml:space="preserve"> PAGEREF _Toc460513897 \h </w:instrText>
            </w:r>
            <w:r w:rsidR="00B14A18">
              <w:rPr>
                <w:webHidden/>
              </w:rPr>
            </w:r>
            <w:r w:rsidR="00B14A18">
              <w:rPr>
                <w:webHidden/>
              </w:rPr>
              <w:fldChar w:fldCharType="separate"/>
            </w:r>
            <w:r w:rsidR="0029649D">
              <w:rPr>
                <w:webHidden/>
              </w:rPr>
              <w:t>39</w:t>
            </w:r>
            <w:r w:rsidR="00B14A18">
              <w:rPr>
                <w:webHidden/>
              </w:rPr>
              <w:fldChar w:fldCharType="end"/>
            </w:r>
          </w:hyperlink>
        </w:p>
        <w:p w14:paraId="32EEF8AE" w14:textId="77777777" w:rsidR="00B14A18" w:rsidRDefault="00DD0356">
          <w:pPr>
            <w:pStyle w:val="TOC2"/>
            <w:tabs>
              <w:tab w:val="left" w:pos="1418"/>
            </w:tabs>
            <w:rPr>
              <w:rFonts w:asciiTheme="minorHAnsi" w:eastAsiaTheme="minorEastAsia" w:hAnsiTheme="minorHAnsi" w:cstheme="minorBidi"/>
            </w:rPr>
          </w:pPr>
          <w:hyperlink w:anchor="_Toc460513898" w:history="1">
            <w:r w:rsidR="00B14A18" w:rsidRPr="00EA6AD3">
              <w:rPr>
                <w:rStyle w:val="Hyperlink"/>
              </w:rPr>
              <w:t>A8</w:t>
            </w:r>
            <w:r w:rsidR="00B14A18">
              <w:rPr>
                <w:rFonts w:asciiTheme="minorHAnsi" w:eastAsiaTheme="minorEastAsia" w:hAnsiTheme="minorHAnsi" w:cstheme="minorBidi"/>
              </w:rPr>
              <w:tab/>
            </w:r>
            <w:r w:rsidR="00B14A18" w:rsidRPr="00EA6AD3">
              <w:rPr>
                <w:rStyle w:val="Hyperlink"/>
              </w:rPr>
              <w:t>Clinical Claim</w:t>
            </w:r>
            <w:r w:rsidR="00B14A18">
              <w:rPr>
                <w:webHidden/>
              </w:rPr>
              <w:tab/>
            </w:r>
            <w:r w:rsidR="00B14A18">
              <w:rPr>
                <w:webHidden/>
              </w:rPr>
              <w:fldChar w:fldCharType="begin"/>
            </w:r>
            <w:r w:rsidR="00B14A18">
              <w:rPr>
                <w:webHidden/>
              </w:rPr>
              <w:instrText xml:space="preserve"> PAGEREF _Toc460513898 \h </w:instrText>
            </w:r>
            <w:r w:rsidR="00B14A18">
              <w:rPr>
                <w:webHidden/>
              </w:rPr>
            </w:r>
            <w:r w:rsidR="00B14A18">
              <w:rPr>
                <w:webHidden/>
              </w:rPr>
              <w:fldChar w:fldCharType="separate"/>
            </w:r>
            <w:r w:rsidR="0029649D">
              <w:rPr>
                <w:webHidden/>
              </w:rPr>
              <w:t>40</w:t>
            </w:r>
            <w:r w:rsidR="00B14A18">
              <w:rPr>
                <w:webHidden/>
              </w:rPr>
              <w:fldChar w:fldCharType="end"/>
            </w:r>
          </w:hyperlink>
        </w:p>
        <w:p w14:paraId="14C6F312" w14:textId="77777777" w:rsidR="00B14A18" w:rsidRDefault="00DD0356">
          <w:pPr>
            <w:pStyle w:val="TOC2"/>
            <w:tabs>
              <w:tab w:val="left" w:pos="1418"/>
            </w:tabs>
            <w:rPr>
              <w:rFonts w:asciiTheme="minorHAnsi" w:eastAsiaTheme="minorEastAsia" w:hAnsiTheme="minorHAnsi" w:cstheme="minorBidi"/>
            </w:rPr>
          </w:pPr>
          <w:hyperlink w:anchor="_Toc460513899" w:history="1">
            <w:r w:rsidR="00B14A18" w:rsidRPr="00EA6AD3">
              <w:rPr>
                <w:rStyle w:val="Hyperlink"/>
              </w:rPr>
              <w:t>A9</w:t>
            </w:r>
            <w:r w:rsidR="00B14A18">
              <w:rPr>
                <w:rFonts w:asciiTheme="minorHAnsi" w:eastAsiaTheme="minorEastAsia" w:hAnsiTheme="minorHAnsi" w:cstheme="minorBidi"/>
              </w:rPr>
              <w:tab/>
            </w:r>
            <w:r w:rsidR="00B14A18" w:rsidRPr="00EA6AD3">
              <w:rPr>
                <w:rStyle w:val="Hyperlink"/>
              </w:rPr>
              <w:t>Summary of the PICO</w:t>
            </w:r>
            <w:r w:rsidR="00B14A18">
              <w:rPr>
                <w:webHidden/>
              </w:rPr>
              <w:tab/>
            </w:r>
            <w:r w:rsidR="00B14A18">
              <w:rPr>
                <w:webHidden/>
              </w:rPr>
              <w:fldChar w:fldCharType="begin"/>
            </w:r>
            <w:r w:rsidR="00B14A18">
              <w:rPr>
                <w:webHidden/>
              </w:rPr>
              <w:instrText xml:space="preserve"> PAGEREF _Toc460513899 \h </w:instrText>
            </w:r>
            <w:r w:rsidR="00B14A18">
              <w:rPr>
                <w:webHidden/>
              </w:rPr>
            </w:r>
            <w:r w:rsidR="00B14A18">
              <w:rPr>
                <w:webHidden/>
              </w:rPr>
              <w:fldChar w:fldCharType="separate"/>
            </w:r>
            <w:r w:rsidR="0029649D">
              <w:rPr>
                <w:webHidden/>
              </w:rPr>
              <w:t>41</w:t>
            </w:r>
            <w:r w:rsidR="00B14A18">
              <w:rPr>
                <w:webHidden/>
              </w:rPr>
              <w:fldChar w:fldCharType="end"/>
            </w:r>
          </w:hyperlink>
        </w:p>
        <w:p w14:paraId="2F67B46F" w14:textId="77777777" w:rsidR="00B14A18" w:rsidRDefault="00DD0356">
          <w:pPr>
            <w:pStyle w:val="TOC2"/>
            <w:tabs>
              <w:tab w:val="left" w:pos="1540"/>
            </w:tabs>
            <w:rPr>
              <w:rFonts w:asciiTheme="minorHAnsi" w:eastAsiaTheme="minorEastAsia" w:hAnsiTheme="minorHAnsi" w:cstheme="minorBidi"/>
            </w:rPr>
          </w:pPr>
          <w:hyperlink w:anchor="_Toc460513900" w:history="1">
            <w:r w:rsidR="00B14A18" w:rsidRPr="00EA6AD3">
              <w:rPr>
                <w:rStyle w:val="Hyperlink"/>
              </w:rPr>
              <w:t>A10</w:t>
            </w:r>
            <w:r w:rsidR="00B14A18">
              <w:rPr>
                <w:rFonts w:asciiTheme="minorHAnsi" w:eastAsiaTheme="minorEastAsia" w:hAnsiTheme="minorHAnsi" w:cstheme="minorBidi"/>
              </w:rPr>
              <w:tab/>
            </w:r>
            <w:r w:rsidR="00B14A18" w:rsidRPr="00EA6AD3">
              <w:rPr>
                <w:rStyle w:val="Hyperlink"/>
              </w:rPr>
              <w:t>Consumer impact statement</w:t>
            </w:r>
            <w:r w:rsidR="00B14A18">
              <w:rPr>
                <w:webHidden/>
              </w:rPr>
              <w:tab/>
            </w:r>
            <w:r w:rsidR="00B14A18">
              <w:rPr>
                <w:webHidden/>
              </w:rPr>
              <w:fldChar w:fldCharType="begin"/>
            </w:r>
            <w:r w:rsidR="00B14A18">
              <w:rPr>
                <w:webHidden/>
              </w:rPr>
              <w:instrText xml:space="preserve"> PAGEREF _Toc460513900 \h </w:instrText>
            </w:r>
            <w:r w:rsidR="00B14A18">
              <w:rPr>
                <w:webHidden/>
              </w:rPr>
            </w:r>
            <w:r w:rsidR="00B14A18">
              <w:rPr>
                <w:webHidden/>
              </w:rPr>
              <w:fldChar w:fldCharType="separate"/>
            </w:r>
            <w:r w:rsidR="0029649D">
              <w:rPr>
                <w:webHidden/>
              </w:rPr>
              <w:t>44</w:t>
            </w:r>
            <w:r w:rsidR="00B14A18">
              <w:rPr>
                <w:webHidden/>
              </w:rPr>
              <w:fldChar w:fldCharType="end"/>
            </w:r>
          </w:hyperlink>
        </w:p>
        <w:p w14:paraId="3881D753" w14:textId="77777777" w:rsidR="00B14A18" w:rsidRDefault="00DD0356">
          <w:pPr>
            <w:pStyle w:val="TOC1"/>
            <w:rPr>
              <w:rFonts w:asciiTheme="minorHAnsi" w:eastAsiaTheme="minorEastAsia" w:hAnsiTheme="minorHAnsi" w:cstheme="minorBidi"/>
              <w:b w:val="0"/>
            </w:rPr>
          </w:pPr>
          <w:hyperlink w:anchor="_Toc460513901" w:history="1">
            <w:r w:rsidR="00B14A18" w:rsidRPr="00EA6AD3">
              <w:rPr>
                <w:rStyle w:val="Hyperlink"/>
              </w:rPr>
              <w:t>Section B</w:t>
            </w:r>
            <w:r w:rsidR="00B14A18">
              <w:rPr>
                <w:rFonts w:asciiTheme="minorHAnsi" w:eastAsiaTheme="minorEastAsia" w:hAnsiTheme="minorHAnsi" w:cstheme="minorBidi"/>
                <w:b w:val="0"/>
              </w:rPr>
              <w:tab/>
            </w:r>
            <w:r w:rsidR="00B14A18" w:rsidRPr="00EA6AD3">
              <w:rPr>
                <w:rStyle w:val="Hyperlink"/>
              </w:rPr>
              <w:t>Clinical Evaluation</w:t>
            </w:r>
            <w:r w:rsidR="00B14A18">
              <w:rPr>
                <w:webHidden/>
              </w:rPr>
              <w:tab/>
            </w:r>
            <w:r w:rsidR="00B14A18">
              <w:rPr>
                <w:webHidden/>
              </w:rPr>
              <w:fldChar w:fldCharType="begin"/>
            </w:r>
            <w:r w:rsidR="00B14A18">
              <w:rPr>
                <w:webHidden/>
              </w:rPr>
              <w:instrText xml:space="preserve"> PAGEREF _Toc460513901 \h </w:instrText>
            </w:r>
            <w:r w:rsidR="00B14A18">
              <w:rPr>
                <w:webHidden/>
              </w:rPr>
            </w:r>
            <w:r w:rsidR="00B14A18">
              <w:rPr>
                <w:webHidden/>
              </w:rPr>
              <w:fldChar w:fldCharType="separate"/>
            </w:r>
            <w:r w:rsidR="0029649D">
              <w:rPr>
                <w:webHidden/>
              </w:rPr>
              <w:t>45</w:t>
            </w:r>
            <w:r w:rsidR="00B14A18">
              <w:rPr>
                <w:webHidden/>
              </w:rPr>
              <w:fldChar w:fldCharType="end"/>
            </w:r>
          </w:hyperlink>
        </w:p>
        <w:p w14:paraId="682E4C30" w14:textId="77777777" w:rsidR="00B14A18" w:rsidRDefault="00DD0356">
          <w:pPr>
            <w:pStyle w:val="TOC1"/>
            <w:rPr>
              <w:rFonts w:asciiTheme="minorHAnsi" w:eastAsiaTheme="minorEastAsia" w:hAnsiTheme="minorHAnsi" w:cstheme="minorBidi"/>
              <w:b w:val="0"/>
            </w:rPr>
          </w:pPr>
          <w:hyperlink w:anchor="_Toc460513902" w:history="1">
            <w:r w:rsidR="00B14A18" w:rsidRPr="00EA6AD3">
              <w:rPr>
                <w:rStyle w:val="Hyperlink"/>
              </w:rPr>
              <w:t>B1</w:t>
            </w:r>
            <w:r w:rsidR="00B14A18">
              <w:rPr>
                <w:rFonts w:asciiTheme="minorHAnsi" w:eastAsiaTheme="minorEastAsia" w:hAnsiTheme="minorHAnsi" w:cstheme="minorBidi"/>
                <w:b w:val="0"/>
              </w:rPr>
              <w:tab/>
            </w:r>
            <w:r w:rsidR="00B14A18" w:rsidRPr="00EA6AD3">
              <w:rPr>
                <w:rStyle w:val="Hyperlink"/>
              </w:rPr>
              <w:t>Direct Evidence</w:t>
            </w:r>
            <w:r w:rsidR="00B14A18">
              <w:rPr>
                <w:webHidden/>
              </w:rPr>
              <w:tab/>
            </w:r>
            <w:r w:rsidR="00B14A18">
              <w:rPr>
                <w:webHidden/>
              </w:rPr>
              <w:fldChar w:fldCharType="begin"/>
            </w:r>
            <w:r w:rsidR="00B14A18">
              <w:rPr>
                <w:webHidden/>
              </w:rPr>
              <w:instrText xml:space="preserve"> PAGEREF _Toc460513902 \h </w:instrText>
            </w:r>
            <w:r w:rsidR="00B14A18">
              <w:rPr>
                <w:webHidden/>
              </w:rPr>
            </w:r>
            <w:r w:rsidR="00B14A18">
              <w:rPr>
                <w:webHidden/>
              </w:rPr>
              <w:fldChar w:fldCharType="separate"/>
            </w:r>
            <w:r w:rsidR="0029649D">
              <w:rPr>
                <w:webHidden/>
              </w:rPr>
              <w:t>46</w:t>
            </w:r>
            <w:r w:rsidR="00B14A18">
              <w:rPr>
                <w:webHidden/>
              </w:rPr>
              <w:fldChar w:fldCharType="end"/>
            </w:r>
          </w:hyperlink>
        </w:p>
        <w:p w14:paraId="532DC0C0" w14:textId="6E2B77AE" w:rsidR="00B14A18" w:rsidRDefault="00DD0356">
          <w:pPr>
            <w:pStyle w:val="TOC2"/>
            <w:tabs>
              <w:tab w:val="left" w:pos="1540"/>
            </w:tabs>
            <w:rPr>
              <w:rFonts w:asciiTheme="minorHAnsi" w:eastAsiaTheme="minorEastAsia" w:hAnsiTheme="minorHAnsi" w:cstheme="minorBidi"/>
            </w:rPr>
          </w:pPr>
          <w:hyperlink w:anchor="_Toc460513903" w:history="1">
            <w:r w:rsidR="00B14A18" w:rsidRPr="00EA6AD3">
              <w:rPr>
                <w:rStyle w:val="Hyperlink"/>
              </w:rPr>
              <w:t>B1.1</w:t>
            </w:r>
            <w:r w:rsidR="00B14A18">
              <w:rPr>
                <w:rFonts w:asciiTheme="minorHAnsi" w:eastAsiaTheme="minorEastAsia" w:hAnsiTheme="minorHAnsi" w:cstheme="minorBidi"/>
              </w:rPr>
              <w:tab/>
            </w:r>
            <w:r w:rsidR="00B14A18" w:rsidRPr="00EA6AD3">
              <w:rPr>
                <w:rStyle w:val="Hyperlink"/>
              </w:rPr>
              <w:t>Literature Sources and Search Strategies: direct evidence (Populations 1 and 2)</w:t>
            </w:r>
            <w:r w:rsidR="00B14A18">
              <w:rPr>
                <w:webHidden/>
              </w:rPr>
              <w:tab/>
            </w:r>
            <w:r w:rsidR="00B14A18">
              <w:rPr>
                <w:webHidden/>
              </w:rPr>
              <w:tab/>
            </w:r>
            <w:r w:rsidR="00B14A18">
              <w:rPr>
                <w:webHidden/>
              </w:rPr>
              <w:fldChar w:fldCharType="begin"/>
            </w:r>
            <w:r w:rsidR="00B14A18">
              <w:rPr>
                <w:webHidden/>
              </w:rPr>
              <w:instrText xml:space="preserve"> PAGEREF _Toc460513903 \h </w:instrText>
            </w:r>
            <w:r w:rsidR="00B14A18">
              <w:rPr>
                <w:webHidden/>
              </w:rPr>
            </w:r>
            <w:r w:rsidR="00B14A18">
              <w:rPr>
                <w:webHidden/>
              </w:rPr>
              <w:fldChar w:fldCharType="separate"/>
            </w:r>
            <w:r w:rsidR="0029649D">
              <w:rPr>
                <w:webHidden/>
              </w:rPr>
              <w:t>46</w:t>
            </w:r>
            <w:r w:rsidR="00B14A18">
              <w:rPr>
                <w:webHidden/>
              </w:rPr>
              <w:fldChar w:fldCharType="end"/>
            </w:r>
          </w:hyperlink>
        </w:p>
        <w:p w14:paraId="1D48747F" w14:textId="77777777" w:rsidR="00B14A18" w:rsidRDefault="00DD0356">
          <w:pPr>
            <w:pStyle w:val="TOC2"/>
            <w:tabs>
              <w:tab w:val="left" w:pos="1540"/>
            </w:tabs>
            <w:rPr>
              <w:rFonts w:asciiTheme="minorHAnsi" w:eastAsiaTheme="minorEastAsia" w:hAnsiTheme="minorHAnsi" w:cstheme="minorBidi"/>
            </w:rPr>
          </w:pPr>
          <w:hyperlink w:anchor="_Toc460513904" w:history="1">
            <w:r w:rsidR="00B14A18" w:rsidRPr="00EA6AD3">
              <w:rPr>
                <w:rStyle w:val="Hyperlink"/>
              </w:rPr>
              <w:t>B1.2</w:t>
            </w:r>
            <w:r w:rsidR="00B14A18">
              <w:rPr>
                <w:rFonts w:asciiTheme="minorHAnsi" w:eastAsiaTheme="minorEastAsia" w:hAnsiTheme="minorHAnsi" w:cstheme="minorBidi"/>
              </w:rPr>
              <w:tab/>
            </w:r>
            <w:r w:rsidR="00B14A18" w:rsidRPr="00EA6AD3">
              <w:rPr>
                <w:rStyle w:val="Hyperlink"/>
              </w:rPr>
              <w:t>Results of Literature Search: direct evidence (Populations 1 and 2)</w:t>
            </w:r>
            <w:r w:rsidR="00B14A18">
              <w:rPr>
                <w:webHidden/>
              </w:rPr>
              <w:tab/>
            </w:r>
            <w:r w:rsidR="00B14A18">
              <w:rPr>
                <w:webHidden/>
              </w:rPr>
              <w:fldChar w:fldCharType="begin"/>
            </w:r>
            <w:r w:rsidR="00B14A18">
              <w:rPr>
                <w:webHidden/>
              </w:rPr>
              <w:instrText xml:space="preserve"> PAGEREF _Toc460513904 \h </w:instrText>
            </w:r>
            <w:r w:rsidR="00B14A18">
              <w:rPr>
                <w:webHidden/>
              </w:rPr>
            </w:r>
            <w:r w:rsidR="00B14A18">
              <w:rPr>
                <w:webHidden/>
              </w:rPr>
              <w:fldChar w:fldCharType="separate"/>
            </w:r>
            <w:r w:rsidR="0029649D">
              <w:rPr>
                <w:webHidden/>
              </w:rPr>
              <w:t>46</w:t>
            </w:r>
            <w:r w:rsidR="00B14A18">
              <w:rPr>
                <w:webHidden/>
              </w:rPr>
              <w:fldChar w:fldCharType="end"/>
            </w:r>
          </w:hyperlink>
        </w:p>
        <w:p w14:paraId="7FA9F171" w14:textId="77777777" w:rsidR="00B14A18" w:rsidRDefault="00DD0356">
          <w:pPr>
            <w:pStyle w:val="TOC1"/>
            <w:rPr>
              <w:rFonts w:asciiTheme="minorHAnsi" w:eastAsiaTheme="minorEastAsia" w:hAnsiTheme="minorHAnsi" w:cstheme="minorBidi"/>
              <w:b w:val="0"/>
            </w:rPr>
          </w:pPr>
          <w:hyperlink w:anchor="_Toc460513905" w:history="1">
            <w:r w:rsidR="00B14A18" w:rsidRPr="00EA6AD3">
              <w:rPr>
                <w:rStyle w:val="Hyperlink"/>
              </w:rPr>
              <w:t xml:space="preserve">B2 </w:t>
            </w:r>
            <w:r w:rsidR="00B14A18">
              <w:rPr>
                <w:rFonts w:asciiTheme="minorHAnsi" w:eastAsiaTheme="minorEastAsia" w:hAnsiTheme="minorHAnsi" w:cstheme="minorBidi"/>
                <w:b w:val="0"/>
              </w:rPr>
              <w:tab/>
            </w:r>
            <w:r w:rsidR="00B14A18" w:rsidRPr="00EA6AD3">
              <w:rPr>
                <w:rStyle w:val="Hyperlink"/>
              </w:rPr>
              <w:t>Linked evidence approach</w:t>
            </w:r>
            <w:r w:rsidR="00B14A18">
              <w:rPr>
                <w:webHidden/>
              </w:rPr>
              <w:tab/>
            </w:r>
            <w:r w:rsidR="00B14A18">
              <w:rPr>
                <w:webHidden/>
              </w:rPr>
              <w:fldChar w:fldCharType="begin"/>
            </w:r>
            <w:r w:rsidR="00B14A18">
              <w:rPr>
                <w:webHidden/>
              </w:rPr>
              <w:instrText xml:space="preserve"> PAGEREF _Toc460513905 \h </w:instrText>
            </w:r>
            <w:r w:rsidR="00B14A18">
              <w:rPr>
                <w:webHidden/>
              </w:rPr>
            </w:r>
            <w:r w:rsidR="00B14A18">
              <w:rPr>
                <w:webHidden/>
              </w:rPr>
              <w:fldChar w:fldCharType="separate"/>
            </w:r>
            <w:r w:rsidR="0029649D">
              <w:rPr>
                <w:webHidden/>
              </w:rPr>
              <w:t>48</w:t>
            </w:r>
            <w:r w:rsidR="00B14A18">
              <w:rPr>
                <w:webHidden/>
              </w:rPr>
              <w:fldChar w:fldCharType="end"/>
            </w:r>
          </w:hyperlink>
        </w:p>
        <w:p w14:paraId="35A07CEE" w14:textId="77777777" w:rsidR="00B14A18" w:rsidRDefault="00DD0356">
          <w:pPr>
            <w:pStyle w:val="TOC2"/>
            <w:tabs>
              <w:tab w:val="left" w:pos="1540"/>
            </w:tabs>
            <w:rPr>
              <w:rFonts w:asciiTheme="minorHAnsi" w:eastAsiaTheme="minorEastAsia" w:hAnsiTheme="minorHAnsi" w:cstheme="minorBidi"/>
            </w:rPr>
          </w:pPr>
          <w:hyperlink w:anchor="_Toc460513906" w:history="1">
            <w:r w:rsidR="00B14A18" w:rsidRPr="00EA6AD3">
              <w:rPr>
                <w:rStyle w:val="Hyperlink"/>
              </w:rPr>
              <w:t>B2.1</w:t>
            </w:r>
            <w:r w:rsidR="00B14A18">
              <w:rPr>
                <w:rFonts w:asciiTheme="minorHAnsi" w:eastAsiaTheme="minorEastAsia" w:hAnsiTheme="minorHAnsi" w:cstheme="minorBidi"/>
              </w:rPr>
              <w:tab/>
            </w:r>
            <w:r w:rsidR="00B14A18" w:rsidRPr="00EA6AD3">
              <w:rPr>
                <w:rStyle w:val="Hyperlink"/>
              </w:rPr>
              <w:t>Basis for linked evidence</w:t>
            </w:r>
            <w:r w:rsidR="00B14A18">
              <w:rPr>
                <w:webHidden/>
              </w:rPr>
              <w:tab/>
            </w:r>
            <w:r w:rsidR="00B14A18">
              <w:rPr>
                <w:webHidden/>
              </w:rPr>
              <w:fldChar w:fldCharType="begin"/>
            </w:r>
            <w:r w:rsidR="00B14A18">
              <w:rPr>
                <w:webHidden/>
              </w:rPr>
              <w:instrText xml:space="preserve"> PAGEREF _Toc460513906 \h </w:instrText>
            </w:r>
            <w:r w:rsidR="00B14A18">
              <w:rPr>
                <w:webHidden/>
              </w:rPr>
            </w:r>
            <w:r w:rsidR="00B14A18">
              <w:rPr>
                <w:webHidden/>
              </w:rPr>
              <w:fldChar w:fldCharType="separate"/>
            </w:r>
            <w:r w:rsidR="0029649D">
              <w:rPr>
                <w:webHidden/>
              </w:rPr>
              <w:t>48</w:t>
            </w:r>
            <w:r w:rsidR="00B14A18">
              <w:rPr>
                <w:webHidden/>
              </w:rPr>
              <w:fldChar w:fldCharType="end"/>
            </w:r>
          </w:hyperlink>
        </w:p>
        <w:p w14:paraId="68E57A1E" w14:textId="77777777" w:rsidR="00B14A18" w:rsidRDefault="00DD0356">
          <w:pPr>
            <w:pStyle w:val="TOC2"/>
            <w:tabs>
              <w:tab w:val="left" w:pos="1540"/>
            </w:tabs>
            <w:rPr>
              <w:rFonts w:asciiTheme="minorHAnsi" w:eastAsiaTheme="minorEastAsia" w:hAnsiTheme="minorHAnsi" w:cstheme="minorBidi"/>
            </w:rPr>
          </w:pPr>
          <w:hyperlink w:anchor="_Toc460513907" w:history="1">
            <w:r w:rsidR="00B14A18" w:rsidRPr="00EA6AD3">
              <w:rPr>
                <w:rStyle w:val="Hyperlink"/>
              </w:rPr>
              <w:t>B2.2</w:t>
            </w:r>
            <w:r w:rsidR="00B14A18">
              <w:rPr>
                <w:rFonts w:asciiTheme="minorHAnsi" w:eastAsiaTheme="minorEastAsia" w:hAnsiTheme="minorHAnsi" w:cstheme="minorBidi"/>
              </w:rPr>
              <w:tab/>
            </w:r>
            <w:r w:rsidR="00B14A18" w:rsidRPr="00EA6AD3">
              <w:rPr>
                <w:rStyle w:val="Hyperlink"/>
              </w:rPr>
              <w:t>Steps for linked analysis</w:t>
            </w:r>
            <w:r w:rsidR="00B14A18">
              <w:rPr>
                <w:webHidden/>
              </w:rPr>
              <w:tab/>
            </w:r>
            <w:r w:rsidR="00B14A18">
              <w:rPr>
                <w:webHidden/>
              </w:rPr>
              <w:fldChar w:fldCharType="begin"/>
            </w:r>
            <w:r w:rsidR="00B14A18">
              <w:rPr>
                <w:webHidden/>
              </w:rPr>
              <w:instrText xml:space="preserve"> PAGEREF _Toc460513907 \h </w:instrText>
            </w:r>
            <w:r w:rsidR="00B14A18">
              <w:rPr>
                <w:webHidden/>
              </w:rPr>
            </w:r>
            <w:r w:rsidR="00B14A18">
              <w:rPr>
                <w:webHidden/>
              </w:rPr>
              <w:fldChar w:fldCharType="separate"/>
            </w:r>
            <w:r w:rsidR="0029649D">
              <w:rPr>
                <w:webHidden/>
              </w:rPr>
              <w:t>48</w:t>
            </w:r>
            <w:r w:rsidR="00B14A18">
              <w:rPr>
                <w:webHidden/>
              </w:rPr>
              <w:fldChar w:fldCharType="end"/>
            </w:r>
          </w:hyperlink>
        </w:p>
        <w:p w14:paraId="468AD1ED" w14:textId="77777777" w:rsidR="00B14A18" w:rsidRDefault="00DD0356">
          <w:pPr>
            <w:pStyle w:val="TOC1"/>
            <w:rPr>
              <w:rFonts w:asciiTheme="minorHAnsi" w:eastAsiaTheme="minorEastAsia" w:hAnsiTheme="minorHAnsi" w:cstheme="minorBidi"/>
              <w:b w:val="0"/>
            </w:rPr>
          </w:pPr>
          <w:hyperlink w:anchor="_Toc460513908" w:history="1">
            <w:r w:rsidR="00B14A18" w:rsidRPr="00EA6AD3">
              <w:rPr>
                <w:rStyle w:val="Hyperlink"/>
              </w:rPr>
              <w:t xml:space="preserve">B3 </w:t>
            </w:r>
            <w:r w:rsidR="00B14A18">
              <w:rPr>
                <w:rFonts w:asciiTheme="minorHAnsi" w:eastAsiaTheme="minorEastAsia" w:hAnsiTheme="minorHAnsi" w:cstheme="minorBidi"/>
                <w:b w:val="0"/>
              </w:rPr>
              <w:tab/>
            </w:r>
            <w:r w:rsidR="00B14A18" w:rsidRPr="00EA6AD3">
              <w:rPr>
                <w:rStyle w:val="Hyperlink"/>
              </w:rPr>
              <w:t>Diagnostic performance</w:t>
            </w:r>
            <w:r w:rsidR="00B14A18">
              <w:rPr>
                <w:webHidden/>
              </w:rPr>
              <w:tab/>
            </w:r>
            <w:r w:rsidR="00B14A18">
              <w:rPr>
                <w:webHidden/>
              </w:rPr>
              <w:fldChar w:fldCharType="begin"/>
            </w:r>
            <w:r w:rsidR="00B14A18">
              <w:rPr>
                <w:webHidden/>
              </w:rPr>
              <w:instrText xml:space="preserve"> PAGEREF _Toc460513908 \h </w:instrText>
            </w:r>
            <w:r w:rsidR="00B14A18">
              <w:rPr>
                <w:webHidden/>
              </w:rPr>
            </w:r>
            <w:r w:rsidR="00B14A18">
              <w:rPr>
                <w:webHidden/>
              </w:rPr>
              <w:fldChar w:fldCharType="separate"/>
            </w:r>
            <w:r w:rsidR="0029649D">
              <w:rPr>
                <w:webHidden/>
              </w:rPr>
              <w:t>49</w:t>
            </w:r>
            <w:r w:rsidR="00B14A18">
              <w:rPr>
                <w:webHidden/>
              </w:rPr>
              <w:fldChar w:fldCharType="end"/>
            </w:r>
          </w:hyperlink>
        </w:p>
        <w:p w14:paraId="56A442B2" w14:textId="77777777" w:rsidR="00B14A18" w:rsidRDefault="00DD0356">
          <w:pPr>
            <w:pStyle w:val="TOC2"/>
            <w:tabs>
              <w:tab w:val="left" w:pos="1540"/>
            </w:tabs>
            <w:rPr>
              <w:rFonts w:asciiTheme="minorHAnsi" w:eastAsiaTheme="minorEastAsia" w:hAnsiTheme="minorHAnsi" w:cstheme="minorBidi"/>
            </w:rPr>
          </w:pPr>
          <w:hyperlink w:anchor="_Toc460513909" w:history="1">
            <w:r w:rsidR="00B14A18" w:rsidRPr="00EA6AD3">
              <w:rPr>
                <w:rStyle w:val="Hyperlink"/>
              </w:rPr>
              <w:t>B3.1</w:t>
            </w:r>
            <w:r w:rsidR="00B14A18">
              <w:rPr>
                <w:rFonts w:asciiTheme="minorHAnsi" w:eastAsiaTheme="minorEastAsia" w:hAnsiTheme="minorHAnsi" w:cstheme="minorBidi"/>
              </w:rPr>
              <w:tab/>
            </w:r>
            <w:r w:rsidR="00B14A18" w:rsidRPr="00EA6AD3">
              <w:rPr>
                <w:rStyle w:val="Hyperlink"/>
              </w:rPr>
              <w:t>Reference standard</w:t>
            </w:r>
            <w:r w:rsidR="00B14A18">
              <w:rPr>
                <w:webHidden/>
              </w:rPr>
              <w:tab/>
            </w:r>
            <w:r w:rsidR="00B14A18">
              <w:rPr>
                <w:webHidden/>
              </w:rPr>
              <w:fldChar w:fldCharType="begin"/>
            </w:r>
            <w:r w:rsidR="00B14A18">
              <w:rPr>
                <w:webHidden/>
              </w:rPr>
              <w:instrText xml:space="preserve"> PAGEREF _Toc460513909 \h </w:instrText>
            </w:r>
            <w:r w:rsidR="00B14A18">
              <w:rPr>
                <w:webHidden/>
              </w:rPr>
            </w:r>
            <w:r w:rsidR="00B14A18">
              <w:rPr>
                <w:webHidden/>
              </w:rPr>
              <w:fldChar w:fldCharType="separate"/>
            </w:r>
            <w:r w:rsidR="0029649D">
              <w:rPr>
                <w:webHidden/>
              </w:rPr>
              <w:t>49</w:t>
            </w:r>
            <w:r w:rsidR="00B14A18">
              <w:rPr>
                <w:webHidden/>
              </w:rPr>
              <w:fldChar w:fldCharType="end"/>
            </w:r>
          </w:hyperlink>
        </w:p>
        <w:p w14:paraId="769F7915" w14:textId="77777777" w:rsidR="00B14A18" w:rsidRDefault="00DD0356">
          <w:pPr>
            <w:pStyle w:val="TOC2"/>
            <w:tabs>
              <w:tab w:val="left" w:pos="1540"/>
            </w:tabs>
            <w:rPr>
              <w:rFonts w:asciiTheme="minorHAnsi" w:eastAsiaTheme="minorEastAsia" w:hAnsiTheme="minorHAnsi" w:cstheme="minorBidi"/>
            </w:rPr>
          </w:pPr>
          <w:hyperlink w:anchor="_Toc460513910" w:history="1">
            <w:r w:rsidR="00B14A18" w:rsidRPr="00EA6AD3">
              <w:rPr>
                <w:rStyle w:val="Hyperlink"/>
              </w:rPr>
              <w:t>B3.2</w:t>
            </w:r>
            <w:r w:rsidR="00B14A18">
              <w:rPr>
                <w:rFonts w:asciiTheme="minorHAnsi" w:eastAsiaTheme="minorEastAsia" w:hAnsiTheme="minorHAnsi" w:cstheme="minorBidi"/>
              </w:rPr>
              <w:tab/>
            </w:r>
            <w:r w:rsidR="00B14A18" w:rsidRPr="00EA6AD3">
              <w:rPr>
                <w:rStyle w:val="Hyperlink"/>
              </w:rPr>
              <w:t>Literature sources and search strategies: diagnostic accuracy (Population 1)</w:t>
            </w:r>
            <w:r w:rsidR="00B14A18">
              <w:rPr>
                <w:webHidden/>
              </w:rPr>
              <w:tab/>
            </w:r>
            <w:r w:rsidR="00B14A18">
              <w:rPr>
                <w:webHidden/>
              </w:rPr>
              <w:fldChar w:fldCharType="begin"/>
            </w:r>
            <w:r w:rsidR="00B14A18">
              <w:rPr>
                <w:webHidden/>
              </w:rPr>
              <w:instrText xml:space="preserve"> PAGEREF _Toc460513910 \h </w:instrText>
            </w:r>
            <w:r w:rsidR="00B14A18">
              <w:rPr>
                <w:webHidden/>
              </w:rPr>
            </w:r>
            <w:r w:rsidR="00B14A18">
              <w:rPr>
                <w:webHidden/>
              </w:rPr>
              <w:fldChar w:fldCharType="separate"/>
            </w:r>
            <w:r w:rsidR="0029649D">
              <w:rPr>
                <w:webHidden/>
              </w:rPr>
              <w:t>51</w:t>
            </w:r>
            <w:r w:rsidR="00B14A18">
              <w:rPr>
                <w:webHidden/>
              </w:rPr>
              <w:fldChar w:fldCharType="end"/>
            </w:r>
          </w:hyperlink>
        </w:p>
        <w:p w14:paraId="5EF51356" w14:textId="77777777" w:rsidR="00B14A18" w:rsidRDefault="00DD0356">
          <w:pPr>
            <w:pStyle w:val="TOC2"/>
            <w:tabs>
              <w:tab w:val="left" w:pos="1760"/>
            </w:tabs>
            <w:rPr>
              <w:rFonts w:asciiTheme="minorHAnsi" w:eastAsiaTheme="minorEastAsia" w:hAnsiTheme="minorHAnsi" w:cstheme="minorBidi"/>
            </w:rPr>
          </w:pPr>
          <w:hyperlink w:anchor="_Toc460513911" w:history="1">
            <w:r w:rsidR="00B14A18" w:rsidRPr="00EA6AD3">
              <w:rPr>
                <w:rStyle w:val="Hyperlink"/>
              </w:rPr>
              <w:t>B3.2.1</w:t>
            </w:r>
            <w:r w:rsidR="00B14A18">
              <w:rPr>
                <w:rFonts w:asciiTheme="minorHAnsi" w:eastAsiaTheme="minorEastAsia" w:hAnsiTheme="minorHAnsi" w:cstheme="minorBidi"/>
              </w:rPr>
              <w:tab/>
            </w:r>
            <w:r w:rsidR="00B14A18" w:rsidRPr="00EA6AD3">
              <w:rPr>
                <w:rStyle w:val="Hyperlink"/>
              </w:rPr>
              <w:t>Results of Literature Search: diagnostic accuracy (Population 1)</w:t>
            </w:r>
            <w:r w:rsidR="00B14A18">
              <w:rPr>
                <w:webHidden/>
              </w:rPr>
              <w:tab/>
            </w:r>
            <w:r w:rsidR="00B14A18">
              <w:rPr>
                <w:webHidden/>
              </w:rPr>
              <w:fldChar w:fldCharType="begin"/>
            </w:r>
            <w:r w:rsidR="00B14A18">
              <w:rPr>
                <w:webHidden/>
              </w:rPr>
              <w:instrText xml:space="preserve"> PAGEREF _Toc460513911 \h </w:instrText>
            </w:r>
            <w:r w:rsidR="00B14A18">
              <w:rPr>
                <w:webHidden/>
              </w:rPr>
            </w:r>
            <w:r w:rsidR="00B14A18">
              <w:rPr>
                <w:webHidden/>
              </w:rPr>
              <w:fldChar w:fldCharType="separate"/>
            </w:r>
            <w:r w:rsidR="0029649D">
              <w:rPr>
                <w:webHidden/>
              </w:rPr>
              <w:t>51</w:t>
            </w:r>
            <w:r w:rsidR="00B14A18">
              <w:rPr>
                <w:webHidden/>
              </w:rPr>
              <w:fldChar w:fldCharType="end"/>
            </w:r>
          </w:hyperlink>
        </w:p>
        <w:p w14:paraId="7AF3BC0E" w14:textId="77777777" w:rsidR="00B14A18" w:rsidRDefault="00DD0356">
          <w:pPr>
            <w:pStyle w:val="TOC2"/>
            <w:rPr>
              <w:rFonts w:asciiTheme="minorHAnsi" w:eastAsiaTheme="minorEastAsia" w:hAnsiTheme="minorHAnsi" w:cstheme="minorBidi"/>
            </w:rPr>
          </w:pPr>
          <w:hyperlink w:anchor="_Toc460513912" w:history="1">
            <w:r w:rsidR="00B14A18" w:rsidRPr="00EA6AD3">
              <w:rPr>
                <w:rStyle w:val="Hyperlink"/>
              </w:rPr>
              <w:t>Appraisal of the evidence</w:t>
            </w:r>
            <w:r w:rsidR="00B14A18">
              <w:rPr>
                <w:webHidden/>
              </w:rPr>
              <w:tab/>
            </w:r>
            <w:r w:rsidR="00B14A18">
              <w:rPr>
                <w:webHidden/>
              </w:rPr>
              <w:fldChar w:fldCharType="begin"/>
            </w:r>
            <w:r w:rsidR="00B14A18">
              <w:rPr>
                <w:webHidden/>
              </w:rPr>
              <w:instrText xml:space="preserve"> PAGEREF _Toc460513912 \h </w:instrText>
            </w:r>
            <w:r w:rsidR="00B14A18">
              <w:rPr>
                <w:webHidden/>
              </w:rPr>
            </w:r>
            <w:r w:rsidR="00B14A18">
              <w:rPr>
                <w:webHidden/>
              </w:rPr>
              <w:fldChar w:fldCharType="separate"/>
            </w:r>
            <w:r w:rsidR="0029649D">
              <w:rPr>
                <w:webHidden/>
              </w:rPr>
              <w:t>54</w:t>
            </w:r>
            <w:r w:rsidR="00B14A18">
              <w:rPr>
                <w:webHidden/>
              </w:rPr>
              <w:fldChar w:fldCharType="end"/>
            </w:r>
          </w:hyperlink>
        </w:p>
        <w:p w14:paraId="738261EA" w14:textId="77777777" w:rsidR="00B14A18" w:rsidRDefault="00DD0356">
          <w:pPr>
            <w:pStyle w:val="TOC2"/>
            <w:tabs>
              <w:tab w:val="left" w:pos="1540"/>
            </w:tabs>
            <w:rPr>
              <w:rFonts w:asciiTheme="minorHAnsi" w:eastAsiaTheme="minorEastAsia" w:hAnsiTheme="minorHAnsi" w:cstheme="minorBidi"/>
            </w:rPr>
          </w:pPr>
          <w:hyperlink w:anchor="_Toc460513913" w:history="1">
            <w:r w:rsidR="00B14A18" w:rsidRPr="00EA6AD3">
              <w:rPr>
                <w:rStyle w:val="Hyperlink"/>
              </w:rPr>
              <w:t>B3.3</w:t>
            </w:r>
            <w:r w:rsidR="00B14A18">
              <w:rPr>
                <w:rFonts w:asciiTheme="minorHAnsi" w:eastAsiaTheme="minorEastAsia" w:hAnsiTheme="minorHAnsi" w:cstheme="minorBidi"/>
              </w:rPr>
              <w:tab/>
            </w:r>
            <w:r w:rsidR="00B14A18" w:rsidRPr="00EA6AD3">
              <w:rPr>
                <w:rStyle w:val="Hyperlink"/>
              </w:rPr>
              <w:t>Risk of Bias Assessment: diagnostic accuracy (Population 1)</w:t>
            </w:r>
            <w:r w:rsidR="00B14A18">
              <w:rPr>
                <w:webHidden/>
              </w:rPr>
              <w:tab/>
            </w:r>
            <w:r w:rsidR="00B14A18">
              <w:rPr>
                <w:webHidden/>
              </w:rPr>
              <w:fldChar w:fldCharType="begin"/>
            </w:r>
            <w:r w:rsidR="00B14A18">
              <w:rPr>
                <w:webHidden/>
              </w:rPr>
              <w:instrText xml:space="preserve"> PAGEREF _Toc460513913 \h </w:instrText>
            </w:r>
            <w:r w:rsidR="00B14A18">
              <w:rPr>
                <w:webHidden/>
              </w:rPr>
            </w:r>
            <w:r w:rsidR="00B14A18">
              <w:rPr>
                <w:webHidden/>
              </w:rPr>
              <w:fldChar w:fldCharType="separate"/>
            </w:r>
            <w:r w:rsidR="0029649D">
              <w:rPr>
                <w:webHidden/>
              </w:rPr>
              <w:t>54</w:t>
            </w:r>
            <w:r w:rsidR="00B14A18">
              <w:rPr>
                <w:webHidden/>
              </w:rPr>
              <w:fldChar w:fldCharType="end"/>
            </w:r>
          </w:hyperlink>
        </w:p>
        <w:p w14:paraId="6BF33F5F" w14:textId="77777777" w:rsidR="00B14A18" w:rsidRDefault="00DD0356">
          <w:pPr>
            <w:pStyle w:val="TOC2"/>
            <w:tabs>
              <w:tab w:val="left" w:pos="1540"/>
            </w:tabs>
            <w:rPr>
              <w:rFonts w:asciiTheme="minorHAnsi" w:eastAsiaTheme="minorEastAsia" w:hAnsiTheme="minorHAnsi" w:cstheme="minorBidi"/>
            </w:rPr>
          </w:pPr>
          <w:hyperlink w:anchor="_Toc460513914" w:history="1">
            <w:r w:rsidR="00B14A18" w:rsidRPr="00EA6AD3">
              <w:rPr>
                <w:rStyle w:val="Hyperlink"/>
              </w:rPr>
              <w:t>B3.4</w:t>
            </w:r>
            <w:r w:rsidR="00B14A18">
              <w:rPr>
                <w:rFonts w:asciiTheme="minorHAnsi" w:eastAsiaTheme="minorEastAsia" w:hAnsiTheme="minorHAnsi" w:cstheme="minorBidi"/>
              </w:rPr>
              <w:tab/>
            </w:r>
            <w:r w:rsidR="00B14A18" w:rsidRPr="00EA6AD3">
              <w:rPr>
                <w:rStyle w:val="Hyperlink"/>
              </w:rPr>
              <w:t>Characteristics of the Evidence Base: diagnostic accuracy  (Population 1)</w:t>
            </w:r>
            <w:r w:rsidR="00B14A18">
              <w:rPr>
                <w:webHidden/>
              </w:rPr>
              <w:tab/>
            </w:r>
            <w:r w:rsidR="00B14A18">
              <w:rPr>
                <w:webHidden/>
              </w:rPr>
              <w:fldChar w:fldCharType="begin"/>
            </w:r>
            <w:r w:rsidR="00B14A18">
              <w:rPr>
                <w:webHidden/>
              </w:rPr>
              <w:instrText xml:space="preserve"> PAGEREF _Toc460513914 \h </w:instrText>
            </w:r>
            <w:r w:rsidR="00B14A18">
              <w:rPr>
                <w:webHidden/>
              </w:rPr>
            </w:r>
            <w:r w:rsidR="00B14A18">
              <w:rPr>
                <w:webHidden/>
              </w:rPr>
              <w:fldChar w:fldCharType="separate"/>
            </w:r>
            <w:r w:rsidR="0029649D">
              <w:rPr>
                <w:webHidden/>
              </w:rPr>
              <w:t>56</w:t>
            </w:r>
            <w:r w:rsidR="00B14A18">
              <w:rPr>
                <w:webHidden/>
              </w:rPr>
              <w:fldChar w:fldCharType="end"/>
            </w:r>
          </w:hyperlink>
        </w:p>
        <w:p w14:paraId="6DD318F8" w14:textId="77777777" w:rsidR="00B14A18" w:rsidRDefault="00DD0356">
          <w:pPr>
            <w:pStyle w:val="TOC2"/>
            <w:tabs>
              <w:tab w:val="left" w:pos="1540"/>
            </w:tabs>
            <w:rPr>
              <w:rFonts w:asciiTheme="minorHAnsi" w:eastAsiaTheme="minorEastAsia" w:hAnsiTheme="minorHAnsi" w:cstheme="minorBidi"/>
            </w:rPr>
          </w:pPr>
          <w:hyperlink w:anchor="_Toc460513915" w:history="1">
            <w:r w:rsidR="00B14A18" w:rsidRPr="00EA6AD3">
              <w:rPr>
                <w:rStyle w:val="Hyperlink"/>
              </w:rPr>
              <w:t>B3.5</w:t>
            </w:r>
            <w:r w:rsidR="00B14A18">
              <w:rPr>
                <w:rFonts w:asciiTheme="minorHAnsi" w:eastAsiaTheme="minorEastAsia" w:hAnsiTheme="minorHAnsi" w:cstheme="minorBidi"/>
              </w:rPr>
              <w:tab/>
            </w:r>
            <w:r w:rsidR="00B14A18" w:rsidRPr="00EA6AD3">
              <w:rPr>
                <w:rStyle w:val="Hyperlink"/>
              </w:rPr>
              <w:t>Outcome Measures and Analysis: diagnostic accuracy (Population 1)</w:t>
            </w:r>
            <w:r w:rsidR="00B14A18">
              <w:rPr>
                <w:webHidden/>
              </w:rPr>
              <w:tab/>
            </w:r>
            <w:r w:rsidR="00B14A18">
              <w:rPr>
                <w:webHidden/>
              </w:rPr>
              <w:fldChar w:fldCharType="begin"/>
            </w:r>
            <w:r w:rsidR="00B14A18">
              <w:rPr>
                <w:webHidden/>
              </w:rPr>
              <w:instrText xml:space="preserve"> PAGEREF _Toc460513915 \h </w:instrText>
            </w:r>
            <w:r w:rsidR="00B14A18">
              <w:rPr>
                <w:webHidden/>
              </w:rPr>
            </w:r>
            <w:r w:rsidR="00B14A18">
              <w:rPr>
                <w:webHidden/>
              </w:rPr>
              <w:fldChar w:fldCharType="separate"/>
            </w:r>
            <w:r w:rsidR="0029649D">
              <w:rPr>
                <w:webHidden/>
              </w:rPr>
              <w:t>58</w:t>
            </w:r>
            <w:r w:rsidR="00B14A18">
              <w:rPr>
                <w:webHidden/>
              </w:rPr>
              <w:fldChar w:fldCharType="end"/>
            </w:r>
          </w:hyperlink>
        </w:p>
        <w:p w14:paraId="5671CCDE" w14:textId="4E0812A6" w:rsidR="00B14A18" w:rsidRDefault="00DD0356">
          <w:pPr>
            <w:pStyle w:val="TOC2"/>
            <w:tabs>
              <w:tab w:val="left" w:pos="1540"/>
            </w:tabs>
            <w:rPr>
              <w:rFonts w:asciiTheme="minorHAnsi" w:eastAsiaTheme="minorEastAsia" w:hAnsiTheme="minorHAnsi" w:cstheme="minorBidi"/>
            </w:rPr>
          </w:pPr>
          <w:hyperlink w:anchor="_Toc460513916" w:history="1">
            <w:r w:rsidR="00B14A18" w:rsidRPr="00EA6AD3">
              <w:rPr>
                <w:rStyle w:val="Hyperlink"/>
              </w:rPr>
              <w:t>B3.6</w:t>
            </w:r>
            <w:r w:rsidR="00B14A18">
              <w:rPr>
                <w:rFonts w:asciiTheme="minorHAnsi" w:eastAsiaTheme="minorEastAsia" w:hAnsiTheme="minorHAnsi" w:cstheme="minorBidi"/>
              </w:rPr>
              <w:tab/>
            </w:r>
            <w:r w:rsidR="00B14A18" w:rsidRPr="00EA6AD3">
              <w:rPr>
                <w:rStyle w:val="Hyperlink"/>
              </w:rPr>
              <w:t>Results of the Systematic Literature review: diagnostic accuracy (Population 1)</w:t>
            </w:r>
            <w:r w:rsidR="00B14A18">
              <w:rPr>
                <w:webHidden/>
              </w:rPr>
              <w:tab/>
            </w:r>
            <w:r w:rsidR="00B14A18">
              <w:rPr>
                <w:webHidden/>
              </w:rPr>
              <w:tab/>
            </w:r>
            <w:r w:rsidR="00B14A18">
              <w:rPr>
                <w:webHidden/>
              </w:rPr>
              <w:fldChar w:fldCharType="begin"/>
            </w:r>
            <w:r w:rsidR="00B14A18">
              <w:rPr>
                <w:webHidden/>
              </w:rPr>
              <w:instrText xml:space="preserve"> PAGEREF _Toc460513916 \h </w:instrText>
            </w:r>
            <w:r w:rsidR="00B14A18">
              <w:rPr>
                <w:webHidden/>
              </w:rPr>
            </w:r>
            <w:r w:rsidR="00B14A18">
              <w:rPr>
                <w:webHidden/>
              </w:rPr>
              <w:fldChar w:fldCharType="separate"/>
            </w:r>
            <w:r w:rsidR="0029649D">
              <w:rPr>
                <w:webHidden/>
              </w:rPr>
              <w:t>61</w:t>
            </w:r>
            <w:r w:rsidR="00B14A18">
              <w:rPr>
                <w:webHidden/>
              </w:rPr>
              <w:fldChar w:fldCharType="end"/>
            </w:r>
          </w:hyperlink>
        </w:p>
        <w:p w14:paraId="66CD3457" w14:textId="77777777" w:rsidR="00B14A18" w:rsidRDefault="00DD0356">
          <w:pPr>
            <w:pStyle w:val="TOC3"/>
            <w:rPr>
              <w:rFonts w:asciiTheme="minorHAnsi" w:eastAsiaTheme="minorEastAsia" w:hAnsiTheme="minorHAnsi" w:cstheme="minorBidi"/>
            </w:rPr>
          </w:pPr>
          <w:hyperlink w:anchor="_Toc460513917" w:history="1">
            <w:r w:rsidR="00B14A18" w:rsidRPr="00EA6AD3">
              <w:rPr>
                <w:rStyle w:val="Hyperlink"/>
              </w:rPr>
              <w:t>Is mpMRI accurate?</w:t>
            </w:r>
            <w:r w:rsidR="00B14A18">
              <w:rPr>
                <w:webHidden/>
              </w:rPr>
              <w:tab/>
            </w:r>
            <w:r w:rsidR="00B14A18">
              <w:rPr>
                <w:webHidden/>
              </w:rPr>
              <w:fldChar w:fldCharType="begin"/>
            </w:r>
            <w:r w:rsidR="00B14A18">
              <w:rPr>
                <w:webHidden/>
              </w:rPr>
              <w:instrText xml:space="preserve"> PAGEREF _Toc460513917 \h </w:instrText>
            </w:r>
            <w:r w:rsidR="00B14A18">
              <w:rPr>
                <w:webHidden/>
              </w:rPr>
            </w:r>
            <w:r w:rsidR="00B14A18">
              <w:rPr>
                <w:webHidden/>
              </w:rPr>
              <w:fldChar w:fldCharType="separate"/>
            </w:r>
            <w:r w:rsidR="0029649D">
              <w:rPr>
                <w:webHidden/>
              </w:rPr>
              <w:t>61</w:t>
            </w:r>
            <w:r w:rsidR="00B14A18">
              <w:rPr>
                <w:webHidden/>
              </w:rPr>
              <w:fldChar w:fldCharType="end"/>
            </w:r>
          </w:hyperlink>
        </w:p>
        <w:p w14:paraId="695DE9AF" w14:textId="77777777" w:rsidR="00B14A18" w:rsidRDefault="00DD0356">
          <w:pPr>
            <w:pStyle w:val="TOC3"/>
            <w:rPr>
              <w:rFonts w:asciiTheme="minorHAnsi" w:eastAsiaTheme="minorEastAsia" w:hAnsiTheme="minorHAnsi" w:cstheme="minorBidi"/>
            </w:rPr>
          </w:pPr>
          <w:hyperlink w:anchor="_Toc460513918" w:history="1">
            <w:r w:rsidR="00B14A18" w:rsidRPr="00EA6AD3">
              <w:rPr>
                <w:rStyle w:val="Hyperlink"/>
              </w:rPr>
              <w:t>Diagnosis of any cancer</w:t>
            </w:r>
            <w:r w:rsidR="00B14A18">
              <w:rPr>
                <w:webHidden/>
              </w:rPr>
              <w:tab/>
            </w:r>
            <w:r w:rsidR="00B14A18">
              <w:rPr>
                <w:webHidden/>
              </w:rPr>
              <w:fldChar w:fldCharType="begin"/>
            </w:r>
            <w:r w:rsidR="00B14A18">
              <w:rPr>
                <w:webHidden/>
              </w:rPr>
              <w:instrText xml:space="preserve"> PAGEREF _Toc460513918 \h </w:instrText>
            </w:r>
            <w:r w:rsidR="00B14A18">
              <w:rPr>
                <w:webHidden/>
              </w:rPr>
            </w:r>
            <w:r w:rsidR="00B14A18">
              <w:rPr>
                <w:webHidden/>
              </w:rPr>
              <w:fldChar w:fldCharType="separate"/>
            </w:r>
            <w:r w:rsidR="0029649D">
              <w:rPr>
                <w:webHidden/>
              </w:rPr>
              <w:t>63</w:t>
            </w:r>
            <w:r w:rsidR="00B14A18">
              <w:rPr>
                <w:webHidden/>
              </w:rPr>
              <w:fldChar w:fldCharType="end"/>
            </w:r>
          </w:hyperlink>
        </w:p>
        <w:p w14:paraId="52DAD6FC" w14:textId="77777777" w:rsidR="00B14A18" w:rsidRDefault="00DD0356">
          <w:pPr>
            <w:pStyle w:val="TOC3"/>
            <w:rPr>
              <w:rFonts w:asciiTheme="minorHAnsi" w:eastAsiaTheme="minorEastAsia" w:hAnsiTheme="minorHAnsi" w:cstheme="minorBidi"/>
            </w:rPr>
          </w:pPr>
          <w:hyperlink w:anchor="_Toc460513919" w:history="1">
            <w:r w:rsidR="00B14A18" w:rsidRPr="00EA6AD3">
              <w:rPr>
                <w:rStyle w:val="Hyperlink"/>
              </w:rPr>
              <w:t>Diagnosis of clinically significant cancer</w:t>
            </w:r>
            <w:r w:rsidR="00B14A18">
              <w:rPr>
                <w:webHidden/>
              </w:rPr>
              <w:tab/>
            </w:r>
            <w:r w:rsidR="00B14A18">
              <w:rPr>
                <w:webHidden/>
              </w:rPr>
              <w:fldChar w:fldCharType="begin"/>
            </w:r>
            <w:r w:rsidR="00B14A18">
              <w:rPr>
                <w:webHidden/>
              </w:rPr>
              <w:instrText xml:space="preserve"> PAGEREF _Toc460513919 \h </w:instrText>
            </w:r>
            <w:r w:rsidR="00B14A18">
              <w:rPr>
                <w:webHidden/>
              </w:rPr>
            </w:r>
            <w:r w:rsidR="00B14A18">
              <w:rPr>
                <w:webHidden/>
              </w:rPr>
              <w:fldChar w:fldCharType="separate"/>
            </w:r>
            <w:r w:rsidR="0029649D">
              <w:rPr>
                <w:webHidden/>
              </w:rPr>
              <w:t>66</w:t>
            </w:r>
            <w:r w:rsidR="00B14A18">
              <w:rPr>
                <w:webHidden/>
              </w:rPr>
              <w:fldChar w:fldCharType="end"/>
            </w:r>
          </w:hyperlink>
        </w:p>
        <w:p w14:paraId="3076576A" w14:textId="77777777" w:rsidR="00B14A18" w:rsidRDefault="00DD0356">
          <w:pPr>
            <w:pStyle w:val="TOC2"/>
            <w:tabs>
              <w:tab w:val="left" w:pos="1540"/>
            </w:tabs>
            <w:rPr>
              <w:rFonts w:asciiTheme="minorHAnsi" w:eastAsiaTheme="minorEastAsia" w:hAnsiTheme="minorHAnsi" w:cstheme="minorBidi"/>
            </w:rPr>
          </w:pPr>
          <w:hyperlink w:anchor="_Toc460513920" w:history="1">
            <w:r w:rsidR="00B14A18" w:rsidRPr="00EA6AD3">
              <w:rPr>
                <w:rStyle w:val="Hyperlink"/>
              </w:rPr>
              <w:t>B3.7</w:t>
            </w:r>
            <w:r w:rsidR="00B14A18">
              <w:rPr>
                <w:rFonts w:asciiTheme="minorHAnsi" w:eastAsiaTheme="minorEastAsia" w:hAnsiTheme="minorHAnsi" w:cstheme="minorBidi"/>
              </w:rPr>
              <w:tab/>
            </w:r>
            <w:r w:rsidR="00B14A18" w:rsidRPr="00EA6AD3">
              <w:rPr>
                <w:rStyle w:val="Hyperlink"/>
              </w:rPr>
              <w:t>Extended assessment of reliability evidence (Population 1)</w:t>
            </w:r>
            <w:r w:rsidR="00B14A18">
              <w:rPr>
                <w:webHidden/>
              </w:rPr>
              <w:tab/>
            </w:r>
            <w:r w:rsidR="00B14A18">
              <w:rPr>
                <w:webHidden/>
              </w:rPr>
              <w:fldChar w:fldCharType="begin"/>
            </w:r>
            <w:r w:rsidR="00B14A18">
              <w:rPr>
                <w:webHidden/>
              </w:rPr>
              <w:instrText xml:space="preserve"> PAGEREF _Toc460513920 \h </w:instrText>
            </w:r>
            <w:r w:rsidR="00B14A18">
              <w:rPr>
                <w:webHidden/>
              </w:rPr>
            </w:r>
            <w:r w:rsidR="00B14A18">
              <w:rPr>
                <w:webHidden/>
              </w:rPr>
              <w:fldChar w:fldCharType="separate"/>
            </w:r>
            <w:r w:rsidR="0029649D">
              <w:rPr>
                <w:webHidden/>
              </w:rPr>
              <w:t>67</w:t>
            </w:r>
            <w:r w:rsidR="00B14A18">
              <w:rPr>
                <w:webHidden/>
              </w:rPr>
              <w:fldChar w:fldCharType="end"/>
            </w:r>
          </w:hyperlink>
        </w:p>
        <w:p w14:paraId="47045D7E" w14:textId="77777777" w:rsidR="00B14A18" w:rsidRDefault="00DD0356">
          <w:pPr>
            <w:pStyle w:val="TOC2"/>
            <w:tabs>
              <w:tab w:val="left" w:pos="1540"/>
            </w:tabs>
            <w:rPr>
              <w:rFonts w:asciiTheme="minorHAnsi" w:eastAsiaTheme="minorEastAsia" w:hAnsiTheme="minorHAnsi" w:cstheme="minorBidi"/>
            </w:rPr>
          </w:pPr>
          <w:hyperlink w:anchor="_Toc460513921" w:history="1">
            <w:r w:rsidR="00B14A18" w:rsidRPr="00EA6AD3">
              <w:rPr>
                <w:rStyle w:val="Hyperlink"/>
              </w:rPr>
              <w:t>B3.9</w:t>
            </w:r>
            <w:r w:rsidR="00B14A18">
              <w:rPr>
                <w:rFonts w:asciiTheme="minorHAnsi" w:eastAsiaTheme="minorEastAsia" w:hAnsiTheme="minorHAnsi" w:cstheme="minorBidi"/>
              </w:rPr>
              <w:tab/>
            </w:r>
            <w:r w:rsidR="00B14A18" w:rsidRPr="00EA6AD3">
              <w:rPr>
                <w:rStyle w:val="Hyperlink"/>
              </w:rPr>
              <w:t>Interpretation of evidence on diagnostic performance (population 1)</w:t>
            </w:r>
            <w:r w:rsidR="00B14A18">
              <w:rPr>
                <w:webHidden/>
              </w:rPr>
              <w:tab/>
            </w:r>
            <w:r w:rsidR="00B14A18">
              <w:rPr>
                <w:webHidden/>
              </w:rPr>
              <w:fldChar w:fldCharType="begin"/>
            </w:r>
            <w:r w:rsidR="00B14A18">
              <w:rPr>
                <w:webHidden/>
              </w:rPr>
              <w:instrText xml:space="preserve"> PAGEREF _Toc460513921 \h </w:instrText>
            </w:r>
            <w:r w:rsidR="00B14A18">
              <w:rPr>
                <w:webHidden/>
              </w:rPr>
            </w:r>
            <w:r w:rsidR="00B14A18">
              <w:rPr>
                <w:webHidden/>
              </w:rPr>
              <w:fldChar w:fldCharType="separate"/>
            </w:r>
            <w:r w:rsidR="0029649D">
              <w:rPr>
                <w:webHidden/>
              </w:rPr>
              <w:t>71</w:t>
            </w:r>
            <w:r w:rsidR="00B14A18">
              <w:rPr>
                <w:webHidden/>
              </w:rPr>
              <w:fldChar w:fldCharType="end"/>
            </w:r>
          </w:hyperlink>
        </w:p>
        <w:p w14:paraId="0D837867" w14:textId="77777777" w:rsidR="00B14A18" w:rsidRDefault="00DD0356">
          <w:pPr>
            <w:pStyle w:val="TOC1"/>
            <w:rPr>
              <w:rFonts w:asciiTheme="minorHAnsi" w:eastAsiaTheme="minorEastAsia" w:hAnsiTheme="minorHAnsi" w:cstheme="minorBidi"/>
              <w:b w:val="0"/>
            </w:rPr>
          </w:pPr>
          <w:hyperlink w:anchor="_Toc460513922" w:history="1">
            <w:r w:rsidR="00B14A18" w:rsidRPr="00EA6AD3">
              <w:rPr>
                <w:rStyle w:val="Hyperlink"/>
              </w:rPr>
              <w:t>B4 Clinical Validity</w:t>
            </w:r>
            <w:r w:rsidR="00B14A18">
              <w:rPr>
                <w:webHidden/>
              </w:rPr>
              <w:tab/>
            </w:r>
            <w:r w:rsidR="00B14A18">
              <w:rPr>
                <w:webHidden/>
              </w:rPr>
              <w:fldChar w:fldCharType="begin"/>
            </w:r>
            <w:r w:rsidR="00B14A18">
              <w:rPr>
                <w:webHidden/>
              </w:rPr>
              <w:instrText xml:space="preserve"> PAGEREF _Toc460513922 \h </w:instrText>
            </w:r>
            <w:r w:rsidR="00B14A18">
              <w:rPr>
                <w:webHidden/>
              </w:rPr>
            </w:r>
            <w:r w:rsidR="00B14A18">
              <w:rPr>
                <w:webHidden/>
              </w:rPr>
              <w:fldChar w:fldCharType="separate"/>
            </w:r>
            <w:r w:rsidR="0029649D">
              <w:rPr>
                <w:webHidden/>
              </w:rPr>
              <w:t>72</w:t>
            </w:r>
            <w:r w:rsidR="00B14A18">
              <w:rPr>
                <w:webHidden/>
              </w:rPr>
              <w:fldChar w:fldCharType="end"/>
            </w:r>
          </w:hyperlink>
        </w:p>
        <w:p w14:paraId="07AEC1CA" w14:textId="77777777" w:rsidR="00B14A18" w:rsidRDefault="00DD0356">
          <w:pPr>
            <w:pStyle w:val="TOC1"/>
            <w:rPr>
              <w:rFonts w:asciiTheme="minorHAnsi" w:eastAsiaTheme="minorEastAsia" w:hAnsiTheme="minorHAnsi" w:cstheme="minorBidi"/>
              <w:b w:val="0"/>
            </w:rPr>
          </w:pPr>
          <w:hyperlink w:anchor="_Toc460513923" w:history="1">
            <w:r w:rsidR="00B14A18" w:rsidRPr="00EA6AD3">
              <w:rPr>
                <w:rStyle w:val="Hyperlink"/>
              </w:rPr>
              <w:t>B5 Clinical utility</w:t>
            </w:r>
            <w:r w:rsidR="00B14A18">
              <w:rPr>
                <w:webHidden/>
              </w:rPr>
              <w:tab/>
            </w:r>
            <w:r w:rsidR="00B14A18">
              <w:rPr>
                <w:webHidden/>
              </w:rPr>
              <w:fldChar w:fldCharType="begin"/>
            </w:r>
            <w:r w:rsidR="00B14A18">
              <w:rPr>
                <w:webHidden/>
              </w:rPr>
              <w:instrText xml:space="preserve"> PAGEREF _Toc460513923 \h </w:instrText>
            </w:r>
            <w:r w:rsidR="00B14A18">
              <w:rPr>
                <w:webHidden/>
              </w:rPr>
            </w:r>
            <w:r w:rsidR="00B14A18">
              <w:rPr>
                <w:webHidden/>
              </w:rPr>
              <w:fldChar w:fldCharType="separate"/>
            </w:r>
            <w:r w:rsidR="0029649D">
              <w:rPr>
                <w:webHidden/>
              </w:rPr>
              <w:t>73</w:t>
            </w:r>
            <w:r w:rsidR="00B14A18">
              <w:rPr>
                <w:webHidden/>
              </w:rPr>
              <w:fldChar w:fldCharType="end"/>
            </w:r>
          </w:hyperlink>
        </w:p>
        <w:p w14:paraId="564D28F7" w14:textId="77777777" w:rsidR="00B14A18" w:rsidRDefault="00DD0356">
          <w:pPr>
            <w:pStyle w:val="TOC2"/>
            <w:tabs>
              <w:tab w:val="left" w:pos="1540"/>
            </w:tabs>
            <w:rPr>
              <w:rFonts w:asciiTheme="minorHAnsi" w:eastAsiaTheme="minorEastAsia" w:hAnsiTheme="minorHAnsi" w:cstheme="minorBidi"/>
            </w:rPr>
          </w:pPr>
          <w:hyperlink w:anchor="_Toc460513924" w:history="1">
            <w:r w:rsidR="00B14A18" w:rsidRPr="00EA6AD3">
              <w:rPr>
                <w:rStyle w:val="Hyperlink"/>
              </w:rPr>
              <w:t>B5.1</w:t>
            </w:r>
            <w:r w:rsidR="00B14A18">
              <w:rPr>
                <w:rFonts w:asciiTheme="minorHAnsi" w:eastAsiaTheme="minorEastAsia" w:hAnsiTheme="minorHAnsi" w:cstheme="minorBidi"/>
              </w:rPr>
              <w:tab/>
            </w:r>
            <w:r w:rsidR="00B14A18" w:rsidRPr="00EA6AD3">
              <w:rPr>
                <w:rStyle w:val="Hyperlink"/>
              </w:rPr>
              <w:t xml:space="preserve"> Impact on clinical management (Therapeutic efficacy) (Population 1)</w:t>
            </w:r>
            <w:r w:rsidR="00B14A18">
              <w:rPr>
                <w:webHidden/>
              </w:rPr>
              <w:tab/>
            </w:r>
            <w:r w:rsidR="00B14A18">
              <w:rPr>
                <w:webHidden/>
              </w:rPr>
              <w:fldChar w:fldCharType="begin"/>
            </w:r>
            <w:r w:rsidR="00B14A18">
              <w:rPr>
                <w:webHidden/>
              </w:rPr>
              <w:instrText xml:space="preserve"> PAGEREF _Toc460513924 \h </w:instrText>
            </w:r>
            <w:r w:rsidR="00B14A18">
              <w:rPr>
                <w:webHidden/>
              </w:rPr>
            </w:r>
            <w:r w:rsidR="00B14A18">
              <w:rPr>
                <w:webHidden/>
              </w:rPr>
              <w:fldChar w:fldCharType="separate"/>
            </w:r>
            <w:r w:rsidR="0029649D">
              <w:rPr>
                <w:webHidden/>
              </w:rPr>
              <w:t>73</w:t>
            </w:r>
            <w:r w:rsidR="00B14A18">
              <w:rPr>
                <w:webHidden/>
              </w:rPr>
              <w:fldChar w:fldCharType="end"/>
            </w:r>
          </w:hyperlink>
        </w:p>
        <w:p w14:paraId="6929699D" w14:textId="77777777" w:rsidR="00B14A18" w:rsidRDefault="00DD0356">
          <w:pPr>
            <w:pStyle w:val="TOC2"/>
            <w:tabs>
              <w:tab w:val="left" w:pos="1540"/>
            </w:tabs>
            <w:rPr>
              <w:rFonts w:asciiTheme="minorHAnsi" w:eastAsiaTheme="minorEastAsia" w:hAnsiTheme="minorHAnsi" w:cstheme="minorBidi"/>
            </w:rPr>
          </w:pPr>
          <w:hyperlink w:anchor="_Toc460513925" w:history="1">
            <w:r w:rsidR="00B14A18" w:rsidRPr="00EA6AD3">
              <w:rPr>
                <w:rStyle w:val="Hyperlink"/>
              </w:rPr>
              <w:t>B5.2</w:t>
            </w:r>
            <w:r w:rsidR="00B14A18">
              <w:rPr>
                <w:rFonts w:asciiTheme="minorHAnsi" w:eastAsiaTheme="minorEastAsia" w:hAnsiTheme="minorHAnsi" w:cstheme="minorBidi"/>
              </w:rPr>
              <w:tab/>
            </w:r>
            <w:r w:rsidR="00B14A18" w:rsidRPr="00EA6AD3">
              <w:rPr>
                <w:rStyle w:val="Hyperlink"/>
              </w:rPr>
              <w:t>Therapeutic effectiveness (including impact of effect modification) (Population 1)</w:t>
            </w:r>
            <w:r w:rsidR="00B14A18">
              <w:rPr>
                <w:webHidden/>
              </w:rPr>
              <w:tab/>
            </w:r>
            <w:r w:rsidR="00B14A18">
              <w:rPr>
                <w:webHidden/>
              </w:rPr>
              <w:fldChar w:fldCharType="begin"/>
            </w:r>
            <w:r w:rsidR="00B14A18">
              <w:rPr>
                <w:webHidden/>
              </w:rPr>
              <w:instrText xml:space="preserve"> PAGEREF _Toc460513925 \h </w:instrText>
            </w:r>
            <w:r w:rsidR="00B14A18">
              <w:rPr>
                <w:webHidden/>
              </w:rPr>
            </w:r>
            <w:r w:rsidR="00B14A18">
              <w:rPr>
                <w:webHidden/>
              </w:rPr>
              <w:fldChar w:fldCharType="separate"/>
            </w:r>
            <w:r w:rsidR="0029649D">
              <w:rPr>
                <w:webHidden/>
              </w:rPr>
              <w:t>74</w:t>
            </w:r>
            <w:r w:rsidR="00B14A18">
              <w:rPr>
                <w:webHidden/>
              </w:rPr>
              <w:fldChar w:fldCharType="end"/>
            </w:r>
          </w:hyperlink>
        </w:p>
        <w:p w14:paraId="74C59CB9" w14:textId="77777777" w:rsidR="00B14A18" w:rsidRDefault="00DD0356">
          <w:pPr>
            <w:pStyle w:val="TOC2"/>
            <w:tabs>
              <w:tab w:val="left" w:pos="1760"/>
            </w:tabs>
            <w:rPr>
              <w:rFonts w:asciiTheme="minorHAnsi" w:eastAsiaTheme="minorEastAsia" w:hAnsiTheme="minorHAnsi" w:cstheme="minorBidi"/>
            </w:rPr>
          </w:pPr>
          <w:hyperlink w:anchor="_Toc460513926" w:history="1">
            <w:r w:rsidR="00B14A18" w:rsidRPr="00EA6AD3">
              <w:rPr>
                <w:rStyle w:val="Hyperlink"/>
              </w:rPr>
              <w:t>B5.2.1</w:t>
            </w:r>
            <w:r w:rsidR="00B14A18">
              <w:rPr>
                <w:rFonts w:asciiTheme="minorHAnsi" w:eastAsiaTheme="minorEastAsia" w:hAnsiTheme="minorHAnsi" w:cstheme="minorBidi"/>
              </w:rPr>
              <w:tab/>
            </w:r>
            <w:r w:rsidR="00B14A18" w:rsidRPr="00EA6AD3">
              <w:rPr>
                <w:rStyle w:val="Hyperlink"/>
              </w:rPr>
              <w:t>Literature Sources and Search Strategies: therapeutic effectiveness (Population 1)</w:t>
            </w:r>
            <w:r w:rsidR="00B14A18">
              <w:rPr>
                <w:webHidden/>
              </w:rPr>
              <w:tab/>
            </w:r>
            <w:r w:rsidR="00B14A18">
              <w:rPr>
                <w:webHidden/>
              </w:rPr>
              <w:fldChar w:fldCharType="begin"/>
            </w:r>
            <w:r w:rsidR="00B14A18">
              <w:rPr>
                <w:webHidden/>
              </w:rPr>
              <w:instrText xml:space="preserve"> PAGEREF _Toc460513926 \h </w:instrText>
            </w:r>
            <w:r w:rsidR="00B14A18">
              <w:rPr>
                <w:webHidden/>
              </w:rPr>
            </w:r>
            <w:r w:rsidR="00B14A18">
              <w:rPr>
                <w:webHidden/>
              </w:rPr>
              <w:fldChar w:fldCharType="separate"/>
            </w:r>
            <w:r w:rsidR="0029649D">
              <w:rPr>
                <w:webHidden/>
              </w:rPr>
              <w:t>75</w:t>
            </w:r>
            <w:r w:rsidR="00B14A18">
              <w:rPr>
                <w:webHidden/>
              </w:rPr>
              <w:fldChar w:fldCharType="end"/>
            </w:r>
          </w:hyperlink>
        </w:p>
        <w:p w14:paraId="5C1A6C9A" w14:textId="26C03888" w:rsidR="00B14A18" w:rsidRDefault="00DD0356">
          <w:pPr>
            <w:pStyle w:val="TOC2"/>
            <w:tabs>
              <w:tab w:val="left" w:pos="1760"/>
            </w:tabs>
            <w:rPr>
              <w:rFonts w:asciiTheme="minorHAnsi" w:eastAsiaTheme="minorEastAsia" w:hAnsiTheme="minorHAnsi" w:cstheme="minorBidi"/>
            </w:rPr>
          </w:pPr>
          <w:hyperlink w:anchor="_Toc460513927" w:history="1">
            <w:r w:rsidR="00B14A18" w:rsidRPr="00EA6AD3">
              <w:rPr>
                <w:rStyle w:val="Hyperlink"/>
              </w:rPr>
              <w:t>B5.2.2</w:t>
            </w:r>
            <w:r w:rsidR="00B14A18">
              <w:rPr>
                <w:rFonts w:asciiTheme="minorHAnsi" w:eastAsiaTheme="minorEastAsia" w:hAnsiTheme="minorHAnsi" w:cstheme="minorBidi"/>
              </w:rPr>
              <w:tab/>
            </w:r>
            <w:r w:rsidR="00B14A18" w:rsidRPr="00EA6AD3">
              <w:rPr>
                <w:rStyle w:val="Hyperlink"/>
              </w:rPr>
              <w:t>Results of the Literature Search: therapeutic effectiveness  (Population 1)</w:t>
            </w:r>
            <w:r w:rsidR="00B14A18">
              <w:rPr>
                <w:webHidden/>
              </w:rPr>
              <w:tab/>
            </w:r>
            <w:r w:rsidR="00B14A18">
              <w:rPr>
                <w:webHidden/>
              </w:rPr>
              <w:tab/>
            </w:r>
            <w:r w:rsidR="00B14A18">
              <w:rPr>
                <w:webHidden/>
              </w:rPr>
              <w:fldChar w:fldCharType="begin"/>
            </w:r>
            <w:r w:rsidR="00B14A18">
              <w:rPr>
                <w:webHidden/>
              </w:rPr>
              <w:instrText xml:space="preserve"> PAGEREF _Toc460513927 \h </w:instrText>
            </w:r>
            <w:r w:rsidR="00B14A18">
              <w:rPr>
                <w:webHidden/>
              </w:rPr>
            </w:r>
            <w:r w:rsidR="00B14A18">
              <w:rPr>
                <w:webHidden/>
              </w:rPr>
              <w:fldChar w:fldCharType="separate"/>
            </w:r>
            <w:r w:rsidR="0029649D">
              <w:rPr>
                <w:webHidden/>
              </w:rPr>
              <w:t>76</w:t>
            </w:r>
            <w:r w:rsidR="00B14A18">
              <w:rPr>
                <w:webHidden/>
              </w:rPr>
              <w:fldChar w:fldCharType="end"/>
            </w:r>
          </w:hyperlink>
        </w:p>
        <w:p w14:paraId="7CC53279" w14:textId="77777777" w:rsidR="00B14A18" w:rsidRDefault="00DD0356">
          <w:pPr>
            <w:pStyle w:val="TOC2"/>
            <w:tabs>
              <w:tab w:val="left" w:pos="1760"/>
            </w:tabs>
            <w:rPr>
              <w:rFonts w:asciiTheme="minorHAnsi" w:eastAsiaTheme="minorEastAsia" w:hAnsiTheme="minorHAnsi" w:cstheme="minorBidi"/>
            </w:rPr>
          </w:pPr>
          <w:hyperlink w:anchor="_Toc460513928" w:history="1">
            <w:r w:rsidR="00B14A18" w:rsidRPr="00EA6AD3">
              <w:rPr>
                <w:rStyle w:val="Hyperlink"/>
              </w:rPr>
              <w:t>B5.2.3</w:t>
            </w:r>
            <w:r w:rsidR="00B14A18">
              <w:rPr>
                <w:rFonts w:asciiTheme="minorHAnsi" w:eastAsiaTheme="minorEastAsia" w:hAnsiTheme="minorHAnsi" w:cstheme="minorBidi"/>
              </w:rPr>
              <w:tab/>
            </w:r>
            <w:r w:rsidR="00B14A18" w:rsidRPr="00EA6AD3">
              <w:rPr>
                <w:rStyle w:val="Hyperlink"/>
              </w:rPr>
              <w:t>Risk of Bias Assessment: therapeutic effectiveness (Population 1)</w:t>
            </w:r>
            <w:r w:rsidR="00B14A18">
              <w:rPr>
                <w:webHidden/>
              </w:rPr>
              <w:tab/>
            </w:r>
            <w:r w:rsidR="00B14A18">
              <w:rPr>
                <w:webHidden/>
              </w:rPr>
              <w:fldChar w:fldCharType="begin"/>
            </w:r>
            <w:r w:rsidR="00B14A18">
              <w:rPr>
                <w:webHidden/>
              </w:rPr>
              <w:instrText xml:space="preserve"> PAGEREF _Toc460513928 \h </w:instrText>
            </w:r>
            <w:r w:rsidR="00B14A18">
              <w:rPr>
                <w:webHidden/>
              </w:rPr>
            </w:r>
            <w:r w:rsidR="00B14A18">
              <w:rPr>
                <w:webHidden/>
              </w:rPr>
              <w:fldChar w:fldCharType="separate"/>
            </w:r>
            <w:r w:rsidR="0029649D">
              <w:rPr>
                <w:webHidden/>
              </w:rPr>
              <w:t>76</w:t>
            </w:r>
            <w:r w:rsidR="00B14A18">
              <w:rPr>
                <w:webHidden/>
              </w:rPr>
              <w:fldChar w:fldCharType="end"/>
            </w:r>
          </w:hyperlink>
        </w:p>
        <w:p w14:paraId="342E46B1" w14:textId="77777777" w:rsidR="00B14A18" w:rsidRDefault="00DD0356">
          <w:pPr>
            <w:pStyle w:val="TOC2"/>
            <w:tabs>
              <w:tab w:val="left" w:pos="1760"/>
            </w:tabs>
            <w:rPr>
              <w:rFonts w:asciiTheme="minorHAnsi" w:eastAsiaTheme="minorEastAsia" w:hAnsiTheme="minorHAnsi" w:cstheme="minorBidi"/>
            </w:rPr>
          </w:pPr>
          <w:hyperlink w:anchor="_Toc460513929" w:history="1">
            <w:r w:rsidR="00B14A18" w:rsidRPr="00EA6AD3">
              <w:rPr>
                <w:rStyle w:val="Hyperlink"/>
              </w:rPr>
              <w:t>B5.2.4</w:t>
            </w:r>
            <w:r w:rsidR="00B14A18">
              <w:rPr>
                <w:rFonts w:asciiTheme="minorHAnsi" w:eastAsiaTheme="minorEastAsia" w:hAnsiTheme="minorHAnsi" w:cstheme="minorBidi"/>
              </w:rPr>
              <w:tab/>
            </w:r>
            <w:r w:rsidR="00B14A18" w:rsidRPr="00EA6AD3">
              <w:rPr>
                <w:rStyle w:val="Hyperlink"/>
              </w:rPr>
              <w:t>Characteristics of the Evidence Base</w:t>
            </w:r>
            <w:r w:rsidR="00B14A18">
              <w:rPr>
                <w:webHidden/>
              </w:rPr>
              <w:tab/>
            </w:r>
            <w:r w:rsidR="00B14A18">
              <w:rPr>
                <w:webHidden/>
              </w:rPr>
              <w:fldChar w:fldCharType="begin"/>
            </w:r>
            <w:r w:rsidR="00B14A18">
              <w:rPr>
                <w:webHidden/>
              </w:rPr>
              <w:instrText xml:space="preserve"> PAGEREF _Toc460513929 \h </w:instrText>
            </w:r>
            <w:r w:rsidR="00B14A18">
              <w:rPr>
                <w:webHidden/>
              </w:rPr>
            </w:r>
            <w:r w:rsidR="00B14A18">
              <w:rPr>
                <w:webHidden/>
              </w:rPr>
              <w:fldChar w:fldCharType="separate"/>
            </w:r>
            <w:r w:rsidR="0029649D">
              <w:rPr>
                <w:webHidden/>
              </w:rPr>
              <w:t>77</w:t>
            </w:r>
            <w:r w:rsidR="00B14A18">
              <w:rPr>
                <w:webHidden/>
              </w:rPr>
              <w:fldChar w:fldCharType="end"/>
            </w:r>
          </w:hyperlink>
        </w:p>
        <w:p w14:paraId="6E5ABC01" w14:textId="28085725" w:rsidR="00B14A18" w:rsidRDefault="00DD0356">
          <w:pPr>
            <w:pStyle w:val="TOC2"/>
            <w:tabs>
              <w:tab w:val="left" w:pos="1760"/>
            </w:tabs>
            <w:rPr>
              <w:rFonts w:asciiTheme="minorHAnsi" w:eastAsiaTheme="minorEastAsia" w:hAnsiTheme="minorHAnsi" w:cstheme="minorBidi"/>
            </w:rPr>
          </w:pPr>
          <w:hyperlink w:anchor="_Toc460513930" w:history="1">
            <w:r w:rsidR="00B14A18" w:rsidRPr="00EA6AD3">
              <w:rPr>
                <w:rStyle w:val="Hyperlink"/>
              </w:rPr>
              <w:t>B5.2.5</w:t>
            </w:r>
            <w:r w:rsidR="00B14A18">
              <w:rPr>
                <w:rFonts w:asciiTheme="minorHAnsi" w:eastAsiaTheme="minorEastAsia" w:hAnsiTheme="minorHAnsi" w:cstheme="minorBidi"/>
              </w:rPr>
              <w:tab/>
            </w:r>
            <w:r w:rsidR="00B14A18" w:rsidRPr="00EA6AD3">
              <w:rPr>
                <w:rStyle w:val="Hyperlink"/>
              </w:rPr>
              <w:t>Outcome Measures and Analysis: therapeutic effectiveness  (Population 1)</w:t>
            </w:r>
            <w:r w:rsidR="00B14A18">
              <w:rPr>
                <w:webHidden/>
              </w:rPr>
              <w:tab/>
            </w:r>
            <w:r w:rsidR="00B14A18">
              <w:rPr>
                <w:webHidden/>
              </w:rPr>
              <w:tab/>
            </w:r>
            <w:r w:rsidR="00B14A18">
              <w:rPr>
                <w:webHidden/>
              </w:rPr>
              <w:fldChar w:fldCharType="begin"/>
            </w:r>
            <w:r w:rsidR="00B14A18">
              <w:rPr>
                <w:webHidden/>
              </w:rPr>
              <w:instrText xml:space="preserve"> PAGEREF _Toc460513930 \h </w:instrText>
            </w:r>
            <w:r w:rsidR="00B14A18">
              <w:rPr>
                <w:webHidden/>
              </w:rPr>
            </w:r>
            <w:r w:rsidR="00B14A18">
              <w:rPr>
                <w:webHidden/>
              </w:rPr>
              <w:fldChar w:fldCharType="separate"/>
            </w:r>
            <w:r w:rsidR="0029649D">
              <w:rPr>
                <w:webHidden/>
              </w:rPr>
              <w:t>78</w:t>
            </w:r>
            <w:r w:rsidR="00B14A18">
              <w:rPr>
                <w:webHidden/>
              </w:rPr>
              <w:fldChar w:fldCharType="end"/>
            </w:r>
          </w:hyperlink>
        </w:p>
        <w:p w14:paraId="29EB6C0C" w14:textId="77777777" w:rsidR="00B14A18" w:rsidRDefault="00DD0356">
          <w:pPr>
            <w:pStyle w:val="TOC2"/>
            <w:tabs>
              <w:tab w:val="left" w:pos="1760"/>
            </w:tabs>
            <w:rPr>
              <w:rFonts w:asciiTheme="minorHAnsi" w:eastAsiaTheme="minorEastAsia" w:hAnsiTheme="minorHAnsi" w:cstheme="minorBidi"/>
            </w:rPr>
          </w:pPr>
          <w:hyperlink w:anchor="_Toc460513931" w:history="1">
            <w:r w:rsidR="00B14A18" w:rsidRPr="00EA6AD3">
              <w:rPr>
                <w:rStyle w:val="Hyperlink"/>
              </w:rPr>
              <w:t>B5.2.6</w:t>
            </w:r>
            <w:r w:rsidR="00B14A18">
              <w:rPr>
                <w:rFonts w:asciiTheme="minorHAnsi" w:eastAsiaTheme="minorEastAsia" w:hAnsiTheme="minorHAnsi" w:cstheme="minorBidi"/>
              </w:rPr>
              <w:tab/>
            </w:r>
            <w:r w:rsidR="00B14A18" w:rsidRPr="00EA6AD3">
              <w:rPr>
                <w:rStyle w:val="Hyperlink"/>
              </w:rPr>
              <w:t>Results of the Systematic Literature review: therapeutic effectiveness (Population 1)</w:t>
            </w:r>
            <w:r w:rsidR="00B14A18">
              <w:rPr>
                <w:webHidden/>
              </w:rPr>
              <w:tab/>
            </w:r>
            <w:r w:rsidR="00B14A18">
              <w:rPr>
                <w:webHidden/>
              </w:rPr>
              <w:fldChar w:fldCharType="begin"/>
            </w:r>
            <w:r w:rsidR="00B14A18">
              <w:rPr>
                <w:webHidden/>
              </w:rPr>
              <w:instrText xml:space="preserve"> PAGEREF _Toc460513931 \h </w:instrText>
            </w:r>
            <w:r w:rsidR="00B14A18">
              <w:rPr>
                <w:webHidden/>
              </w:rPr>
            </w:r>
            <w:r w:rsidR="00B14A18">
              <w:rPr>
                <w:webHidden/>
              </w:rPr>
              <w:fldChar w:fldCharType="separate"/>
            </w:r>
            <w:r w:rsidR="0029649D">
              <w:rPr>
                <w:webHidden/>
              </w:rPr>
              <w:t>79</w:t>
            </w:r>
            <w:r w:rsidR="00B14A18">
              <w:rPr>
                <w:webHidden/>
              </w:rPr>
              <w:fldChar w:fldCharType="end"/>
            </w:r>
          </w:hyperlink>
        </w:p>
        <w:p w14:paraId="479CE199" w14:textId="77777777" w:rsidR="00B14A18" w:rsidRDefault="00DD0356">
          <w:pPr>
            <w:pStyle w:val="TOC3"/>
            <w:rPr>
              <w:rFonts w:asciiTheme="minorHAnsi" w:eastAsiaTheme="minorEastAsia" w:hAnsiTheme="minorHAnsi" w:cstheme="minorBidi"/>
            </w:rPr>
          </w:pPr>
          <w:hyperlink w:anchor="_Toc460513932" w:history="1">
            <w:r w:rsidR="00B14A18" w:rsidRPr="00EA6AD3">
              <w:rPr>
                <w:rStyle w:val="Hyperlink"/>
              </w:rPr>
              <w:t>Does the change in management improve health outcomes?</w:t>
            </w:r>
            <w:r w:rsidR="00B14A18">
              <w:rPr>
                <w:webHidden/>
              </w:rPr>
              <w:tab/>
            </w:r>
            <w:r w:rsidR="00B14A18">
              <w:rPr>
                <w:webHidden/>
              </w:rPr>
              <w:fldChar w:fldCharType="begin"/>
            </w:r>
            <w:r w:rsidR="00B14A18">
              <w:rPr>
                <w:webHidden/>
              </w:rPr>
              <w:instrText xml:space="preserve"> PAGEREF _Toc460513932 \h </w:instrText>
            </w:r>
            <w:r w:rsidR="00B14A18">
              <w:rPr>
                <w:webHidden/>
              </w:rPr>
            </w:r>
            <w:r w:rsidR="00B14A18">
              <w:rPr>
                <w:webHidden/>
              </w:rPr>
              <w:fldChar w:fldCharType="separate"/>
            </w:r>
            <w:r w:rsidR="0029649D">
              <w:rPr>
                <w:webHidden/>
              </w:rPr>
              <w:t>79</w:t>
            </w:r>
            <w:r w:rsidR="00B14A18">
              <w:rPr>
                <w:webHidden/>
              </w:rPr>
              <w:fldChar w:fldCharType="end"/>
            </w:r>
          </w:hyperlink>
        </w:p>
        <w:p w14:paraId="6887913B" w14:textId="77777777" w:rsidR="00B14A18" w:rsidRDefault="00DD0356">
          <w:pPr>
            <w:pStyle w:val="TOC1"/>
            <w:rPr>
              <w:rFonts w:asciiTheme="minorHAnsi" w:eastAsiaTheme="minorEastAsia" w:hAnsiTheme="minorHAnsi" w:cstheme="minorBidi"/>
              <w:b w:val="0"/>
            </w:rPr>
          </w:pPr>
          <w:hyperlink w:anchor="_Toc460513933" w:history="1">
            <w:r w:rsidR="00B14A18" w:rsidRPr="00EA6AD3">
              <w:rPr>
                <w:rStyle w:val="Hyperlink"/>
              </w:rPr>
              <w:t>B6</w:t>
            </w:r>
            <w:r w:rsidR="00B14A18">
              <w:rPr>
                <w:rFonts w:asciiTheme="minorHAnsi" w:eastAsiaTheme="minorEastAsia" w:hAnsiTheme="minorHAnsi" w:cstheme="minorBidi"/>
                <w:b w:val="0"/>
              </w:rPr>
              <w:tab/>
            </w:r>
            <w:r w:rsidR="00B14A18" w:rsidRPr="00EA6AD3">
              <w:rPr>
                <w:rStyle w:val="Hyperlink"/>
              </w:rPr>
              <w:t>Impact of repeat testing/monitoring</w:t>
            </w:r>
            <w:r w:rsidR="00B14A18">
              <w:rPr>
                <w:webHidden/>
              </w:rPr>
              <w:tab/>
            </w:r>
            <w:r w:rsidR="00B14A18">
              <w:rPr>
                <w:webHidden/>
              </w:rPr>
              <w:fldChar w:fldCharType="begin"/>
            </w:r>
            <w:r w:rsidR="00B14A18">
              <w:rPr>
                <w:webHidden/>
              </w:rPr>
              <w:instrText xml:space="preserve"> PAGEREF _Toc460513933 \h </w:instrText>
            </w:r>
            <w:r w:rsidR="00B14A18">
              <w:rPr>
                <w:webHidden/>
              </w:rPr>
            </w:r>
            <w:r w:rsidR="00B14A18">
              <w:rPr>
                <w:webHidden/>
              </w:rPr>
              <w:fldChar w:fldCharType="separate"/>
            </w:r>
            <w:r w:rsidR="0029649D">
              <w:rPr>
                <w:webHidden/>
              </w:rPr>
              <w:t>83</w:t>
            </w:r>
            <w:r w:rsidR="00B14A18">
              <w:rPr>
                <w:webHidden/>
              </w:rPr>
              <w:fldChar w:fldCharType="end"/>
            </w:r>
          </w:hyperlink>
        </w:p>
        <w:p w14:paraId="33DB7ECB" w14:textId="77777777" w:rsidR="00B14A18" w:rsidRDefault="00DD0356">
          <w:pPr>
            <w:pStyle w:val="TOC2"/>
            <w:tabs>
              <w:tab w:val="left" w:pos="1540"/>
            </w:tabs>
            <w:rPr>
              <w:rFonts w:asciiTheme="minorHAnsi" w:eastAsiaTheme="minorEastAsia" w:hAnsiTheme="minorHAnsi" w:cstheme="minorBidi"/>
            </w:rPr>
          </w:pPr>
          <w:hyperlink w:anchor="_Toc460513934" w:history="1">
            <w:r w:rsidR="00B14A18" w:rsidRPr="00EA6AD3">
              <w:rPr>
                <w:rStyle w:val="Hyperlink"/>
              </w:rPr>
              <w:t>B6.1</w:t>
            </w:r>
            <w:r w:rsidR="00B14A18">
              <w:rPr>
                <w:rFonts w:asciiTheme="minorHAnsi" w:eastAsiaTheme="minorEastAsia" w:hAnsiTheme="minorHAnsi" w:cstheme="minorBidi"/>
              </w:rPr>
              <w:tab/>
            </w:r>
            <w:r w:rsidR="00B14A18" w:rsidRPr="00EA6AD3">
              <w:rPr>
                <w:rStyle w:val="Hyperlink"/>
              </w:rPr>
              <w:t xml:space="preserve"> Reference standard</w:t>
            </w:r>
            <w:r w:rsidR="00B14A18">
              <w:rPr>
                <w:webHidden/>
              </w:rPr>
              <w:tab/>
            </w:r>
            <w:r w:rsidR="00B14A18">
              <w:rPr>
                <w:webHidden/>
              </w:rPr>
              <w:fldChar w:fldCharType="begin"/>
            </w:r>
            <w:r w:rsidR="00B14A18">
              <w:rPr>
                <w:webHidden/>
              </w:rPr>
              <w:instrText xml:space="preserve"> PAGEREF _Toc460513934 \h </w:instrText>
            </w:r>
            <w:r w:rsidR="00B14A18">
              <w:rPr>
                <w:webHidden/>
              </w:rPr>
            </w:r>
            <w:r w:rsidR="00B14A18">
              <w:rPr>
                <w:webHidden/>
              </w:rPr>
              <w:fldChar w:fldCharType="separate"/>
            </w:r>
            <w:r w:rsidR="0029649D">
              <w:rPr>
                <w:webHidden/>
              </w:rPr>
              <w:t>83</w:t>
            </w:r>
            <w:r w:rsidR="00B14A18">
              <w:rPr>
                <w:webHidden/>
              </w:rPr>
              <w:fldChar w:fldCharType="end"/>
            </w:r>
          </w:hyperlink>
        </w:p>
        <w:p w14:paraId="069BFCFA" w14:textId="6303DF16" w:rsidR="00B14A18" w:rsidRDefault="00DD0356">
          <w:pPr>
            <w:pStyle w:val="TOC2"/>
            <w:tabs>
              <w:tab w:val="left" w:pos="1540"/>
            </w:tabs>
            <w:rPr>
              <w:rFonts w:asciiTheme="minorHAnsi" w:eastAsiaTheme="minorEastAsia" w:hAnsiTheme="minorHAnsi" w:cstheme="minorBidi"/>
            </w:rPr>
          </w:pPr>
          <w:hyperlink w:anchor="_Toc460513935" w:history="1">
            <w:r w:rsidR="00B14A18" w:rsidRPr="00EA6AD3">
              <w:rPr>
                <w:rStyle w:val="Hyperlink"/>
              </w:rPr>
              <w:t>B6.2</w:t>
            </w:r>
            <w:r w:rsidR="00B14A18">
              <w:rPr>
                <w:rFonts w:asciiTheme="minorHAnsi" w:eastAsiaTheme="minorEastAsia" w:hAnsiTheme="minorHAnsi" w:cstheme="minorBidi"/>
              </w:rPr>
              <w:tab/>
            </w:r>
            <w:r w:rsidR="00B14A18" w:rsidRPr="00EA6AD3">
              <w:rPr>
                <w:rStyle w:val="Hyperlink"/>
              </w:rPr>
              <w:t xml:space="preserve"> Literature sources and search strategies: diagnostic accuracy (Population 2)</w:t>
            </w:r>
            <w:r w:rsidR="00B14A18">
              <w:rPr>
                <w:webHidden/>
              </w:rPr>
              <w:tab/>
            </w:r>
            <w:r w:rsidR="00B14A18">
              <w:rPr>
                <w:webHidden/>
              </w:rPr>
              <w:tab/>
            </w:r>
            <w:r w:rsidR="00B14A18">
              <w:rPr>
                <w:webHidden/>
              </w:rPr>
              <w:fldChar w:fldCharType="begin"/>
            </w:r>
            <w:r w:rsidR="00B14A18">
              <w:rPr>
                <w:webHidden/>
              </w:rPr>
              <w:instrText xml:space="preserve"> PAGEREF _Toc460513935 \h </w:instrText>
            </w:r>
            <w:r w:rsidR="00B14A18">
              <w:rPr>
                <w:webHidden/>
              </w:rPr>
            </w:r>
            <w:r w:rsidR="00B14A18">
              <w:rPr>
                <w:webHidden/>
              </w:rPr>
              <w:fldChar w:fldCharType="separate"/>
            </w:r>
            <w:r w:rsidR="0029649D">
              <w:rPr>
                <w:webHidden/>
              </w:rPr>
              <w:t>83</w:t>
            </w:r>
            <w:r w:rsidR="00B14A18">
              <w:rPr>
                <w:webHidden/>
              </w:rPr>
              <w:fldChar w:fldCharType="end"/>
            </w:r>
          </w:hyperlink>
        </w:p>
        <w:p w14:paraId="2944C462" w14:textId="77777777" w:rsidR="00B14A18" w:rsidRDefault="00DD0356">
          <w:pPr>
            <w:pStyle w:val="TOC3"/>
            <w:tabs>
              <w:tab w:val="left" w:pos="2203"/>
            </w:tabs>
            <w:rPr>
              <w:rFonts w:asciiTheme="minorHAnsi" w:eastAsiaTheme="minorEastAsia" w:hAnsiTheme="minorHAnsi" w:cstheme="minorBidi"/>
            </w:rPr>
          </w:pPr>
          <w:hyperlink w:anchor="_Toc460513936" w:history="1">
            <w:r w:rsidR="00B14A18" w:rsidRPr="00EA6AD3">
              <w:rPr>
                <w:rStyle w:val="Hyperlink"/>
              </w:rPr>
              <w:t>B6.2.1</w:t>
            </w:r>
            <w:r w:rsidR="00B14A18">
              <w:rPr>
                <w:rFonts w:asciiTheme="minorHAnsi" w:eastAsiaTheme="minorEastAsia" w:hAnsiTheme="minorHAnsi" w:cstheme="minorBidi"/>
              </w:rPr>
              <w:tab/>
            </w:r>
            <w:r w:rsidR="00B14A18" w:rsidRPr="00EA6AD3">
              <w:rPr>
                <w:rStyle w:val="Hyperlink"/>
              </w:rPr>
              <w:t>Results of Literature Search: diagnostic accuracy (Population 2)</w:t>
            </w:r>
            <w:r w:rsidR="00B14A18">
              <w:rPr>
                <w:webHidden/>
              </w:rPr>
              <w:tab/>
            </w:r>
            <w:r w:rsidR="00B14A18">
              <w:rPr>
                <w:webHidden/>
              </w:rPr>
              <w:fldChar w:fldCharType="begin"/>
            </w:r>
            <w:r w:rsidR="00B14A18">
              <w:rPr>
                <w:webHidden/>
              </w:rPr>
              <w:instrText xml:space="preserve"> PAGEREF _Toc460513936 \h </w:instrText>
            </w:r>
            <w:r w:rsidR="00B14A18">
              <w:rPr>
                <w:webHidden/>
              </w:rPr>
            </w:r>
            <w:r w:rsidR="00B14A18">
              <w:rPr>
                <w:webHidden/>
              </w:rPr>
              <w:fldChar w:fldCharType="separate"/>
            </w:r>
            <w:r w:rsidR="0029649D">
              <w:rPr>
                <w:webHidden/>
              </w:rPr>
              <w:t>83</w:t>
            </w:r>
            <w:r w:rsidR="00B14A18">
              <w:rPr>
                <w:webHidden/>
              </w:rPr>
              <w:fldChar w:fldCharType="end"/>
            </w:r>
          </w:hyperlink>
        </w:p>
        <w:p w14:paraId="4E2EBAF8" w14:textId="77777777" w:rsidR="00B14A18" w:rsidRDefault="00DD0356">
          <w:pPr>
            <w:pStyle w:val="TOC2"/>
            <w:tabs>
              <w:tab w:val="left" w:pos="1540"/>
            </w:tabs>
            <w:rPr>
              <w:rFonts w:asciiTheme="minorHAnsi" w:eastAsiaTheme="minorEastAsia" w:hAnsiTheme="minorHAnsi" w:cstheme="minorBidi"/>
            </w:rPr>
          </w:pPr>
          <w:hyperlink w:anchor="_Toc460513937" w:history="1">
            <w:r w:rsidR="00B14A18" w:rsidRPr="00EA6AD3">
              <w:rPr>
                <w:rStyle w:val="Hyperlink"/>
              </w:rPr>
              <w:t>B6.3</w:t>
            </w:r>
            <w:r w:rsidR="00B14A18">
              <w:rPr>
                <w:rFonts w:asciiTheme="minorHAnsi" w:eastAsiaTheme="minorEastAsia" w:hAnsiTheme="minorHAnsi" w:cstheme="minorBidi"/>
              </w:rPr>
              <w:tab/>
            </w:r>
            <w:r w:rsidR="00B14A18" w:rsidRPr="00EA6AD3">
              <w:rPr>
                <w:rStyle w:val="Hyperlink"/>
              </w:rPr>
              <w:t xml:space="preserve"> Risk of Bias Assessment: diagnostic accuracy (Population 2)</w:t>
            </w:r>
            <w:r w:rsidR="00B14A18">
              <w:rPr>
                <w:webHidden/>
              </w:rPr>
              <w:tab/>
            </w:r>
            <w:r w:rsidR="00B14A18">
              <w:rPr>
                <w:webHidden/>
              </w:rPr>
              <w:fldChar w:fldCharType="begin"/>
            </w:r>
            <w:r w:rsidR="00B14A18">
              <w:rPr>
                <w:webHidden/>
              </w:rPr>
              <w:instrText xml:space="preserve"> PAGEREF _Toc460513937 \h </w:instrText>
            </w:r>
            <w:r w:rsidR="00B14A18">
              <w:rPr>
                <w:webHidden/>
              </w:rPr>
            </w:r>
            <w:r w:rsidR="00B14A18">
              <w:rPr>
                <w:webHidden/>
              </w:rPr>
              <w:fldChar w:fldCharType="separate"/>
            </w:r>
            <w:r w:rsidR="0029649D">
              <w:rPr>
                <w:webHidden/>
              </w:rPr>
              <w:t>85</w:t>
            </w:r>
            <w:r w:rsidR="00B14A18">
              <w:rPr>
                <w:webHidden/>
              </w:rPr>
              <w:fldChar w:fldCharType="end"/>
            </w:r>
          </w:hyperlink>
        </w:p>
        <w:p w14:paraId="71C78DFD" w14:textId="77777777" w:rsidR="00B14A18" w:rsidRDefault="00DD0356">
          <w:pPr>
            <w:pStyle w:val="TOC2"/>
            <w:tabs>
              <w:tab w:val="left" w:pos="1540"/>
            </w:tabs>
            <w:rPr>
              <w:rFonts w:asciiTheme="minorHAnsi" w:eastAsiaTheme="minorEastAsia" w:hAnsiTheme="minorHAnsi" w:cstheme="minorBidi"/>
            </w:rPr>
          </w:pPr>
          <w:hyperlink w:anchor="_Toc460513938" w:history="1">
            <w:r w:rsidR="00B14A18" w:rsidRPr="00EA6AD3">
              <w:rPr>
                <w:rStyle w:val="Hyperlink"/>
              </w:rPr>
              <w:t>B6.4</w:t>
            </w:r>
            <w:r w:rsidR="00B14A18">
              <w:rPr>
                <w:rFonts w:asciiTheme="minorHAnsi" w:eastAsiaTheme="minorEastAsia" w:hAnsiTheme="minorHAnsi" w:cstheme="minorBidi"/>
              </w:rPr>
              <w:tab/>
            </w:r>
            <w:r w:rsidR="00B14A18" w:rsidRPr="00EA6AD3">
              <w:rPr>
                <w:rStyle w:val="Hyperlink"/>
              </w:rPr>
              <w:t>Characteristics of the Evidence Base: diagnostic accuracy  (Population 2)</w:t>
            </w:r>
            <w:r w:rsidR="00B14A18">
              <w:rPr>
                <w:webHidden/>
              </w:rPr>
              <w:tab/>
            </w:r>
            <w:r w:rsidR="00B14A18">
              <w:rPr>
                <w:webHidden/>
              </w:rPr>
              <w:fldChar w:fldCharType="begin"/>
            </w:r>
            <w:r w:rsidR="00B14A18">
              <w:rPr>
                <w:webHidden/>
              </w:rPr>
              <w:instrText xml:space="preserve"> PAGEREF _Toc460513938 \h </w:instrText>
            </w:r>
            <w:r w:rsidR="00B14A18">
              <w:rPr>
                <w:webHidden/>
              </w:rPr>
            </w:r>
            <w:r w:rsidR="00B14A18">
              <w:rPr>
                <w:webHidden/>
              </w:rPr>
              <w:fldChar w:fldCharType="separate"/>
            </w:r>
            <w:r w:rsidR="0029649D">
              <w:rPr>
                <w:webHidden/>
              </w:rPr>
              <w:t>86</w:t>
            </w:r>
            <w:r w:rsidR="00B14A18">
              <w:rPr>
                <w:webHidden/>
              </w:rPr>
              <w:fldChar w:fldCharType="end"/>
            </w:r>
          </w:hyperlink>
        </w:p>
        <w:p w14:paraId="0F9F1135" w14:textId="77777777" w:rsidR="00B14A18" w:rsidRDefault="00DD0356">
          <w:pPr>
            <w:pStyle w:val="TOC2"/>
            <w:tabs>
              <w:tab w:val="left" w:pos="1540"/>
            </w:tabs>
            <w:rPr>
              <w:rFonts w:asciiTheme="minorHAnsi" w:eastAsiaTheme="minorEastAsia" w:hAnsiTheme="minorHAnsi" w:cstheme="minorBidi"/>
            </w:rPr>
          </w:pPr>
          <w:hyperlink w:anchor="_Toc460513939" w:history="1">
            <w:r w:rsidR="00B14A18" w:rsidRPr="00EA6AD3">
              <w:rPr>
                <w:rStyle w:val="Hyperlink"/>
              </w:rPr>
              <w:t>B6.5</w:t>
            </w:r>
            <w:r w:rsidR="00B14A18">
              <w:rPr>
                <w:rFonts w:asciiTheme="minorHAnsi" w:eastAsiaTheme="minorEastAsia" w:hAnsiTheme="minorHAnsi" w:cstheme="minorBidi"/>
              </w:rPr>
              <w:tab/>
            </w:r>
            <w:r w:rsidR="00B14A18" w:rsidRPr="00EA6AD3">
              <w:rPr>
                <w:rStyle w:val="Hyperlink"/>
              </w:rPr>
              <w:t xml:space="preserve"> Outcome Measures and Analysis: diagnostic accuracy (Population 2)</w:t>
            </w:r>
            <w:r w:rsidR="00B14A18">
              <w:rPr>
                <w:webHidden/>
              </w:rPr>
              <w:tab/>
            </w:r>
            <w:r w:rsidR="00B14A18">
              <w:rPr>
                <w:webHidden/>
              </w:rPr>
              <w:fldChar w:fldCharType="begin"/>
            </w:r>
            <w:r w:rsidR="00B14A18">
              <w:rPr>
                <w:webHidden/>
              </w:rPr>
              <w:instrText xml:space="preserve"> PAGEREF _Toc460513939 \h </w:instrText>
            </w:r>
            <w:r w:rsidR="00B14A18">
              <w:rPr>
                <w:webHidden/>
              </w:rPr>
            </w:r>
            <w:r w:rsidR="00B14A18">
              <w:rPr>
                <w:webHidden/>
              </w:rPr>
              <w:fldChar w:fldCharType="separate"/>
            </w:r>
            <w:r w:rsidR="0029649D">
              <w:rPr>
                <w:webHidden/>
              </w:rPr>
              <w:t>87</w:t>
            </w:r>
            <w:r w:rsidR="00B14A18">
              <w:rPr>
                <w:webHidden/>
              </w:rPr>
              <w:fldChar w:fldCharType="end"/>
            </w:r>
          </w:hyperlink>
        </w:p>
        <w:p w14:paraId="6463E01D" w14:textId="2692351F" w:rsidR="00B14A18" w:rsidRDefault="00DD0356">
          <w:pPr>
            <w:pStyle w:val="TOC2"/>
            <w:tabs>
              <w:tab w:val="left" w:pos="1540"/>
            </w:tabs>
            <w:rPr>
              <w:rFonts w:asciiTheme="minorHAnsi" w:eastAsiaTheme="minorEastAsia" w:hAnsiTheme="minorHAnsi" w:cstheme="minorBidi"/>
            </w:rPr>
          </w:pPr>
          <w:hyperlink w:anchor="_Toc460513940" w:history="1">
            <w:r w:rsidR="00B14A18" w:rsidRPr="00EA6AD3">
              <w:rPr>
                <w:rStyle w:val="Hyperlink"/>
              </w:rPr>
              <w:t>B6.6</w:t>
            </w:r>
            <w:r w:rsidR="00B14A18">
              <w:rPr>
                <w:rFonts w:asciiTheme="minorHAnsi" w:eastAsiaTheme="minorEastAsia" w:hAnsiTheme="minorHAnsi" w:cstheme="minorBidi"/>
              </w:rPr>
              <w:tab/>
            </w:r>
            <w:r w:rsidR="00B14A18" w:rsidRPr="00EA6AD3">
              <w:rPr>
                <w:rStyle w:val="Hyperlink"/>
              </w:rPr>
              <w:t>Results of the Systematic Literature review: diagnostic accuracy (Population 2)</w:t>
            </w:r>
            <w:r w:rsidR="00B14A18">
              <w:rPr>
                <w:webHidden/>
              </w:rPr>
              <w:tab/>
            </w:r>
            <w:r w:rsidR="00B14A18">
              <w:rPr>
                <w:webHidden/>
              </w:rPr>
              <w:tab/>
            </w:r>
            <w:r w:rsidR="00B14A18">
              <w:rPr>
                <w:webHidden/>
              </w:rPr>
              <w:fldChar w:fldCharType="begin"/>
            </w:r>
            <w:r w:rsidR="00B14A18">
              <w:rPr>
                <w:webHidden/>
              </w:rPr>
              <w:instrText xml:space="preserve"> PAGEREF _Toc460513940 \h </w:instrText>
            </w:r>
            <w:r w:rsidR="00B14A18">
              <w:rPr>
                <w:webHidden/>
              </w:rPr>
            </w:r>
            <w:r w:rsidR="00B14A18">
              <w:rPr>
                <w:webHidden/>
              </w:rPr>
              <w:fldChar w:fldCharType="separate"/>
            </w:r>
            <w:r w:rsidR="0029649D">
              <w:rPr>
                <w:webHidden/>
              </w:rPr>
              <w:t>89</w:t>
            </w:r>
            <w:r w:rsidR="00B14A18">
              <w:rPr>
                <w:webHidden/>
              </w:rPr>
              <w:fldChar w:fldCharType="end"/>
            </w:r>
          </w:hyperlink>
        </w:p>
        <w:p w14:paraId="6699ABC6" w14:textId="77777777" w:rsidR="00B14A18" w:rsidRDefault="00DD0356">
          <w:pPr>
            <w:pStyle w:val="TOC3"/>
            <w:rPr>
              <w:rFonts w:asciiTheme="minorHAnsi" w:eastAsiaTheme="minorEastAsia" w:hAnsiTheme="minorHAnsi" w:cstheme="minorBidi"/>
            </w:rPr>
          </w:pPr>
          <w:hyperlink w:anchor="_Toc460513941" w:history="1">
            <w:r w:rsidR="00B14A18" w:rsidRPr="00EA6AD3">
              <w:rPr>
                <w:rStyle w:val="Hyperlink"/>
              </w:rPr>
              <w:t>Is mpMRI accurate?</w:t>
            </w:r>
            <w:r w:rsidR="00B14A18">
              <w:rPr>
                <w:webHidden/>
              </w:rPr>
              <w:tab/>
            </w:r>
            <w:r w:rsidR="00B14A18">
              <w:rPr>
                <w:webHidden/>
              </w:rPr>
              <w:fldChar w:fldCharType="begin"/>
            </w:r>
            <w:r w:rsidR="00B14A18">
              <w:rPr>
                <w:webHidden/>
              </w:rPr>
              <w:instrText xml:space="preserve"> PAGEREF _Toc460513941 \h </w:instrText>
            </w:r>
            <w:r w:rsidR="00B14A18">
              <w:rPr>
                <w:webHidden/>
              </w:rPr>
            </w:r>
            <w:r w:rsidR="00B14A18">
              <w:rPr>
                <w:webHidden/>
              </w:rPr>
              <w:fldChar w:fldCharType="separate"/>
            </w:r>
            <w:r w:rsidR="0029649D">
              <w:rPr>
                <w:webHidden/>
              </w:rPr>
              <w:t>89</w:t>
            </w:r>
            <w:r w:rsidR="00B14A18">
              <w:rPr>
                <w:webHidden/>
              </w:rPr>
              <w:fldChar w:fldCharType="end"/>
            </w:r>
          </w:hyperlink>
        </w:p>
        <w:p w14:paraId="305FB2B5" w14:textId="77777777" w:rsidR="00B14A18" w:rsidRDefault="00DD0356">
          <w:pPr>
            <w:pStyle w:val="TOC2"/>
            <w:tabs>
              <w:tab w:val="left" w:pos="1540"/>
            </w:tabs>
            <w:rPr>
              <w:rFonts w:asciiTheme="minorHAnsi" w:eastAsiaTheme="minorEastAsia" w:hAnsiTheme="minorHAnsi" w:cstheme="minorBidi"/>
            </w:rPr>
          </w:pPr>
          <w:hyperlink w:anchor="_Toc460513942" w:history="1">
            <w:r w:rsidR="00B14A18" w:rsidRPr="00EA6AD3">
              <w:rPr>
                <w:rStyle w:val="Hyperlink"/>
              </w:rPr>
              <w:t>B6.7</w:t>
            </w:r>
            <w:r w:rsidR="00B14A18">
              <w:rPr>
                <w:rFonts w:asciiTheme="minorHAnsi" w:eastAsiaTheme="minorEastAsia" w:hAnsiTheme="minorHAnsi" w:cstheme="minorBidi"/>
              </w:rPr>
              <w:tab/>
            </w:r>
            <w:r w:rsidR="00B14A18" w:rsidRPr="00EA6AD3">
              <w:rPr>
                <w:rStyle w:val="Hyperlink"/>
              </w:rPr>
              <w:t xml:space="preserve"> Extended assessment of reliability evidence (population 2)</w:t>
            </w:r>
            <w:r w:rsidR="00B14A18">
              <w:rPr>
                <w:webHidden/>
              </w:rPr>
              <w:tab/>
            </w:r>
            <w:r w:rsidR="00B14A18">
              <w:rPr>
                <w:webHidden/>
              </w:rPr>
              <w:fldChar w:fldCharType="begin"/>
            </w:r>
            <w:r w:rsidR="00B14A18">
              <w:rPr>
                <w:webHidden/>
              </w:rPr>
              <w:instrText xml:space="preserve"> PAGEREF _Toc460513942 \h </w:instrText>
            </w:r>
            <w:r w:rsidR="00B14A18">
              <w:rPr>
                <w:webHidden/>
              </w:rPr>
            </w:r>
            <w:r w:rsidR="00B14A18">
              <w:rPr>
                <w:webHidden/>
              </w:rPr>
              <w:fldChar w:fldCharType="separate"/>
            </w:r>
            <w:r w:rsidR="0029649D">
              <w:rPr>
                <w:webHidden/>
              </w:rPr>
              <w:t>92</w:t>
            </w:r>
            <w:r w:rsidR="00B14A18">
              <w:rPr>
                <w:webHidden/>
              </w:rPr>
              <w:fldChar w:fldCharType="end"/>
            </w:r>
          </w:hyperlink>
        </w:p>
        <w:p w14:paraId="6257932F" w14:textId="77777777" w:rsidR="00B14A18" w:rsidRDefault="00DD0356">
          <w:pPr>
            <w:pStyle w:val="TOC2"/>
            <w:tabs>
              <w:tab w:val="left" w:pos="1540"/>
            </w:tabs>
            <w:rPr>
              <w:rFonts w:asciiTheme="minorHAnsi" w:eastAsiaTheme="minorEastAsia" w:hAnsiTheme="minorHAnsi" w:cstheme="minorBidi"/>
            </w:rPr>
          </w:pPr>
          <w:hyperlink w:anchor="_Toc460513943" w:history="1">
            <w:r w:rsidR="00B14A18" w:rsidRPr="00EA6AD3">
              <w:rPr>
                <w:rStyle w:val="Hyperlink"/>
              </w:rPr>
              <w:t>B6.8</w:t>
            </w:r>
            <w:r w:rsidR="00B14A18">
              <w:rPr>
                <w:rFonts w:asciiTheme="minorHAnsi" w:eastAsiaTheme="minorEastAsia" w:hAnsiTheme="minorHAnsi" w:cstheme="minorBidi"/>
              </w:rPr>
              <w:tab/>
            </w:r>
            <w:r w:rsidR="00B14A18" w:rsidRPr="00EA6AD3">
              <w:rPr>
                <w:rStyle w:val="Hyperlink"/>
              </w:rPr>
              <w:t xml:space="preserve"> Assessment of clinical utility (Population 2)</w:t>
            </w:r>
            <w:r w:rsidR="00B14A18">
              <w:rPr>
                <w:webHidden/>
              </w:rPr>
              <w:tab/>
            </w:r>
            <w:r w:rsidR="00B14A18">
              <w:rPr>
                <w:webHidden/>
              </w:rPr>
              <w:fldChar w:fldCharType="begin"/>
            </w:r>
            <w:r w:rsidR="00B14A18">
              <w:rPr>
                <w:webHidden/>
              </w:rPr>
              <w:instrText xml:space="preserve"> PAGEREF _Toc460513943 \h </w:instrText>
            </w:r>
            <w:r w:rsidR="00B14A18">
              <w:rPr>
                <w:webHidden/>
              </w:rPr>
            </w:r>
            <w:r w:rsidR="00B14A18">
              <w:rPr>
                <w:webHidden/>
              </w:rPr>
              <w:fldChar w:fldCharType="separate"/>
            </w:r>
            <w:r w:rsidR="0029649D">
              <w:rPr>
                <w:webHidden/>
              </w:rPr>
              <w:t>92</w:t>
            </w:r>
            <w:r w:rsidR="00B14A18">
              <w:rPr>
                <w:webHidden/>
              </w:rPr>
              <w:fldChar w:fldCharType="end"/>
            </w:r>
          </w:hyperlink>
        </w:p>
        <w:p w14:paraId="54B64C36" w14:textId="77777777" w:rsidR="00B14A18" w:rsidRDefault="00DD0356">
          <w:pPr>
            <w:pStyle w:val="TOC2"/>
            <w:tabs>
              <w:tab w:val="left" w:pos="1540"/>
            </w:tabs>
            <w:rPr>
              <w:rFonts w:asciiTheme="minorHAnsi" w:eastAsiaTheme="minorEastAsia" w:hAnsiTheme="minorHAnsi" w:cstheme="minorBidi"/>
            </w:rPr>
          </w:pPr>
          <w:hyperlink w:anchor="_Toc460513944" w:history="1">
            <w:r w:rsidR="00B14A18" w:rsidRPr="00EA6AD3">
              <w:rPr>
                <w:rStyle w:val="Hyperlink"/>
              </w:rPr>
              <w:t>B6.9</w:t>
            </w:r>
            <w:r w:rsidR="00B14A18">
              <w:rPr>
                <w:rFonts w:asciiTheme="minorHAnsi" w:eastAsiaTheme="minorEastAsia" w:hAnsiTheme="minorHAnsi" w:cstheme="minorBidi"/>
              </w:rPr>
              <w:tab/>
            </w:r>
            <w:r w:rsidR="00B14A18" w:rsidRPr="00EA6AD3">
              <w:rPr>
                <w:rStyle w:val="Hyperlink"/>
              </w:rPr>
              <w:t xml:space="preserve"> Interpretation of evidence on monitoring (Population 2)</w:t>
            </w:r>
            <w:r w:rsidR="00B14A18">
              <w:rPr>
                <w:webHidden/>
              </w:rPr>
              <w:tab/>
            </w:r>
            <w:r w:rsidR="00B14A18">
              <w:rPr>
                <w:webHidden/>
              </w:rPr>
              <w:fldChar w:fldCharType="begin"/>
            </w:r>
            <w:r w:rsidR="00B14A18">
              <w:rPr>
                <w:webHidden/>
              </w:rPr>
              <w:instrText xml:space="preserve"> PAGEREF _Toc460513944 \h </w:instrText>
            </w:r>
            <w:r w:rsidR="00B14A18">
              <w:rPr>
                <w:webHidden/>
              </w:rPr>
            </w:r>
            <w:r w:rsidR="00B14A18">
              <w:rPr>
                <w:webHidden/>
              </w:rPr>
              <w:fldChar w:fldCharType="separate"/>
            </w:r>
            <w:r w:rsidR="0029649D">
              <w:rPr>
                <w:webHidden/>
              </w:rPr>
              <w:t>94</w:t>
            </w:r>
            <w:r w:rsidR="00B14A18">
              <w:rPr>
                <w:webHidden/>
              </w:rPr>
              <w:fldChar w:fldCharType="end"/>
            </w:r>
          </w:hyperlink>
        </w:p>
        <w:p w14:paraId="7096A129" w14:textId="77777777" w:rsidR="00B14A18" w:rsidRDefault="00DD0356">
          <w:pPr>
            <w:pStyle w:val="TOC1"/>
            <w:rPr>
              <w:rFonts w:asciiTheme="minorHAnsi" w:eastAsiaTheme="minorEastAsia" w:hAnsiTheme="minorHAnsi" w:cstheme="minorBidi"/>
              <w:b w:val="0"/>
            </w:rPr>
          </w:pPr>
          <w:hyperlink w:anchor="_Toc460513945" w:history="1">
            <w:r w:rsidR="00B14A18" w:rsidRPr="00EA6AD3">
              <w:rPr>
                <w:rStyle w:val="Hyperlink"/>
              </w:rPr>
              <w:t>B7</w:t>
            </w:r>
            <w:r w:rsidR="00B14A18">
              <w:rPr>
                <w:rFonts w:asciiTheme="minorHAnsi" w:eastAsiaTheme="minorEastAsia" w:hAnsiTheme="minorHAnsi" w:cstheme="minorBidi"/>
                <w:b w:val="0"/>
              </w:rPr>
              <w:tab/>
            </w:r>
            <w:r w:rsidR="00B14A18" w:rsidRPr="00EA6AD3">
              <w:rPr>
                <w:rStyle w:val="Hyperlink"/>
              </w:rPr>
              <w:t>Extended assessment of comparative harms</w:t>
            </w:r>
            <w:r w:rsidR="00B14A18">
              <w:rPr>
                <w:webHidden/>
              </w:rPr>
              <w:tab/>
            </w:r>
            <w:r w:rsidR="00B14A18">
              <w:rPr>
                <w:webHidden/>
              </w:rPr>
              <w:fldChar w:fldCharType="begin"/>
            </w:r>
            <w:r w:rsidR="00B14A18">
              <w:rPr>
                <w:webHidden/>
              </w:rPr>
              <w:instrText xml:space="preserve"> PAGEREF _Toc460513945 \h </w:instrText>
            </w:r>
            <w:r w:rsidR="00B14A18">
              <w:rPr>
                <w:webHidden/>
              </w:rPr>
            </w:r>
            <w:r w:rsidR="00B14A18">
              <w:rPr>
                <w:webHidden/>
              </w:rPr>
              <w:fldChar w:fldCharType="separate"/>
            </w:r>
            <w:r w:rsidR="0029649D">
              <w:rPr>
                <w:webHidden/>
              </w:rPr>
              <w:t>96</w:t>
            </w:r>
            <w:r w:rsidR="00B14A18">
              <w:rPr>
                <w:webHidden/>
              </w:rPr>
              <w:fldChar w:fldCharType="end"/>
            </w:r>
          </w:hyperlink>
        </w:p>
        <w:p w14:paraId="5DB19129" w14:textId="77777777" w:rsidR="00B14A18" w:rsidRDefault="00DD0356">
          <w:pPr>
            <w:pStyle w:val="TOC2"/>
            <w:rPr>
              <w:rFonts w:asciiTheme="minorHAnsi" w:eastAsiaTheme="minorEastAsia" w:hAnsiTheme="minorHAnsi" w:cstheme="minorBidi"/>
            </w:rPr>
          </w:pPr>
          <w:hyperlink w:anchor="_Toc460513946" w:history="1">
            <w:r w:rsidR="00B14A18" w:rsidRPr="00EA6AD3">
              <w:rPr>
                <w:rStyle w:val="Hyperlink"/>
              </w:rPr>
              <w:t>B7.1 Safety of mpMRI</w:t>
            </w:r>
            <w:r w:rsidR="00B14A18">
              <w:rPr>
                <w:webHidden/>
              </w:rPr>
              <w:tab/>
            </w:r>
            <w:r w:rsidR="00B14A18">
              <w:rPr>
                <w:webHidden/>
              </w:rPr>
              <w:fldChar w:fldCharType="begin"/>
            </w:r>
            <w:r w:rsidR="00B14A18">
              <w:rPr>
                <w:webHidden/>
              </w:rPr>
              <w:instrText xml:space="preserve"> PAGEREF _Toc460513946 \h </w:instrText>
            </w:r>
            <w:r w:rsidR="00B14A18">
              <w:rPr>
                <w:webHidden/>
              </w:rPr>
            </w:r>
            <w:r w:rsidR="00B14A18">
              <w:rPr>
                <w:webHidden/>
              </w:rPr>
              <w:fldChar w:fldCharType="separate"/>
            </w:r>
            <w:r w:rsidR="0029649D">
              <w:rPr>
                <w:webHidden/>
              </w:rPr>
              <w:t>96</w:t>
            </w:r>
            <w:r w:rsidR="00B14A18">
              <w:rPr>
                <w:webHidden/>
              </w:rPr>
              <w:fldChar w:fldCharType="end"/>
            </w:r>
          </w:hyperlink>
        </w:p>
        <w:p w14:paraId="001AC810" w14:textId="77777777" w:rsidR="00B14A18" w:rsidRDefault="00DD0356">
          <w:pPr>
            <w:pStyle w:val="TOC3"/>
            <w:rPr>
              <w:rFonts w:asciiTheme="minorHAnsi" w:eastAsiaTheme="minorEastAsia" w:hAnsiTheme="minorHAnsi" w:cstheme="minorBidi"/>
            </w:rPr>
          </w:pPr>
          <w:hyperlink w:anchor="_Toc460513947" w:history="1">
            <w:r w:rsidR="00B14A18" w:rsidRPr="00EA6AD3">
              <w:rPr>
                <w:rStyle w:val="Hyperlink"/>
              </w:rPr>
              <w:t>The static magnetic field</w:t>
            </w:r>
            <w:r w:rsidR="00B14A18">
              <w:rPr>
                <w:webHidden/>
              </w:rPr>
              <w:tab/>
            </w:r>
            <w:r w:rsidR="00B14A18">
              <w:rPr>
                <w:webHidden/>
              </w:rPr>
              <w:fldChar w:fldCharType="begin"/>
            </w:r>
            <w:r w:rsidR="00B14A18">
              <w:rPr>
                <w:webHidden/>
              </w:rPr>
              <w:instrText xml:space="preserve"> PAGEREF _Toc460513947 \h </w:instrText>
            </w:r>
            <w:r w:rsidR="00B14A18">
              <w:rPr>
                <w:webHidden/>
              </w:rPr>
            </w:r>
            <w:r w:rsidR="00B14A18">
              <w:rPr>
                <w:webHidden/>
              </w:rPr>
              <w:fldChar w:fldCharType="separate"/>
            </w:r>
            <w:r w:rsidR="0029649D">
              <w:rPr>
                <w:webHidden/>
              </w:rPr>
              <w:t>96</w:t>
            </w:r>
            <w:r w:rsidR="00B14A18">
              <w:rPr>
                <w:webHidden/>
              </w:rPr>
              <w:fldChar w:fldCharType="end"/>
            </w:r>
          </w:hyperlink>
        </w:p>
        <w:p w14:paraId="1E79AC16" w14:textId="77777777" w:rsidR="00B14A18" w:rsidRDefault="00DD0356">
          <w:pPr>
            <w:pStyle w:val="TOC3"/>
            <w:rPr>
              <w:rFonts w:asciiTheme="minorHAnsi" w:eastAsiaTheme="minorEastAsia" w:hAnsiTheme="minorHAnsi" w:cstheme="minorBidi"/>
            </w:rPr>
          </w:pPr>
          <w:hyperlink w:anchor="_Toc460513948" w:history="1">
            <w:r w:rsidR="00B14A18" w:rsidRPr="00EA6AD3">
              <w:rPr>
                <w:rStyle w:val="Hyperlink"/>
              </w:rPr>
              <w:t>Time-varying magnetic field</w:t>
            </w:r>
            <w:r w:rsidR="00B14A18">
              <w:rPr>
                <w:webHidden/>
              </w:rPr>
              <w:tab/>
            </w:r>
            <w:r w:rsidR="00B14A18">
              <w:rPr>
                <w:webHidden/>
              </w:rPr>
              <w:fldChar w:fldCharType="begin"/>
            </w:r>
            <w:r w:rsidR="00B14A18">
              <w:rPr>
                <w:webHidden/>
              </w:rPr>
              <w:instrText xml:space="preserve"> PAGEREF _Toc460513948 \h </w:instrText>
            </w:r>
            <w:r w:rsidR="00B14A18">
              <w:rPr>
                <w:webHidden/>
              </w:rPr>
            </w:r>
            <w:r w:rsidR="00B14A18">
              <w:rPr>
                <w:webHidden/>
              </w:rPr>
              <w:fldChar w:fldCharType="separate"/>
            </w:r>
            <w:r w:rsidR="0029649D">
              <w:rPr>
                <w:webHidden/>
              </w:rPr>
              <w:t>96</w:t>
            </w:r>
            <w:r w:rsidR="00B14A18">
              <w:rPr>
                <w:webHidden/>
              </w:rPr>
              <w:fldChar w:fldCharType="end"/>
            </w:r>
          </w:hyperlink>
        </w:p>
        <w:p w14:paraId="3CCB8A28" w14:textId="77777777" w:rsidR="00B14A18" w:rsidRDefault="00DD0356">
          <w:pPr>
            <w:pStyle w:val="TOC3"/>
            <w:rPr>
              <w:rFonts w:asciiTheme="minorHAnsi" w:eastAsiaTheme="minorEastAsia" w:hAnsiTheme="minorHAnsi" w:cstheme="minorBidi"/>
            </w:rPr>
          </w:pPr>
          <w:hyperlink w:anchor="_Toc460513949" w:history="1">
            <w:r w:rsidR="00B14A18" w:rsidRPr="00EA6AD3">
              <w:rPr>
                <w:rStyle w:val="Hyperlink"/>
              </w:rPr>
              <w:t>Radiofrequency magnetic fields</w:t>
            </w:r>
            <w:r w:rsidR="00B14A18">
              <w:rPr>
                <w:webHidden/>
              </w:rPr>
              <w:tab/>
            </w:r>
            <w:r w:rsidR="00B14A18">
              <w:rPr>
                <w:webHidden/>
              </w:rPr>
              <w:fldChar w:fldCharType="begin"/>
            </w:r>
            <w:r w:rsidR="00B14A18">
              <w:rPr>
                <w:webHidden/>
              </w:rPr>
              <w:instrText xml:space="preserve"> PAGEREF _Toc460513949 \h </w:instrText>
            </w:r>
            <w:r w:rsidR="00B14A18">
              <w:rPr>
                <w:webHidden/>
              </w:rPr>
            </w:r>
            <w:r w:rsidR="00B14A18">
              <w:rPr>
                <w:webHidden/>
              </w:rPr>
              <w:fldChar w:fldCharType="separate"/>
            </w:r>
            <w:r w:rsidR="0029649D">
              <w:rPr>
                <w:webHidden/>
              </w:rPr>
              <w:t>96</w:t>
            </w:r>
            <w:r w:rsidR="00B14A18">
              <w:rPr>
                <w:webHidden/>
              </w:rPr>
              <w:fldChar w:fldCharType="end"/>
            </w:r>
          </w:hyperlink>
        </w:p>
        <w:p w14:paraId="677FF14D" w14:textId="77777777" w:rsidR="00B14A18" w:rsidRDefault="00DD0356">
          <w:pPr>
            <w:pStyle w:val="TOC3"/>
            <w:rPr>
              <w:rFonts w:asciiTheme="minorHAnsi" w:eastAsiaTheme="minorEastAsia" w:hAnsiTheme="minorHAnsi" w:cstheme="minorBidi"/>
            </w:rPr>
          </w:pPr>
          <w:hyperlink w:anchor="_Toc460513950" w:history="1">
            <w:r w:rsidR="00B14A18" w:rsidRPr="00EA6AD3">
              <w:rPr>
                <w:rStyle w:val="Hyperlink"/>
              </w:rPr>
              <w:t>Other considerations</w:t>
            </w:r>
            <w:r w:rsidR="00B14A18">
              <w:rPr>
                <w:webHidden/>
              </w:rPr>
              <w:tab/>
            </w:r>
            <w:r w:rsidR="00B14A18">
              <w:rPr>
                <w:webHidden/>
              </w:rPr>
              <w:fldChar w:fldCharType="begin"/>
            </w:r>
            <w:r w:rsidR="00B14A18">
              <w:rPr>
                <w:webHidden/>
              </w:rPr>
              <w:instrText xml:space="preserve"> PAGEREF _Toc460513950 \h </w:instrText>
            </w:r>
            <w:r w:rsidR="00B14A18">
              <w:rPr>
                <w:webHidden/>
              </w:rPr>
            </w:r>
            <w:r w:rsidR="00B14A18">
              <w:rPr>
                <w:webHidden/>
              </w:rPr>
              <w:fldChar w:fldCharType="separate"/>
            </w:r>
            <w:r w:rsidR="0029649D">
              <w:rPr>
                <w:webHidden/>
              </w:rPr>
              <w:t>97</w:t>
            </w:r>
            <w:r w:rsidR="00B14A18">
              <w:rPr>
                <w:webHidden/>
              </w:rPr>
              <w:fldChar w:fldCharType="end"/>
            </w:r>
          </w:hyperlink>
        </w:p>
        <w:p w14:paraId="32590FD5" w14:textId="77777777" w:rsidR="00B14A18" w:rsidRDefault="00DD0356">
          <w:pPr>
            <w:pStyle w:val="TOC3"/>
            <w:rPr>
              <w:rFonts w:asciiTheme="minorHAnsi" w:eastAsiaTheme="minorEastAsia" w:hAnsiTheme="minorHAnsi" w:cstheme="minorBidi"/>
            </w:rPr>
          </w:pPr>
          <w:hyperlink w:anchor="_Toc460513951" w:history="1">
            <w:r w:rsidR="00B14A18" w:rsidRPr="00EA6AD3">
              <w:rPr>
                <w:rStyle w:val="Hyperlink"/>
              </w:rPr>
              <w:t>Safety of gadolinium-based contrast agents</w:t>
            </w:r>
            <w:r w:rsidR="00B14A18">
              <w:rPr>
                <w:webHidden/>
              </w:rPr>
              <w:tab/>
            </w:r>
            <w:r w:rsidR="00B14A18">
              <w:rPr>
                <w:webHidden/>
              </w:rPr>
              <w:fldChar w:fldCharType="begin"/>
            </w:r>
            <w:r w:rsidR="00B14A18">
              <w:rPr>
                <w:webHidden/>
              </w:rPr>
              <w:instrText xml:space="preserve"> PAGEREF _Toc460513951 \h </w:instrText>
            </w:r>
            <w:r w:rsidR="00B14A18">
              <w:rPr>
                <w:webHidden/>
              </w:rPr>
            </w:r>
            <w:r w:rsidR="00B14A18">
              <w:rPr>
                <w:webHidden/>
              </w:rPr>
              <w:fldChar w:fldCharType="separate"/>
            </w:r>
            <w:r w:rsidR="0029649D">
              <w:rPr>
                <w:webHidden/>
              </w:rPr>
              <w:t>97</w:t>
            </w:r>
            <w:r w:rsidR="00B14A18">
              <w:rPr>
                <w:webHidden/>
              </w:rPr>
              <w:fldChar w:fldCharType="end"/>
            </w:r>
          </w:hyperlink>
        </w:p>
        <w:p w14:paraId="1DC137B2" w14:textId="77777777" w:rsidR="00B14A18" w:rsidRDefault="00DD0356">
          <w:pPr>
            <w:pStyle w:val="TOC3"/>
            <w:rPr>
              <w:rFonts w:asciiTheme="minorHAnsi" w:eastAsiaTheme="minorEastAsia" w:hAnsiTheme="minorHAnsi" w:cstheme="minorBidi"/>
            </w:rPr>
          </w:pPr>
          <w:hyperlink w:anchor="_Toc460513952" w:history="1">
            <w:r w:rsidR="00B14A18" w:rsidRPr="00EA6AD3">
              <w:rPr>
                <w:rStyle w:val="Hyperlink"/>
              </w:rPr>
              <w:t>Summary</w:t>
            </w:r>
            <w:r w:rsidR="00B14A18">
              <w:rPr>
                <w:webHidden/>
              </w:rPr>
              <w:tab/>
            </w:r>
            <w:r w:rsidR="00B14A18">
              <w:rPr>
                <w:webHidden/>
              </w:rPr>
              <w:fldChar w:fldCharType="begin"/>
            </w:r>
            <w:r w:rsidR="00B14A18">
              <w:rPr>
                <w:webHidden/>
              </w:rPr>
              <w:instrText xml:space="preserve"> PAGEREF _Toc460513952 \h </w:instrText>
            </w:r>
            <w:r w:rsidR="00B14A18">
              <w:rPr>
                <w:webHidden/>
              </w:rPr>
            </w:r>
            <w:r w:rsidR="00B14A18">
              <w:rPr>
                <w:webHidden/>
              </w:rPr>
              <w:fldChar w:fldCharType="separate"/>
            </w:r>
            <w:r w:rsidR="0029649D">
              <w:rPr>
                <w:webHidden/>
              </w:rPr>
              <w:t>98</w:t>
            </w:r>
            <w:r w:rsidR="00B14A18">
              <w:rPr>
                <w:webHidden/>
              </w:rPr>
              <w:fldChar w:fldCharType="end"/>
            </w:r>
          </w:hyperlink>
        </w:p>
        <w:p w14:paraId="18826EEC" w14:textId="77777777" w:rsidR="00B14A18" w:rsidRDefault="00DD0356">
          <w:pPr>
            <w:pStyle w:val="TOC2"/>
            <w:tabs>
              <w:tab w:val="left" w:pos="1540"/>
            </w:tabs>
            <w:rPr>
              <w:rFonts w:asciiTheme="minorHAnsi" w:eastAsiaTheme="minorEastAsia" w:hAnsiTheme="minorHAnsi" w:cstheme="minorBidi"/>
            </w:rPr>
          </w:pPr>
          <w:hyperlink w:anchor="_Toc460513953" w:history="1">
            <w:r w:rsidR="00B14A18" w:rsidRPr="00EA6AD3">
              <w:rPr>
                <w:rStyle w:val="Hyperlink"/>
              </w:rPr>
              <w:t>B7.2</w:t>
            </w:r>
            <w:r w:rsidR="00B14A18">
              <w:rPr>
                <w:rFonts w:asciiTheme="minorHAnsi" w:eastAsiaTheme="minorEastAsia" w:hAnsiTheme="minorHAnsi" w:cstheme="minorBidi"/>
              </w:rPr>
              <w:tab/>
            </w:r>
            <w:r w:rsidR="00B14A18" w:rsidRPr="00EA6AD3">
              <w:rPr>
                <w:rStyle w:val="Hyperlink"/>
              </w:rPr>
              <w:t xml:space="preserve"> Safety of comparator test – Biopsy</w:t>
            </w:r>
            <w:r w:rsidR="00B14A18">
              <w:rPr>
                <w:webHidden/>
              </w:rPr>
              <w:tab/>
            </w:r>
            <w:r w:rsidR="00B14A18">
              <w:rPr>
                <w:webHidden/>
              </w:rPr>
              <w:fldChar w:fldCharType="begin"/>
            </w:r>
            <w:r w:rsidR="00B14A18">
              <w:rPr>
                <w:webHidden/>
              </w:rPr>
              <w:instrText xml:space="preserve"> PAGEREF _Toc460513953 \h </w:instrText>
            </w:r>
            <w:r w:rsidR="00B14A18">
              <w:rPr>
                <w:webHidden/>
              </w:rPr>
            </w:r>
            <w:r w:rsidR="00B14A18">
              <w:rPr>
                <w:webHidden/>
              </w:rPr>
              <w:fldChar w:fldCharType="separate"/>
            </w:r>
            <w:r w:rsidR="0029649D">
              <w:rPr>
                <w:webHidden/>
              </w:rPr>
              <w:t>98</w:t>
            </w:r>
            <w:r w:rsidR="00B14A18">
              <w:rPr>
                <w:webHidden/>
              </w:rPr>
              <w:fldChar w:fldCharType="end"/>
            </w:r>
          </w:hyperlink>
        </w:p>
        <w:p w14:paraId="5EE6239B" w14:textId="77777777" w:rsidR="00B14A18" w:rsidRDefault="00DD0356">
          <w:pPr>
            <w:pStyle w:val="TOC2"/>
            <w:tabs>
              <w:tab w:val="left" w:pos="1760"/>
            </w:tabs>
            <w:rPr>
              <w:rFonts w:asciiTheme="minorHAnsi" w:eastAsiaTheme="minorEastAsia" w:hAnsiTheme="minorHAnsi" w:cstheme="minorBidi"/>
            </w:rPr>
          </w:pPr>
          <w:hyperlink w:anchor="_Toc460513954" w:history="1">
            <w:r w:rsidR="00B14A18" w:rsidRPr="00EA6AD3">
              <w:rPr>
                <w:rStyle w:val="Hyperlink"/>
              </w:rPr>
              <w:t>B7.2.1</w:t>
            </w:r>
            <w:r w:rsidR="00B14A18">
              <w:rPr>
                <w:rFonts w:asciiTheme="minorHAnsi" w:eastAsiaTheme="minorEastAsia" w:hAnsiTheme="minorHAnsi" w:cstheme="minorBidi"/>
              </w:rPr>
              <w:tab/>
            </w:r>
            <w:r w:rsidR="00B14A18" w:rsidRPr="00EA6AD3">
              <w:rPr>
                <w:rStyle w:val="Hyperlink"/>
              </w:rPr>
              <w:t xml:space="preserve"> Risk of Bias: safety of comparators</w:t>
            </w:r>
            <w:r w:rsidR="00B14A18">
              <w:rPr>
                <w:webHidden/>
              </w:rPr>
              <w:tab/>
            </w:r>
            <w:r w:rsidR="00B14A18">
              <w:rPr>
                <w:webHidden/>
              </w:rPr>
              <w:fldChar w:fldCharType="begin"/>
            </w:r>
            <w:r w:rsidR="00B14A18">
              <w:rPr>
                <w:webHidden/>
              </w:rPr>
              <w:instrText xml:space="preserve"> PAGEREF _Toc460513954 \h </w:instrText>
            </w:r>
            <w:r w:rsidR="00B14A18">
              <w:rPr>
                <w:webHidden/>
              </w:rPr>
            </w:r>
            <w:r w:rsidR="00B14A18">
              <w:rPr>
                <w:webHidden/>
              </w:rPr>
              <w:fldChar w:fldCharType="separate"/>
            </w:r>
            <w:r w:rsidR="0029649D">
              <w:rPr>
                <w:webHidden/>
              </w:rPr>
              <w:t>99</w:t>
            </w:r>
            <w:r w:rsidR="00B14A18">
              <w:rPr>
                <w:webHidden/>
              </w:rPr>
              <w:fldChar w:fldCharType="end"/>
            </w:r>
          </w:hyperlink>
        </w:p>
        <w:p w14:paraId="3DF0E346" w14:textId="77777777" w:rsidR="00B14A18" w:rsidRDefault="00DD0356">
          <w:pPr>
            <w:pStyle w:val="TOC2"/>
            <w:tabs>
              <w:tab w:val="left" w:pos="1540"/>
            </w:tabs>
            <w:rPr>
              <w:rFonts w:asciiTheme="minorHAnsi" w:eastAsiaTheme="minorEastAsia" w:hAnsiTheme="minorHAnsi" w:cstheme="minorBidi"/>
            </w:rPr>
          </w:pPr>
          <w:hyperlink w:anchor="_Toc460513955" w:history="1">
            <w:r w:rsidR="00B14A18" w:rsidRPr="00EA6AD3">
              <w:rPr>
                <w:rStyle w:val="Hyperlink"/>
              </w:rPr>
              <w:t>B7.3</w:t>
            </w:r>
            <w:r w:rsidR="00B14A18">
              <w:rPr>
                <w:rFonts w:asciiTheme="minorHAnsi" w:eastAsiaTheme="minorEastAsia" w:hAnsiTheme="minorHAnsi" w:cstheme="minorBidi"/>
              </w:rPr>
              <w:tab/>
            </w:r>
            <w:r w:rsidR="00B14A18" w:rsidRPr="00EA6AD3">
              <w:rPr>
                <w:rStyle w:val="Hyperlink"/>
              </w:rPr>
              <w:t xml:space="preserve"> Harms associated with Trans-rectal Biopsy</w:t>
            </w:r>
            <w:r w:rsidR="00B14A18">
              <w:rPr>
                <w:webHidden/>
              </w:rPr>
              <w:tab/>
            </w:r>
            <w:r w:rsidR="00B14A18">
              <w:rPr>
                <w:webHidden/>
              </w:rPr>
              <w:fldChar w:fldCharType="begin"/>
            </w:r>
            <w:r w:rsidR="00B14A18">
              <w:rPr>
                <w:webHidden/>
              </w:rPr>
              <w:instrText xml:space="preserve"> PAGEREF _Toc460513955 \h </w:instrText>
            </w:r>
            <w:r w:rsidR="00B14A18">
              <w:rPr>
                <w:webHidden/>
              </w:rPr>
            </w:r>
            <w:r w:rsidR="00B14A18">
              <w:rPr>
                <w:webHidden/>
              </w:rPr>
              <w:fldChar w:fldCharType="separate"/>
            </w:r>
            <w:r w:rsidR="0029649D">
              <w:rPr>
                <w:webHidden/>
              </w:rPr>
              <w:t>100</w:t>
            </w:r>
            <w:r w:rsidR="00B14A18">
              <w:rPr>
                <w:webHidden/>
              </w:rPr>
              <w:fldChar w:fldCharType="end"/>
            </w:r>
          </w:hyperlink>
        </w:p>
        <w:p w14:paraId="5D4BD8D5" w14:textId="77777777" w:rsidR="00B14A18" w:rsidRDefault="00DD0356">
          <w:pPr>
            <w:pStyle w:val="TOC2"/>
            <w:tabs>
              <w:tab w:val="left" w:pos="1760"/>
            </w:tabs>
            <w:rPr>
              <w:rFonts w:asciiTheme="minorHAnsi" w:eastAsiaTheme="minorEastAsia" w:hAnsiTheme="minorHAnsi" w:cstheme="minorBidi"/>
            </w:rPr>
          </w:pPr>
          <w:hyperlink w:anchor="_Toc460513956" w:history="1">
            <w:r w:rsidR="00B14A18" w:rsidRPr="00EA6AD3">
              <w:rPr>
                <w:rStyle w:val="Hyperlink"/>
              </w:rPr>
              <w:t>B7.3.1</w:t>
            </w:r>
            <w:r w:rsidR="00B14A18">
              <w:rPr>
                <w:rFonts w:asciiTheme="minorHAnsi" w:eastAsiaTheme="minorEastAsia" w:hAnsiTheme="minorHAnsi" w:cstheme="minorBidi"/>
              </w:rPr>
              <w:tab/>
            </w:r>
            <w:r w:rsidR="00B14A18" w:rsidRPr="00EA6AD3">
              <w:rPr>
                <w:rStyle w:val="Hyperlink"/>
              </w:rPr>
              <w:t>Mortality associated with trans-rectal biopsy</w:t>
            </w:r>
            <w:r w:rsidR="00B14A18">
              <w:rPr>
                <w:webHidden/>
              </w:rPr>
              <w:tab/>
            </w:r>
            <w:r w:rsidR="00B14A18">
              <w:rPr>
                <w:webHidden/>
              </w:rPr>
              <w:fldChar w:fldCharType="begin"/>
            </w:r>
            <w:r w:rsidR="00B14A18">
              <w:rPr>
                <w:webHidden/>
              </w:rPr>
              <w:instrText xml:space="preserve"> PAGEREF _Toc460513956 \h </w:instrText>
            </w:r>
            <w:r w:rsidR="00B14A18">
              <w:rPr>
                <w:webHidden/>
              </w:rPr>
            </w:r>
            <w:r w:rsidR="00B14A18">
              <w:rPr>
                <w:webHidden/>
              </w:rPr>
              <w:fldChar w:fldCharType="separate"/>
            </w:r>
            <w:r w:rsidR="0029649D">
              <w:rPr>
                <w:webHidden/>
              </w:rPr>
              <w:t>103</w:t>
            </w:r>
            <w:r w:rsidR="00B14A18">
              <w:rPr>
                <w:webHidden/>
              </w:rPr>
              <w:fldChar w:fldCharType="end"/>
            </w:r>
          </w:hyperlink>
        </w:p>
        <w:p w14:paraId="41CA4C81" w14:textId="77777777" w:rsidR="00B14A18" w:rsidRDefault="00DD0356">
          <w:pPr>
            <w:pStyle w:val="TOC2"/>
            <w:tabs>
              <w:tab w:val="left" w:pos="1760"/>
            </w:tabs>
            <w:rPr>
              <w:rFonts w:asciiTheme="minorHAnsi" w:eastAsiaTheme="minorEastAsia" w:hAnsiTheme="minorHAnsi" w:cstheme="minorBidi"/>
            </w:rPr>
          </w:pPr>
          <w:hyperlink w:anchor="_Toc460513957" w:history="1">
            <w:r w:rsidR="00B14A18" w:rsidRPr="00EA6AD3">
              <w:rPr>
                <w:rStyle w:val="Hyperlink"/>
              </w:rPr>
              <w:t>B7.3.2</w:t>
            </w:r>
            <w:r w:rsidR="00B14A18">
              <w:rPr>
                <w:rFonts w:asciiTheme="minorHAnsi" w:eastAsiaTheme="minorEastAsia" w:hAnsiTheme="minorHAnsi" w:cstheme="minorBidi"/>
              </w:rPr>
              <w:tab/>
            </w:r>
            <w:r w:rsidR="00B14A18" w:rsidRPr="00EA6AD3">
              <w:rPr>
                <w:rStyle w:val="Hyperlink"/>
              </w:rPr>
              <w:t>Morbidity associated with trans-rectal biopsy</w:t>
            </w:r>
            <w:r w:rsidR="00B14A18">
              <w:rPr>
                <w:webHidden/>
              </w:rPr>
              <w:tab/>
            </w:r>
            <w:r w:rsidR="00B14A18">
              <w:rPr>
                <w:webHidden/>
              </w:rPr>
              <w:fldChar w:fldCharType="begin"/>
            </w:r>
            <w:r w:rsidR="00B14A18">
              <w:rPr>
                <w:webHidden/>
              </w:rPr>
              <w:instrText xml:space="preserve"> PAGEREF _Toc460513957 \h </w:instrText>
            </w:r>
            <w:r w:rsidR="00B14A18">
              <w:rPr>
                <w:webHidden/>
              </w:rPr>
            </w:r>
            <w:r w:rsidR="00B14A18">
              <w:rPr>
                <w:webHidden/>
              </w:rPr>
              <w:fldChar w:fldCharType="separate"/>
            </w:r>
            <w:r w:rsidR="0029649D">
              <w:rPr>
                <w:webHidden/>
              </w:rPr>
              <w:t>103</w:t>
            </w:r>
            <w:r w:rsidR="00B14A18">
              <w:rPr>
                <w:webHidden/>
              </w:rPr>
              <w:fldChar w:fldCharType="end"/>
            </w:r>
          </w:hyperlink>
        </w:p>
        <w:p w14:paraId="08E5C4A3" w14:textId="77777777" w:rsidR="00B14A18" w:rsidRDefault="00DD0356">
          <w:pPr>
            <w:pStyle w:val="TOC2"/>
            <w:tabs>
              <w:tab w:val="left" w:pos="1540"/>
            </w:tabs>
            <w:rPr>
              <w:rFonts w:asciiTheme="minorHAnsi" w:eastAsiaTheme="minorEastAsia" w:hAnsiTheme="minorHAnsi" w:cstheme="minorBidi"/>
            </w:rPr>
          </w:pPr>
          <w:hyperlink w:anchor="_Toc460513958" w:history="1">
            <w:r w:rsidR="00B14A18" w:rsidRPr="00EA6AD3">
              <w:rPr>
                <w:rStyle w:val="Hyperlink"/>
              </w:rPr>
              <w:t>B7.4</w:t>
            </w:r>
            <w:r w:rsidR="00B14A18">
              <w:rPr>
                <w:rFonts w:asciiTheme="minorHAnsi" w:eastAsiaTheme="minorEastAsia" w:hAnsiTheme="minorHAnsi" w:cstheme="minorBidi"/>
              </w:rPr>
              <w:tab/>
            </w:r>
            <w:r w:rsidR="00B14A18" w:rsidRPr="00EA6AD3">
              <w:rPr>
                <w:rStyle w:val="Hyperlink"/>
              </w:rPr>
              <w:t xml:space="preserve"> Harms associated with Trans-perineal Biopsy</w:t>
            </w:r>
            <w:r w:rsidR="00B14A18">
              <w:rPr>
                <w:webHidden/>
              </w:rPr>
              <w:tab/>
            </w:r>
            <w:r w:rsidR="00B14A18">
              <w:rPr>
                <w:webHidden/>
              </w:rPr>
              <w:fldChar w:fldCharType="begin"/>
            </w:r>
            <w:r w:rsidR="00B14A18">
              <w:rPr>
                <w:webHidden/>
              </w:rPr>
              <w:instrText xml:space="preserve"> PAGEREF _Toc460513958 \h </w:instrText>
            </w:r>
            <w:r w:rsidR="00B14A18">
              <w:rPr>
                <w:webHidden/>
              </w:rPr>
            </w:r>
            <w:r w:rsidR="00B14A18">
              <w:rPr>
                <w:webHidden/>
              </w:rPr>
              <w:fldChar w:fldCharType="separate"/>
            </w:r>
            <w:r w:rsidR="0029649D">
              <w:rPr>
                <w:webHidden/>
              </w:rPr>
              <w:t>104</w:t>
            </w:r>
            <w:r w:rsidR="00B14A18">
              <w:rPr>
                <w:webHidden/>
              </w:rPr>
              <w:fldChar w:fldCharType="end"/>
            </w:r>
          </w:hyperlink>
        </w:p>
        <w:p w14:paraId="71B55789" w14:textId="77777777" w:rsidR="00B14A18" w:rsidRDefault="00DD0356">
          <w:pPr>
            <w:pStyle w:val="TOC2"/>
            <w:tabs>
              <w:tab w:val="left" w:pos="1760"/>
            </w:tabs>
            <w:rPr>
              <w:rFonts w:asciiTheme="minorHAnsi" w:eastAsiaTheme="minorEastAsia" w:hAnsiTheme="minorHAnsi" w:cstheme="minorBidi"/>
            </w:rPr>
          </w:pPr>
          <w:hyperlink w:anchor="_Toc460513959" w:history="1">
            <w:r w:rsidR="00B14A18" w:rsidRPr="00EA6AD3">
              <w:rPr>
                <w:rStyle w:val="Hyperlink"/>
              </w:rPr>
              <w:t>B7.4.1</w:t>
            </w:r>
            <w:r w:rsidR="00B14A18">
              <w:rPr>
                <w:rFonts w:asciiTheme="minorHAnsi" w:eastAsiaTheme="minorEastAsia" w:hAnsiTheme="minorHAnsi" w:cstheme="minorBidi"/>
              </w:rPr>
              <w:tab/>
            </w:r>
            <w:r w:rsidR="00B14A18" w:rsidRPr="00EA6AD3">
              <w:rPr>
                <w:rStyle w:val="Hyperlink"/>
              </w:rPr>
              <w:t>Mortality associated with trans-perineal biopsy</w:t>
            </w:r>
            <w:r w:rsidR="00B14A18">
              <w:rPr>
                <w:webHidden/>
              </w:rPr>
              <w:tab/>
            </w:r>
            <w:r w:rsidR="00B14A18">
              <w:rPr>
                <w:webHidden/>
              </w:rPr>
              <w:fldChar w:fldCharType="begin"/>
            </w:r>
            <w:r w:rsidR="00B14A18">
              <w:rPr>
                <w:webHidden/>
              </w:rPr>
              <w:instrText xml:space="preserve"> PAGEREF _Toc460513959 \h </w:instrText>
            </w:r>
            <w:r w:rsidR="00B14A18">
              <w:rPr>
                <w:webHidden/>
              </w:rPr>
            </w:r>
            <w:r w:rsidR="00B14A18">
              <w:rPr>
                <w:webHidden/>
              </w:rPr>
              <w:fldChar w:fldCharType="separate"/>
            </w:r>
            <w:r w:rsidR="0029649D">
              <w:rPr>
                <w:webHidden/>
              </w:rPr>
              <w:t>104</w:t>
            </w:r>
            <w:r w:rsidR="00B14A18">
              <w:rPr>
                <w:webHidden/>
              </w:rPr>
              <w:fldChar w:fldCharType="end"/>
            </w:r>
          </w:hyperlink>
        </w:p>
        <w:p w14:paraId="54EC170F" w14:textId="77777777" w:rsidR="00B14A18" w:rsidRDefault="00DD0356">
          <w:pPr>
            <w:pStyle w:val="TOC2"/>
            <w:tabs>
              <w:tab w:val="left" w:pos="1760"/>
            </w:tabs>
            <w:rPr>
              <w:rFonts w:asciiTheme="minorHAnsi" w:eastAsiaTheme="minorEastAsia" w:hAnsiTheme="minorHAnsi" w:cstheme="minorBidi"/>
            </w:rPr>
          </w:pPr>
          <w:hyperlink w:anchor="_Toc460513960" w:history="1">
            <w:r w:rsidR="00B14A18" w:rsidRPr="00EA6AD3">
              <w:rPr>
                <w:rStyle w:val="Hyperlink"/>
              </w:rPr>
              <w:t>B7.4.2</w:t>
            </w:r>
            <w:r w:rsidR="00B14A18">
              <w:rPr>
                <w:rFonts w:asciiTheme="minorHAnsi" w:eastAsiaTheme="minorEastAsia" w:hAnsiTheme="minorHAnsi" w:cstheme="minorBidi"/>
              </w:rPr>
              <w:tab/>
            </w:r>
            <w:r w:rsidR="00B14A18" w:rsidRPr="00EA6AD3">
              <w:rPr>
                <w:rStyle w:val="Hyperlink"/>
              </w:rPr>
              <w:t>Morbidity associated with trans-perineal biopsy</w:t>
            </w:r>
            <w:r w:rsidR="00B14A18">
              <w:rPr>
                <w:webHidden/>
              </w:rPr>
              <w:tab/>
            </w:r>
            <w:r w:rsidR="00B14A18">
              <w:rPr>
                <w:webHidden/>
              </w:rPr>
              <w:fldChar w:fldCharType="begin"/>
            </w:r>
            <w:r w:rsidR="00B14A18">
              <w:rPr>
                <w:webHidden/>
              </w:rPr>
              <w:instrText xml:space="preserve"> PAGEREF _Toc460513960 \h </w:instrText>
            </w:r>
            <w:r w:rsidR="00B14A18">
              <w:rPr>
                <w:webHidden/>
              </w:rPr>
            </w:r>
            <w:r w:rsidR="00B14A18">
              <w:rPr>
                <w:webHidden/>
              </w:rPr>
              <w:fldChar w:fldCharType="separate"/>
            </w:r>
            <w:r w:rsidR="0029649D">
              <w:rPr>
                <w:webHidden/>
              </w:rPr>
              <w:t>105</w:t>
            </w:r>
            <w:r w:rsidR="00B14A18">
              <w:rPr>
                <w:webHidden/>
              </w:rPr>
              <w:fldChar w:fldCharType="end"/>
            </w:r>
          </w:hyperlink>
        </w:p>
        <w:p w14:paraId="003D70B2" w14:textId="77777777" w:rsidR="00B14A18" w:rsidRDefault="00DD0356">
          <w:pPr>
            <w:pStyle w:val="TOC2"/>
            <w:tabs>
              <w:tab w:val="left" w:pos="1540"/>
            </w:tabs>
            <w:rPr>
              <w:rFonts w:asciiTheme="minorHAnsi" w:eastAsiaTheme="minorEastAsia" w:hAnsiTheme="minorHAnsi" w:cstheme="minorBidi"/>
            </w:rPr>
          </w:pPr>
          <w:hyperlink w:anchor="_Toc460513961" w:history="1">
            <w:r w:rsidR="00B14A18" w:rsidRPr="00EA6AD3">
              <w:rPr>
                <w:rStyle w:val="Hyperlink"/>
              </w:rPr>
              <w:t>B7.5</w:t>
            </w:r>
            <w:r w:rsidR="00B14A18">
              <w:rPr>
                <w:rFonts w:asciiTheme="minorHAnsi" w:eastAsiaTheme="minorEastAsia" w:hAnsiTheme="minorHAnsi" w:cstheme="minorBidi"/>
              </w:rPr>
              <w:tab/>
            </w:r>
            <w:r w:rsidR="00B14A18" w:rsidRPr="00EA6AD3">
              <w:rPr>
                <w:rStyle w:val="Hyperlink"/>
              </w:rPr>
              <w:t xml:space="preserve"> Other issues concerning the safety prostate Biopsy</w:t>
            </w:r>
            <w:r w:rsidR="00B14A18">
              <w:rPr>
                <w:webHidden/>
              </w:rPr>
              <w:tab/>
            </w:r>
            <w:r w:rsidR="00B14A18">
              <w:rPr>
                <w:webHidden/>
              </w:rPr>
              <w:fldChar w:fldCharType="begin"/>
            </w:r>
            <w:r w:rsidR="00B14A18">
              <w:rPr>
                <w:webHidden/>
              </w:rPr>
              <w:instrText xml:space="preserve"> PAGEREF _Toc460513961 \h </w:instrText>
            </w:r>
            <w:r w:rsidR="00B14A18">
              <w:rPr>
                <w:webHidden/>
              </w:rPr>
            </w:r>
            <w:r w:rsidR="00B14A18">
              <w:rPr>
                <w:webHidden/>
              </w:rPr>
              <w:fldChar w:fldCharType="separate"/>
            </w:r>
            <w:r w:rsidR="0029649D">
              <w:rPr>
                <w:webHidden/>
              </w:rPr>
              <w:t>105</w:t>
            </w:r>
            <w:r w:rsidR="00B14A18">
              <w:rPr>
                <w:webHidden/>
              </w:rPr>
              <w:fldChar w:fldCharType="end"/>
            </w:r>
          </w:hyperlink>
        </w:p>
        <w:p w14:paraId="501912C3" w14:textId="77777777" w:rsidR="00B14A18" w:rsidRDefault="00DD0356">
          <w:pPr>
            <w:pStyle w:val="TOC3"/>
            <w:rPr>
              <w:rFonts w:asciiTheme="minorHAnsi" w:eastAsiaTheme="minorEastAsia" w:hAnsiTheme="minorHAnsi" w:cstheme="minorBidi"/>
            </w:rPr>
          </w:pPr>
          <w:hyperlink w:anchor="_Toc460513962" w:history="1">
            <w:r w:rsidR="00B14A18" w:rsidRPr="00EA6AD3">
              <w:rPr>
                <w:rStyle w:val="Hyperlink"/>
              </w:rPr>
              <w:t>Infection and antibiotic prophylaxis</w:t>
            </w:r>
            <w:r w:rsidR="00B14A18">
              <w:rPr>
                <w:webHidden/>
              </w:rPr>
              <w:tab/>
            </w:r>
            <w:r w:rsidR="00B14A18">
              <w:rPr>
                <w:webHidden/>
              </w:rPr>
              <w:fldChar w:fldCharType="begin"/>
            </w:r>
            <w:r w:rsidR="00B14A18">
              <w:rPr>
                <w:webHidden/>
              </w:rPr>
              <w:instrText xml:space="preserve"> PAGEREF _Toc460513962 \h </w:instrText>
            </w:r>
            <w:r w:rsidR="00B14A18">
              <w:rPr>
                <w:webHidden/>
              </w:rPr>
            </w:r>
            <w:r w:rsidR="00B14A18">
              <w:rPr>
                <w:webHidden/>
              </w:rPr>
              <w:fldChar w:fldCharType="separate"/>
            </w:r>
            <w:r w:rsidR="0029649D">
              <w:rPr>
                <w:webHidden/>
              </w:rPr>
              <w:t>105</w:t>
            </w:r>
            <w:r w:rsidR="00B14A18">
              <w:rPr>
                <w:webHidden/>
              </w:rPr>
              <w:fldChar w:fldCharType="end"/>
            </w:r>
          </w:hyperlink>
        </w:p>
        <w:p w14:paraId="6CF1A239" w14:textId="77777777" w:rsidR="00B14A18" w:rsidRDefault="00DD0356">
          <w:pPr>
            <w:pStyle w:val="TOC3"/>
            <w:rPr>
              <w:rFonts w:asciiTheme="minorHAnsi" w:eastAsiaTheme="minorEastAsia" w:hAnsiTheme="minorHAnsi" w:cstheme="minorBidi"/>
            </w:rPr>
          </w:pPr>
          <w:hyperlink w:anchor="_Toc460513963" w:history="1">
            <w:r w:rsidR="00B14A18" w:rsidRPr="00EA6AD3">
              <w:rPr>
                <w:rStyle w:val="Hyperlink"/>
              </w:rPr>
              <w:t>Pre-biopsy workup including enema</w:t>
            </w:r>
            <w:r w:rsidR="00B14A18">
              <w:rPr>
                <w:webHidden/>
              </w:rPr>
              <w:tab/>
            </w:r>
            <w:r w:rsidR="00B14A18">
              <w:rPr>
                <w:webHidden/>
              </w:rPr>
              <w:fldChar w:fldCharType="begin"/>
            </w:r>
            <w:r w:rsidR="00B14A18">
              <w:rPr>
                <w:webHidden/>
              </w:rPr>
              <w:instrText xml:space="preserve"> PAGEREF _Toc460513963 \h </w:instrText>
            </w:r>
            <w:r w:rsidR="00B14A18">
              <w:rPr>
                <w:webHidden/>
              </w:rPr>
            </w:r>
            <w:r w:rsidR="00B14A18">
              <w:rPr>
                <w:webHidden/>
              </w:rPr>
              <w:fldChar w:fldCharType="separate"/>
            </w:r>
            <w:r w:rsidR="0029649D">
              <w:rPr>
                <w:webHidden/>
              </w:rPr>
              <w:t>106</w:t>
            </w:r>
            <w:r w:rsidR="00B14A18">
              <w:rPr>
                <w:webHidden/>
              </w:rPr>
              <w:fldChar w:fldCharType="end"/>
            </w:r>
          </w:hyperlink>
        </w:p>
        <w:p w14:paraId="0CE955B4" w14:textId="77777777" w:rsidR="00B14A18" w:rsidRDefault="00DD0356">
          <w:pPr>
            <w:pStyle w:val="TOC3"/>
            <w:rPr>
              <w:rFonts w:asciiTheme="minorHAnsi" w:eastAsiaTheme="minorEastAsia" w:hAnsiTheme="minorHAnsi" w:cstheme="minorBidi"/>
            </w:rPr>
          </w:pPr>
          <w:hyperlink w:anchor="_Toc460513964" w:history="1">
            <w:r w:rsidR="00B14A18" w:rsidRPr="00EA6AD3">
              <w:rPr>
                <w:rStyle w:val="Hyperlink"/>
              </w:rPr>
              <w:t>Number of cores</w:t>
            </w:r>
            <w:r w:rsidR="00B14A18">
              <w:rPr>
                <w:webHidden/>
              </w:rPr>
              <w:tab/>
            </w:r>
            <w:r w:rsidR="00B14A18">
              <w:rPr>
                <w:webHidden/>
              </w:rPr>
              <w:fldChar w:fldCharType="begin"/>
            </w:r>
            <w:r w:rsidR="00B14A18">
              <w:rPr>
                <w:webHidden/>
              </w:rPr>
              <w:instrText xml:space="preserve"> PAGEREF _Toc460513964 \h </w:instrText>
            </w:r>
            <w:r w:rsidR="00B14A18">
              <w:rPr>
                <w:webHidden/>
              </w:rPr>
            </w:r>
            <w:r w:rsidR="00B14A18">
              <w:rPr>
                <w:webHidden/>
              </w:rPr>
              <w:fldChar w:fldCharType="separate"/>
            </w:r>
            <w:r w:rsidR="0029649D">
              <w:rPr>
                <w:webHidden/>
              </w:rPr>
              <w:t>106</w:t>
            </w:r>
            <w:r w:rsidR="00B14A18">
              <w:rPr>
                <w:webHidden/>
              </w:rPr>
              <w:fldChar w:fldCharType="end"/>
            </w:r>
          </w:hyperlink>
        </w:p>
        <w:p w14:paraId="6E898A91" w14:textId="77777777" w:rsidR="00B14A18" w:rsidRDefault="00DD0356">
          <w:pPr>
            <w:pStyle w:val="TOC2"/>
            <w:tabs>
              <w:tab w:val="left" w:pos="1540"/>
            </w:tabs>
            <w:rPr>
              <w:rFonts w:asciiTheme="minorHAnsi" w:eastAsiaTheme="minorEastAsia" w:hAnsiTheme="minorHAnsi" w:cstheme="minorBidi"/>
            </w:rPr>
          </w:pPr>
          <w:hyperlink w:anchor="_Toc460513965" w:history="1">
            <w:r w:rsidR="00B14A18" w:rsidRPr="00EA6AD3">
              <w:rPr>
                <w:rStyle w:val="Hyperlink"/>
              </w:rPr>
              <w:t>B7.6</w:t>
            </w:r>
            <w:r w:rsidR="00B14A18">
              <w:rPr>
                <w:rFonts w:asciiTheme="minorHAnsi" w:eastAsiaTheme="minorEastAsia" w:hAnsiTheme="minorHAnsi" w:cstheme="minorBidi"/>
              </w:rPr>
              <w:tab/>
            </w:r>
            <w:r w:rsidR="00B14A18" w:rsidRPr="00EA6AD3">
              <w:rPr>
                <w:rStyle w:val="Hyperlink"/>
              </w:rPr>
              <w:t xml:space="preserve"> Summary of comparative harms</w:t>
            </w:r>
            <w:r w:rsidR="00B14A18">
              <w:rPr>
                <w:webHidden/>
              </w:rPr>
              <w:tab/>
            </w:r>
            <w:r w:rsidR="00B14A18">
              <w:rPr>
                <w:webHidden/>
              </w:rPr>
              <w:fldChar w:fldCharType="begin"/>
            </w:r>
            <w:r w:rsidR="00B14A18">
              <w:rPr>
                <w:webHidden/>
              </w:rPr>
              <w:instrText xml:space="preserve"> PAGEREF _Toc460513965 \h </w:instrText>
            </w:r>
            <w:r w:rsidR="00B14A18">
              <w:rPr>
                <w:webHidden/>
              </w:rPr>
            </w:r>
            <w:r w:rsidR="00B14A18">
              <w:rPr>
                <w:webHidden/>
              </w:rPr>
              <w:fldChar w:fldCharType="separate"/>
            </w:r>
            <w:r w:rsidR="0029649D">
              <w:rPr>
                <w:webHidden/>
              </w:rPr>
              <w:t>106</w:t>
            </w:r>
            <w:r w:rsidR="00B14A18">
              <w:rPr>
                <w:webHidden/>
              </w:rPr>
              <w:fldChar w:fldCharType="end"/>
            </w:r>
          </w:hyperlink>
        </w:p>
        <w:p w14:paraId="2D95D503" w14:textId="77777777" w:rsidR="00B14A18" w:rsidRDefault="00DD0356">
          <w:pPr>
            <w:pStyle w:val="TOC1"/>
            <w:rPr>
              <w:rFonts w:asciiTheme="minorHAnsi" w:eastAsiaTheme="minorEastAsia" w:hAnsiTheme="minorHAnsi" w:cstheme="minorBidi"/>
              <w:b w:val="0"/>
            </w:rPr>
          </w:pPr>
          <w:hyperlink w:anchor="_Toc460513966" w:history="1">
            <w:r w:rsidR="00B14A18" w:rsidRPr="00EA6AD3">
              <w:rPr>
                <w:rStyle w:val="Hyperlink"/>
              </w:rPr>
              <w:t>B8</w:t>
            </w:r>
            <w:r w:rsidR="00B14A18">
              <w:rPr>
                <w:rFonts w:asciiTheme="minorHAnsi" w:eastAsiaTheme="minorEastAsia" w:hAnsiTheme="minorHAnsi" w:cstheme="minorBidi"/>
                <w:b w:val="0"/>
              </w:rPr>
              <w:tab/>
            </w:r>
            <w:r w:rsidR="00B14A18" w:rsidRPr="00EA6AD3">
              <w:rPr>
                <w:rStyle w:val="Hyperlink"/>
              </w:rPr>
              <w:t>Interpretation of the clinical evidence</w:t>
            </w:r>
            <w:r w:rsidR="00B14A18">
              <w:rPr>
                <w:webHidden/>
              </w:rPr>
              <w:tab/>
            </w:r>
            <w:r w:rsidR="00B14A18">
              <w:rPr>
                <w:webHidden/>
              </w:rPr>
              <w:fldChar w:fldCharType="begin"/>
            </w:r>
            <w:r w:rsidR="00B14A18">
              <w:rPr>
                <w:webHidden/>
              </w:rPr>
              <w:instrText xml:space="preserve"> PAGEREF _Toc460513966 \h </w:instrText>
            </w:r>
            <w:r w:rsidR="00B14A18">
              <w:rPr>
                <w:webHidden/>
              </w:rPr>
            </w:r>
            <w:r w:rsidR="00B14A18">
              <w:rPr>
                <w:webHidden/>
              </w:rPr>
              <w:fldChar w:fldCharType="separate"/>
            </w:r>
            <w:r w:rsidR="0029649D">
              <w:rPr>
                <w:webHidden/>
              </w:rPr>
              <w:t>107</w:t>
            </w:r>
            <w:r w:rsidR="00B14A18">
              <w:rPr>
                <w:webHidden/>
              </w:rPr>
              <w:fldChar w:fldCharType="end"/>
            </w:r>
          </w:hyperlink>
        </w:p>
        <w:p w14:paraId="6819A2FD" w14:textId="77777777" w:rsidR="00B14A18" w:rsidRDefault="00DD0356">
          <w:pPr>
            <w:pStyle w:val="TOC1"/>
            <w:rPr>
              <w:rFonts w:asciiTheme="minorHAnsi" w:eastAsiaTheme="minorEastAsia" w:hAnsiTheme="minorHAnsi" w:cstheme="minorBidi"/>
              <w:b w:val="0"/>
            </w:rPr>
          </w:pPr>
          <w:hyperlink w:anchor="_Toc460513967" w:history="1">
            <w:r w:rsidR="00B14A18" w:rsidRPr="00EA6AD3">
              <w:rPr>
                <w:rStyle w:val="Hyperlink"/>
              </w:rPr>
              <w:t>Section C</w:t>
            </w:r>
            <w:r w:rsidR="00B14A18">
              <w:rPr>
                <w:rFonts w:asciiTheme="minorHAnsi" w:eastAsiaTheme="minorEastAsia" w:hAnsiTheme="minorHAnsi" w:cstheme="minorBidi"/>
                <w:b w:val="0"/>
              </w:rPr>
              <w:tab/>
            </w:r>
            <w:r w:rsidR="00B14A18" w:rsidRPr="00EA6AD3">
              <w:rPr>
                <w:rStyle w:val="Hyperlink"/>
              </w:rPr>
              <w:t>Translation Issues</w:t>
            </w:r>
            <w:r w:rsidR="00B14A18">
              <w:rPr>
                <w:webHidden/>
              </w:rPr>
              <w:tab/>
            </w:r>
            <w:r w:rsidR="00B14A18">
              <w:rPr>
                <w:webHidden/>
              </w:rPr>
              <w:fldChar w:fldCharType="begin"/>
            </w:r>
            <w:r w:rsidR="00B14A18">
              <w:rPr>
                <w:webHidden/>
              </w:rPr>
              <w:instrText xml:space="preserve"> PAGEREF _Toc460513967 \h </w:instrText>
            </w:r>
            <w:r w:rsidR="00B14A18">
              <w:rPr>
                <w:webHidden/>
              </w:rPr>
            </w:r>
            <w:r w:rsidR="00B14A18">
              <w:rPr>
                <w:webHidden/>
              </w:rPr>
              <w:fldChar w:fldCharType="separate"/>
            </w:r>
            <w:r w:rsidR="0029649D">
              <w:rPr>
                <w:webHidden/>
              </w:rPr>
              <w:t>113</w:t>
            </w:r>
            <w:r w:rsidR="00B14A18">
              <w:rPr>
                <w:webHidden/>
              </w:rPr>
              <w:fldChar w:fldCharType="end"/>
            </w:r>
          </w:hyperlink>
        </w:p>
        <w:p w14:paraId="3A8EA804" w14:textId="77777777" w:rsidR="00B14A18" w:rsidRDefault="00DD0356">
          <w:pPr>
            <w:pStyle w:val="TOC2"/>
            <w:tabs>
              <w:tab w:val="left" w:pos="1418"/>
            </w:tabs>
            <w:rPr>
              <w:rFonts w:asciiTheme="minorHAnsi" w:eastAsiaTheme="minorEastAsia" w:hAnsiTheme="minorHAnsi" w:cstheme="minorBidi"/>
            </w:rPr>
          </w:pPr>
          <w:hyperlink w:anchor="_Toc460513968" w:history="1">
            <w:r w:rsidR="00B14A18" w:rsidRPr="00EA6AD3">
              <w:rPr>
                <w:rStyle w:val="Hyperlink"/>
              </w:rPr>
              <w:t>C.1.</w:t>
            </w:r>
            <w:r w:rsidR="00B14A18">
              <w:rPr>
                <w:rFonts w:asciiTheme="minorHAnsi" w:eastAsiaTheme="minorEastAsia" w:hAnsiTheme="minorHAnsi" w:cstheme="minorBidi"/>
              </w:rPr>
              <w:tab/>
            </w:r>
            <w:r w:rsidR="00B14A18" w:rsidRPr="00EA6AD3">
              <w:rPr>
                <w:rStyle w:val="Hyperlink"/>
              </w:rPr>
              <w:t>Overview</w:t>
            </w:r>
            <w:r w:rsidR="00B14A18">
              <w:rPr>
                <w:webHidden/>
              </w:rPr>
              <w:tab/>
            </w:r>
            <w:r w:rsidR="00B14A18">
              <w:rPr>
                <w:webHidden/>
              </w:rPr>
              <w:fldChar w:fldCharType="begin"/>
            </w:r>
            <w:r w:rsidR="00B14A18">
              <w:rPr>
                <w:webHidden/>
              </w:rPr>
              <w:instrText xml:space="preserve"> PAGEREF _Toc460513968 \h </w:instrText>
            </w:r>
            <w:r w:rsidR="00B14A18">
              <w:rPr>
                <w:webHidden/>
              </w:rPr>
            </w:r>
            <w:r w:rsidR="00B14A18">
              <w:rPr>
                <w:webHidden/>
              </w:rPr>
              <w:fldChar w:fldCharType="separate"/>
            </w:r>
            <w:r w:rsidR="0029649D">
              <w:rPr>
                <w:webHidden/>
              </w:rPr>
              <w:t>113</w:t>
            </w:r>
            <w:r w:rsidR="00B14A18">
              <w:rPr>
                <w:webHidden/>
              </w:rPr>
              <w:fldChar w:fldCharType="end"/>
            </w:r>
          </w:hyperlink>
        </w:p>
        <w:p w14:paraId="0DD06EB5" w14:textId="77777777" w:rsidR="00B14A18" w:rsidRDefault="00DD0356">
          <w:pPr>
            <w:pStyle w:val="TOC2"/>
            <w:tabs>
              <w:tab w:val="left" w:pos="1418"/>
            </w:tabs>
            <w:rPr>
              <w:rFonts w:asciiTheme="minorHAnsi" w:eastAsiaTheme="minorEastAsia" w:hAnsiTheme="minorHAnsi" w:cstheme="minorBidi"/>
            </w:rPr>
          </w:pPr>
          <w:hyperlink w:anchor="_Toc460513969" w:history="1">
            <w:r w:rsidR="00B14A18" w:rsidRPr="00EA6AD3">
              <w:rPr>
                <w:rStyle w:val="Hyperlink"/>
              </w:rPr>
              <w:t>C.2.</w:t>
            </w:r>
            <w:r w:rsidR="00B14A18">
              <w:rPr>
                <w:rFonts w:asciiTheme="minorHAnsi" w:eastAsiaTheme="minorEastAsia" w:hAnsiTheme="minorHAnsi" w:cstheme="minorBidi"/>
              </w:rPr>
              <w:tab/>
            </w:r>
            <w:r w:rsidR="00B14A18" w:rsidRPr="00EA6AD3">
              <w:rPr>
                <w:rStyle w:val="Hyperlink"/>
              </w:rPr>
              <w:t>Applicability translation issues</w:t>
            </w:r>
            <w:r w:rsidR="00B14A18">
              <w:rPr>
                <w:webHidden/>
              </w:rPr>
              <w:tab/>
            </w:r>
            <w:r w:rsidR="00B14A18">
              <w:rPr>
                <w:webHidden/>
              </w:rPr>
              <w:fldChar w:fldCharType="begin"/>
            </w:r>
            <w:r w:rsidR="00B14A18">
              <w:rPr>
                <w:webHidden/>
              </w:rPr>
              <w:instrText xml:space="preserve"> PAGEREF _Toc460513969 \h </w:instrText>
            </w:r>
            <w:r w:rsidR="00B14A18">
              <w:rPr>
                <w:webHidden/>
              </w:rPr>
            </w:r>
            <w:r w:rsidR="00B14A18">
              <w:rPr>
                <w:webHidden/>
              </w:rPr>
              <w:fldChar w:fldCharType="separate"/>
            </w:r>
            <w:r w:rsidR="0029649D">
              <w:rPr>
                <w:webHidden/>
              </w:rPr>
              <w:t>114</w:t>
            </w:r>
            <w:r w:rsidR="00B14A18">
              <w:rPr>
                <w:webHidden/>
              </w:rPr>
              <w:fldChar w:fldCharType="end"/>
            </w:r>
          </w:hyperlink>
        </w:p>
        <w:p w14:paraId="1033D3A6" w14:textId="77777777" w:rsidR="00B14A18" w:rsidRDefault="00DD0356">
          <w:pPr>
            <w:pStyle w:val="TOC3"/>
            <w:rPr>
              <w:rFonts w:asciiTheme="minorHAnsi" w:eastAsiaTheme="minorEastAsia" w:hAnsiTheme="minorHAnsi" w:cstheme="minorBidi"/>
            </w:rPr>
          </w:pPr>
          <w:hyperlink w:anchor="_Toc460513970" w:history="1">
            <w:r w:rsidR="00B14A18" w:rsidRPr="00EA6AD3">
              <w:rPr>
                <w:rStyle w:val="Hyperlink"/>
              </w:rPr>
              <w:t>Population 1: (men with suspected prostate cancer): patient characteristics</w:t>
            </w:r>
            <w:r w:rsidR="00B14A18">
              <w:rPr>
                <w:webHidden/>
              </w:rPr>
              <w:tab/>
            </w:r>
            <w:r w:rsidR="00B14A18">
              <w:rPr>
                <w:webHidden/>
              </w:rPr>
              <w:fldChar w:fldCharType="begin"/>
            </w:r>
            <w:r w:rsidR="00B14A18">
              <w:rPr>
                <w:webHidden/>
              </w:rPr>
              <w:instrText xml:space="preserve"> PAGEREF _Toc460513970 \h </w:instrText>
            </w:r>
            <w:r w:rsidR="00B14A18">
              <w:rPr>
                <w:webHidden/>
              </w:rPr>
            </w:r>
            <w:r w:rsidR="00B14A18">
              <w:rPr>
                <w:webHidden/>
              </w:rPr>
              <w:fldChar w:fldCharType="separate"/>
            </w:r>
            <w:r w:rsidR="0029649D">
              <w:rPr>
                <w:webHidden/>
              </w:rPr>
              <w:t>114</w:t>
            </w:r>
            <w:r w:rsidR="00B14A18">
              <w:rPr>
                <w:webHidden/>
              </w:rPr>
              <w:fldChar w:fldCharType="end"/>
            </w:r>
          </w:hyperlink>
        </w:p>
        <w:p w14:paraId="2F4B3C21" w14:textId="77777777" w:rsidR="00B14A18" w:rsidRDefault="00DD0356">
          <w:pPr>
            <w:pStyle w:val="TOC3"/>
            <w:rPr>
              <w:rFonts w:asciiTheme="minorHAnsi" w:eastAsiaTheme="minorEastAsia" w:hAnsiTheme="minorHAnsi" w:cstheme="minorBidi"/>
            </w:rPr>
          </w:pPr>
          <w:hyperlink w:anchor="_Toc460513971" w:history="1">
            <w:r w:rsidR="00B14A18" w:rsidRPr="00EA6AD3">
              <w:rPr>
                <w:rStyle w:val="Hyperlink"/>
              </w:rPr>
              <w:t>Population 1: intervention characteristics</w:t>
            </w:r>
            <w:r w:rsidR="00B14A18">
              <w:rPr>
                <w:webHidden/>
              </w:rPr>
              <w:tab/>
            </w:r>
            <w:r w:rsidR="00B14A18">
              <w:rPr>
                <w:webHidden/>
              </w:rPr>
              <w:fldChar w:fldCharType="begin"/>
            </w:r>
            <w:r w:rsidR="00B14A18">
              <w:rPr>
                <w:webHidden/>
              </w:rPr>
              <w:instrText xml:space="preserve"> PAGEREF _Toc460513971 \h </w:instrText>
            </w:r>
            <w:r w:rsidR="00B14A18">
              <w:rPr>
                <w:webHidden/>
              </w:rPr>
            </w:r>
            <w:r w:rsidR="00B14A18">
              <w:rPr>
                <w:webHidden/>
              </w:rPr>
              <w:fldChar w:fldCharType="separate"/>
            </w:r>
            <w:r w:rsidR="0029649D">
              <w:rPr>
                <w:webHidden/>
              </w:rPr>
              <w:t>116</w:t>
            </w:r>
            <w:r w:rsidR="00B14A18">
              <w:rPr>
                <w:webHidden/>
              </w:rPr>
              <w:fldChar w:fldCharType="end"/>
            </w:r>
          </w:hyperlink>
        </w:p>
        <w:p w14:paraId="744E99FF" w14:textId="77777777" w:rsidR="00B14A18" w:rsidRDefault="00DD0356">
          <w:pPr>
            <w:pStyle w:val="TOC3"/>
            <w:rPr>
              <w:rFonts w:asciiTheme="minorHAnsi" w:eastAsiaTheme="minorEastAsia" w:hAnsiTheme="minorHAnsi" w:cstheme="minorBidi"/>
            </w:rPr>
          </w:pPr>
          <w:hyperlink w:anchor="_Toc460513972" w:history="1">
            <w:r w:rsidR="00B14A18" w:rsidRPr="00EA6AD3">
              <w:rPr>
                <w:rStyle w:val="Hyperlink"/>
              </w:rPr>
              <w:t>Population 2: (men with low or intermediate risk prostate cancer under active surveillance): patient characteristics</w:t>
            </w:r>
            <w:r w:rsidR="00B14A18">
              <w:rPr>
                <w:webHidden/>
              </w:rPr>
              <w:tab/>
            </w:r>
            <w:r w:rsidR="00B14A18">
              <w:rPr>
                <w:webHidden/>
              </w:rPr>
              <w:fldChar w:fldCharType="begin"/>
            </w:r>
            <w:r w:rsidR="00B14A18">
              <w:rPr>
                <w:webHidden/>
              </w:rPr>
              <w:instrText xml:space="preserve"> PAGEREF _Toc460513972 \h </w:instrText>
            </w:r>
            <w:r w:rsidR="00B14A18">
              <w:rPr>
                <w:webHidden/>
              </w:rPr>
            </w:r>
            <w:r w:rsidR="00B14A18">
              <w:rPr>
                <w:webHidden/>
              </w:rPr>
              <w:fldChar w:fldCharType="separate"/>
            </w:r>
            <w:r w:rsidR="0029649D">
              <w:rPr>
                <w:webHidden/>
              </w:rPr>
              <w:t>118</w:t>
            </w:r>
            <w:r w:rsidR="00B14A18">
              <w:rPr>
                <w:webHidden/>
              </w:rPr>
              <w:fldChar w:fldCharType="end"/>
            </w:r>
          </w:hyperlink>
        </w:p>
        <w:p w14:paraId="0676CDF1" w14:textId="77777777" w:rsidR="00B14A18" w:rsidRDefault="00DD0356">
          <w:pPr>
            <w:pStyle w:val="TOC3"/>
            <w:rPr>
              <w:rFonts w:asciiTheme="minorHAnsi" w:eastAsiaTheme="minorEastAsia" w:hAnsiTheme="minorHAnsi" w:cstheme="minorBidi"/>
            </w:rPr>
          </w:pPr>
          <w:hyperlink w:anchor="_Toc460513973" w:history="1">
            <w:r w:rsidR="00B14A18" w:rsidRPr="00EA6AD3">
              <w:rPr>
                <w:rStyle w:val="Hyperlink"/>
              </w:rPr>
              <w:t>Population 2: intervention characteristics</w:t>
            </w:r>
            <w:r w:rsidR="00B14A18">
              <w:rPr>
                <w:webHidden/>
              </w:rPr>
              <w:tab/>
            </w:r>
            <w:r w:rsidR="00B14A18">
              <w:rPr>
                <w:webHidden/>
              </w:rPr>
              <w:fldChar w:fldCharType="begin"/>
            </w:r>
            <w:r w:rsidR="00B14A18">
              <w:rPr>
                <w:webHidden/>
              </w:rPr>
              <w:instrText xml:space="preserve"> PAGEREF _Toc460513973 \h </w:instrText>
            </w:r>
            <w:r w:rsidR="00B14A18">
              <w:rPr>
                <w:webHidden/>
              </w:rPr>
            </w:r>
            <w:r w:rsidR="00B14A18">
              <w:rPr>
                <w:webHidden/>
              </w:rPr>
              <w:fldChar w:fldCharType="separate"/>
            </w:r>
            <w:r w:rsidR="0029649D">
              <w:rPr>
                <w:webHidden/>
              </w:rPr>
              <w:t>120</w:t>
            </w:r>
            <w:r w:rsidR="00B14A18">
              <w:rPr>
                <w:webHidden/>
              </w:rPr>
              <w:fldChar w:fldCharType="end"/>
            </w:r>
          </w:hyperlink>
        </w:p>
        <w:p w14:paraId="16C7453C" w14:textId="77777777" w:rsidR="00B14A18" w:rsidRDefault="00DD0356">
          <w:pPr>
            <w:pStyle w:val="TOC2"/>
            <w:tabs>
              <w:tab w:val="left" w:pos="1418"/>
            </w:tabs>
            <w:rPr>
              <w:rFonts w:asciiTheme="minorHAnsi" w:eastAsiaTheme="minorEastAsia" w:hAnsiTheme="minorHAnsi" w:cstheme="minorBidi"/>
            </w:rPr>
          </w:pPr>
          <w:hyperlink w:anchor="_Toc460513974" w:history="1">
            <w:r w:rsidR="00B14A18" w:rsidRPr="00EA6AD3">
              <w:rPr>
                <w:rStyle w:val="Hyperlink"/>
              </w:rPr>
              <w:t>C.3.</w:t>
            </w:r>
            <w:r w:rsidR="00B14A18">
              <w:rPr>
                <w:rFonts w:asciiTheme="minorHAnsi" w:eastAsiaTheme="minorEastAsia" w:hAnsiTheme="minorHAnsi" w:cstheme="minorBidi"/>
              </w:rPr>
              <w:tab/>
            </w:r>
            <w:r w:rsidR="00B14A18" w:rsidRPr="00EA6AD3">
              <w:rPr>
                <w:rStyle w:val="Hyperlink"/>
              </w:rPr>
              <w:t>Extrapolation translation issues</w:t>
            </w:r>
            <w:r w:rsidR="00B14A18">
              <w:rPr>
                <w:webHidden/>
              </w:rPr>
              <w:tab/>
            </w:r>
            <w:r w:rsidR="00B14A18">
              <w:rPr>
                <w:webHidden/>
              </w:rPr>
              <w:fldChar w:fldCharType="begin"/>
            </w:r>
            <w:r w:rsidR="00B14A18">
              <w:rPr>
                <w:webHidden/>
              </w:rPr>
              <w:instrText xml:space="preserve"> PAGEREF _Toc460513974 \h </w:instrText>
            </w:r>
            <w:r w:rsidR="00B14A18">
              <w:rPr>
                <w:webHidden/>
              </w:rPr>
            </w:r>
            <w:r w:rsidR="00B14A18">
              <w:rPr>
                <w:webHidden/>
              </w:rPr>
              <w:fldChar w:fldCharType="separate"/>
            </w:r>
            <w:r w:rsidR="0029649D">
              <w:rPr>
                <w:webHidden/>
              </w:rPr>
              <w:t>121</w:t>
            </w:r>
            <w:r w:rsidR="00B14A18">
              <w:rPr>
                <w:webHidden/>
              </w:rPr>
              <w:fldChar w:fldCharType="end"/>
            </w:r>
          </w:hyperlink>
        </w:p>
        <w:p w14:paraId="75B7C87D" w14:textId="77777777" w:rsidR="00B14A18" w:rsidRDefault="00DD0356">
          <w:pPr>
            <w:pStyle w:val="TOC2"/>
            <w:tabs>
              <w:tab w:val="left" w:pos="1418"/>
            </w:tabs>
            <w:rPr>
              <w:rFonts w:asciiTheme="minorHAnsi" w:eastAsiaTheme="minorEastAsia" w:hAnsiTheme="minorHAnsi" w:cstheme="minorBidi"/>
            </w:rPr>
          </w:pPr>
          <w:hyperlink w:anchor="_Toc460513975" w:history="1">
            <w:r w:rsidR="00B14A18" w:rsidRPr="00EA6AD3">
              <w:rPr>
                <w:rStyle w:val="Hyperlink"/>
              </w:rPr>
              <w:t>C.4.</w:t>
            </w:r>
            <w:r w:rsidR="00B14A18">
              <w:rPr>
                <w:rFonts w:asciiTheme="minorHAnsi" w:eastAsiaTheme="minorEastAsia" w:hAnsiTheme="minorHAnsi" w:cstheme="minorBidi"/>
              </w:rPr>
              <w:tab/>
            </w:r>
            <w:r w:rsidR="00B14A18" w:rsidRPr="00EA6AD3">
              <w:rPr>
                <w:rStyle w:val="Hyperlink"/>
              </w:rPr>
              <w:t>Transformation issues</w:t>
            </w:r>
            <w:r w:rsidR="00B14A18">
              <w:rPr>
                <w:webHidden/>
              </w:rPr>
              <w:tab/>
            </w:r>
            <w:r w:rsidR="00B14A18">
              <w:rPr>
                <w:webHidden/>
              </w:rPr>
              <w:fldChar w:fldCharType="begin"/>
            </w:r>
            <w:r w:rsidR="00B14A18">
              <w:rPr>
                <w:webHidden/>
              </w:rPr>
              <w:instrText xml:space="preserve"> PAGEREF _Toc460513975 \h </w:instrText>
            </w:r>
            <w:r w:rsidR="00B14A18">
              <w:rPr>
                <w:webHidden/>
              </w:rPr>
            </w:r>
            <w:r w:rsidR="00B14A18">
              <w:rPr>
                <w:webHidden/>
              </w:rPr>
              <w:fldChar w:fldCharType="separate"/>
            </w:r>
            <w:r w:rsidR="0029649D">
              <w:rPr>
                <w:webHidden/>
              </w:rPr>
              <w:t>122</w:t>
            </w:r>
            <w:r w:rsidR="00B14A18">
              <w:rPr>
                <w:webHidden/>
              </w:rPr>
              <w:fldChar w:fldCharType="end"/>
            </w:r>
          </w:hyperlink>
        </w:p>
        <w:p w14:paraId="26935E5F" w14:textId="77777777" w:rsidR="00B14A18" w:rsidRDefault="00DD0356">
          <w:pPr>
            <w:pStyle w:val="TOC3"/>
            <w:rPr>
              <w:rFonts w:asciiTheme="minorHAnsi" w:eastAsiaTheme="minorEastAsia" w:hAnsiTheme="minorHAnsi" w:cstheme="minorBidi"/>
            </w:rPr>
          </w:pPr>
          <w:hyperlink w:anchor="_Toc460513976" w:history="1">
            <w:r w:rsidR="00B14A18" w:rsidRPr="00EA6AD3">
              <w:rPr>
                <w:rStyle w:val="Hyperlink"/>
              </w:rPr>
              <w:t>Quality of life</w:t>
            </w:r>
            <w:r w:rsidR="00B14A18">
              <w:rPr>
                <w:webHidden/>
              </w:rPr>
              <w:tab/>
            </w:r>
            <w:r w:rsidR="00B14A18">
              <w:rPr>
                <w:webHidden/>
              </w:rPr>
              <w:fldChar w:fldCharType="begin"/>
            </w:r>
            <w:r w:rsidR="00B14A18">
              <w:rPr>
                <w:webHidden/>
              </w:rPr>
              <w:instrText xml:space="preserve"> PAGEREF _Toc460513976 \h </w:instrText>
            </w:r>
            <w:r w:rsidR="00B14A18">
              <w:rPr>
                <w:webHidden/>
              </w:rPr>
            </w:r>
            <w:r w:rsidR="00B14A18">
              <w:rPr>
                <w:webHidden/>
              </w:rPr>
              <w:fldChar w:fldCharType="separate"/>
            </w:r>
            <w:r w:rsidR="0029649D">
              <w:rPr>
                <w:webHidden/>
              </w:rPr>
              <w:t>122</w:t>
            </w:r>
            <w:r w:rsidR="00B14A18">
              <w:rPr>
                <w:webHidden/>
              </w:rPr>
              <w:fldChar w:fldCharType="end"/>
            </w:r>
          </w:hyperlink>
        </w:p>
        <w:p w14:paraId="7E9818D5" w14:textId="77777777" w:rsidR="00B14A18" w:rsidRDefault="00DD0356">
          <w:pPr>
            <w:pStyle w:val="TOC2"/>
            <w:tabs>
              <w:tab w:val="left" w:pos="1418"/>
            </w:tabs>
            <w:rPr>
              <w:rFonts w:asciiTheme="minorHAnsi" w:eastAsiaTheme="minorEastAsia" w:hAnsiTheme="minorHAnsi" w:cstheme="minorBidi"/>
            </w:rPr>
          </w:pPr>
          <w:hyperlink w:anchor="_Toc460513977" w:history="1">
            <w:r w:rsidR="00B14A18" w:rsidRPr="00EA6AD3">
              <w:rPr>
                <w:rStyle w:val="Hyperlink"/>
              </w:rPr>
              <w:t>C.5.</w:t>
            </w:r>
            <w:r w:rsidR="00B14A18">
              <w:rPr>
                <w:rFonts w:asciiTheme="minorHAnsi" w:eastAsiaTheme="minorEastAsia" w:hAnsiTheme="minorHAnsi" w:cstheme="minorBidi"/>
              </w:rPr>
              <w:tab/>
            </w:r>
            <w:r w:rsidR="00B14A18" w:rsidRPr="00EA6AD3">
              <w:rPr>
                <w:rStyle w:val="Hyperlink"/>
              </w:rPr>
              <w:t>Any other translation issues</w:t>
            </w:r>
            <w:r w:rsidR="00B14A18">
              <w:rPr>
                <w:webHidden/>
              </w:rPr>
              <w:tab/>
            </w:r>
            <w:r w:rsidR="00B14A18">
              <w:rPr>
                <w:webHidden/>
              </w:rPr>
              <w:fldChar w:fldCharType="begin"/>
            </w:r>
            <w:r w:rsidR="00B14A18">
              <w:rPr>
                <w:webHidden/>
              </w:rPr>
              <w:instrText xml:space="preserve"> PAGEREF _Toc460513977 \h </w:instrText>
            </w:r>
            <w:r w:rsidR="00B14A18">
              <w:rPr>
                <w:webHidden/>
              </w:rPr>
            </w:r>
            <w:r w:rsidR="00B14A18">
              <w:rPr>
                <w:webHidden/>
              </w:rPr>
              <w:fldChar w:fldCharType="separate"/>
            </w:r>
            <w:r w:rsidR="0029649D">
              <w:rPr>
                <w:webHidden/>
              </w:rPr>
              <w:t>125</w:t>
            </w:r>
            <w:r w:rsidR="00B14A18">
              <w:rPr>
                <w:webHidden/>
              </w:rPr>
              <w:fldChar w:fldCharType="end"/>
            </w:r>
          </w:hyperlink>
        </w:p>
        <w:p w14:paraId="2BFD97AB" w14:textId="77777777" w:rsidR="00B14A18" w:rsidRDefault="00DD0356">
          <w:pPr>
            <w:pStyle w:val="TOC2"/>
            <w:tabs>
              <w:tab w:val="left" w:pos="1418"/>
            </w:tabs>
            <w:rPr>
              <w:rFonts w:asciiTheme="minorHAnsi" w:eastAsiaTheme="minorEastAsia" w:hAnsiTheme="minorHAnsi" w:cstheme="minorBidi"/>
            </w:rPr>
          </w:pPr>
          <w:hyperlink w:anchor="_Toc460513978" w:history="1">
            <w:r w:rsidR="00B14A18" w:rsidRPr="00EA6AD3">
              <w:rPr>
                <w:rStyle w:val="Hyperlink"/>
              </w:rPr>
              <w:t>C.6.</w:t>
            </w:r>
            <w:r w:rsidR="00B14A18">
              <w:rPr>
                <w:rFonts w:asciiTheme="minorHAnsi" w:eastAsiaTheme="minorEastAsia" w:hAnsiTheme="minorHAnsi" w:cstheme="minorBidi"/>
              </w:rPr>
              <w:tab/>
            </w:r>
            <w:r w:rsidR="00B14A18" w:rsidRPr="00EA6AD3">
              <w:rPr>
                <w:rStyle w:val="Hyperlink"/>
              </w:rPr>
              <w:t>Relationship of each Pre-Modelling Study to the Economic Evaluation</w:t>
            </w:r>
            <w:r w:rsidR="00B14A18">
              <w:rPr>
                <w:webHidden/>
              </w:rPr>
              <w:tab/>
            </w:r>
            <w:r w:rsidR="00B14A18">
              <w:rPr>
                <w:webHidden/>
              </w:rPr>
              <w:fldChar w:fldCharType="begin"/>
            </w:r>
            <w:r w:rsidR="00B14A18">
              <w:rPr>
                <w:webHidden/>
              </w:rPr>
              <w:instrText xml:space="preserve"> PAGEREF _Toc460513978 \h </w:instrText>
            </w:r>
            <w:r w:rsidR="00B14A18">
              <w:rPr>
                <w:webHidden/>
              </w:rPr>
            </w:r>
            <w:r w:rsidR="00B14A18">
              <w:rPr>
                <w:webHidden/>
              </w:rPr>
              <w:fldChar w:fldCharType="separate"/>
            </w:r>
            <w:r w:rsidR="0029649D">
              <w:rPr>
                <w:webHidden/>
              </w:rPr>
              <w:t>126</w:t>
            </w:r>
            <w:r w:rsidR="00B14A18">
              <w:rPr>
                <w:webHidden/>
              </w:rPr>
              <w:fldChar w:fldCharType="end"/>
            </w:r>
          </w:hyperlink>
        </w:p>
        <w:p w14:paraId="3AB0515D" w14:textId="77777777" w:rsidR="00B14A18" w:rsidRDefault="00DD0356">
          <w:pPr>
            <w:pStyle w:val="TOC1"/>
            <w:rPr>
              <w:rFonts w:asciiTheme="minorHAnsi" w:eastAsiaTheme="minorEastAsia" w:hAnsiTheme="minorHAnsi" w:cstheme="minorBidi"/>
              <w:b w:val="0"/>
            </w:rPr>
          </w:pPr>
          <w:hyperlink w:anchor="_Toc460513979" w:history="1">
            <w:r w:rsidR="00B14A18" w:rsidRPr="00EA6AD3">
              <w:rPr>
                <w:rStyle w:val="Hyperlink"/>
              </w:rPr>
              <w:t>Section D</w:t>
            </w:r>
            <w:r w:rsidR="00B14A18">
              <w:rPr>
                <w:rFonts w:asciiTheme="minorHAnsi" w:eastAsiaTheme="minorEastAsia" w:hAnsiTheme="minorHAnsi" w:cstheme="minorBidi"/>
                <w:b w:val="0"/>
              </w:rPr>
              <w:tab/>
            </w:r>
            <w:r w:rsidR="00B14A18" w:rsidRPr="00EA6AD3">
              <w:rPr>
                <w:rStyle w:val="Hyperlink"/>
              </w:rPr>
              <w:t>Economic Evaluation</w:t>
            </w:r>
            <w:r w:rsidR="00B14A18">
              <w:rPr>
                <w:webHidden/>
              </w:rPr>
              <w:tab/>
            </w:r>
            <w:r w:rsidR="00B14A18">
              <w:rPr>
                <w:webHidden/>
              </w:rPr>
              <w:fldChar w:fldCharType="begin"/>
            </w:r>
            <w:r w:rsidR="00B14A18">
              <w:rPr>
                <w:webHidden/>
              </w:rPr>
              <w:instrText xml:space="preserve"> PAGEREF _Toc460513979 \h </w:instrText>
            </w:r>
            <w:r w:rsidR="00B14A18">
              <w:rPr>
                <w:webHidden/>
              </w:rPr>
            </w:r>
            <w:r w:rsidR="00B14A18">
              <w:rPr>
                <w:webHidden/>
              </w:rPr>
              <w:fldChar w:fldCharType="separate"/>
            </w:r>
            <w:r w:rsidR="0029649D">
              <w:rPr>
                <w:webHidden/>
              </w:rPr>
              <w:t>128</w:t>
            </w:r>
            <w:r w:rsidR="00B14A18">
              <w:rPr>
                <w:webHidden/>
              </w:rPr>
              <w:fldChar w:fldCharType="end"/>
            </w:r>
          </w:hyperlink>
        </w:p>
        <w:p w14:paraId="192E3940" w14:textId="77777777" w:rsidR="00B14A18" w:rsidRDefault="00DD0356">
          <w:pPr>
            <w:pStyle w:val="TOC2"/>
            <w:tabs>
              <w:tab w:val="left" w:pos="1540"/>
            </w:tabs>
            <w:rPr>
              <w:rFonts w:asciiTheme="minorHAnsi" w:eastAsiaTheme="minorEastAsia" w:hAnsiTheme="minorHAnsi" w:cstheme="minorBidi"/>
            </w:rPr>
          </w:pPr>
          <w:hyperlink w:anchor="_Toc460513980" w:history="1">
            <w:r w:rsidR="00B14A18" w:rsidRPr="00EA6AD3">
              <w:rPr>
                <w:rStyle w:val="Hyperlink"/>
              </w:rPr>
              <w:t>D.1.</w:t>
            </w:r>
            <w:r w:rsidR="00B14A18">
              <w:rPr>
                <w:rFonts w:asciiTheme="minorHAnsi" w:eastAsiaTheme="minorEastAsia" w:hAnsiTheme="minorHAnsi" w:cstheme="minorBidi"/>
              </w:rPr>
              <w:tab/>
            </w:r>
            <w:r w:rsidR="00B14A18" w:rsidRPr="00EA6AD3">
              <w:rPr>
                <w:rStyle w:val="Hyperlink"/>
              </w:rPr>
              <w:t>Overview</w:t>
            </w:r>
            <w:r w:rsidR="00B14A18">
              <w:rPr>
                <w:webHidden/>
              </w:rPr>
              <w:tab/>
            </w:r>
            <w:r w:rsidR="00B14A18">
              <w:rPr>
                <w:webHidden/>
              </w:rPr>
              <w:fldChar w:fldCharType="begin"/>
            </w:r>
            <w:r w:rsidR="00B14A18">
              <w:rPr>
                <w:webHidden/>
              </w:rPr>
              <w:instrText xml:space="preserve"> PAGEREF _Toc460513980 \h </w:instrText>
            </w:r>
            <w:r w:rsidR="00B14A18">
              <w:rPr>
                <w:webHidden/>
              </w:rPr>
            </w:r>
            <w:r w:rsidR="00B14A18">
              <w:rPr>
                <w:webHidden/>
              </w:rPr>
              <w:fldChar w:fldCharType="separate"/>
            </w:r>
            <w:r w:rsidR="0029649D">
              <w:rPr>
                <w:webHidden/>
              </w:rPr>
              <w:t>128</w:t>
            </w:r>
            <w:r w:rsidR="00B14A18">
              <w:rPr>
                <w:webHidden/>
              </w:rPr>
              <w:fldChar w:fldCharType="end"/>
            </w:r>
          </w:hyperlink>
        </w:p>
        <w:p w14:paraId="1D570546" w14:textId="77777777" w:rsidR="00B14A18" w:rsidRDefault="00DD0356">
          <w:pPr>
            <w:pStyle w:val="TOC2"/>
            <w:tabs>
              <w:tab w:val="left" w:pos="1540"/>
            </w:tabs>
            <w:rPr>
              <w:rFonts w:asciiTheme="minorHAnsi" w:eastAsiaTheme="minorEastAsia" w:hAnsiTheme="minorHAnsi" w:cstheme="minorBidi"/>
            </w:rPr>
          </w:pPr>
          <w:hyperlink w:anchor="_Toc460513981" w:history="1">
            <w:r w:rsidR="00B14A18" w:rsidRPr="00EA6AD3">
              <w:rPr>
                <w:rStyle w:val="Hyperlink"/>
              </w:rPr>
              <w:t>D.2.</w:t>
            </w:r>
            <w:r w:rsidR="00B14A18">
              <w:rPr>
                <w:rFonts w:asciiTheme="minorHAnsi" w:eastAsiaTheme="minorEastAsia" w:hAnsiTheme="minorHAnsi" w:cstheme="minorBidi"/>
              </w:rPr>
              <w:tab/>
            </w:r>
            <w:r w:rsidR="00B14A18" w:rsidRPr="00EA6AD3">
              <w:rPr>
                <w:rStyle w:val="Hyperlink"/>
              </w:rPr>
              <w:t>Populations and settings</w:t>
            </w:r>
            <w:r w:rsidR="00B14A18">
              <w:rPr>
                <w:webHidden/>
              </w:rPr>
              <w:tab/>
            </w:r>
            <w:r w:rsidR="00B14A18">
              <w:rPr>
                <w:webHidden/>
              </w:rPr>
              <w:fldChar w:fldCharType="begin"/>
            </w:r>
            <w:r w:rsidR="00B14A18">
              <w:rPr>
                <w:webHidden/>
              </w:rPr>
              <w:instrText xml:space="preserve"> PAGEREF _Toc460513981 \h </w:instrText>
            </w:r>
            <w:r w:rsidR="00B14A18">
              <w:rPr>
                <w:webHidden/>
              </w:rPr>
            </w:r>
            <w:r w:rsidR="00B14A18">
              <w:rPr>
                <w:webHidden/>
              </w:rPr>
              <w:fldChar w:fldCharType="separate"/>
            </w:r>
            <w:r w:rsidR="0029649D">
              <w:rPr>
                <w:webHidden/>
              </w:rPr>
              <w:t>129</w:t>
            </w:r>
            <w:r w:rsidR="00B14A18">
              <w:rPr>
                <w:webHidden/>
              </w:rPr>
              <w:fldChar w:fldCharType="end"/>
            </w:r>
          </w:hyperlink>
        </w:p>
        <w:p w14:paraId="2E720AAC" w14:textId="77777777" w:rsidR="00B14A18" w:rsidRDefault="00DD0356">
          <w:pPr>
            <w:pStyle w:val="TOC3"/>
            <w:rPr>
              <w:rFonts w:asciiTheme="minorHAnsi" w:eastAsiaTheme="minorEastAsia" w:hAnsiTheme="minorHAnsi" w:cstheme="minorBidi"/>
            </w:rPr>
          </w:pPr>
          <w:hyperlink w:anchor="_Toc460513982" w:history="1">
            <w:r w:rsidR="00B14A18" w:rsidRPr="00EA6AD3">
              <w:rPr>
                <w:rStyle w:val="Hyperlink"/>
              </w:rPr>
              <w:t>Population 1</w:t>
            </w:r>
            <w:r w:rsidR="00B14A18">
              <w:rPr>
                <w:webHidden/>
              </w:rPr>
              <w:tab/>
            </w:r>
            <w:r w:rsidR="00B14A18">
              <w:rPr>
                <w:webHidden/>
              </w:rPr>
              <w:fldChar w:fldCharType="begin"/>
            </w:r>
            <w:r w:rsidR="00B14A18">
              <w:rPr>
                <w:webHidden/>
              </w:rPr>
              <w:instrText xml:space="preserve"> PAGEREF _Toc460513982 \h </w:instrText>
            </w:r>
            <w:r w:rsidR="00B14A18">
              <w:rPr>
                <w:webHidden/>
              </w:rPr>
            </w:r>
            <w:r w:rsidR="00B14A18">
              <w:rPr>
                <w:webHidden/>
              </w:rPr>
              <w:fldChar w:fldCharType="separate"/>
            </w:r>
            <w:r w:rsidR="0029649D">
              <w:rPr>
                <w:webHidden/>
              </w:rPr>
              <w:t>129</w:t>
            </w:r>
            <w:r w:rsidR="00B14A18">
              <w:rPr>
                <w:webHidden/>
              </w:rPr>
              <w:fldChar w:fldCharType="end"/>
            </w:r>
          </w:hyperlink>
        </w:p>
        <w:p w14:paraId="681043D2" w14:textId="77777777" w:rsidR="00B14A18" w:rsidRDefault="00DD0356">
          <w:pPr>
            <w:pStyle w:val="TOC3"/>
            <w:rPr>
              <w:rFonts w:asciiTheme="minorHAnsi" w:eastAsiaTheme="minorEastAsia" w:hAnsiTheme="minorHAnsi" w:cstheme="minorBidi"/>
            </w:rPr>
          </w:pPr>
          <w:hyperlink w:anchor="_Toc460513983" w:history="1">
            <w:r w:rsidR="00B14A18" w:rsidRPr="00EA6AD3">
              <w:rPr>
                <w:rStyle w:val="Hyperlink"/>
              </w:rPr>
              <w:t>Population 2</w:t>
            </w:r>
            <w:r w:rsidR="00B14A18">
              <w:rPr>
                <w:webHidden/>
              </w:rPr>
              <w:tab/>
            </w:r>
            <w:r w:rsidR="00B14A18">
              <w:rPr>
                <w:webHidden/>
              </w:rPr>
              <w:fldChar w:fldCharType="begin"/>
            </w:r>
            <w:r w:rsidR="00B14A18">
              <w:rPr>
                <w:webHidden/>
              </w:rPr>
              <w:instrText xml:space="preserve"> PAGEREF _Toc460513983 \h </w:instrText>
            </w:r>
            <w:r w:rsidR="00B14A18">
              <w:rPr>
                <w:webHidden/>
              </w:rPr>
            </w:r>
            <w:r w:rsidR="00B14A18">
              <w:rPr>
                <w:webHidden/>
              </w:rPr>
              <w:fldChar w:fldCharType="separate"/>
            </w:r>
            <w:r w:rsidR="0029649D">
              <w:rPr>
                <w:webHidden/>
              </w:rPr>
              <w:t>130</w:t>
            </w:r>
            <w:r w:rsidR="00B14A18">
              <w:rPr>
                <w:webHidden/>
              </w:rPr>
              <w:fldChar w:fldCharType="end"/>
            </w:r>
          </w:hyperlink>
        </w:p>
        <w:p w14:paraId="5306B93D" w14:textId="77777777" w:rsidR="00B14A18" w:rsidRDefault="00DD0356">
          <w:pPr>
            <w:pStyle w:val="TOC3"/>
            <w:rPr>
              <w:rFonts w:asciiTheme="minorHAnsi" w:eastAsiaTheme="minorEastAsia" w:hAnsiTheme="minorHAnsi" w:cstheme="minorBidi"/>
            </w:rPr>
          </w:pPr>
          <w:hyperlink w:anchor="_Toc460513984" w:history="1">
            <w:r w:rsidR="00B14A18" w:rsidRPr="00EA6AD3">
              <w:rPr>
                <w:rStyle w:val="Hyperlink"/>
              </w:rPr>
              <w:t>Comparison of population characteristics of patients on the MBS</w:t>
            </w:r>
            <w:r w:rsidR="00B14A18">
              <w:rPr>
                <w:webHidden/>
              </w:rPr>
              <w:tab/>
            </w:r>
            <w:r w:rsidR="00B14A18">
              <w:rPr>
                <w:webHidden/>
              </w:rPr>
              <w:fldChar w:fldCharType="begin"/>
            </w:r>
            <w:r w:rsidR="00B14A18">
              <w:rPr>
                <w:webHidden/>
              </w:rPr>
              <w:instrText xml:space="preserve"> PAGEREF _Toc460513984 \h </w:instrText>
            </w:r>
            <w:r w:rsidR="00B14A18">
              <w:rPr>
                <w:webHidden/>
              </w:rPr>
            </w:r>
            <w:r w:rsidR="00B14A18">
              <w:rPr>
                <w:webHidden/>
              </w:rPr>
              <w:fldChar w:fldCharType="separate"/>
            </w:r>
            <w:r w:rsidR="0029649D">
              <w:rPr>
                <w:webHidden/>
              </w:rPr>
              <w:t>131</w:t>
            </w:r>
            <w:r w:rsidR="00B14A18">
              <w:rPr>
                <w:webHidden/>
              </w:rPr>
              <w:fldChar w:fldCharType="end"/>
            </w:r>
          </w:hyperlink>
        </w:p>
        <w:p w14:paraId="43FD2CDB" w14:textId="77777777" w:rsidR="00B14A18" w:rsidRDefault="00DD0356">
          <w:pPr>
            <w:pStyle w:val="TOC2"/>
            <w:tabs>
              <w:tab w:val="left" w:pos="1540"/>
            </w:tabs>
            <w:rPr>
              <w:rFonts w:asciiTheme="minorHAnsi" w:eastAsiaTheme="minorEastAsia" w:hAnsiTheme="minorHAnsi" w:cstheme="minorBidi"/>
            </w:rPr>
          </w:pPr>
          <w:hyperlink w:anchor="_Toc460513985" w:history="1">
            <w:r w:rsidR="00B14A18" w:rsidRPr="00EA6AD3">
              <w:rPr>
                <w:rStyle w:val="Hyperlink"/>
              </w:rPr>
              <w:t>D.3.</w:t>
            </w:r>
            <w:r w:rsidR="00B14A18">
              <w:rPr>
                <w:rFonts w:asciiTheme="minorHAnsi" w:eastAsiaTheme="minorEastAsia" w:hAnsiTheme="minorHAnsi" w:cstheme="minorBidi"/>
              </w:rPr>
              <w:tab/>
            </w:r>
            <w:r w:rsidR="00B14A18" w:rsidRPr="00EA6AD3">
              <w:rPr>
                <w:rStyle w:val="Hyperlink"/>
              </w:rPr>
              <w:t>Structure and rationale of the economic evaluation</w:t>
            </w:r>
            <w:r w:rsidR="00B14A18">
              <w:rPr>
                <w:webHidden/>
              </w:rPr>
              <w:tab/>
            </w:r>
            <w:r w:rsidR="00B14A18">
              <w:rPr>
                <w:webHidden/>
              </w:rPr>
              <w:fldChar w:fldCharType="begin"/>
            </w:r>
            <w:r w:rsidR="00B14A18">
              <w:rPr>
                <w:webHidden/>
              </w:rPr>
              <w:instrText xml:space="preserve"> PAGEREF _Toc460513985 \h </w:instrText>
            </w:r>
            <w:r w:rsidR="00B14A18">
              <w:rPr>
                <w:webHidden/>
              </w:rPr>
            </w:r>
            <w:r w:rsidR="00B14A18">
              <w:rPr>
                <w:webHidden/>
              </w:rPr>
              <w:fldChar w:fldCharType="separate"/>
            </w:r>
            <w:r w:rsidR="0029649D">
              <w:rPr>
                <w:webHidden/>
              </w:rPr>
              <w:t>134</w:t>
            </w:r>
            <w:r w:rsidR="00B14A18">
              <w:rPr>
                <w:webHidden/>
              </w:rPr>
              <w:fldChar w:fldCharType="end"/>
            </w:r>
          </w:hyperlink>
        </w:p>
        <w:p w14:paraId="62AEA346" w14:textId="77777777" w:rsidR="00B14A18" w:rsidRDefault="00DD0356">
          <w:pPr>
            <w:pStyle w:val="TOC3"/>
            <w:rPr>
              <w:rFonts w:asciiTheme="minorHAnsi" w:eastAsiaTheme="minorEastAsia" w:hAnsiTheme="minorHAnsi" w:cstheme="minorBidi"/>
            </w:rPr>
          </w:pPr>
          <w:hyperlink w:anchor="_Toc460513986" w:history="1">
            <w:r w:rsidR="00B14A18" w:rsidRPr="00EA6AD3">
              <w:rPr>
                <w:rStyle w:val="Hyperlink"/>
              </w:rPr>
              <w:t>Literature review</w:t>
            </w:r>
            <w:r w:rsidR="00B14A18">
              <w:rPr>
                <w:webHidden/>
              </w:rPr>
              <w:tab/>
            </w:r>
            <w:r w:rsidR="00B14A18">
              <w:rPr>
                <w:webHidden/>
              </w:rPr>
              <w:fldChar w:fldCharType="begin"/>
            </w:r>
            <w:r w:rsidR="00B14A18">
              <w:rPr>
                <w:webHidden/>
              </w:rPr>
              <w:instrText xml:space="preserve"> PAGEREF _Toc460513986 \h </w:instrText>
            </w:r>
            <w:r w:rsidR="00B14A18">
              <w:rPr>
                <w:webHidden/>
              </w:rPr>
            </w:r>
            <w:r w:rsidR="00B14A18">
              <w:rPr>
                <w:webHidden/>
              </w:rPr>
              <w:fldChar w:fldCharType="separate"/>
            </w:r>
            <w:r w:rsidR="0029649D">
              <w:rPr>
                <w:webHidden/>
              </w:rPr>
              <w:t>134</w:t>
            </w:r>
            <w:r w:rsidR="00B14A18">
              <w:rPr>
                <w:webHidden/>
              </w:rPr>
              <w:fldChar w:fldCharType="end"/>
            </w:r>
          </w:hyperlink>
        </w:p>
        <w:p w14:paraId="60BAACD6" w14:textId="77777777" w:rsidR="00B14A18" w:rsidRDefault="00DD0356">
          <w:pPr>
            <w:pStyle w:val="TOC3"/>
            <w:rPr>
              <w:rFonts w:asciiTheme="minorHAnsi" w:eastAsiaTheme="minorEastAsia" w:hAnsiTheme="minorHAnsi" w:cstheme="minorBidi"/>
            </w:rPr>
          </w:pPr>
          <w:hyperlink w:anchor="_Toc460513987" w:history="1">
            <w:r w:rsidR="00B14A18" w:rsidRPr="00EA6AD3">
              <w:rPr>
                <w:rStyle w:val="Hyperlink"/>
              </w:rPr>
              <w:t>Structure of the economic evaluation</w:t>
            </w:r>
            <w:r w:rsidR="00B14A18">
              <w:rPr>
                <w:webHidden/>
              </w:rPr>
              <w:tab/>
            </w:r>
            <w:r w:rsidR="00B14A18">
              <w:rPr>
                <w:webHidden/>
              </w:rPr>
              <w:fldChar w:fldCharType="begin"/>
            </w:r>
            <w:r w:rsidR="00B14A18">
              <w:rPr>
                <w:webHidden/>
              </w:rPr>
              <w:instrText xml:space="preserve"> PAGEREF _Toc460513987 \h </w:instrText>
            </w:r>
            <w:r w:rsidR="00B14A18">
              <w:rPr>
                <w:webHidden/>
              </w:rPr>
            </w:r>
            <w:r w:rsidR="00B14A18">
              <w:rPr>
                <w:webHidden/>
              </w:rPr>
              <w:fldChar w:fldCharType="separate"/>
            </w:r>
            <w:r w:rsidR="0029649D">
              <w:rPr>
                <w:webHidden/>
              </w:rPr>
              <w:t>141</w:t>
            </w:r>
            <w:r w:rsidR="00B14A18">
              <w:rPr>
                <w:webHidden/>
              </w:rPr>
              <w:fldChar w:fldCharType="end"/>
            </w:r>
          </w:hyperlink>
        </w:p>
        <w:p w14:paraId="748589F8" w14:textId="77777777" w:rsidR="00B14A18" w:rsidRDefault="00DD0356">
          <w:pPr>
            <w:pStyle w:val="TOC3"/>
            <w:rPr>
              <w:rFonts w:asciiTheme="minorHAnsi" w:eastAsiaTheme="minorEastAsia" w:hAnsiTheme="minorHAnsi" w:cstheme="minorBidi"/>
            </w:rPr>
          </w:pPr>
          <w:hyperlink w:anchor="_Toc460513988" w:history="1">
            <w:r w:rsidR="00B14A18" w:rsidRPr="00EA6AD3">
              <w:rPr>
                <w:rStyle w:val="Hyperlink"/>
              </w:rPr>
              <w:t>Assumptions incorporated into the model structure</w:t>
            </w:r>
            <w:r w:rsidR="00B14A18">
              <w:rPr>
                <w:webHidden/>
              </w:rPr>
              <w:tab/>
            </w:r>
            <w:r w:rsidR="00B14A18">
              <w:rPr>
                <w:webHidden/>
              </w:rPr>
              <w:fldChar w:fldCharType="begin"/>
            </w:r>
            <w:r w:rsidR="00B14A18">
              <w:rPr>
                <w:webHidden/>
              </w:rPr>
              <w:instrText xml:space="preserve"> PAGEREF _Toc460513988 \h </w:instrText>
            </w:r>
            <w:r w:rsidR="00B14A18">
              <w:rPr>
                <w:webHidden/>
              </w:rPr>
            </w:r>
            <w:r w:rsidR="00B14A18">
              <w:rPr>
                <w:webHidden/>
              </w:rPr>
              <w:fldChar w:fldCharType="separate"/>
            </w:r>
            <w:r w:rsidR="0029649D">
              <w:rPr>
                <w:webHidden/>
              </w:rPr>
              <w:t>148</w:t>
            </w:r>
            <w:r w:rsidR="00B14A18">
              <w:rPr>
                <w:webHidden/>
              </w:rPr>
              <w:fldChar w:fldCharType="end"/>
            </w:r>
          </w:hyperlink>
        </w:p>
        <w:p w14:paraId="420AF571" w14:textId="77777777" w:rsidR="00B14A18" w:rsidRDefault="00DD0356">
          <w:pPr>
            <w:pStyle w:val="TOC2"/>
            <w:tabs>
              <w:tab w:val="left" w:pos="1540"/>
            </w:tabs>
            <w:rPr>
              <w:rFonts w:asciiTheme="minorHAnsi" w:eastAsiaTheme="minorEastAsia" w:hAnsiTheme="minorHAnsi" w:cstheme="minorBidi"/>
            </w:rPr>
          </w:pPr>
          <w:hyperlink w:anchor="_Toc460513989" w:history="1">
            <w:r w:rsidR="00B14A18" w:rsidRPr="00EA6AD3">
              <w:rPr>
                <w:rStyle w:val="Hyperlink"/>
              </w:rPr>
              <w:t>D.4.</w:t>
            </w:r>
            <w:r w:rsidR="00B14A18">
              <w:rPr>
                <w:rFonts w:asciiTheme="minorHAnsi" w:eastAsiaTheme="minorEastAsia" w:hAnsiTheme="minorHAnsi" w:cstheme="minorBidi"/>
              </w:rPr>
              <w:tab/>
            </w:r>
            <w:r w:rsidR="00B14A18" w:rsidRPr="00EA6AD3">
              <w:rPr>
                <w:rStyle w:val="Hyperlink"/>
              </w:rPr>
              <w:t>Inputs to the economic evaluation</w:t>
            </w:r>
            <w:r w:rsidR="00B14A18">
              <w:rPr>
                <w:webHidden/>
              </w:rPr>
              <w:tab/>
            </w:r>
            <w:r w:rsidR="00B14A18">
              <w:rPr>
                <w:webHidden/>
              </w:rPr>
              <w:fldChar w:fldCharType="begin"/>
            </w:r>
            <w:r w:rsidR="00B14A18">
              <w:rPr>
                <w:webHidden/>
              </w:rPr>
              <w:instrText xml:space="preserve"> PAGEREF _Toc460513989 \h </w:instrText>
            </w:r>
            <w:r w:rsidR="00B14A18">
              <w:rPr>
                <w:webHidden/>
              </w:rPr>
            </w:r>
            <w:r w:rsidR="00B14A18">
              <w:rPr>
                <w:webHidden/>
              </w:rPr>
              <w:fldChar w:fldCharType="separate"/>
            </w:r>
            <w:r w:rsidR="0029649D">
              <w:rPr>
                <w:webHidden/>
              </w:rPr>
              <w:t>149</w:t>
            </w:r>
            <w:r w:rsidR="00B14A18">
              <w:rPr>
                <w:webHidden/>
              </w:rPr>
              <w:fldChar w:fldCharType="end"/>
            </w:r>
          </w:hyperlink>
        </w:p>
        <w:p w14:paraId="3976BDC1" w14:textId="77777777" w:rsidR="00B14A18" w:rsidRDefault="00DD0356">
          <w:pPr>
            <w:pStyle w:val="TOC3"/>
            <w:rPr>
              <w:rFonts w:asciiTheme="minorHAnsi" w:eastAsiaTheme="minorEastAsia" w:hAnsiTheme="minorHAnsi" w:cstheme="minorBidi"/>
            </w:rPr>
          </w:pPr>
          <w:hyperlink w:anchor="_Toc460513990" w:history="1">
            <w:r w:rsidR="00B14A18" w:rsidRPr="00EA6AD3">
              <w:rPr>
                <w:rStyle w:val="Hyperlink"/>
              </w:rPr>
              <w:t>Transition probabilities</w:t>
            </w:r>
            <w:r w:rsidR="00B14A18">
              <w:rPr>
                <w:webHidden/>
              </w:rPr>
              <w:tab/>
            </w:r>
            <w:r w:rsidR="00B14A18">
              <w:rPr>
                <w:webHidden/>
              </w:rPr>
              <w:fldChar w:fldCharType="begin"/>
            </w:r>
            <w:r w:rsidR="00B14A18">
              <w:rPr>
                <w:webHidden/>
              </w:rPr>
              <w:instrText xml:space="preserve"> PAGEREF _Toc460513990 \h </w:instrText>
            </w:r>
            <w:r w:rsidR="00B14A18">
              <w:rPr>
                <w:webHidden/>
              </w:rPr>
            </w:r>
            <w:r w:rsidR="00B14A18">
              <w:rPr>
                <w:webHidden/>
              </w:rPr>
              <w:fldChar w:fldCharType="separate"/>
            </w:r>
            <w:r w:rsidR="0029649D">
              <w:rPr>
                <w:webHidden/>
              </w:rPr>
              <w:t>149</w:t>
            </w:r>
            <w:r w:rsidR="00B14A18">
              <w:rPr>
                <w:webHidden/>
              </w:rPr>
              <w:fldChar w:fldCharType="end"/>
            </w:r>
          </w:hyperlink>
        </w:p>
        <w:p w14:paraId="1B5A5674" w14:textId="77777777" w:rsidR="00B14A18" w:rsidRDefault="00DD0356">
          <w:pPr>
            <w:pStyle w:val="TOC3"/>
            <w:rPr>
              <w:rFonts w:asciiTheme="minorHAnsi" w:eastAsiaTheme="minorEastAsia" w:hAnsiTheme="minorHAnsi" w:cstheme="minorBidi"/>
            </w:rPr>
          </w:pPr>
          <w:hyperlink w:anchor="_Toc460513991" w:history="1">
            <w:r w:rsidR="00B14A18" w:rsidRPr="00EA6AD3">
              <w:rPr>
                <w:rStyle w:val="Hyperlink"/>
              </w:rPr>
              <w:t>Adverse events</w:t>
            </w:r>
            <w:r w:rsidR="00B14A18">
              <w:rPr>
                <w:webHidden/>
              </w:rPr>
              <w:tab/>
            </w:r>
            <w:r w:rsidR="00B14A18">
              <w:rPr>
                <w:webHidden/>
              </w:rPr>
              <w:fldChar w:fldCharType="begin"/>
            </w:r>
            <w:r w:rsidR="00B14A18">
              <w:rPr>
                <w:webHidden/>
              </w:rPr>
              <w:instrText xml:space="preserve"> PAGEREF _Toc460513991 \h </w:instrText>
            </w:r>
            <w:r w:rsidR="00B14A18">
              <w:rPr>
                <w:webHidden/>
              </w:rPr>
            </w:r>
            <w:r w:rsidR="00B14A18">
              <w:rPr>
                <w:webHidden/>
              </w:rPr>
              <w:fldChar w:fldCharType="separate"/>
            </w:r>
            <w:r w:rsidR="0029649D">
              <w:rPr>
                <w:webHidden/>
              </w:rPr>
              <w:t>151</w:t>
            </w:r>
            <w:r w:rsidR="00B14A18">
              <w:rPr>
                <w:webHidden/>
              </w:rPr>
              <w:fldChar w:fldCharType="end"/>
            </w:r>
          </w:hyperlink>
        </w:p>
        <w:p w14:paraId="73B36299" w14:textId="77777777" w:rsidR="00B14A18" w:rsidRDefault="00DD0356">
          <w:pPr>
            <w:pStyle w:val="TOC3"/>
            <w:rPr>
              <w:rFonts w:asciiTheme="minorHAnsi" w:eastAsiaTheme="minorEastAsia" w:hAnsiTheme="minorHAnsi" w:cstheme="minorBidi"/>
            </w:rPr>
          </w:pPr>
          <w:hyperlink w:anchor="_Toc460513992" w:history="1">
            <w:r w:rsidR="00B14A18" w:rsidRPr="00EA6AD3">
              <w:rPr>
                <w:rStyle w:val="Hyperlink"/>
              </w:rPr>
              <w:t>Costs</w:t>
            </w:r>
            <w:r w:rsidR="00B14A18">
              <w:rPr>
                <w:webHidden/>
              </w:rPr>
              <w:tab/>
            </w:r>
            <w:r w:rsidR="00B14A18">
              <w:rPr>
                <w:webHidden/>
              </w:rPr>
              <w:fldChar w:fldCharType="begin"/>
            </w:r>
            <w:r w:rsidR="00B14A18">
              <w:rPr>
                <w:webHidden/>
              </w:rPr>
              <w:instrText xml:space="preserve"> PAGEREF _Toc460513992 \h </w:instrText>
            </w:r>
            <w:r w:rsidR="00B14A18">
              <w:rPr>
                <w:webHidden/>
              </w:rPr>
            </w:r>
            <w:r w:rsidR="00B14A18">
              <w:rPr>
                <w:webHidden/>
              </w:rPr>
              <w:fldChar w:fldCharType="separate"/>
            </w:r>
            <w:r w:rsidR="0029649D">
              <w:rPr>
                <w:webHidden/>
              </w:rPr>
              <w:t>151</w:t>
            </w:r>
            <w:r w:rsidR="00B14A18">
              <w:rPr>
                <w:webHidden/>
              </w:rPr>
              <w:fldChar w:fldCharType="end"/>
            </w:r>
          </w:hyperlink>
        </w:p>
        <w:p w14:paraId="43DA8C35" w14:textId="77777777" w:rsidR="00B14A18" w:rsidRDefault="00DD0356">
          <w:pPr>
            <w:pStyle w:val="TOC3"/>
            <w:rPr>
              <w:rFonts w:asciiTheme="minorHAnsi" w:eastAsiaTheme="minorEastAsia" w:hAnsiTheme="minorHAnsi" w:cstheme="minorBidi"/>
            </w:rPr>
          </w:pPr>
          <w:hyperlink w:anchor="_Toc460513993" w:history="1">
            <w:r w:rsidR="00B14A18" w:rsidRPr="00EA6AD3">
              <w:rPr>
                <w:rStyle w:val="Hyperlink"/>
              </w:rPr>
              <w:t>Utilities</w:t>
            </w:r>
            <w:r w:rsidR="00B14A18">
              <w:rPr>
                <w:webHidden/>
              </w:rPr>
              <w:tab/>
            </w:r>
            <w:r w:rsidR="00B14A18">
              <w:rPr>
                <w:webHidden/>
              </w:rPr>
              <w:fldChar w:fldCharType="begin"/>
            </w:r>
            <w:r w:rsidR="00B14A18">
              <w:rPr>
                <w:webHidden/>
              </w:rPr>
              <w:instrText xml:space="preserve"> PAGEREF _Toc460513993 \h </w:instrText>
            </w:r>
            <w:r w:rsidR="00B14A18">
              <w:rPr>
                <w:webHidden/>
              </w:rPr>
            </w:r>
            <w:r w:rsidR="00B14A18">
              <w:rPr>
                <w:webHidden/>
              </w:rPr>
              <w:fldChar w:fldCharType="separate"/>
            </w:r>
            <w:r w:rsidR="0029649D">
              <w:rPr>
                <w:webHidden/>
              </w:rPr>
              <w:t>157</w:t>
            </w:r>
            <w:r w:rsidR="00B14A18">
              <w:rPr>
                <w:webHidden/>
              </w:rPr>
              <w:fldChar w:fldCharType="end"/>
            </w:r>
          </w:hyperlink>
        </w:p>
        <w:p w14:paraId="32419410" w14:textId="77777777" w:rsidR="00B14A18" w:rsidRDefault="00DD0356">
          <w:pPr>
            <w:pStyle w:val="TOC2"/>
            <w:tabs>
              <w:tab w:val="left" w:pos="1540"/>
            </w:tabs>
            <w:rPr>
              <w:rFonts w:asciiTheme="minorHAnsi" w:eastAsiaTheme="minorEastAsia" w:hAnsiTheme="minorHAnsi" w:cstheme="minorBidi"/>
            </w:rPr>
          </w:pPr>
          <w:hyperlink w:anchor="_Toc460513994" w:history="1">
            <w:r w:rsidR="00B14A18" w:rsidRPr="00EA6AD3">
              <w:rPr>
                <w:rStyle w:val="Hyperlink"/>
              </w:rPr>
              <w:t>D.5.</w:t>
            </w:r>
            <w:r w:rsidR="00B14A18">
              <w:rPr>
                <w:rFonts w:asciiTheme="minorHAnsi" w:eastAsiaTheme="minorEastAsia" w:hAnsiTheme="minorHAnsi" w:cstheme="minorBidi"/>
              </w:rPr>
              <w:tab/>
            </w:r>
            <w:r w:rsidR="00B14A18" w:rsidRPr="00EA6AD3">
              <w:rPr>
                <w:rStyle w:val="Hyperlink"/>
              </w:rPr>
              <w:t>Results of the economic evaluation</w:t>
            </w:r>
            <w:r w:rsidR="00B14A18">
              <w:rPr>
                <w:webHidden/>
              </w:rPr>
              <w:tab/>
            </w:r>
            <w:r w:rsidR="00B14A18">
              <w:rPr>
                <w:webHidden/>
              </w:rPr>
              <w:fldChar w:fldCharType="begin"/>
            </w:r>
            <w:r w:rsidR="00B14A18">
              <w:rPr>
                <w:webHidden/>
              </w:rPr>
              <w:instrText xml:space="preserve"> PAGEREF _Toc460513994 \h </w:instrText>
            </w:r>
            <w:r w:rsidR="00B14A18">
              <w:rPr>
                <w:webHidden/>
              </w:rPr>
            </w:r>
            <w:r w:rsidR="00B14A18">
              <w:rPr>
                <w:webHidden/>
              </w:rPr>
              <w:fldChar w:fldCharType="separate"/>
            </w:r>
            <w:r w:rsidR="0029649D">
              <w:rPr>
                <w:webHidden/>
              </w:rPr>
              <w:t>157</w:t>
            </w:r>
            <w:r w:rsidR="00B14A18">
              <w:rPr>
                <w:webHidden/>
              </w:rPr>
              <w:fldChar w:fldCharType="end"/>
            </w:r>
          </w:hyperlink>
        </w:p>
        <w:p w14:paraId="18D9F63E" w14:textId="77777777" w:rsidR="00B14A18" w:rsidRDefault="00DD0356">
          <w:pPr>
            <w:pStyle w:val="TOC3"/>
            <w:rPr>
              <w:rFonts w:asciiTheme="minorHAnsi" w:eastAsiaTheme="minorEastAsia" w:hAnsiTheme="minorHAnsi" w:cstheme="minorBidi"/>
            </w:rPr>
          </w:pPr>
          <w:hyperlink w:anchor="_Toc460513995" w:history="1">
            <w:r w:rsidR="00B14A18" w:rsidRPr="00EA6AD3">
              <w:rPr>
                <w:rStyle w:val="Hyperlink"/>
              </w:rPr>
              <w:t>Base-case</w:t>
            </w:r>
            <w:r w:rsidR="00B14A18">
              <w:rPr>
                <w:webHidden/>
              </w:rPr>
              <w:tab/>
            </w:r>
            <w:r w:rsidR="00B14A18">
              <w:rPr>
                <w:webHidden/>
              </w:rPr>
              <w:fldChar w:fldCharType="begin"/>
            </w:r>
            <w:r w:rsidR="00B14A18">
              <w:rPr>
                <w:webHidden/>
              </w:rPr>
              <w:instrText xml:space="preserve"> PAGEREF _Toc460513995 \h </w:instrText>
            </w:r>
            <w:r w:rsidR="00B14A18">
              <w:rPr>
                <w:webHidden/>
              </w:rPr>
            </w:r>
            <w:r w:rsidR="00B14A18">
              <w:rPr>
                <w:webHidden/>
              </w:rPr>
              <w:fldChar w:fldCharType="separate"/>
            </w:r>
            <w:r w:rsidR="0029649D">
              <w:rPr>
                <w:webHidden/>
              </w:rPr>
              <w:t>157</w:t>
            </w:r>
            <w:r w:rsidR="00B14A18">
              <w:rPr>
                <w:webHidden/>
              </w:rPr>
              <w:fldChar w:fldCharType="end"/>
            </w:r>
          </w:hyperlink>
        </w:p>
        <w:p w14:paraId="7CC8667C" w14:textId="77777777" w:rsidR="00B14A18" w:rsidRDefault="00DD0356">
          <w:pPr>
            <w:pStyle w:val="TOC2"/>
            <w:tabs>
              <w:tab w:val="left" w:pos="1540"/>
            </w:tabs>
            <w:rPr>
              <w:rFonts w:asciiTheme="minorHAnsi" w:eastAsiaTheme="minorEastAsia" w:hAnsiTheme="minorHAnsi" w:cstheme="minorBidi"/>
            </w:rPr>
          </w:pPr>
          <w:hyperlink w:anchor="_Toc460513996" w:history="1">
            <w:r w:rsidR="00B14A18" w:rsidRPr="00EA6AD3">
              <w:rPr>
                <w:rStyle w:val="Hyperlink"/>
              </w:rPr>
              <w:t>D.6.</w:t>
            </w:r>
            <w:r w:rsidR="00B14A18">
              <w:rPr>
                <w:rFonts w:asciiTheme="minorHAnsi" w:eastAsiaTheme="minorEastAsia" w:hAnsiTheme="minorHAnsi" w:cstheme="minorBidi"/>
              </w:rPr>
              <w:tab/>
            </w:r>
            <w:r w:rsidR="00B14A18" w:rsidRPr="00EA6AD3">
              <w:rPr>
                <w:rStyle w:val="Hyperlink"/>
              </w:rPr>
              <w:t>Sensitivity analyses</w:t>
            </w:r>
            <w:r w:rsidR="00B14A18">
              <w:rPr>
                <w:webHidden/>
              </w:rPr>
              <w:tab/>
            </w:r>
            <w:r w:rsidR="00B14A18">
              <w:rPr>
                <w:webHidden/>
              </w:rPr>
              <w:fldChar w:fldCharType="begin"/>
            </w:r>
            <w:r w:rsidR="00B14A18">
              <w:rPr>
                <w:webHidden/>
              </w:rPr>
              <w:instrText xml:space="preserve"> PAGEREF _Toc460513996 \h </w:instrText>
            </w:r>
            <w:r w:rsidR="00B14A18">
              <w:rPr>
                <w:webHidden/>
              </w:rPr>
            </w:r>
            <w:r w:rsidR="00B14A18">
              <w:rPr>
                <w:webHidden/>
              </w:rPr>
              <w:fldChar w:fldCharType="separate"/>
            </w:r>
            <w:r w:rsidR="0029649D">
              <w:rPr>
                <w:webHidden/>
              </w:rPr>
              <w:t>159</w:t>
            </w:r>
            <w:r w:rsidR="00B14A18">
              <w:rPr>
                <w:webHidden/>
              </w:rPr>
              <w:fldChar w:fldCharType="end"/>
            </w:r>
          </w:hyperlink>
        </w:p>
        <w:p w14:paraId="2F10AB91" w14:textId="77777777" w:rsidR="00B14A18" w:rsidRDefault="00DD0356">
          <w:pPr>
            <w:pStyle w:val="TOC1"/>
            <w:rPr>
              <w:rFonts w:asciiTheme="minorHAnsi" w:eastAsiaTheme="minorEastAsia" w:hAnsiTheme="minorHAnsi" w:cstheme="minorBidi"/>
              <w:b w:val="0"/>
            </w:rPr>
          </w:pPr>
          <w:hyperlink w:anchor="_Toc460513997" w:history="1">
            <w:r w:rsidR="00B14A18" w:rsidRPr="00EA6AD3">
              <w:rPr>
                <w:rStyle w:val="Hyperlink"/>
              </w:rPr>
              <w:t>Section E</w:t>
            </w:r>
            <w:r w:rsidR="00B14A18">
              <w:rPr>
                <w:rFonts w:asciiTheme="minorHAnsi" w:eastAsiaTheme="minorEastAsia" w:hAnsiTheme="minorHAnsi" w:cstheme="minorBidi"/>
                <w:b w:val="0"/>
              </w:rPr>
              <w:tab/>
            </w:r>
            <w:r w:rsidR="00B14A18" w:rsidRPr="00EA6AD3">
              <w:rPr>
                <w:rStyle w:val="Hyperlink"/>
              </w:rPr>
              <w:t>Financial Implications</w:t>
            </w:r>
            <w:r w:rsidR="00B14A18">
              <w:rPr>
                <w:webHidden/>
              </w:rPr>
              <w:tab/>
            </w:r>
            <w:r w:rsidR="00B14A18">
              <w:rPr>
                <w:webHidden/>
              </w:rPr>
              <w:fldChar w:fldCharType="begin"/>
            </w:r>
            <w:r w:rsidR="00B14A18">
              <w:rPr>
                <w:webHidden/>
              </w:rPr>
              <w:instrText xml:space="preserve"> PAGEREF _Toc460513997 \h </w:instrText>
            </w:r>
            <w:r w:rsidR="00B14A18">
              <w:rPr>
                <w:webHidden/>
              </w:rPr>
            </w:r>
            <w:r w:rsidR="00B14A18">
              <w:rPr>
                <w:webHidden/>
              </w:rPr>
              <w:fldChar w:fldCharType="separate"/>
            </w:r>
            <w:r w:rsidR="0029649D">
              <w:rPr>
                <w:webHidden/>
              </w:rPr>
              <w:t>161</w:t>
            </w:r>
            <w:r w:rsidR="00B14A18">
              <w:rPr>
                <w:webHidden/>
              </w:rPr>
              <w:fldChar w:fldCharType="end"/>
            </w:r>
          </w:hyperlink>
        </w:p>
        <w:p w14:paraId="2D92B191" w14:textId="77777777" w:rsidR="00B14A18" w:rsidRDefault="00DD0356">
          <w:pPr>
            <w:pStyle w:val="TOC2"/>
            <w:tabs>
              <w:tab w:val="left" w:pos="1418"/>
            </w:tabs>
            <w:rPr>
              <w:rFonts w:asciiTheme="minorHAnsi" w:eastAsiaTheme="minorEastAsia" w:hAnsiTheme="minorHAnsi" w:cstheme="minorBidi"/>
            </w:rPr>
          </w:pPr>
          <w:hyperlink w:anchor="_Toc460513998" w:history="1">
            <w:r w:rsidR="00B14A18" w:rsidRPr="00EA6AD3">
              <w:rPr>
                <w:rStyle w:val="Hyperlink"/>
              </w:rPr>
              <w:t>E.1.</w:t>
            </w:r>
            <w:r w:rsidR="00B14A18">
              <w:rPr>
                <w:rFonts w:asciiTheme="minorHAnsi" w:eastAsiaTheme="minorEastAsia" w:hAnsiTheme="minorHAnsi" w:cstheme="minorBidi"/>
              </w:rPr>
              <w:tab/>
            </w:r>
            <w:r w:rsidR="00B14A18" w:rsidRPr="00EA6AD3">
              <w:rPr>
                <w:rStyle w:val="Hyperlink"/>
              </w:rPr>
              <w:t>Justification of the selection of sources of data</w:t>
            </w:r>
            <w:r w:rsidR="00B14A18">
              <w:rPr>
                <w:webHidden/>
              </w:rPr>
              <w:tab/>
            </w:r>
            <w:r w:rsidR="00B14A18">
              <w:rPr>
                <w:webHidden/>
              </w:rPr>
              <w:fldChar w:fldCharType="begin"/>
            </w:r>
            <w:r w:rsidR="00B14A18">
              <w:rPr>
                <w:webHidden/>
              </w:rPr>
              <w:instrText xml:space="preserve"> PAGEREF _Toc460513998 \h </w:instrText>
            </w:r>
            <w:r w:rsidR="00B14A18">
              <w:rPr>
                <w:webHidden/>
              </w:rPr>
            </w:r>
            <w:r w:rsidR="00B14A18">
              <w:rPr>
                <w:webHidden/>
              </w:rPr>
              <w:fldChar w:fldCharType="separate"/>
            </w:r>
            <w:r w:rsidR="0029649D">
              <w:rPr>
                <w:webHidden/>
              </w:rPr>
              <w:t>161</w:t>
            </w:r>
            <w:r w:rsidR="00B14A18">
              <w:rPr>
                <w:webHidden/>
              </w:rPr>
              <w:fldChar w:fldCharType="end"/>
            </w:r>
          </w:hyperlink>
        </w:p>
        <w:p w14:paraId="6FB2E3FC" w14:textId="77777777" w:rsidR="00B14A18" w:rsidRDefault="00DD0356">
          <w:pPr>
            <w:pStyle w:val="TOC2"/>
            <w:tabs>
              <w:tab w:val="left" w:pos="1418"/>
            </w:tabs>
            <w:rPr>
              <w:rFonts w:asciiTheme="minorHAnsi" w:eastAsiaTheme="minorEastAsia" w:hAnsiTheme="minorHAnsi" w:cstheme="minorBidi"/>
            </w:rPr>
          </w:pPr>
          <w:hyperlink w:anchor="_Toc460513999" w:history="1">
            <w:r w:rsidR="00B14A18" w:rsidRPr="00EA6AD3">
              <w:rPr>
                <w:rStyle w:val="Hyperlink"/>
              </w:rPr>
              <w:t>E.2.</w:t>
            </w:r>
            <w:r w:rsidR="00B14A18">
              <w:rPr>
                <w:rFonts w:asciiTheme="minorHAnsi" w:eastAsiaTheme="minorEastAsia" w:hAnsiTheme="minorHAnsi" w:cstheme="minorBidi"/>
              </w:rPr>
              <w:tab/>
            </w:r>
            <w:r w:rsidR="00B14A18" w:rsidRPr="00EA6AD3">
              <w:rPr>
                <w:rStyle w:val="Hyperlink"/>
              </w:rPr>
              <w:t>Use and costs of mpMRI</w:t>
            </w:r>
            <w:r w:rsidR="00B14A18">
              <w:rPr>
                <w:webHidden/>
              </w:rPr>
              <w:tab/>
            </w:r>
            <w:r w:rsidR="00B14A18">
              <w:rPr>
                <w:webHidden/>
              </w:rPr>
              <w:fldChar w:fldCharType="begin"/>
            </w:r>
            <w:r w:rsidR="00B14A18">
              <w:rPr>
                <w:webHidden/>
              </w:rPr>
              <w:instrText xml:space="preserve"> PAGEREF _Toc460513999 \h </w:instrText>
            </w:r>
            <w:r w:rsidR="00B14A18">
              <w:rPr>
                <w:webHidden/>
              </w:rPr>
            </w:r>
            <w:r w:rsidR="00B14A18">
              <w:rPr>
                <w:webHidden/>
              </w:rPr>
              <w:fldChar w:fldCharType="separate"/>
            </w:r>
            <w:r w:rsidR="0029649D">
              <w:rPr>
                <w:webHidden/>
              </w:rPr>
              <w:t>162</w:t>
            </w:r>
            <w:r w:rsidR="00B14A18">
              <w:rPr>
                <w:webHidden/>
              </w:rPr>
              <w:fldChar w:fldCharType="end"/>
            </w:r>
          </w:hyperlink>
        </w:p>
        <w:p w14:paraId="3CE1325C" w14:textId="77777777" w:rsidR="00B14A18" w:rsidRDefault="00DD0356">
          <w:pPr>
            <w:pStyle w:val="TOC3"/>
            <w:rPr>
              <w:rFonts w:asciiTheme="minorHAnsi" w:eastAsiaTheme="minorEastAsia" w:hAnsiTheme="minorHAnsi" w:cstheme="minorBidi"/>
            </w:rPr>
          </w:pPr>
          <w:hyperlink w:anchor="_Toc460514000" w:history="1">
            <w:r w:rsidR="00B14A18" w:rsidRPr="00EA6AD3">
              <w:rPr>
                <w:rStyle w:val="Hyperlink"/>
              </w:rPr>
              <w:t>Population 1 and 2</w:t>
            </w:r>
            <w:r w:rsidR="00B14A18">
              <w:rPr>
                <w:webHidden/>
              </w:rPr>
              <w:tab/>
            </w:r>
            <w:r w:rsidR="00B14A18">
              <w:rPr>
                <w:webHidden/>
              </w:rPr>
              <w:fldChar w:fldCharType="begin"/>
            </w:r>
            <w:r w:rsidR="00B14A18">
              <w:rPr>
                <w:webHidden/>
              </w:rPr>
              <w:instrText xml:space="preserve"> PAGEREF _Toc460514000 \h </w:instrText>
            </w:r>
            <w:r w:rsidR="00B14A18">
              <w:rPr>
                <w:webHidden/>
              </w:rPr>
            </w:r>
            <w:r w:rsidR="00B14A18">
              <w:rPr>
                <w:webHidden/>
              </w:rPr>
              <w:fldChar w:fldCharType="separate"/>
            </w:r>
            <w:r w:rsidR="0029649D">
              <w:rPr>
                <w:webHidden/>
              </w:rPr>
              <w:t>162</w:t>
            </w:r>
            <w:r w:rsidR="00B14A18">
              <w:rPr>
                <w:webHidden/>
              </w:rPr>
              <w:fldChar w:fldCharType="end"/>
            </w:r>
          </w:hyperlink>
        </w:p>
        <w:p w14:paraId="2655B7FC" w14:textId="77777777" w:rsidR="00B14A18" w:rsidRDefault="00DD0356">
          <w:pPr>
            <w:pStyle w:val="TOC3"/>
            <w:rPr>
              <w:rFonts w:asciiTheme="minorHAnsi" w:eastAsiaTheme="minorEastAsia" w:hAnsiTheme="minorHAnsi" w:cstheme="minorBidi"/>
            </w:rPr>
          </w:pPr>
          <w:hyperlink w:anchor="_Toc460514001" w:history="1">
            <w:r w:rsidR="00B14A18" w:rsidRPr="00EA6AD3">
              <w:rPr>
                <w:rStyle w:val="Hyperlink"/>
              </w:rPr>
              <w:t>Population 2</w:t>
            </w:r>
            <w:r w:rsidR="00B14A18">
              <w:rPr>
                <w:webHidden/>
              </w:rPr>
              <w:tab/>
            </w:r>
            <w:r w:rsidR="00B14A18">
              <w:rPr>
                <w:webHidden/>
              </w:rPr>
              <w:fldChar w:fldCharType="begin"/>
            </w:r>
            <w:r w:rsidR="00B14A18">
              <w:rPr>
                <w:webHidden/>
              </w:rPr>
              <w:instrText xml:space="preserve"> PAGEREF _Toc460514001 \h </w:instrText>
            </w:r>
            <w:r w:rsidR="00B14A18">
              <w:rPr>
                <w:webHidden/>
              </w:rPr>
            </w:r>
            <w:r w:rsidR="00B14A18">
              <w:rPr>
                <w:webHidden/>
              </w:rPr>
              <w:fldChar w:fldCharType="separate"/>
            </w:r>
            <w:r w:rsidR="0029649D">
              <w:rPr>
                <w:webHidden/>
              </w:rPr>
              <w:t>162</w:t>
            </w:r>
            <w:r w:rsidR="00B14A18">
              <w:rPr>
                <w:webHidden/>
              </w:rPr>
              <w:fldChar w:fldCharType="end"/>
            </w:r>
          </w:hyperlink>
        </w:p>
        <w:p w14:paraId="417FF9BE" w14:textId="77777777" w:rsidR="00B14A18" w:rsidRDefault="00DD0356">
          <w:pPr>
            <w:pStyle w:val="TOC3"/>
            <w:rPr>
              <w:rFonts w:asciiTheme="minorHAnsi" w:eastAsiaTheme="minorEastAsia" w:hAnsiTheme="minorHAnsi" w:cstheme="minorBidi"/>
            </w:rPr>
          </w:pPr>
          <w:hyperlink w:anchor="_Toc460514002" w:history="1">
            <w:r w:rsidR="00B14A18" w:rsidRPr="00EA6AD3">
              <w:rPr>
                <w:rStyle w:val="Hyperlink"/>
              </w:rPr>
              <w:t>Population 1 versus Population 2</w:t>
            </w:r>
            <w:r w:rsidR="00B14A18">
              <w:rPr>
                <w:webHidden/>
              </w:rPr>
              <w:tab/>
            </w:r>
            <w:r w:rsidR="00B14A18">
              <w:rPr>
                <w:webHidden/>
              </w:rPr>
              <w:fldChar w:fldCharType="begin"/>
            </w:r>
            <w:r w:rsidR="00B14A18">
              <w:rPr>
                <w:webHidden/>
              </w:rPr>
              <w:instrText xml:space="preserve"> PAGEREF _Toc460514002 \h </w:instrText>
            </w:r>
            <w:r w:rsidR="00B14A18">
              <w:rPr>
                <w:webHidden/>
              </w:rPr>
            </w:r>
            <w:r w:rsidR="00B14A18">
              <w:rPr>
                <w:webHidden/>
              </w:rPr>
              <w:fldChar w:fldCharType="separate"/>
            </w:r>
            <w:r w:rsidR="0029649D">
              <w:rPr>
                <w:webHidden/>
              </w:rPr>
              <w:t>163</w:t>
            </w:r>
            <w:r w:rsidR="00B14A18">
              <w:rPr>
                <w:webHidden/>
              </w:rPr>
              <w:fldChar w:fldCharType="end"/>
            </w:r>
          </w:hyperlink>
        </w:p>
        <w:p w14:paraId="659CB487" w14:textId="77777777" w:rsidR="00B14A18" w:rsidRDefault="00DD0356">
          <w:pPr>
            <w:pStyle w:val="TOC2"/>
            <w:tabs>
              <w:tab w:val="left" w:pos="1418"/>
            </w:tabs>
            <w:rPr>
              <w:rFonts w:asciiTheme="minorHAnsi" w:eastAsiaTheme="minorEastAsia" w:hAnsiTheme="minorHAnsi" w:cstheme="minorBidi"/>
            </w:rPr>
          </w:pPr>
          <w:hyperlink w:anchor="_Toc460514003" w:history="1">
            <w:r w:rsidR="00B14A18" w:rsidRPr="00EA6AD3">
              <w:rPr>
                <w:rStyle w:val="Hyperlink"/>
              </w:rPr>
              <w:t>E.3.</w:t>
            </w:r>
            <w:r w:rsidR="00B14A18">
              <w:rPr>
                <w:rFonts w:asciiTheme="minorHAnsi" w:eastAsiaTheme="minorEastAsia" w:hAnsiTheme="minorHAnsi" w:cstheme="minorBidi"/>
              </w:rPr>
              <w:tab/>
            </w:r>
            <w:r w:rsidR="00B14A18" w:rsidRPr="00EA6AD3">
              <w:rPr>
                <w:rStyle w:val="Hyperlink"/>
              </w:rPr>
              <w:t>Changes in use and cost of other medical services</w:t>
            </w:r>
            <w:r w:rsidR="00B14A18">
              <w:rPr>
                <w:webHidden/>
              </w:rPr>
              <w:tab/>
            </w:r>
            <w:r w:rsidR="00B14A18">
              <w:rPr>
                <w:webHidden/>
              </w:rPr>
              <w:fldChar w:fldCharType="begin"/>
            </w:r>
            <w:r w:rsidR="00B14A18">
              <w:rPr>
                <w:webHidden/>
              </w:rPr>
              <w:instrText xml:space="preserve"> PAGEREF _Toc460514003 \h </w:instrText>
            </w:r>
            <w:r w:rsidR="00B14A18">
              <w:rPr>
                <w:webHidden/>
              </w:rPr>
            </w:r>
            <w:r w:rsidR="00B14A18">
              <w:rPr>
                <w:webHidden/>
              </w:rPr>
              <w:fldChar w:fldCharType="separate"/>
            </w:r>
            <w:r w:rsidR="0029649D">
              <w:rPr>
                <w:webHidden/>
              </w:rPr>
              <w:t>164</w:t>
            </w:r>
            <w:r w:rsidR="00B14A18">
              <w:rPr>
                <w:webHidden/>
              </w:rPr>
              <w:fldChar w:fldCharType="end"/>
            </w:r>
          </w:hyperlink>
        </w:p>
        <w:p w14:paraId="47C69C53" w14:textId="77777777" w:rsidR="00B14A18" w:rsidRDefault="00DD0356">
          <w:pPr>
            <w:pStyle w:val="TOC2"/>
            <w:tabs>
              <w:tab w:val="left" w:pos="1418"/>
            </w:tabs>
            <w:rPr>
              <w:rFonts w:asciiTheme="minorHAnsi" w:eastAsiaTheme="minorEastAsia" w:hAnsiTheme="minorHAnsi" w:cstheme="minorBidi"/>
            </w:rPr>
          </w:pPr>
          <w:hyperlink w:anchor="_Toc460514004" w:history="1">
            <w:r w:rsidR="00B14A18" w:rsidRPr="00EA6AD3">
              <w:rPr>
                <w:rStyle w:val="Hyperlink"/>
              </w:rPr>
              <w:t>E.4.</w:t>
            </w:r>
            <w:r w:rsidR="00B14A18">
              <w:rPr>
                <w:rFonts w:asciiTheme="minorHAnsi" w:eastAsiaTheme="minorEastAsia" w:hAnsiTheme="minorHAnsi" w:cstheme="minorBidi"/>
              </w:rPr>
              <w:tab/>
            </w:r>
            <w:r w:rsidR="00B14A18" w:rsidRPr="00EA6AD3">
              <w:rPr>
                <w:rStyle w:val="Hyperlink"/>
              </w:rPr>
              <w:t>Financial implications for the MBS</w:t>
            </w:r>
            <w:r w:rsidR="00B14A18">
              <w:rPr>
                <w:webHidden/>
              </w:rPr>
              <w:tab/>
            </w:r>
            <w:r w:rsidR="00B14A18">
              <w:rPr>
                <w:webHidden/>
              </w:rPr>
              <w:fldChar w:fldCharType="begin"/>
            </w:r>
            <w:r w:rsidR="00B14A18">
              <w:rPr>
                <w:webHidden/>
              </w:rPr>
              <w:instrText xml:space="preserve"> PAGEREF _Toc460514004 \h </w:instrText>
            </w:r>
            <w:r w:rsidR="00B14A18">
              <w:rPr>
                <w:webHidden/>
              </w:rPr>
            </w:r>
            <w:r w:rsidR="00B14A18">
              <w:rPr>
                <w:webHidden/>
              </w:rPr>
              <w:fldChar w:fldCharType="separate"/>
            </w:r>
            <w:r w:rsidR="0029649D">
              <w:rPr>
                <w:webHidden/>
              </w:rPr>
              <w:t>165</w:t>
            </w:r>
            <w:r w:rsidR="00B14A18">
              <w:rPr>
                <w:webHidden/>
              </w:rPr>
              <w:fldChar w:fldCharType="end"/>
            </w:r>
          </w:hyperlink>
        </w:p>
        <w:p w14:paraId="2967EA9B" w14:textId="77777777" w:rsidR="00B14A18" w:rsidRDefault="00DD0356">
          <w:pPr>
            <w:pStyle w:val="TOC2"/>
            <w:tabs>
              <w:tab w:val="left" w:pos="1418"/>
            </w:tabs>
            <w:rPr>
              <w:rFonts w:asciiTheme="minorHAnsi" w:eastAsiaTheme="minorEastAsia" w:hAnsiTheme="minorHAnsi" w:cstheme="minorBidi"/>
            </w:rPr>
          </w:pPr>
          <w:hyperlink w:anchor="_Toc460514005" w:history="1">
            <w:r w:rsidR="00B14A18" w:rsidRPr="00EA6AD3">
              <w:rPr>
                <w:rStyle w:val="Hyperlink"/>
              </w:rPr>
              <w:t>E.5.</w:t>
            </w:r>
            <w:r w:rsidR="00B14A18">
              <w:rPr>
                <w:rFonts w:asciiTheme="minorHAnsi" w:eastAsiaTheme="minorEastAsia" w:hAnsiTheme="minorHAnsi" w:cstheme="minorBidi"/>
              </w:rPr>
              <w:tab/>
            </w:r>
            <w:r w:rsidR="00B14A18" w:rsidRPr="00EA6AD3">
              <w:rPr>
                <w:rStyle w:val="Hyperlink"/>
              </w:rPr>
              <w:t>Identification, estimation and reduction of uncertainty</w:t>
            </w:r>
            <w:r w:rsidR="00B14A18">
              <w:rPr>
                <w:webHidden/>
              </w:rPr>
              <w:tab/>
            </w:r>
            <w:r w:rsidR="00B14A18">
              <w:rPr>
                <w:webHidden/>
              </w:rPr>
              <w:fldChar w:fldCharType="begin"/>
            </w:r>
            <w:r w:rsidR="00B14A18">
              <w:rPr>
                <w:webHidden/>
              </w:rPr>
              <w:instrText xml:space="preserve"> PAGEREF _Toc460514005 \h </w:instrText>
            </w:r>
            <w:r w:rsidR="00B14A18">
              <w:rPr>
                <w:webHidden/>
              </w:rPr>
            </w:r>
            <w:r w:rsidR="00B14A18">
              <w:rPr>
                <w:webHidden/>
              </w:rPr>
              <w:fldChar w:fldCharType="separate"/>
            </w:r>
            <w:r w:rsidR="0029649D">
              <w:rPr>
                <w:webHidden/>
              </w:rPr>
              <w:t>166</w:t>
            </w:r>
            <w:r w:rsidR="00B14A18">
              <w:rPr>
                <w:webHidden/>
              </w:rPr>
              <w:fldChar w:fldCharType="end"/>
            </w:r>
          </w:hyperlink>
        </w:p>
        <w:p w14:paraId="129FF69B" w14:textId="77777777" w:rsidR="00B14A18" w:rsidRDefault="00DD0356">
          <w:pPr>
            <w:pStyle w:val="TOC1"/>
            <w:rPr>
              <w:rFonts w:asciiTheme="minorHAnsi" w:eastAsiaTheme="minorEastAsia" w:hAnsiTheme="minorHAnsi" w:cstheme="minorBidi"/>
              <w:b w:val="0"/>
            </w:rPr>
          </w:pPr>
          <w:hyperlink w:anchor="_Toc460514006" w:history="1">
            <w:r w:rsidR="00B14A18" w:rsidRPr="00EA6AD3">
              <w:rPr>
                <w:rStyle w:val="Hyperlink"/>
              </w:rPr>
              <w:t>Appendix A</w:t>
            </w:r>
            <w:r w:rsidR="00B14A18">
              <w:rPr>
                <w:rFonts w:asciiTheme="minorHAnsi" w:eastAsiaTheme="minorEastAsia" w:hAnsiTheme="minorHAnsi" w:cstheme="minorBidi"/>
                <w:b w:val="0"/>
              </w:rPr>
              <w:tab/>
            </w:r>
            <w:r w:rsidR="00B14A18" w:rsidRPr="00EA6AD3">
              <w:rPr>
                <w:rStyle w:val="Hyperlink"/>
              </w:rPr>
              <w:t>Clinical Experts and Assessment Group</w:t>
            </w:r>
            <w:r w:rsidR="00B14A18">
              <w:rPr>
                <w:webHidden/>
              </w:rPr>
              <w:tab/>
            </w:r>
            <w:r w:rsidR="00B14A18">
              <w:rPr>
                <w:webHidden/>
              </w:rPr>
              <w:fldChar w:fldCharType="begin"/>
            </w:r>
            <w:r w:rsidR="00B14A18">
              <w:rPr>
                <w:webHidden/>
              </w:rPr>
              <w:instrText xml:space="preserve"> PAGEREF _Toc460514006 \h </w:instrText>
            </w:r>
            <w:r w:rsidR="00B14A18">
              <w:rPr>
                <w:webHidden/>
              </w:rPr>
            </w:r>
            <w:r w:rsidR="00B14A18">
              <w:rPr>
                <w:webHidden/>
              </w:rPr>
              <w:fldChar w:fldCharType="separate"/>
            </w:r>
            <w:r w:rsidR="0029649D">
              <w:rPr>
                <w:webHidden/>
              </w:rPr>
              <w:t>168</w:t>
            </w:r>
            <w:r w:rsidR="00B14A18">
              <w:rPr>
                <w:webHidden/>
              </w:rPr>
              <w:fldChar w:fldCharType="end"/>
            </w:r>
          </w:hyperlink>
        </w:p>
        <w:p w14:paraId="1DC457ED" w14:textId="77777777" w:rsidR="00B14A18" w:rsidRDefault="00DD0356">
          <w:pPr>
            <w:pStyle w:val="TOC2"/>
            <w:rPr>
              <w:rFonts w:asciiTheme="minorHAnsi" w:eastAsiaTheme="minorEastAsia" w:hAnsiTheme="minorHAnsi" w:cstheme="minorBidi"/>
            </w:rPr>
          </w:pPr>
          <w:hyperlink w:anchor="_Toc460514007" w:history="1">
            <w:r w:rsidR="00B14A18" w:rsidRPr="00EA6AD3">
              <w:rPr>
                <w:rStyle w:val="Hyperlink"/>
              </w:rPr>
              <w:t>Assessment group</w:t>
            </w:r>
            <w:r w:rsidR="00B14A18">
              <w:rPr>
                <w:webHidden/>
              </w:rPr>
              <w:tab/>
            </w:r>
            <w:r w:rsidR="00B14A18">
              <w:rPr>
                <w:webHidden/>
              </w:rPr>
              <w:fldChar w:fldCharType="begin"/>
            </w:r>
            <w:r w:rsidR="00B14A18">
              <w:rPr>
                <w:webHidden/>
              </w:rPr>
              <w:instrText xml:space="preserve"> PAGEREF _Toc460514007 \h </w:instrText>
            </w:r>
            <w:r w:rsidR="00B14A18">
              <w:rPr>
                <w:webHidden/>
              </w:rPr>
            </w:r>
            <w:r w:rsidR="00B14A18">
              <w:rPr>
                <w:webHidden/>
              </w:rPr>
              <w:fldChar w:fldCharType="separate"/>
            </w:r>
            <w:r w:rsidR="0029649D">
              <w:rPr>
                <w:webHidden/>
              </w:rPr>
              <w:t>168</w:t>
            </w:r>
            <w:r w:rsidR="00B14A18">
              <w:rPr>
                <w:webHidden/>
              </w:rPr>
              <w:fldChar w:fldCharType="end"/>
            </w:r>
          </w:hyperlink>
        </w:p>
        <w:p w14:paraId="106DDABE" w14:textId="77777777" w:rsidR="00B14A18" w:rsidRDefault="00DD0356">
          <w:pPr>
            <w:pStyle w:val="TOC2"/>
            <w:rPr>
              <w:rFonts w:asciiTheme="minorHAnsi" w:eastAsiaTheme="minorEastAsia" w:hAnsiTheme="minorHAnsi" w:cstheme="minorBidi"/>
            </w:rPr>
          </w:pPr>
          <w:hyperlink w:anchor="_Toc460514008" w:history="1">
            <w:r w:rsidR="00B14A18" w:rsidRPr="00EA6AD3">
              <w:rPr>
                <w:rStyle w:val="Hyperlink"/>
                <w:rFonts w:cs="Times New Roman"/>
                <w:b/>
                <w:bCs/>
                <w:smallCaps/>
              </w:rPr>
              <w:t>Clinical Expert</w:t>
            </w:r>
            <w:r w:rsidR="00B14A18">
              <w:rPr>
                <w:webHidden/>
              </w:rPr>
              <w:tab/>
            </w:r>
            <w:r w:rsidR="00B14A18">
              <w:rPr>
                <w:webHidden/>
              </w:rPr>
              <w:fldChar w:fldCharType="begin"/>
            </w:r>
            <w:r w:rsidR="00B14A18">
              <w:rPr>
                <w:webHidden/>
              </w:rPr>
              <w:instrText xml:space="preserve"> PAGEREF _Toc460514008 \h </w:instrText>
            </w:r>
            <w:r w:rsidR="00B14A18">
              <w:rPr>
                <w:webHidden/>
              </w:rPr>
            </w:r>
            <w:r w:rsidR="00B14A18">
              <w:rPr>
                <w:webHidden/>
              </w:rPr>
              <w:fldChar w:fldCharType="separate"/>
            </w:r>
            <w:r w:rsidR="0029649D">
              <w:rPr>
                <w:webHidden/>
              </w:rPr>
              <w:t>168</w:t>
            </w:r>
            <w:r w:rsidR="00B14A18">
              <w:rPr>
                <w:webHidden/>
              </w:rPr>
              <w:fldChar w:fldCharType="end"/>
            </w:r>
          </w:hyperlink>
        </w:p>
        <w:p w14:paraId="616D74FA" w14:textId="77777777" w:rsidR="00B14A18" w:rsidRDefault="00DD0356">
          <w:pPr>
            <w:pStyle w:val="TOC1"/>
            <w:rPr>
              <w:rFonts w:asciiTheme="minorHAnsi" w:eastAsiaTheme="minorEastAsia" w:hAnsiTheme="minorHAnsi" w:cstheme="minorBidi"/>
              <w:b w:val="0"/>
            </w:rPr>
          </w:pPr>
          <w:hyperlink w:anchor="_Toc460514009" w:history="1">
            <w:r w:rsidR="00B14A18" w:rsidRPr="00EA6AD3">
              <w:rPr>
                <w:rStyle w:val="Hyperlink"/>
              </w:rPr>
              <w:t>Appendix B</w:t>
            </w:r>
            <w:r w:rsidR="00B14A18">
              <w:rPr>
                <w:rFonts w:asciiTheme="minorHAnsi" w:eastAsiaTheme="minorEastAsia" w:hAnsiTheme="minorHAnsi" w:cstheme="minorBidi"/>
                <w:b w:val="0"/>
              </w:rPr>
              <w:tab/>
            </w:r>
            <w:r w:rsidR="00B14A18" w:rsidRPr="00EA6AD3">
              <w:rPr>
                <w:rStyle w:val="Hyperlink"/>
              </w:rPr>
              <w:t>Search strategies</w:t>
            </w:r>
            <w:r w:rsidR="00B14A18">
              <w:rPr>
                <w:webHidden/>
              </w:rPr>
              <w:tab/>
            </w:r>
            <w:r w:rsidR="00B14A18">
              <w:rPr>
                <w:webHidden/>
              </w:rPr>
              <w:fldChar w:fldCharType="begin"/>
            </w:r>
            <w:r w:rsidR="00B14A18">
              <w:rPr>
                <w:webHidden/>
              </w:rPr>
              <w:instrText xml:space="preserve"> PAGEREF _Toc460514009 \h </w:instrText>
            </w:r>
            <w:r w:rsidR="00B14A18">
              <w:rPr>
                <w:webHidden/>
              </w:rPr>
            </w:r>
            <w:r w:rsidR="00B14A18">
              <w:rPr>
                <w:webHidden/>
              </w:rPr>
              <w:fldChar w:fldCharType="separate"/>
            </w:r>
            <w:r w:rsidR="0029649D">
              <w:rPr>
                <w:webHidden/>
              </w:rPr>
              <w:t>169</w:t>
            </w:r>
            <w:r w:rsidR="00B14A18">
              <w:rPr>
                <w:webHidden/>
              </w:rPr>
              <w:fldChar w:fldCharType="end"/>
            </w:r>
          </w:hyperlink>
        </w:p>
        <w:p w14:paraId="3F2D7F60" w14:textId="77777777" w:rsidR="00B14A18" w:rsidRDefault="00DD0356">
          <w:pPr>
            <w:pStyle w:val="TOC3"/>
            <w:rPr>
              <w:rFonts w:asciiTheme="minorHAnsi" w:eastAsiaTheme="minorEastAsia" w:hAnsiTheme="minorHAnsi" w:cstheme="minorBidi"/>
            </w:rPr>
          </w:pPr>
          <w:hyperlink w:anchor="_Toc460514010" w:history="1">
            <w:r w:rsidR="00B14A18" w:rsidRPr="00EA6AD3">
              <w:rPr>
                <w:rStyle w:val="Hyperlink"/>
              </w:rPr>
              <w:t>Bibliographic databases</w:t>
            </w:r>
            <w:r w:rsidR="00B14A18">
              <w:rPr>
                <w:webHidden/>
              </w:rPr>
              <w:tab/>
            </w:r>
            <w:r w:rsidR="00B14A18">
              <w:rPr>
                <w:webHidden/>
              </w:rPr>
              <w:fldChar w:fldCharType="begin"/>
            </w:r>
            <w:r w:rsidR="00B14A18">
              <w:rPr>
                <w:webHidden/>
              </w:rPr>
              <w:instrText xml:space="preserve"> PAGEREF _Toc460514010 \h </w:instrText>
            </w:r>
            <w:r w:rsidR="00B14A18">
              <w:rPr>
                <w:webHidden/>
              </w:rPr>
            </w:r>
            <w:r w:rsidR="00B14A18">
              <w:rPr>
                <w:webHidden/>
              </w:rPr>
              <w:fldChar w:fldCharType="separate"/>
            </w:r>
            <w:r w:rsidR="0029649D">
              <w:rPr>
                <w:webHidden/>
              </w:rPr>
              <w:t>169</w:t>
            </w:r>
            <w:r w:rsidR="00B14A18">
              <w:rPr>
                <w:webHidden/>
              </w:rPr>
              <w:fldChar w:fldCharType="end"/>
            </w:r>
          </w:hyperlink>
        </w:p>
        <w:p w14:paraId="4F7C5692" w14:textId="77777777" w:rsidR="00B14A18" w:rsidRDefault="00DD0356">
          <w:pPr>
            <w:pStyle w:val="TOC3"/>
            <w:rPr>
              <w:rFonts w:asciiTheme="minorHAnsi" w:eastAsiaTheme="minorEastAsia" w:hAnsiTheme="minorHAnsi" w:cstheme="minorBidi"/>
            </w:rPr>
          </w:pPr>
          <w:hyperlink w:anchor="_Toc460514011" w:history="1">
            <w:r w:rsidR="00B14A18" w:rsidRPr="00EA6AD3">
              <w:rPr>
                <w:rStyle w:val="Hyperlink"/>
              </w:rPr>
              <w:t>Additional sources of literature (including websites)</w:t>
            </w:r>
            <w:r w:rsidR="00B14A18">
              <w:rPr>
                <w:webHidden/>
              </w:rPr>
              <w:tab/>
            </w:r>
            <w:r w:rsidR="00B14A18">
              <w:rPr>
                <w:webHidden/>
              </w:rPr>
              <w:fldChar w:fldCharType="begin"/>
            </w:r>
            <w:r w:rsidR="00B14A18">
              <w:rPr>
                <w:webHidden/>
              </w:rPr>
              <w:instrText xml:space="preserve"> PAGEREF _Toc460514011 \h </w:instrText>
            </w:r>
            <w:r w:rsidR="00B14A18">
              <w:rPr>
                <w:webHidden/>
              </w:rPr>
            </w:r>
            <w:r w:rsidR="00B14A18">
              <w:rPr>
                <w:webHidden/>
              </w:rPr>
              <w:fldChar w:fldCharType="separate"/>
            </w:r>
            <w:r w:rsidR="0029649D">
              <w:rPr>
                <w:webHidden/>
              </w:rPr>
              <w:t>169</w:t>
            </w:r>
            <w:r w:rsidR="00B14A18">
              <w:rPr>
                <w:webHidden/>
              </w:rPr>
              <w:fldChar w:fldCharType="end"/>
            </w:r>
          </w:hyperlink>
        </w:p>
        <w:p w14:paraId="701210ED" w14:textId="77777777" w:rsidR="00B14A18" w:rsidRDefault="00DD0356">
          <w:pPr>
            <w:pStyle w:val="TOC1"/>
            <w:rPr>
              <w:rFonts w:asciiTheme="minorHAnsi" w:eastAsiaTheme="minorEastAsia" w:hAnsiTheme="minorHAnsi" w:cstheme="minorBidi"/>
              <w:b w:val="0"/>
            </w:rPr>
          </w:pPr>
          <w:hyperlink w:anchor="_Toc460514012" w:history="1">
            <w:r w:rsidR="00B14A18" w:rsidRPr="00EA6AD3">
              <w:rPr>
                <w:rStyle w:val="Hyperlink"/>
              </w:rPr>
              <w:t>Appendix C</w:t>
            </w:r>
            <w:r w:rsidR="00B14A18">
              <w:rPr>
                <w:rFonts w:asciiTheme="minorHAnsi" w:eastAsiaTheme="minorEastAsia" w:hAnsiTheme="minorHAnsi" w:cstheme="minorBidi"/>
                <w:b w:val="0"/>
              </w:rPr>
              <w:tab/>
            </w:r>
            <w:r w:rsidR="00B14A18" w:rsidRPr="00EA6AD3">
              <w:rPr>
                <w:rStyle w:val="Hyperlink"/>
              </w:rPr>
              <w:t>Studies included in the Systematic Review</w:t>
            </w:r>
            <w:r w:rsidR="00B14A18">
              <w:rPr>
                <w:webHidden/>
              </w:rPr>
              <w:tab/>
            </w:r>
            <w:r w:rsidR="00B14A18">
              <w:rPr>
                <w:webHidden/>
              </w:rPr>
              <w:fldChar w:fldCharType="begin"/>
            </w:r>
            <w:r w:rsidR="00B14A18">
              <w:rPr>
                <w:webHidden/>
              </w:rPr>
              <w:instrText xml:space="preserve"> PAGEREF _Toc460514012 \h </w:instrText>
            </w:r>
            <w:r w:rsidR="00B14A18">
              <w:rPr>
                <w:webHidden/>
              </w:rPr>
            </w:r>
            <w:r w:rsidR="00B14A18">
              <w:rPr>
                <w:webHidden/>
              </w:rPr>
              <w:fldChar w:fldCharType="separate"/>
            </w:r>
            <w:r w:rsidR="0029649D">
              <w:rPr>
                <w:webHidden/>
              </w:rPr>
              <w:t>170</w:t>
            </w:r>
            <w:r w:rsidR="00B14A18">
              <w:rPr>
                <w:webHidden/>
              </w:rPr>
              <w:fldChar w:fldCharType="end"/>
            </w:r>
          </w:hyperlink>
        </w:p>
        <w:p w14:paraId="002057E7" w14:textId="77777777" w:rsidR="00B14A18" w:rsidRDefault="00DD0356">
          <w:pPr>
            <w:pStyle w:val="TOC2"/>
            <w:rPr>
              <w:rFonts w:asciiTheme="minorHAnsi" w:eastAsiaTheme="minorEastAsia" w:hAnsiTheme="minorHAnsi" w:cstheme="minorBidi"/>
            </w:rPr>
          </w:pPr>
          <w:hyperlink w:anchor="_Toc460514013" w:history="1">
            <w:r w:rsidR="00B14A18" w:rsidRPr="00EA6AD3">
              <w:rPr>
                <w:rStyle w:val="Hyperlink"/>
              </w:rPr>
              <w:t>Profiles of studies for patients in Population 1 included in the literature review</w:t>
            </w:r>
            <w:r w:rsidR="00B14A18">
              <w:rPr>
                <w:webHidden/>
              </w:rPr>
              <w:tab/>
            </w:r>
            <w:r w:rsidR="00B14A18">
              <w:rPr>
                <w:webHidden/>
              </w:rPr>
              <w:fldChar w:fldCharType="begin"/>
            </w:r>
            <w:r w:rsidR="00B14A18">
              <w:rPr>
                <w:webHidden/>
              </w:rPr>
              <w:instrText xml:space="preserve"> PAGEREF _Toc460514013 \h </w:instrText>
            </w:r>
            <w:r w:rsidR="00B14A18">
              <w:rPr>
                <w:webHidden/>
              </w:rPr>
            </w:r>
            <w:r w:rsidR="00B14A18">
              <w:rPr>
                <w:webHidden/>
              </w:rPr>
              <w:fldChar w:fldCharType="separate"/>
            </w:r>
            <w:r w:rsidR="0029649D">
              <w:rPr>
                <w:webHidden/>
              </w:rPr>
              <w:t>170</w:t>
            </w:r>
            <w:r w:rsidR="00B14A18">
              <w:rPr>
                <w:webHidden/>
              </w:rPr>
              <w:fldChar w:fldCharType="end"/>
            </w:r>
          </w:hyperlink>
        </w:p>
        <w:p w14:paraId="73D8D982" w14:textId="77777777" w:rsidR="00B14A18" w:rsidRDefault="00DD0356">
          <w:pPr>
            <w:pStyle w:val="TOC2"/>
            <w:rPr>
              <w:rFonts w:asciiTheme="minorHAnsi" w:eastAsiaTheme="minorEastAsia" w:hAnsiTheme="minorHAnsi" w:cstheme="minorBidi"/>
            </w:rPr>
          </w:pPr>
          <w:hyperlink w:anchor="_Toc460514014" w:history="1">
            <w:r w:rsidR="00B14A18" w:rsidRPr="00EA6AD3">
              <w:rPr>
                <w:rStyle w:val="Hyperlink"/>
              </w:rPr>
              <w:t>Profiles of studies for patients in Population 2 included in the systematic literature review</w:t>
            </w:r>
            <w:r w:rsidR="00B14A18">
              <w:rPr>
                <w:webHidden/>
              </w:rPr>
              <w:tab/>
            </w:r>
            <w:r w:rsidR="00B14A18">
              <w:rPr>
                <w:webHidden/>
              </w:rPr>
              <w:fldChar w:fldCharType="begin"/>
            </w:r>
            <w:r w:rsidR="00B14A18">
              <w:rPr>
                <w:webHidden/>
              </w:rPr>
              <w:instrText xml:space="preserve"> PAGEREF _Toc460514014 \h </w:instrText>
            </w:r>
            <w:r w:rsidR="00B14A18">
              <w:rPr>
                <w:webHidden/>
              </w:rPr>
            </w:r>
            <w:r w:rsidR="00B14A18">
              <w:rPr>
                <w:webHidden/>
              </w:rPr>
              <w:fldChar w:fldCharType="separate"/>
            </w:r>
            <w:r w:rsidR="0029649D">
              <w:rPr>
                <w:webHidden/>
              </w:rPr>
              <w:t>177</w:t>
            </w:r>
            <w:r w:rsidR="00B14A18">
              <w:rPr>
                <w:webHidden/>
              </w:rPr>
              <w:fldChar w:fldCharType="end"/>
            </w:r>
          </w:hyperlink>
        </w:p>
        <w:p w14:paraId="611D50F4" w14:textId="77777777" w:rsidR="00B14A18" w:rsidRDefault="00DD0356">
          <w:pPr>
            <w:pStyle w:val="TOC2"/>
            <w:rPr>
              <w:rFonts w:asciiTheme="minorHAnsi" w:eastAsiaTheme="minorEastAsia" w:hAnsiTheme="minorHAnsi" w:cstheme="minorBidi"/>
            </w:rPr>
          </w:pPr>
          <w:hyperlink w:anchor="_Toc460514015" w:history="1">
            <w:r w:rsidR="00B14A18" w:rsidRPr="00EA6AD3">
              <w:rPr>
                <w:rStyle w:val="Hyperlink"/>
              </w:rPr>
              <w:t>Profiles of studies reporting patient outcomes</w:t>
            </w:r>
            <w:r w:rsidR="00B14A18">
              <w:rPr>
                <w:webHidden/>
              </w:rPr>
              <w:tab/>
            </w:r>
            <w:r w:rsidR="00B14A18">
              <w:rPr>
                <w:webHidden/>
              </w:rPr>
              <w:fldChar w:fldCharType="begin"/>
            </w:r>
            <w:r w:rsidR="00B14A18">
              <w:rPr>
                <w:webHidden/>
              </w:rPr>
              <w:instrText xml:space="preserve"> PAGEREF _Toc460514015 \h </w:instrText>
            </w:r>
            <w:r w:rsidR="00B14A18">
              <w:rPr>
                <w:webHidden/>
              </w:rPr>
            </w:r>
            <w:r w:rsidR="00B14A18">
              <w:rPr>
                <w:webHidden/>
              </w:rPr>
              <w:fldChar w:fldCharType="separate"/>
            </w:r>
            <w:r w:rsidR="0029649D">
              <w:rPr>
                <w:webHidden/>
              </w:rPr>
              <w:t>181</w:t>
            </w:r>
            <w:r w:rsidR="00B14A18">
              <w:rPr>
                <w:webHidden/>
              </w:rPr>
              <w:fldChar w:fldCharType="end"/>
            </w:r>
          </w:hyperlink>
        </w:p>
        <w:p w14:paraId="3CB78B1D" w14:textId="77777777" w:rsidR="00B14A18" w:rsidRDefault="00DD0356">
          <w:pPr>
            <w:pStyle w:val="TOC2"/>
            <w:rPr>
              <w:rFonts w:asciiTheme="minorHAnsi" w:eastAsiaTheme="minorEastAsia" w:hAnsiTheme="minorHAnsi" w:cstheme="minorBidi"/>
            </w:rPr>
          </w:pPr>
          <w:hyperlink w:anchor="_Toc460514016" w:history="1">
            <w:r w:rsidR="00B14A18" w:rsidRPr="00EA6AD3">
              <w:rPr>
                <w:rStyle w:val="Hyperlink"/>
              </w:rPr>
              <w:t>Profiles of studies on the safety of the TRUSGB included in the systematic literature review</w:t>
            </w:r>
            <w:r w:rsidR="00B14A18">
              <w:rPr>
                <w:webHidden/>
              </w:rPr>
              <w:tab/>
            </w:r>
            <w:r w:rsidR="00B14A18">
              <w:rPr>
                <w:webHidden/>
              </w:rPr>
              <w:fldChar w:fldCharType="begin"/>
            </w:r>
            <w:r w:rsidR="00B14A18">
              <w:rPr>
                <w:webHidden/>
              </w:rPr>
              <w:instrText xml:space="preserve"> PAGEREF _Toc460514016 \h </w:instrText>
            </w:r>
            <w:r w:rsidR="00B14A18">
              <w:rPr>
                <w:webHidden/>
              </w:rPr>
            </w:r>
            <w:r w:rsidR="00B14A18">
              <w:rPr>
                <w:webHidden/>
              </w:rPr>
              <w:fldChar w:fldCharType="separate"/>
            </w:r>
            <w:r w:rsidR="0029649D">
              <w:rPr>
                <w:webHidden/>
              </w:rPr>
              <w:t>183</w:t>
            </w:r>
            <w:r w:rsidR="00B14A18">
              <w:rPr>
                <w:webHidden/>
              </w:rPr>
              <w:fldChar w:fldCharType="end"/>
            </w:r>
          </w:hyperlink>
        </w:p>
        <w:p w14:paraId="6860B5A5" w14:textId="77777777" w:rsidR="00B14A18" w:rsidRDefault="00DD0356">
          <w:pPr>
            <w:pStyle w:val="TOC2"/>
            <w:rPr>
              <w:rFonts w:asciiTheme="minorHAnsi" w:eastAsiaTheme="minorEastAsia" w:hAnsiTheme="minorHAnsi" w:cstheme="minorBidi"/>
            </w:rPr>
          </w:pPr>
          <w:hyperlink w:anchor="_Toc460514017" w:history="1">
            <w:r w:rsidR="00B14A18" w:rsidRPr="00EA6AD3">
              <w:rPr>
                <w:rStyle w:val="Hyperlink"/>
              </w:rPr>
              <w:t>Profiles of studies on the safety of the TPUSGB included in the systematic literature review</w:t>
            </w:r>
            <w:r w:rsidR="00B14A18">
              <w:rPr>
                <w:webHidden/>
              </w:rPr>
              <w:tab/>
            </w:r>
            <w:r w:rsidR="00B14A18">
              <w:rPr>
                <w:webHidden/>
              </w:rPr>
              <w:fldChar w:fldCharType="begin"/>
            </w:r>
            <w:r w:rsidR="00B14A18">
              <w:rPr>
                <w:webHidden/>
              </w:rPr>
              <w:instrText xml:space="preserve"> PAGEREF _Toc460514017 \h </w:instrText>
            </w:r>
            <w:r w:rsidR="00B14A18">
              <w:rPr>
                <w:webHidden/>
              </w:rPr>
            </w:r>
            <w:r w:rsidR="00B14A18">
              <w:rPr>
                <w:webHidden/>
              </w:rPr>
              <w:fldChar w:fldCharType="separate"/>
            </w:r>
            <w:r w:rsidR="0029649D">
              <w:rPr>
                <w:webHidden/>
              </w:rPr>
              <w:t>188</w:t>
            </w:r>
            <w:r w:rsidR="00B14A18">
              <w:rPr>
                <w:webHidden/>
              </w:rPr>
              <w:fldChar w:fldCharType="end"/>
            </w:r>
          </w:hyperlink>
        </w:p>
        <w:p w14:paraId="61255A2C" w14:textId="77777777" w:rsidR="00B14A18" w:rsidRDefault="00DD0356">
          <w:pPr>
            <w:pStyle w:val="TOC1"/>
            <w:rPr>
              <w:rFonts w:asciiTheme="minorHAnsi" w:eastAsiaTheme="minorEastAsia" w:hAnsiTheme="minorHAnsi" w:cstheme="minorBidi"/>
              <w:b w:val="0"/>
            </w:rPr>
          </w:pPr>
          <w:hyperlink w:anchor="_Toc460514018" w:history="1">
            <w:r w:rsidR="00B14A18" w:rsidRPr="00EA6AD3">
              <w:rPr>
                <w:rStyle w:val="Hyperlink"/>
              </w:rPr>
              <w:t>Appendix D</w:t>
            </w:r>
            <w:r w:rsidR="00B14A18">
              <w:rPr>
                <w:rFonts w:asciiTheme="minorHAnsi" w:eastAsiaTheme="minorEastAsia" w:hAnsiTheme="minorHAnsi" w:cstheme="minorBidi"/>
                <w:b w:val="0"/>
              </w:rPr>
              <w:tab/>
            </w:r>
            <w:r w:rsidR="00B14A18" w:rsidRPr="00EA6AD3">
              <w:rPr>
                <w:rStyle w:val="Hyperlink"/>
              </w:rPr>
              <w:t>Evidence Profile Tables</w:t>
            </w:r>
            <w:r w:rsidR="00B14A18">
              <w:rPr>
                <w:webHidden/>
              </w:rPr>
              <w:tab/>
            </w:r>
            <w:r w:rsidR="00B14A18">
              <w:rPr>
                <w:webHidden/>
              </w:rPr>
              <w:fldChar w:fldCharType="begin"/>
            </w:r>
            <w:r w:rsidR="00B14A18">
              <w:rPr>
                <w:webHidden/>
              </w:rPr>
              <w:instrText xml:space="preserve"> PAGEREF _Toc460514018 \h </w:instrText>
            </w:r>
            <w:r w:rsidR="00B14A18">
              <w:rPr>
                <w:webHidden/>
              </w:rPr>
            </w:r>
            <w:r w:rsidR="00B14A18">
              <w:rPr>
                <w:webHidden/>
              </w:rPr>
              <w:fldChar w:fldCharType="separate"/>
            </w:r>
            <w:r w:rsidR="0029649D">
              <w:rPr>
                <w:webHidden/>
              </w:rPr>
              <w:t>189</w:t>
            </w:r>
            <w:r w:rsidR="00B14A18">
              <w:rPr>
                <w:webHidden/>
              </w:rPr>
              <w:fldChar w:fldCharType="end"/>
            </w:r>
          </w:hyperlink>
        </w:p>
        <w:p w14:paraId="71014504" w14:textId="77777777" w:rsidR="00B14A18" w:rsidRDefault="00DD0356">
          <w:pPr>
            <w:pStyle w:val="TOC2"/>
            <w:rPr>
              <w:rFonts w:asciiTheme="minorHAnsi" w:eastAsiaTheme="minorEastAsia" w:hAnsiTheme="minorHAnsi" w:cstheme="minorBidi"/>
            </w:rPr>
          </w:pPr>
          <w:hyperlink w:anchor="_Toc460514019" w:history="1">
            <w:r w:rsidR="00B14A18" w:rsidRPr="00EA6AD3">
              <w:rPr>
                <w:rStyle w:val="Hyperlink"/>
              </w:rPr>
              <w:t>Population 1: Men with suspicion of prostate cancer</w:t>
            </w:r>
            <w:r w:rsidR="00B14A18">
              <w:rPr>
                <w:webHidden/>
              </w:rPr>
              <w:tab/>
            </w:r>
            <w:r w:rsidR="00B14A18">
              <w:rPr>
                <w:webHidden/>
              </w:rPr>
              <w:fldChar w:fldCharType="begin"/>
            </w:r>
            <w:r w:rsidR="00B14A18">
              <w:rPr>
                <w:webHidden/>
              </w:rPr>
              <w:instrText xml:space="preserve"> PAGEREF _Toc460514019 \h </w:instrText>
            </w:r>
            <w:r w:rsidR="00B14A18">
              <w:rPr>
                <w:webHidden/>
              </w:rPr>
            </w:r>
            <w:r w:rsidR="00B14A18">
              <w:rPr>
                <w:webHidden/>
              </w:rPr>
              <w:fldChar w:fldCharType="separate"/>
            </w:r>
            <w:r w:rsidR="0029649D">
              <w:rPr>
                <w:webHidden/>
              </w:rPr>
              <w:t>189</w:t>
            </w:r>
            <w:r w:rsidR="00B14A18">
              <w:rPr>
                <w:webHidden/>
              </w:rPr>
              <w:fldChar w:fldCharType="end"/>
            </w:r>
          </w:hyperlink>
        </w:p>
        <w:p w14:paraId="58C18E08" w14:textId="77777777" w:rsidR="00B14A18" w:rsidRDefault="00DD0356">
          <w:pPr>
            <w:pStyle w:val="TOC2"/>
            <w:rPr>
              <w:rFonts w:asciiTheme="minorHAnsi" w:eastAsiaTheme="minorEastAsia" w:hAnsiTheme="minorHAnsi" w:cstheme="minorBidi"/>
            </w:rPr>
          </w:pPr>
          <w:hyperlink w:anchor="_Toc460514020" w:history="1">
            <w:r w:rsidR="00B14A18" w:rsidRPr="00EA6AD3">
              <w:rPr>
                <w:rStyle w:val="Hyperlink"/>
              </w:rPr>
              <w:t>Population 2: Men on active surveillance</w:t>
            </w:r>
            <w:r w:rsidR="00B14A18">
              <w:rPr>
                <w:webHidden/>
              </w:rPr>
              <w:tab/>
            </w:r>
            <w:r w:rsidR="00B14A18">
              <w:rPr>
                <w:webHidden/>
              </w:rPr>
              <w:fldChar w:fldCharType="begin"/>
            </w:r>
            <w:r w:rsidR="00B14A18">
              <w:rPr>
                <w:webHidden/>
              </w:rPr>
              <w:instrText xml:space="preserve"> PAGEREF _Toc460514020 \h </w:instrText>
            </w:r>
            <w:r w:rsidR="00B14A18">
              <w:rPr>
                <w:webHidden/>
              </w:rPr>
            </w:r>
            <w:r w:rsidR="00B14A18">
              <w:rPr>
                <w:webHidden/>
              </w:rPr>
              <w:fldChar w:fldCharType="separate"/>
            </w:r>
            <w:r w:rsidR="0029649D">
              <w:rPr>
                <w:webHidden/>
              </w:rPr>
              <w:t>192</w:t>
            </w:r>
            <w:r w:rsidR="00B14A18">
              <w:rPr>
                <w:webHidden/>
              </w:rPr>
              <w:fldChar w:fldCharType="end"/>
            </w:r>
          </w:hyperlink>
        </w:p>
        <w:p w14:paraId="1472B22F" w14:textId="77777777" w:rsidR="00B14A18" w:rsidRDefault="00DD0356">
          <w:pPr>
            <w:pStyle w:val="TOC2"/>
            <w:rPr>
              <w:rFonts w:asciiTheme="minorHAnsi" w:eastAsiaTheme="minorEastAsia" w:hAnsiTheme="minorHAnsi" w:cstheme="minorBidi"/>
            </w:rPr>
          </w:pPr>
          <w:hyperlink w:anchor="_Toc460514021" w:history="1">
            <w:r w:rsidR="00B14A18" w:rsidRPr="00EA6AD3">
              <w:rPr>
                <w:rStyle w:val="Hyperlink"/>
              </w:rPr>
              <w:t>Harms associated with biopsy</w:t>
            </w:r>
            <w:r w:rsidR="00B14A18">
              <w:rPr>
                <w:webHidden/>
              </w:rPr>
              <w:tab/>
            </w:r>
            <w:r w:rsidR="00B14A18">
              <w:rPr>
                <w:webHidden/>
              </w:rPr>
              <w:fldChar w:fldCharType="begin"/>
            </w:r>
            <w:r w:rsidR="00B14A18">
              <w:rPr>
                <w:webHidden/>
              </w:rPr>
              <w:instrText xml:space="preserve"> PAGEREF _Toc460514021 \h </w:instrText>
            </w:r>
            <w:r w:rsidR="00B14A18">
              <w:rPr>
                <w:webHidden/>
              </w:rPr>
            </w:r>
            <w:r w:rsidR="00B14A18">
              <w:rPr>
                <w:webHidden/>
              </w:rPr>
              <w:fldChar w:fldCharType="separate"/>
            </w:r>
            <w:r w:rsidR="0029649D">
              <w:rPr>
                <w:webHidden/>
              </w:rPr>
              <w:t>194</w:t>
            </w:r>
            <w:r w:rsidR="00B14A18">
              <w:rPr>
                <w:webHidden/>
              </w:rPr>
              <w:fldChar w:fldCharType="end"/>
            </w:r>
          </w:hyperlink>
        </w:p>
        <w:p w14:paraId="0F2A706C" w14:textId="77777777" w:rsidR="00B14A18" w:rsidRDefault="00DD0356">
          <w:pPr>
            <w:pStyle w:val="TOC1"/>
            <w:rPr>
              <w:rFonts w:asciiTheme="minorHAnsi" w:eastAsiaTheme="minorEastAsia" w:hAnsiTheme="minorHAnsi" w:cstheme="minorBidi"/>
              <w:b w:val="0"/>
            </w:rPr>
          </w:pPr>
          <w:hyperlink w:anchor="_Toc460514022" w:history="1">
            <w:r w:rsidR="00B14A18" w:rsidRPr="00EA6AD3">
              <w:rPr>
                <w:rStyle w:val="Hyperlink"/>
              </w:rPr>
              <w:t>Appendix E</w:t>
            </w:r>
            <w:r w:rsidR="00B14A18">
              <w:rPr>
                <w:rFonts w:asciiTheme="minorHAnsi" w:eastAsiaTheme="minorEastAsia" w:hAnsiTheme="minorHAnsi" w:cstheme="minorBidi"/>
                <w:b w:val="0"/>
              </w:rPr>
              <w:tab/>
            </w:r>
            <w:r w:rsidR="00B14A18" w:rsidRPr="00EA6AD3">
              <w:rPr>
                <w:rStyle w:val="Hyperlink"/>
              </w:rPr>
              <w:t>Excluded Studies</w:t>
            </w:r>
            <w:r w:rsidR="00B14A18">
              <w:rPr>
                <w:webHidden/>
              </w:rPr>
              <w:tab/>
            </w:r>
            <w:r w:rsidR="00B14A18">
              <w:rPr>
                <w:webHidden/>
              </w:rPr>
              <w:fldChar w:fldCharType="begin"/>
            </w:r>
            <w:r w:rsidR="00B14A18">
              <w:rPr>
                <w:webHidden/>
              </w:rPr>
              <w:instrText xml:space="preserve"> PAGEREF _Toc460514022 \h </w:instrText>
            </w:r>
            <w:r w:rsidR="00B14A18">
              <w:rPr>
                <w:webHidden/>
              </w:rPr>
            </w:r>
            <w:r w:rsidR="00B14A18">
              <w:rPr>
                <w:webHidden/>
              </w:rPr>
              <w:fldChar w:fldCharType="separate"/>
            </w:r>
            <w:r w:rsidR="0029649D">
              <w:rPr>
                <w:webHidden/>
              </w:rPr>
              <w:t>196</w:t>
            </w:r>
            <w:r w:rsidR="00B14A18">
              <w:rPr>
                <w:webHidden/>
              </w:rPr>
              <w:fldChar w:fldCharType="end"/>
            </w:r>
          </w:hyperlink>
        </w:p>
        <w:p w14:paraId="6A278D50" w14:textId="77777777" w:rsidR="00B14A18" w:rsidRDefault="00DD0356">
          <w:pPr>
            <w:pStyle w:val="TOC2"/>
            <w:rPr>
              <w:rFonts w:asciiTheme="minorHAnsi" w:eastAsiaTheme="minorEastAsia" w:hAnsiTheme="minorHAnsi" w:cstheme="minorBidi"/>
            </w:rPr>
          </w:pPr>
          <w:hyperlink w:anchor="_Toc460514023" w:history="1">
            <w:r w:rsidR="00B14A18" w:rsidRPr="00EA6AD3">
              <w:rPr>
                <w:rStyle w:val="Hyperlink"/>
              </w:rPr>
              <w:t>Studies excluded from the diagnostic accuracy of biopsy search</w:t>
            </w:r>
            <w:r w:rsidR="00B14A18">
              <w:rPr>
                <w:webHidden/>
              </w:rPr>
              <w:tab/>
            </w:r>
            <w:r w:rsidR="00B14A18">
              <w:rPr>
                <w:webHidden/>
              </w:rPr>
              <w:fldChar w:fldCharType="begin"/>
            </w:r>
            <w:r w:rsidR="00B14A18">
              <w:rPr>
                <w:webHidden/>
              </w:rPr>
              <w:instrText xml:space="preserve"> PAGEREF _Toc460514023 \h </w:instrText>
            </w:r>
            <w:r w:rsidR="00B14A18">
              <w:rPr>
                <w:webHidden/>
              </w:rPr>
            </w:r>
            <w:r w:rsidR="00B14A18">
              <w:rPr>
                <w:webHidden/>
              </w:rPr>
              <w:fldChar w:fldCharType="separate"/>
            </w:r>
            <w:r w:rsidR="0029649D">
              <w:rPr>
                <w:webHidden/>
              </w:rPr>
              <w:t>196</w:t>
            </w:r>
            <w:r w:rsidR="00B14A18">
              <w:rPr>
                <w:webHidden/>
              </w:rPr>
              <w:fldChar w:fldCharType="end"/>
            </w:r>
          </w:hyperlink>
        </w:p>
        <w:p w14:paraId="0A652B1B" w14:textId="77777777" w:rsidR="00B14A18" w:rsidRDefault="00DD0356">
          <w:pPr>
            <w:pStyle w:val="TOC2"/>
            <w:rPr>
              <w:rFonts w:asciiTheme="minorHAnsi" w:eastAsiaTheme="minorEastAsia" w:hAnsiTheme="minorHAnsi" w:cstheme="minorBidi"/>
            </w:rPr>
          </w:pPr>
          <w:hyperlink w:anchor="_Toc460514024" w:history="1">
            <w:r w:rsidR="00B14A18" w:rsidRPr="00EA6AD3">
              <w:rPr>
                <w:rStyle w:val="Hyperlink"/>
              </w:rPr>
              <w:t>Studies excluded from the diagnostic accuracy search</w:t>
            </w:r>
            <w:r w:rsidR="00B14A18">
              <w:rPr>
                <w:webHidden/>
              </w:rPr>
              <w:tab/>
            </w:r>
            <w:r w:rsidR="00B14A18">
              <w:rPr>
                <w:webHidden/>
              </w:rPr>
              <w:fldChar w:fldCharType="begin"/>
            </w:r>
            <w:r w:rsidR="00B14A18">
              <w:rPr>
                <w:webHidden/>
              </w:rPr>
              <w:instrText xml:space="preserve"> PAGEREF _Toc460514024 \h </w:instrText>
            </w:r>
            <w:r w:rsidR="00B14A18">
              <w:rPr>
                <w:webHidden/>
              </w:rPr>
            </w:r>
            <w:r w:rsidR="00B14A18">
              <w:rPr>
                <w:webHidden/>
              </w:rPr>
              <w:fldChar w:fldCharType="separate"/>
            </w:r>
            <w:r w:rsidR="0029649D">
              <w:rPr>
                <w:webHidden/>
              </w:rPr>
              <w:t>196</w:t>
            </w:r>
            <w:r w:rsidR="00B14A18">
              <w:rPr>
                <w:webHidden/>
              </w:rPr>
              <w:fldChar w:fldCharType="end"/>
            </w:r>
          </w:hyperlink>
        </w:p>
        <w:p w14:paraId="663353A4" w14:textId="77777777" w:rsidR="00B14A18" w:rsidRDefault="00DD0356">
          <w:pPr>
            <w:pStyle w:val="TOC2"/>
            <w:rPr>
              <w:rFonts w:asciiTheme="minorHAnsi" w:eastAsiaTheme="minorEastAsia" w:hAnsiTheme="minorHAnsi" w:cstheme="minorBidi"/>
            </w:rPr>
          </w:pPr>
          <w:hyperlink w:anchor="_Toc460514025" w:history="1">
            <w:r w:rsidR="00B14A18" w:rsidRPr="00EA6AD3">
              <w:rPr>
                <w:rStyle w:val="Hyperlink"/>
              </w:rPr>
              <w:t>Studies excluded from the patient outcomes search</w:t>
            </w:r>
            <w:r w:rsidR="00B14A18">
              <w:rPr>
                <w:webHidden/>
              </w:rPr>
              <w:tab/>
            </w:r>
            <w:r w:rsidR="00B14A18">
              <w:rPr>
                <w:webHidden/>
              </w:rPr>
              <w:fldChar w:fldCharType="begin"/>
            </w:r>
            <w:r w:rsidR="00B14A18">
              <w:rPr>
                <w:webHidden/>
              </w:rPr>
              <w:instrText xml:space="preserve"> PAGEREF _Toc460514025 \h </w:instrText>
            </w:r>
            <w:r w:rsidR="00B14A18">
              <w:rPr>
                <w:webHidden/>
              </w:rPr>
            </w:r>
            <w:r w:rsidR="00B14A18">
              <w:rPr>
                <w:webHidden/>
              </w:rPr>
              <w:fldChar w:fldCharType="separate"/>
            </w:r>
            <w:r w:rsidR="0029649D">
              <w:rPr>
                <w:webHidden/>
              </w:rPr>
              <w:t>199</w:t>
            </w:r>
            <w:r w:rsidR="00B14A18">
              <w:rPr>
                <w:webHidden/>
              </w:rPr>
              <w:fldChar w:fldCharType="end"/>
            </w:r>
          </w:hyperlink>
        </w:p>
        <w:p w14:paraId="5A1CBA8E" w14:textId="77777777" w:rsidR="00B14A18" w:rsidRDefault="00DD0356">
          <w:pPr>
            <w:pStyle w:val="TOC2"/>
            <w:rPr>
              <w:rFonts w:asciiTheme="minorHAnsi" w:eastAsiaTheme="minorEastAsia" w:hAnsiTheme="minorHAnsi" w:cstheme="minorBidi"/>
            </w:rPr>
          </w:pPr>
          <w:hyperlink w:anchor="_Toc460514026" w:history="1">
            <w:r w:rsidR="00B14A18" w:rsidRPr="00EA6AD3">
              <w:rPr>
                <w:rStyle w:val="Hyperlink"/>
              </w:rPr>
              <w:t>Studies excluded from the Reliability search</w:t>
            </w:r>
            <w:r w:rsidR="00B14A18">
              <w:rPr>
                <w:webHidden/>
              </w:rPr>
              <w:tab/>
            </w:r>
            <w:r w:rsidR="00B14A18">
              <w:rPr>
                <w:webHidden/>
              </w:rPr>
              <w:fldChar w:fldCharType="begin"/>
            </w:r>
            <w:r w:rsidR="00B14A18">
              <w:rPr>
                <w:webHidden/>
              </w:rPr>
              <w:instrText xml:space="preserve"> PAGEREF _Toc460514026 \h </w:instrText>
            </w:r>
            <w:r w:rsidR="00B14A18">
              <w:rPr>
                <w:webHidden/>
              </w:rPr>
            </w:r>
            <w:r w:rsidR="00B14A18">
              <w:rPr>
                <w:webHidden/>
              </w:rPr>
              <w:fldChar w:fldCharType="separate"/>
            </w:r>
            <w:r w:rsidR="0029649D">
              <w:rPr>
                <w:webHidden/>
              </w:rPr>
              <w:t>201</w:t>
            </w:r>
            <w:r w:rsidR="00B14A18">
              <w:rPr>
                <w:webHidden/>
              </w:rPr>
              <w:fldChar w:fldCharType="end"/>
            </w:r>
          </w:hyperlink>
        </w:p>
        <w:p w14:paraId="1B2DBCB8" w14:textId="77777777" w:rsidR="00B14A18" w:rsidRDefault="00DD0356">
          <w:pPr>
            <w:pStyle w:val="TOC2"/>
            <w:rPr>
              <w:rFonts w:asciiTheme="minorHAnsi" w:eastAsiaTheme="minorEastAsia" w:hAnsiTheme="minorHAnsi" w:cstheme="minorBidi"/>
            </w:rPr>
          </w:pPr>
          <w:hyperlink w:anchor="_Toc460514027" w:history="1">
            <w:r w:rsidR="00B14A18" w:rsidRPr="00EA6AD3">
              <w:rPr>
                <w:rStyle w:val="Hyperlink"/>
              </w:rPr>
              <w:t>Studies excluded from the safety search</w:t>
            </w:r>
            <w:r w:rsidR="00B14A18">
              <w:rPr>
                <w:webHidden/>
              </w:rPr>
              <w:tab/>
            </w:r>
            <w:r w:rsidR="00B14A18">
              <w:rPr>
                <w:webHidden/>
              </w:rPr>
              <w:fldChar w:fldCharType="begin"/>
            </w:r>
            <w:r w:rsidR="00B14A18">
              <w:rPr>
                <w:webHidden/>
              </w:rPr>
              <w:instrText xml:space="preserve"> PAGEREF _Toc460514027 \h </w:instrText>
            </w:r>
            <w:r w:rsidR="00B14A18">
              <w:rPr>
                <w:webHidden/>
              </w:rPr>
            </w:r>
            <w:r w:rsidR="00B14A18">
              <w:rPr>
                <w:webHidden/>
              </w:rPr>
              <w:fldChar w:fldCharType="separate"/>
            </w:r>
            <w:r w:rsidR="0029649D">
              <w:rPr>
                <w:webHidden/>
              </w:rPr>
              <w:t>201</w:t>
            </w:r>
            <w:r w:rsidR="00B14A18">
              <w:rPr>
                <w:webHidden/>
              </w:rPr>
              <w:fldChar w:fldCharType="end"/>
            </w:r>
          </w:hyperlink>
        </w:p>
        <w:p w14:paraId="44AD9E3C" w14:textId="77777777" w:rsidR="00B14A18" w:rsidRDefault="00DD0356">
          <w:pPr>
            <w:pStyle w:val="TOC1"/>
            <w:rPr>
              <w:rFonts w:asciiTheme="minorHAnsi" w:eastAsiaTheme="minorEastAsia" w:hAnsiTheme="minorHAnsi" w:cstheme="minorBidi"/>
              <w:b w:val="0"/>
            </w:rPr>
          </w:pPr>
          <w:hyperlink w:anchor="_Toc460514028" w:history="1">
            <w:r w:rsidR="00B14A18" w:rsidRPr="00EA6AD3">
              <w:rPr>
                <w:rStyle w:val="Hyperlink"/>
                <w:rFonts w:eastAsiaTheme="minorHAnsi"/>
                <w:lang w:eastAsia="en-US"/>
              </w:rPr>
              <w:t xml:space="preserve">Appendix </w:t>
            </w:r>
            <w:r w:rsidR="00B14A18" w:rsidRPr="00EA6AD3">
              <w:rPr>
                <w:rStyle w:val="Hyperlink"/>
              </w:rPr>
              <w:t>F</w:t>
            </w:r>
            <w:r w:rsidR="00B14A18">
              <w:rPr>
                <w:rFonts w:asciiTheme="minorHAnsi" w:eastAsiaTheme="minorEastAsia" w:hAnsiTheme="minorHAnsi" w:cstheme="minorBidi"/>
                <w:b w:val="0"/>
              </w:rPr>
              <w:tab/>
            </w:r>
            <w:r w:rsidR="00B14A18" w:rsidRPr="00EA6AD3">
              <w:rPr>
                <w:rStyle w:val="Hyperlink"/>
                <w:rFonts w:eastAsiaTheme="minorHAnsi"/>
                <w:lang w:eastAsia="en-US"/>
              </w:rPr>
              <w:t>Quality Appraisal</w:t>
            </w:r>
            <w:r w:rsidR="00B14A18">
              <w:rPr>
                <w:webHidden/>
              </w:rPr>
              <w:tab/>
            </w:r>
            <w:r w:rsidR="00B14A18">
              <w:rPr>
                <w:webHidden/>
              </w:rPr>
              <w:fldChar w:fldCharType="begin"/>
            </w:r>
            <w:r w:rsidR="00B14A18">
              <w:rPr>
                <w:webHidden/>
              </w:rPr>
              <w:instrText xml:space="preserve"> PAGEREF _Toc460514028 \h </w:instrText>
            </w:r>
            <w:r w:rsidR="00B14A18">
              <w:rPr>
                <w:webHidden/>
              </w:rPr>
            </w:r>
            <w:r w:rsidR="00B14A18">
              <w:rPr>
                <w:webHidden/>
              </w:rPr>
              <w:fldChar w:fldCharType="separate"/>
            </w:r>
            <w:r w:rsidR="0029649D">
              <w:rPr>
                <w:webHidden/>
              </w:rPr>
              <w:t>202</w:t>
            </w:r>
            <w:r w:rsidR="00B14A18">
              <w:rPr>
                <w:webHidden/>
              </w:rPr>
              <w:fldChar w:fldCharType="end"/>
            </w:r>
          </w:hyperlink>
        </w:p>
        <w:p w14:paraId="539C30E6" w14:textId="77777777" w:rsidR="00B14A18" w:rsidRDefault="00DD0356">
          <w:pPr>
            <w:pStyle w:val="TOC2"/>
            <w:rPr>
              <w:rFonts w:asciiTheme="minorHAnsi" w:eastAsiaTheme="minorEastAsia" w:hAnsiTheme="minorHAnsi" w:cstheme="minorBidi"/>
            </w:rPr>
          </w:pPr>
          <w:hyperlink w:anchor="_Toc460514029" w:history="1">
            <w:r w:rsidR="00B14A18" w:rsidRPr="00EA6AD3">
              <w:rPr>
                <w:rStyle w:val="Hyperlink"/>
                <w:rFonts w:eastAsiaTheme="minorHAnsi"/>
                <w:lang w:eastAsia="en-US"/>
              </w:rPr>
              <w:t>Triggering questions for the QUADAS-2 tool</w:t>
            </w:r>
            <w:r w:rsidR="00B14A18">
              <w:rPr>
                <w:webHidden/>
              </w:rPr>
              <w:tab/>
            </w:r>
            <w:r w:rsidR="00B14A18">
              <w:rPr>
                <w:webHidden/>
              </w:rPr>
              <w:fldChar w:fldCharType="begin"/>
            </w:r>
            <w:r w:rsidR="00B14A18">
              <w:rPr>
                <w:webHidden/>
              </w:rPr>
              <w:instrText xml:space="preserve"> PAGEREF _Toc460514029 \h </w:instrText>
            </w:r>
            <w:r w:rsidR="00B14A18">
              <w:rPr>
                <w:webHidden/>
              </w:rPr>
            </w:r>
            <w:r w:rsidR="00B14A18">
              <w:rPr>
                <w:webHidden/>
              </w:rPr>
              <w:fldChar w:fldCharType="separate"/>
            </w:r>
            <w:r w:rsidR="0029649D">
              <w:rPr>
                <w:webHidden/>
              </w:rPr>
              <w:t>202</w:t>
            </w:r>
            <w:r w:rsidR="00B14A18">
              <w:rPr>
                <w:webHidden/>
              </w:rPr>
              <w:fldChar w:fldCharType="end"/>
            </w:r>
          </w:hyperlink>
        </w:p>
        <w:p w14:paraId="2A0CBDE0" w14:textId="77777777" w:rsidR="00B14A18" w:rsidRDefault="00DD0356">
          <w:pPr>
            <w:pStyle w:val="TOC2"/>
            <w:rPr>
              <w:rFonts w:asciiTheme="minorHAnsi" w:eastAsiaTheme="minorEastAsia" w:hAnsiTheme="minorHAnsi" w:cstheme="minorBidi"/>
            </w:rPr>
          </w:pPr>
          <w:hyperlink w:anchor="_Toc460514030" w:history="1">
            <w:r w:rsidR="00B14A18" w:rsidRPr="00EA6AD3">
              <w:rPr>
                <w:rStyle w:val="Hyperlink"/>
                <w:rFonts w:eastAsiaTheme="minorHAnsi"/>
                <w:lang w:eastAsia="en-US"/>
              </w:rPr>
              <w:t>Reference standard (Section B3.1)</w:t>
            </w:r>
            <w:r w:rsidR="00B14A18">
              <w:rPr>
                <w:webHidden/>
              </w:rPr>
              <w:tab/>
            </w:r>
            <w:r w:rsidR="00B14A18">
              <w:rPr>
                <w:webHidden/>
              </w:rPr>
              <w:fldChar w:fldCharType="begin"/>
            </w:r>
            <w:r w:rsidR="00B14A18">
              <w:rPr>
                <w:webHidden/>
              </w:rPr>
              <w:instrText xml:space="preserve"> PAGEREF _Toc460514030 \h </w:instrText>
            </w:r>
            <w:r w:rsidR="00B14A18">
              <w:rPr>
                <w:webHidden/>
              </w:rPr>
            </w:r>
            <w:r w:rsidR="00B14A18">
              <w:rPr>
                <w:webHidden/>
              </w:rPr>
              <w:fldChar w:fldCharType="separate"/>
            </w:r>
            <w:r w:rsidR="0029649D">
              <w:rPr>
                <w:webHidden/>
              </w:rPr>
              <w:t>204</w:t>
            </w:r>
            <w:r w:rsidR="00B14A18">
              <w:rPr>
                <w:webHidden/>
              </w:rPr>
              <w:fldChar w:fldCharType="end"/>
            </w:r>
          </w:hyperlink>
        </w:p>
        <w:p w14:paraId="45DCF771" w14:textId="77777777" w:rsidR="00B14A18" w:rsidRDefault="00DD0356">
          <w:pPr>
            <w:pStyle w:val="TOC2"/>
            <w:rPr>
              <w:rFonts w:asciiTheme="minorHAnsi" w:eastAsiaTheme="minorEastAsia" w:hAnsiTheme="minorHAnsi" w:cstheme="minorBidi"/>
            </w:rPr>
          </w:pPr>
          <w:hyperlink w:anchor="_Toc460514031" w:history="1">
            <w:r w:rsidR="00B14A18" w:rsidRPr="00EA6AD3">
              <w:rPr>
                <w:rStyle w:val="Hyperlink"/>
                <w:rFonts w:eastAsiaTheme="minorHAnsi"/>
                <w:lang w:eastAsia="en-US"/>
              </w:rPr>
              <w:t>Diagnostic accuracy studies Population 1 (Section B3.3)</w:t>
            </w:r>
            <w:r w:rsidR="00B14A18">
              <w:rPr>
                <w:webHidden/>
              </w:rPr>
              <w:tab/>
            </w:r>
            <w:r w:rsidR="00B14A18">
              <w:rPr>
                <w:webHidden/>
              </w:rPr>
              <w:fldChar w:fldCharType="begin"/>
            </w:r>
            <w:r w:rsidR="00B14A18">
              <w:rPr>
                <w:webHidden/>
              </w:rPr>
              <w:instrText xml:space="preserve"> PAGEREF _Toc460514031 \h </w:instrText>
            </w:r>
            <w:r w:rsidR="00B14A18">
              <w:rPr>
                <w:webHidden/>
              </w:rPr>
            </w:r>
            <w:r w:rsidR="00B14A18">
              <w:rPr>
                <w:webHidden/>
              </w:rPr>
              <w:fldChar w:fldCharType="separate"/>
            </w:r>
            <w:r w:rsidR="0029649D">
              <w:rPr>
                <w:webHidden/>
              </w:rPr>
              <w:t>204</w:t>
            </w:r>
            <w:r w:rsidR="00B14A18">
              <w:rPr>
                <w:webHidden/>
              </w:rPr>
              <w:fldChar w:fldCharType="end"/>
            </w:r>
          </w:hyperlink>
        </w:p>
        <w:p w14:paraId="490D8550" w14:textId="77777777" w:rsidR="00B14A18" w:rsidRDefault="00DD0356">
          <w:pPr>
            <w:pStyle w:val="TOC2"/>
            <w:rPr>
              <w:rFonts w:asciiTheme="minorHAnsi" w:eastAsiaTheme="minorEastAsia" w:hAnsiTheme="minorHAnsi" w:cstheme="minorBidi"/>
            </w:rPr>
          </w:pPr>
          <w:hyperlink w:anchor="_Toc460514032" w:history="1">
            <w:r w:rsidR="00B14A18" w:rsidRPr="00EA6AD3">
              <w:rPr>
                <w:rStyle w:val="Hyperlink"/>
              </w:rPr>
              <w:t>Clinical utility studies (Section B5.2.3)</w:t>
            </w:r>
            <w:r w:rsidR="00B14A18">
              <w:rPr>
                <w:webHidden/>
              </w:rPr>
              <w:tab/>
            </w:r>
            <w:r w:rsidR="00B14A18">
              <w:rPr>
                <w:webHidden/>
              </w:rPr>
              <w:fldChar w:fldCharType="begin"/>
            </w:r>
            <w:r w:rsidR="00B14A18">
              <w:rPr>
                <w:webHidden/>
              </w:rPr>
              <w:instrText xml:space="preserve"> PAGEREF _Toc460514032 \h </w:instrText>
            </w:r>
            <w:r w:rsidR="00B14A18">
              <w:rPr>
                <w:webHidden/>
              </w:rPr>
            </w:r>
            <w:r w:rsidR="00B14A18">
              <w:rPr>
                <w:webHidden/>
              </w:rPr>
              <w:fldChar w:fldCharType="separate"/>
            </w:r>
            <w:r w:rsidR="0029649D">
              <w:rPr>
                <w:webHidden/>
              </w:rPr>
              <w:t>206</w:t>
            </w:r>
            <w:r w:rsidR="00B14A18">
              <w:rPr>
                <w:webHidden/>
              </w:rPr>
              <w:fldChar w:fldCharType="end"/>
            </w:r>
          </w:hyperlink>
        </w:p>
        <w:p w14:paraId="26C0310B" w14:textId="77777777" w:rsidR="00B14A18" w:rsidRDefault="00DD0356">
          <w:pPr>
            <w:pStyle w:val="TOC2"/>
            <w:rPr>
              <w:rFonts w:asciiTheme="minorHAnsi" w:eastAsiaTheme="minorEastAsia" w:hAnsiTheme="minorHAnsi" w:cstheme="minorBidi"/>
            </w:rPr>
          </w:pPr>
          <w:hyperlink w:anchor="_Toc460514033" w:history="1">
            <w:r w:rsidR="00B14A18" w:rsidRPr="00EA6AD3">
              <w:rPr>
                <w:rStyle w:val="Hyperlink"/>
                <w:rFonts w:eastAsiaTheme="minorHAnsi"/>
                <w:lang w:eastAsia="en-US"/>
              </w:rPr>
              <w:t>Diagnostic accuracy studies Population 2 (Section B6.3)</w:t>
            </w:r>
            <w:r w:rsidR="00B14A18">
              <w:rPr>
                <w:webHidden/>
              </w:rPr>
              <w:tab/>
            </w:r>
            <w:r w:rsidR="00B14A18">
              <w:rPr>
                <w:webHidden/>
              </w:rPr>
              <w:fldChar w:fldCharType="begin"/>
            </w:r>
            <w:r w:rsidR="00B14A18">
              <w:rPr>
                <w:webHidden/>
              </w:rPr>
              <w:instrText xml:space="preserve"> PAGEREF _Toc460514033 \h </w:instrText>
            </w:r>
            <w:r w:rsidR="00B14A18">
              <w:rPr>
                <w:webHidden/>
              </w:rPr>
            </w:r>
            <w:r w:rsidR="00B14A18">
              <w:rPr>
                <w:webHidden/>
              </w:rPr>
              <w:fldChar w:fldCharType="separate"/>
            </w:r>
            <w:r w:rsidR="0029649D">
              <w:rPr>
                <w:webHidden/>
              </w:rPr>
              <w:t>209</w:t>
            </w:r>
            <w:r w:rsidR="00B14A18">
              <w:rPr>
                <w:webHidden/>
              </w:rPr>
              <w:fldChar w:fldCharType="end"/>
            </w:r>
          </w:hyperlink>
        </w:p>
        <w:p w14:paraId="36264AD0" w14:textId="77777777" w:rsidR="00B14A18" w:rsidRDefault="00DD0356">
          <w:pPr>
            <w:pStyle w:val="TOC2"/>
            <w:rPr>
              <w:rFonts w:asciiTheme="minorHAnsi" w:eastAsiaTheme="minorEastAsia" w:hAnsiTheme="minorHAnsi" w:cstheme="minorBidi"/>
            </w:rPr>
          </w:pPr>
          <w:hyperlink w:anchor="_Toc460514034" w:history="1">
            <w:r w:rsidR="00B14A18" w:rsidRPr="00EA6AD3">
              <w:rPr>
                <w:rStyle w:val="Hyperlink"/>
                <w:rFonts w:eastAsiaTheme="minorHAnsi"/>
                <w:lang w:eastAsia="en-US"/>
              </w:rPr>
              <w:t>Risk of Harm (Section B7)</w:t>
            </w:r>
            <w:r w:rsidR="00B14A18">
              <w:rPr>
                <w:webHidden/>
              </w:rPr>
              <w:tab/>
            </w:r>
            <w:r w:rsidR="00B14A18">
              <w:rPr>
                <w:webHidden/>
              </w:rPr>
              <w:fldChar w:fldCharType="begin"/>
            </w:r>
            <w:r w:rsidR="00B14A18">
              <w:rPr>
                <w:webHidden/>
              </w:rPr>
              <w:instrText xml:space="preserve"> PAGEREF _Toc460514034 \h </w:instrText>
            </w:r>
            <w:r w:rsidR="00B14A18">
              <w:rPr>
                <w:webHidden/>
              </w:rPr>
            </w:r>
            <w:r w:rsidR="00B14A18">
              <w:rPr>
                <w:webHidden/>
              </w:rPr>
              <w:fldChar w:fldCharType="separate"/>
            </w:r>
            <w:r w:rsidR="0029649D">
              <w:rPr>
                <w:webHidden/>
              </w:rPr>
              <w:t>210</w:t>
            </w:r>
            <w:r w:rsidR="00B14A18">
              <w:rPr>
                <w:webHidden/>
              </w:rPr>
              <w:fldChar w:fldCharType="end"/>
            </w:r>
          </w:hyperlink>
        </w:p>
        <w:p w14:paraId="7610E2E7" w14:textId="77777777" w:rsidR="00B14A18" w:rsidRDefault="00DD0356">
          <w:pPr>
            <w:pStyle w:val="TOC1"/>
            <w:rPr>
              <w:rFonts w:asciiTheme="minorHAnsi" w:eastAsiaTheme="minorEastAsia" w:hAnsiTheme="minorHAnsi" w:cstheme="minorBidi"/>
              <w:b w:val="0"/>
            </w:rPr>
          </w:pPr>
          <w:hyperlink w:anchor="_Toc460514035" w:history="1">
            <w:r w:rsidR="00B14A18" w:rsidRPr="00EA6AD3">
              <w:rPr>
                <w:rStyle w:val="Hyperlink"/>
                <w:rFonts w:eastAsiaTheme="minorHAnsi"/>
                <w:lang w:eastAsia="en-US"/>
              </w:rPr>
              <w:t>Appendix G</w:t>
            </w:r>
            <w:r w:rsidR="00B14A18">
              <w:rPr>
                <w:rFonts w:asciiTheme="minorHAnsi" w:eastAsiaTheme="minorEastAsia" w:hAnsiTheme="minorHAnsi" w:cstheme="minorBidi"/>
                <w:b w:val="0"/>
              </w:rPr>
              <w:tab/>
            </w:r>
            <w:r w:rsidR="00B14A18" w:rsidRPr="00EA6AD3">
              <w:rPr>
                <w:rStyle w:val="Hyperlink"/>
                <w:rFonts w:eastAsiaTheme="minorHAnsi"/>
                <w:lang w:eastAsia="en-US"/>
              </w:rPr>
              <w:t>Diagnostic accuracy results from studies with applicability issues</w:t>
            </w:r>
            <w:r w:rsidR="00B14A18">
              <w:rPr>
                <w:webHidden/>
              </w:rPr>
              <w:tab/>
            </w:r>
            <w:r w:rsidR="00B14A18">
              <w:rPr>
                <w:webHidden/>
              </w:rPr>
              <w:fldChar w:fldCharType="begin"/>
            </w:r>
            <w:r w:rsidR="00B14A18">
              <w:rPr>
                <w:webHidden/>
              </w:rPr>
              <w:instrText xml:space="preserve"> PAGEREF _Toc460514035 \h </w:instrText>
            </w:r>
            <w:r w:rsidR="00B14A18">
              <w:rPr>
                <w:webHidden/>
              </w:rPr>
            </w:r>
            <w:r w:rsidR="00B14A18">
              <w:rPr>
                <w:webHidden/>
              </w:rPr>
              <w:fldChar w:fldCharType="separate"/>
            </w:r>
            <w:r w:rsidR="0029649D">
              <w:rPr>
                <w:webHidden/>
              </w:rPr>
              <w:t>217</w:t>
            </w:r>
            <w:r w:rsidR="00B14A18">
              <w:rPr>
                <w:webHidden/>
              </w:rPr>
              <w:fldChar w:fldCharType="end"/>
            </w:r>
          </w:hyperlink>
        </w:p>
        <w:p w14:paraId="00DDB3DB" w14:textId="77777777" w:rsidR="00B14A18" w:rsidRDefault="00DD0356">
          <w:pPr>
            <w:pStyle w:val="TOC2"/>
            <w:tabs>
              <w:tab w:val="left" w:pos="2205"/>
            </w:tabs>
            <w:rPr>
              <w:rFonts w:asciiTheme="minorHAnsi" w:eastAsiaTheme="minorEastAsia" w:hAnsiTheme="minorHAnsi" w:cstheme="minorBidi"/>
            </w:rPr>
          </w:pPr>
          <w:hyperlink w:anchor="_Toc460514036" w:history="1">
            <w:r w:rsidR="00B14A18" w:rsidRPr="00EA6AD3">
              <w:rPr>
                <w:rStyle w:val="Hyperlink"/>
              </w:rPr>
              <w:t>Population 1</w:t>
            </w:r>
            <w:r w:rsidR="00B14A18">
              <w:rPr>
                <w:rFonts w:asciiTheme="minorHAnsi" w:eastAsiaTheme="minorEastAsia" w:hAnsiTheme="minorHAnsi" w:cstheme="minorBidi"/>
              </w:rPr>
              <w:tab/>
            </w:r>
            <w:r w:rsidR="00B14A18" w:rsidRPr="00EA6AD3">
              <w:rPr>
                <w:rStyle w:val="Hyperlink"/>
              </w:rPr>
              <w:t>Studies using a PI-RAS ≥ 3 threshold</w:t>
            </w:r>
            <w:r w:rsidR="00B14A18">
              <w:rPr>
                <w:webHidden/>
              </w:rPr>
              <w:tab/>
            </w:r>
            <w:r w:rsidR="00B14A18">
              <w:rPr>
                <w:webHidden/>
              </w:rPr>
              <w:fldChar w:fldCharType="begin"/>
            </w:r>
            <w:r w:rsidR="00B14A18">
              <w:rPr>
                <w:webHidden/>
              </w:rPr>
              <w:instrText xml:space="preserve"> PAGEREF _Toc460514036 \h </w:instrText>
            </w:r>
            <w:r w:rsidR="00B14A18">
              <w:rPr>
                <w:webHidden/>
              </w:rPr>
            </w:r>
            <w:r w:rsidR="00B14A18">
              <w:rPr>
                <w:webHidden/>
              </w:rPr>
              <w:fldChar w:fldCharType="separate"/>
            </w:r>
            <w:r w:rsidR="0029649D">
              <w:rPr>
                <w:webHidden/>
              </w:rPr>
              <w:t>217</w:t>
            </w:r>
            <w:r w:rsidR="00B14A18">
              <w:rPr>
                <w:webHidden/>
              </w:rPr>
              <w:fldChar w:fldCharType="end"/>
            </w:r>
          </w:hyperlink>
        </w:p>
        <w:p w14:paraId="5449764E" w14:textId="77777777" w:rsidR="00B14A18" w:rsidRDefault="00DD0356">
          <w:pPr>
            <w:pStyle w:val="TOC2"/>
            <w:tabs>
              <w:tab w:val="left" w:pos="2205"/>
            </w:tabs>
            <w:rPr>
              <w:rFonts w:asciiTheme="minorHAnsi" w:eastAsiaTheme="minorEastAsia" w:hAnsiTheme="minorHAnsi" w:cstheme="minorBidi"/>
            </w:rPr>
          </w:pPr>
          <w:hyperlink w:anchor="_Toc460514037" w:history="1">
            <w:r w:rsidR="00B14A18" w:rsidRPr="00EA6AD3">
              <w:rPr>
                <w:rStyle w:val="Hyperlink"/>
              </w:rPr>
              <w:t>Population 1</w:t>
            </w:r>
            <w:r w:rsidR="00B14A18">
              <w:rPr>
                <w:rFonts w:asciiTheme="minorHAnsi" w:eastAsiaTheme="minorEastAsia" w:hAnsiTheme="minorHAnsi" w:cstheme="minorBidi"/>
              </w:rPr>
              <w:tab/>
            </w:r>
            <w:r w:rsidR="00B14A18" w:rsidRPr="00EA6AD3">
              <w:rPr>
                <w:rStyle w:val="Hyperlink"/>
              </w:rPr>
              <w:t>PI-RADS not used or threshold not reported</w:t>
            </w:r>
            <w:r w:rsidR="00B14A18">
              <w:rPr>
                <w:webHidden/>
              </w:rPr>
              <w:tab/>
            </w:r>
            <w:r w:rsidR="00B14A18">
              <w:rPr>
                <w:webHidden/>
              </w:rPr>
              <w:fldChar w:fldCharType="begin"/>
            </w:r>
            <w:r w:rsidR="00B14A18">
              <w:rPr>
                <w:webHidden/>
              </w:rPr>
              <w:instrText xml:space="preserve"> PAGEREF _Toc460514037 \h </w:instrText>
            </w:r>
            <w:r w:rsidR="00B14A18">
              <w:rPr>
                <w:webHidden/>
              </w:rPr>
            </w:r>
            <w:r w:rsidR="00B14A18">
              <w:rPr>
                <w:webHidden/>
              </w:rPr>
              <w:fldChar w:fldCharType="separate"/>
            </w:r>
            <w:r w:rsidR="0029649D">
              <w:rPr>
                <w:webHidden/>
              </w:rPr>
              <w:t>219</w:t>
            </w:r>
            <w:r w:rsidR="00B14A18">
              <w:rPr>
                <w:webHidden/>
              </w:rPr>
              <w:fldChar w:fldCharType="end"/>
            </w:r>
          </w:hyperlink>
        </w:p>
        <w:p w14:paraId="214C6C73" w14:textId="77777777" w:rsidR="00B14A18" w:rsidRDefault="00DD0356">
          <w:pPr>
            <w:pStyle w:val="TOC2"/>
            <w:tabs>
              <w:tab w:val="left" w:pos="2205"/>
            </w:tabs>
            <w:rPr>
              <w:rFonts w:asciiTheme="minorHAnsi" w:eastAsiaTheme="minorEastAsia" w:hAnsiTheme="minorHAnsi" w:cstheme="minorBidi"/>
            </w:rPr>
          </w:pPr>
          <w:hyperlink w:anchor="_Toc460514038" w:history="1">
            <w:r w:rsidR="00B14A18" w:rsidRPr="00EA6AD3">
              <w:rPr>
                <w:rStyle w:val="Hyperlink"/>
              </w:rPr>
              <w:t>Population 2</w:t>
            </w:r>
            <w:r w:rsidR="00B14A18">
              <w:rPr>
                <w:rFonts w:asciiTheme="minorHAnsi" w:eastAsiaTheme="minorEastAsia" w:hAnsiTheme="minorHAnsi" w:cstheme="minorBidi"/>
              </w:rPr>
              <w:tab/>
            </w:r>
            <w:r w:rsidR="00B14A18" w:rsidRPr="00EA6AD3">
              <w:rPr>
                <w:rStyle w:val="Hyperlink"/>
              </w:rPr>
              <w:t>Studies using a PI-RADS ≥ 3 threshold</w:t>
            </w:r>
            <w:r w:rsidR="00B14A18">
              <w:rPr>
                <w:webHidden/>
              </w:rPr>
              <w:tab/>
            </w:r>
            <w:r w:rsidR="00B14A18">
              <w:rPr>
                <w:webHidden/>
              </w:rPr>
              <w:fldChar w:fldCharType="begin"/>
            </w:r>
            <w:r w:rsidR="00B14A18">
              <w:rPr>
                <w:webHidden/>
              </w:rPr>
              <w:instrText xml:space="preserve"> PAGEREF _Toc460514038 \h </w:instrText>
            </w:r>
            <w:r w:rsidR="00B14A18">
              <w:rPr>
                <w:webHidden/>
              </w:rPr>
            </w:r>
            <w:r w:rsidR="00B14A18">
              <w:rPr>
                <w:webHidden/>
              </w:rPr>
              <w:fldChar w:fldCharType="separate"/>
            </w:r>
            <w:r w:rsidR="0029649D">
              <w:rPr>
                <w:webHidden/>
              </w:rPr>
              <w:t>221</w:t>
            </w:r>
            <w:r w:rsidR="00B14A18">
              <w:rPr>
                <w:webHidden/>
              </w:rPr>
              <w:fldChar w:fldCharType="end"/>
            </w:r>
          </w:hyperlink>
        </w:p>
        <w:p w14:paraId="0BE93C1E" w14:textId="77777777" w:rsidR="00B14A18" w:rsidRDefault="00DD0356">
          <w:pPr>
            <w:pStyle w:val="TOC2"/>
            <w:tabs>
              <w:tab w:val="left" w:pos="2205"/>
            </w:tabs>
            <w:rPr>
              <w:rFonts w:asciiTheme="minorHAnsi" w:eastAsiaTheme="minorEastAsia" w:hAnsiTheme="minorHAnsi" w:cstheme="minorBidi"/>
            </w:rPr>
          </w:pPr>
          <w:hyperlink w:anchor="_Toc460514039" w:history="1">
            <w:r w:rsidR="00B14A18" w:rsidRPr="00EA6AD3">
              <w:rPr>
                <w:rStyle w:val="Hyperlink"/>
              </w:rPr>
              <w:t>Population 2</w:t>
            </w:r>
            <w:r w:rsidR="00B14A18">
              <w:rPr>
                <w:rFonts w:asciiTheme="minorHAnsi" w:eastAsiaTheme="minorEastAsia" w:hAnsiTheme="minorHAnsi" w:cstheme="minorBidi"/>
              </w:rPr>
              <w:tab/>
            </w:r>
            <w:r w:rsidR="00B14A18" w:rsidRPr="00EA6AD3">
              <w:rPr>
                <w:rStyle w:val="Hyperlink"/>
              </w:rPr>
              <w:t>PI-RADS not used or threshold not reported</w:t>
            </w:r>
            <w:r w:rsidR="00B14A18">
              <w:rPr>
                <w:webHidden/>
              </w:rPr>
              <w:tab/>
            </w:r>
            <w:r w:rsidR="00B14A18">
              <w:rPr>
                <w:webHidden/>
              </w:rPr>
              <w:fldChar w:fldCharType="begin"/>
            </w:r>
            <w:r w:rsidR="00B14A18">
              <w:rPr>
                <w:webHidden/>
              </w:rPr>
              <w:instrText xml:space="preserve"> PAGEREF _Toc460514039 \h </w:instrText>
            </w:r>
            <w:r w:rsidR="00B14A18">
              <w:rPr>
                <w:webHidden/>
              </w:rPr>
            </w:r>
            <w:r w:rsidR="00B14A18">
              <w:rPr>
                <w:webHidden/>
              </w:rPr>
              <w:fldChar w:fldCharType="separate"/>
            </w:r>
            <w:r w:rsidR="0029649D">
              <w:rPr>
                <w:webHidden/>
              </w:rPr>
              <w:t>221</w:t>
            </w:r>
            <w:r w:rsidR="00B14A18">
              <w:rPr>
                <w:webHidden/>
              </w:rPr>
              <w:fldChar w:fldCharType="end"/>
            </w:r>
          </w:hyperlink>
        </w:p>
        <w:p w14:paraId="0DB3F131" w14:textId="77777777" w:rsidR="00B14A18" w:rsidRDefault="00DD0356">
          <w:pPr>
            <w:pStyle w:val="TOC1"/>
            <w:rPr>
              <w:rFonts w:asciiTheme="minorHAnsi" w:eastAsiaTheme="minorEastAsia" w:hAnsiTheme="minorHAnsi" w:cstheme="minorBidi"/>
              <w:b w:val="0"/>
            </w:rPr>
          </w:pPr>
          <w:hyperlink w:anchor="_Toc460514040" w:history="1">
            <w:r w:rsidR="00B14A18" w:rsidRPr="00EA6AD3">
              <w:rPr>
                <w:rStyle w:val="Hyperlink"/>
              </w:rPr>
              <w:t>Appendix H</w:t>
            </w:r>
            <w:r w:rsidR="00B14A18">
              <w:rPr>
                <w:rFonts w:asciiTheme="minorHAnsi" w:eastAsiaTheme="minorEastAsia" w:hAnsiTheme="minorHAnsi" w:cstheme="minorBidi"/>
                <w:b w:val="0"/>
              </w:rPr>
              <w:tab/>
            </w:r>
            <w:r w:rsidR="00B14A18" w:rsidRPr="00EA6AD3">
              <w:rPr>
                <w:rStyle w:val="Hyperlink"/>
              </w:rPr>
              <w:t>Results from studies reporting patients outcomes and safety of biopsy</w:t>
            </w:r>
            <w:r w:rsidR="00B14A18">
              <w:rPr>
                <w:webHidden/>
              </w:rPr>
              <w:tab/>
            </w:r>
            <w:r w:rsidR="00B14A18">
              <w:rPr>
                <w:webHidden/>
              </w:rPr>
              <w:fldChar w:fldCharType="begin"/>
            </w:r>
            <w:r w:rsidR="00B14A18">
              <w:rPr>
                <w:webHidden/>
              </w:rPr>
              <w:instrText xml:space="preserve"> PAGEREF _Toc460514040 \h </w:instrText>
            </w:r>
            <w:r w:rsidR="00B14A18">
              <w:rPr>
                <w:webHidden/>
              </w:rPr>
            </w:r>
            <w:r w:rsidR="00B14A18">
              <w:rPr>
                <w:webHidden/>
              </w:rPr>
              <w:fldChar w:fldCharType="separate"/>
            </w:r>
            <w:r w:rsidR="0029649D">
              <w:rPr>
                <w:webHidden/>
              </w:rPr>
              <w:t>223</w:t>
            </w:r>
            <w:r w:rsidR="00B14A18">
              <w:rPr>
                <w:webHidden/>
              </w:rPr>
              <w:fldChar w:fldCharType="end"/>
            </w:r>
          </w:hyperlink>
        </w:p>
        <w:p w14:paraId="4B38914F" w14:textId="77777777" w:rsidR="00B14A18" w:rsidRDefault="00DD0356">
          <w:pPr>
            <w:pStyle w:val="TOC2"/>
            <w:rPr>
              <w:rFonts w:asciiTheme="minorHAnsi" w:eastAsiaTheme="minorEastAsia" w:hAnsiTheme="minorHAnsi" w:cstheme="minorBidi"/>
            </w:rPr>
          </w:pPr>
          <w:hyperlink w:anchor="_Toc460514041" w:history="1">
            <w:r w:rsidR="00B14A18" w:rsidRPr="00EA6AD3">
              <w:rPr>
                <w:rStyle w:val="Hyperlink"/>
              </w:rPr>
              <w:t>Results from studies reporting patient outcomes associated with delayed treatment (Section B5)</w:t>
            </w:r>
            <w:r w:rsidR="00B14A18">
              <w:rPr>
                <w:webHidden/>
              </w:rPr>
              <w:tab/>
            </w:r>
            <w:r w:rsidR="00B14A18">
              <w:rPr>
                <w:webHidden/>
              </w:rPr>
              <w:fldChar w:fldCharType="begin"/>
            </w:r>
            <w:r w:rsidR="00B14A18">
              <w:rPr>
                <w:webHidden/>
              </w:rPr>
              <w:instrText xml:space="preserve"> PAGEREF _Toc460514041 \h </w:instrText>
            </w:r>
            <w:r w:rsidR="00B14A18">
              <w:rPr>
                <w:webHidden/>
              </w:rPr>
            </w:r>
            <w:r w:rsidR="00B14A18">
              <w:rPr>
                <w:webHidden/>
              </w:rPr>
              <w:fldChar w:fldCharType="separate"/>
            </w:r>
            <w:r w:rsidR="0029649D">
              <w:rPr>
                <w:webHidden/>
              </w:rPr>
              <w:t>223</w:t>
            </w:r>
            <w:r w:rsidR="00B14A18">
              <w:rPr>
                <w:webHidden/>
              </w:rPr>
              <w:fldChar w:fldCharType="end"/>
            </w:r>
          </w:hyperlink>
        </w:p>
        <w:p w14:paraId="542B597E" w14:textId="77777777" w:rsidR="00B14A18" w:rsidRDefault="00DD0356">
          <w:pPr>
            <w:pStyle w:val="TOC2"/>
            <w:rPr>
              <w:rFonts w:asciiTheme="minorHAnsi" w:eastAsiaTheme="minorEastAsia" w:hAnsiTheme="minorHAnsi" w:cstheme="minorBidi"/>
            </w:rPr>
          </w:pPr>
          <w:hyperlink w:anchor="_Toc460514042" w:history="1">
            <w:r w:rsidR="00B14A18" w:rsidRPr="00EA6AD3">
              <w:rPr>
                <w:rStyle w:val="Hyperlink"/>
              </w:rPr>
              <w:t>Results from the studies reporting harms associated with biopsy (section B7)</w:t>
            </w:r>
            <w:r w:rsidR="00B14A18">
              <w:rPr>
                <w:webHidden/>
              </w:rPr>
              <w:tab/>
            </w:r>
            <w:r w:rsidR="00B14A18">
              <w:rPr>
                <w:webHidden/>
              </w:rPr>
              <w:fldChar w:fldCharType="begin"/>
            </w:r>
            <w:r w:rsidR="00B14A18">
              <w:rPr>
                <w:webHidden/>
              </w:rPr>
              <w:instrText xml:space="preserve"> PAGEREF _Toc460514042 \h </w:instrText>
            </w:r>
            <w:r w:rsidR="00B14A18">
              <w:rPr>
                <w:webHidden/>
              </w:rPr>
            </w:r>
            <w:r w:rsidR="00B14A18">
              <w:rPr>
                <w:webHidden/>
              </w:rPr>
              <w:fldChar w:fldCharType="separate"/>
            </w:r>
            <w:r w:rsidR="0029649D">
              <w:rPr>
                <w:webHidden/>
              </w:rPr>
              <w:t>228</w:t>
            </w:r>
            <w:r w:rsidR="00B14A18">
              <w:rPr>
                <w:webHidden/>
              </w:rPr>
              <w:fldChar w:fldCharType="end"/>
            </w:r>
          </w:hyperlink>
        </w:p>
        <w:p w14:paraId="1E150FCA" w14:textId="77777777" w:rsidR="00B14A18" w:rsidRDefault="00DD0356">
          <w:pPr>
            <w:pStyle w:val="TOC1"/>
            <w:rPr>
              <w:rFonts w:asciiTheme="minorHAnsi" w:eastAsiaTheme="minorEastAsia" w:hAnsiTheme="minorHAnsi" w:cstheme="minorBidi"/>
              <w:b w:val="0"/>
            </w:rPr>
          </w:pPr>
          <w:hyperlink w:anchor="_Toc460514043" w:history="1">
            <w:r w:rsidR="00B14A18" w:rsidRPr="00EA6AD3">
              <w:rPr>
                <w:rStyle w:val="Hyperlink"/>
              </w:rPr>
              <w:t>Appendix I</w:t>
            </w:r>
            <w:r w:rsidR="00B14A18">
              <w:rPr>
                <w:rFonts w:asciiTheme="minorHAnsi" w:eastAsiaTheme="minorEastAsia" w:hAnsiTheme="minorHAnsi" w:cstheme="minorBidi"/>
                <w:b w:val="0"/>
              </w:rPr>
              <w:tab/>
            </w:r>
            <w:r w:rsidR="00B14A18" w:rsidRPr="00EA6AD3">
              <w:rPr>
                <w:rStyle w:val="Hyperlink"/>
              </w:rPr>
              <w:t>Ongoing clinical trials</w:t>
            </w:r>
            <w:r w:rsidR="00B14A18">
              <w:rPr>
                <w:webHidden/>
              </w:rPr>
              <w:tab/>
            </w:r>
            <w:r w:rsidR="00B14A18">
              <w:rPr>
                <w:webHidden/>
              </w:rPr>
              <w:fldChar w:fldCharType="begin"/>
            </w:r>
            <w:r w:rsidR="00B14A18">
              <w:rPr>
                <w:webHidden/>
              </w:rPr>
              <w:instrText xml:space="preserve"> PAGEREF _Toc460514043 \h </w:instrText>
            </w:r>
            <w:r w:rsidR="00B14A18">
              <w:rPr>
                <w:webHidden/>
              </w:rPr>
            </w:r>
            <w:r w:rsidR="00B14A18">
              <w:rPr>
                <w:webHidden/>
              </w:rPr>
              <w:fldChar w:fldCharType="separate"/>
            </w:r>
            <w:r w:rsidR="0029649D">
              <w:rPr>
                <w:webHidden/>
              </w:rPr>
              <w:t>232</w:t>
            </w:r>
            <w:r w:rsidR="00B14A18">
              <w:rPr>
                <w:webHidden/>
              </w:rPr>
              <w:fldChar w:fldCharType="end"/>
            </w:r>
          </w:hyperlink>
        </w:p>
        <w:p w14:paraId="290B8A22" w14:textId="77777777" w:rsidR="00B14A18" w:rsidRDefault="00DD0356">
          <w:pPr>
            <w:pStyle w:val="TOC1"/>
            <w:rPr>
              <w:rFonts w:asciiTheme="minorHAnsi" w:eastAsiaTheme="minorEastAsia" w:hAnsiTheme="minorHAnsi" w:cstheme="minorBidi"/>
              <w:b w:val="0"/>
            </w:rPr>
          </w:pPr>
          <w:hyperlink w:anchor="_Toc460514044" w:history="1">
            <w:r w:rsidR="00B14A18" w:rsidRPr="00EA6AD3">
              <w:rPr>
                <w:rStyle w:val="Hyperlink"/>
              </w:rPr>
              <w:t>Appendix J</w:t>
            </w:r>
            <w:r w:rsidR="00B14A18">
              <w:rPr>
                <w:rFonts w:asciiTheme="minorHAnsi" w:eastAsiaTheme="minorEastAsia" w:hAnsiTheme="minorHAnsi" w:cstheme="minorBidi"/>
                <w:b w:val="0"/>
              </w:rPr>
              <w:tab/>
            </w:r>
            <w:r w:rsidR="00B14A18" w:rsidRPr="00EA6AD3">
              <w:rPr>
                <w:rStyle w:val="Hyperlink"/>
              </w:rPr>
              <w:t>Clinical practice guidelines</w:t>
            </w:r>
            <w:r w:rsidR="00B14A18">
              <w:rPr>
                <w:webHidden/>
              </w:rPr>
              <w:tab/>
            </w:r>
            <w:r w:rsidR="00B14A18">
              <w:rPr>
                <w:webHidden/>
              </w:rPr>
              <w:fldChar w:fldCharType="begin"/>
            </w:r>
            <w:r w:rsidR="00B14A18">
              <w:rPr>
                <w:webHidden/>
              </w:rPr>
              <w:instrText xml:space="preserve"> PAGEREF _Toc460514044 \h </w:instrText>
            </w:r>
            <w:r w:rsidR="00B14A18">
              <w:rPr>
                <w:webHidden/>
              </w:rPr>
            </w:r>
            <w:r w:rsidR="00B14A18">
              <w:rPr>
                <w:webHidden/>
              </w:rPr>
              <w:fldChar w:fldCharType="separate"/>
            </w:r>
            <w:r w:rsidR="0029649D">
              <w:rPr>
                <w:webHidden/>
              </w:rPr>
              <w:t>237</w:t>
            </w:r>
            <w:r w:rsidR="00B14A18">
              <w:rPr>
                <w:webHidden/>
              </w:rPr>
              <w:fldChar w:fldCharType="end"/>
            </w:r>
          </w:hyperlink>
        </w:p>
        <w:p w14:paraId="3ABEF459" w14:textId="77777777" w:rsidR="00B14A18" w:rsidRDefault="00DD0356">
          <w:pPr>
            <w:pStyle w:val="TOC1"/>
            <w:rPr>
              <w:rFonts w:asciiTheme="minorHAnsi" w:eastAsiaTheme="minorEastAsia" w:hAnsiTheme="minorHAnsi" w:cstheme="minorBidi"/>
              <w:b w:val="0"/>
            </w:rPr>
          </w:pPr>
          <w:hyperlink w:anchor="_Toc460514045" w:history="1">
            <w:r w:rsidR="00B14A18" w:rsidRPr="00EA6AD3">
              <w:rPr>
                <w:rStyle w:val="Hyperlink"/>
              </w:rPr>
              <w:t>Appendix K</w:t>
            </w:r>
            <w:r w:rsidR="00B14A18">
              <w:rPr>
                <w:rFonts w:asciiTheme="minorHAnsi" w:eastAsiaTheme="minorEastAsia" w:hAnsiTheme="minorHAnsi" w:cstheme="minorBidi"/>
                <w:b w:val="0"/>
              </w:rPr>
              <w:tab/>
            </w:r>
            <w:r w:rsidR="00B14A18" w:rsidRPr="00EA6AD3">
              <w:rPr>
                <w:rStyle w:val="Hyperlink"/>
              </w:rPr>
              <w:t>Section D literature search</w:t>
            </w:r>
            <w:r w:rsidR="00B14A18">
              <w:rPr>
                <w:webHidden/>
              </w:rPr>
              <w:tab/>
            </w:r>
            <w:r w:rsidR="00B14A18">
              <w:rPr>
                <w:webHidden/>
              </w:rPr>
              <w:fldChar w:fldCharType="begin"/>
            </w:r>
            <w:r w:rsidR="00B14A18">
              <w:rPr>
                <w:webHidden/>
              </w:rPr>
              <w:instrText xml:space="preserve"> PAGEREF _Toc460514045 \h </w:instrText>
            </w:r>
            <w:r w:rsidR="00B14A18">
              <w:rPr>
                <w:webHidden/>
              </w:rPr>
            </w:r>
            <w:r w:rsidR="00B14A18">
              <w:rPr>
                <w:webHidden/>
              </w:rPr>
              <w:fldChar w:fldCharType="separate"/>
            </w:r>
            <w:r w:rsidR="0029649D">
              <w:rPr>
                <w:webHidden/>
              </w:rPr>
              <w:t>239</w:t>
            </w:r>
            <w:r w:rsidR="00B14A18">
              <w:rPr>
                <w:webHidden/>
              </w:rPr>
              <w:fldChar w:fldCharType="end"/>
            </w:r>
          </w:hyperlink>
        </w:p>
        <w:p w14:paraId="4AB0C470" w14:textId="77777777" w:rsidR="00B14A18" w:rsidRDefault="00DD0356">
          <w:pPr>
            <w:pStyle w:val="TOC3"/>
            <w:rPr>
              <w:rFonts w:asciiTheme="minorHAnsi" w:eastAsiaTheme="minorEastAsia" w:hAnsiTheme="minorHAnsi" w:cstheme="minorBidi"/>
            </w:rPr>
          </w:pPr>
          <w:hyperlink w:anchor="_Toc460514046" w:history="1">
            <w:r w:rsidR="00B14A18" w:rsidRPr="00EA6AD3">
              <w:rPr>
                <w:rStyle w:val="Hyperlink"/>
              </w:rPr>
              <w:t>Literature search for Section D.3: Economic evaluations</w:t>
            </w:r>
            <w:r w:rsidR="00B14A18">
              <w:rPr>
                <w:webHidden/>
              </w:rPr>
              <w:tab/>
            </w:r>
            <w:r w:rsidR="00B14A18">
              <w:rPr>
                <w:webHidden/>
              </w:rPr>
              <w:fldChar w:fldCharType="begin"/>
            </w:r>
            <w:r w:rsidR="00B14A18">
              <w:rPr>
                <w:webHidden/>
              </w:rPr>
              <w:instrText xml:space="preserve"> PAGEREF _Toc460514046 \h </w:instrText>
            </w:r>
            <w:r w:rsidR="00B14A18">
              <w:rPr>
                <w:webHidden/>
              </w:rPr>
            </w:r>
            <w:r w:rsidR="00B14A18">
              <w:rPr>
                <w:webHidden/>
              </w:rPr>
              <w:fldChar w:fldCharType="separate"/>
            </w:r>
            <w:r w:rsidR="0029649D">
              <w:rPr>
                <w:webHidden/>
              </w:rPr>
              <w:t>239</w:t>
            </w:r>
            <w:r w:rsidR="00B14A18">
              <w:rPr>
                <w:webHidden/>
              </w:rPr>
              <w:fldChar w:fldCharType="end"/>
            </w:r>
          </w:hyperlink>
        </w:p>
        <w:p w14:paraId="7A6CC8D0" w14:textId="77777777" w:rsidR="00B14A18" w:rsidRDefault="00DD0356">
          <w:pPr>
            <w:pStyle w:val="TOC3"/>
            <w:rPr>
              <w:rFonts w:asciiTheme="minorHAnsi" w:eastAsiaTheme="minorEastAsia" w:hAnsiTheme="minorHAnsi" w:cstheme="minorBidi"/>
            </w:rPr>
          </w:pPr>
          <w:hyperlink w:anchor="_Toc460514047" w:history="1">
            <w:r w:rsidR="00B14A18" w:rsidRPr="00EA6AD3">
              <w:rPr>
                <w:rStyle w:val="Hyperlink"/>
              </w:rPr>
              <w:t>Literature search for Section D.4: Australian cost studies</w:t>
            </w:r>
            <w:r w:rsidR="00B14A18">
              <w:rPr>
                <w:webHidden/>
              </w:rPr>
              <w:tab/>
            </w:r>
            <w:r w:rsidR="00B14A18">
              <w:rPr>
                <w:webHidden/>
              </w:rPr>
              <w:fldChar w:fldCharType="begin"/>
            </w:r>
            <w:r w:rsidR="00B14A18">
              <w:rPr>
                <w:webHidden/>
              </w:rPr>
              <w:instrText xml:space="preserve"> PAGEREF _Toc460514047 \h </w:instrText>
            </w:r>
            <w:r w:rsidR="00B14A18">
              <w:rPr>
                <w:webHidden/>
              </w:rPr>
            </w:r>
            <w:r w:rsidR="00B14A18">
              <w:rPr>
                <w:webHidden/>
              </w:rPr>
              <w:fldChar w:fldCharType="separate"/>
            </w:r>
            <w:r w:rsidR="0029649D">
              <w:rPr>
                <w:webHidden/>
              </w:rPr>
              <w:t>240</w:t>
            </w:r>
            <w:r w:rsidR="00B14A18">
              <w:rPr>
                <w:webHidden/>
              </w:rPr>
              <w:fldChar w:fldCharType="end"/>
            </w:r>
          </w:hyperlink>
        </w:p>
        <w:p w14:paraId="3A60C262" w14:textId="520CAFD7" w:rsidR="00B14A18" w:rsidRDefault="00DD0356">
          <w:pPr>
            <w:pStyle w:val="TOC1"/>
            <w:rPr>
              <w:rFonts w:asciiTheme="minorHAnsi" w:eastAsiaTheme="minorEastAsia" w:hAnsiTheme="minorHAnsi" w:cstheme="minorBidi"/>
              <w:b w:val="0"/>
            </w:rPr>
          </w:pPr>
          <w:hyperlink w:anchor="_Toc460514048" w:history="1">
            <w:r w:rsidR="00B14A18" w:rsidRPr="00EA6AD3">
              <w:rPr>
                <w:rStyle w:val="Hyperlink"/>
              </w:rPr>
              <w:t>References</w:t>
            </w:r>
            <w:r w:rsidR="00B14A18">
              <w:rPr>
                <w:webHidden/>
              </w:rPr>
              <w:tab/>
            </w:r>
            <w:r w:rsidR="00B14A18">
              <w:rPr>
                <w:webHidden/>
              </w:rPr>
              <w:tab/>
            </w:r>
            <w:r w:rsidR="00B14A18">
              <w:rPr>
                <w:webHidden/>
              </w:rPr>
              <w:fldChar w:fldCharType="begin"/>
            </w:r>
            <w:r w:rsidR="00B14A18">
              <w:rPr>
                <w:webHidden/>
              </w:rPr>
              <w:instrText xml:space="preserve"> PAGEREF _Toc460514048 \h </w:instrText>
            </w:r>
            <w:r w:rsidR="00B14A18">
              <w:rPr>
                <w:webHidden/>
              </w:rPr>
            </w:r>
            <w:r w:rsidR="00B14A18">
              <w:rPr>
                <w:webHidden/>
              </w:rPr>
              <w:fldChar w:fldCharType="separate"/>
            </w:r>
            <w:r w:rsidR="0029649D">
              <w:rPr>
                <w:webHidden/>
              </w:rPr>
              <w:t>242</w:t>
            </w:r>
            <w:r w:rsidR="00B14A18">
              <w:rPr>
                <w:webHidden/>
              </w:rPr>
              <w:fldChar w:fldCharType="end"/>
            </w:r>
          </w:hyperlink>
        </w:p>
        <w:p w14:paraId="5855C942" w14:textId="77777777" w:rsidR="00F81651" w:rsidRDefault="00F81651">
          <w:r>
            <w:rPr>
              <w:b/>
              <w:bCs/>
              <w:noProof/>
            </w:rPr>
            <w:fldChar w:fldCharType="end"/>
          </w:r>
        </w:p>
      </w:sdtContent>
    </w:sdt>
    <w:p w14:paraId="6E16CE5A" w14:textId="77777777" w:rsidR="008F59A8" w:rsidRPr="00183E4D" w:rsidRDefault="008F59A8" w:rsidP="00DF343F">
      <w:pPr>
        <w:pStyle w:val="Heading2"/>
      </w:pPr>
      <w:r w:rsidRPr="00183E4D">
        <w:br w:type="page"/>
      </w:r>
      <w:bookmarkStart w:id="22" w:name="_Toc381796425"/>
      <w:bookmarkStart w:id="23" w:name="_Toc395200736"/>
      <w:bookmarkStart w:id="24" w:name="_Toc399247191"/>
      <w:bookmarkStart w:id="25" w:name="_Toc460513866"/>
      <w:r w:rsidRPr="00183E4D">
        <w:lastRenderedPageBreak/>
        <w:t>Tables</w:t>
      </w:r>
      <w:bookmarkEnd w:id="22"/>
      <w:bookmarkEnd w:id="23"/>
      <w:bookmarkEnd w:id="24"/>
      <w:bookmarkEnd w:id="25"/>
    </w:p>
    <w:bookmarkStart w:id="26" w:name="_Toc381796426"/>
    <w:bookmarkStart w:id="27" w:name="_Toc395200737"/>
    <w:p w14:paraId="2AA7617B" w14:textId="77777777" w:rsidR="008E0B00" w:rsidRDefault="00503C5B">
      <w:pPr>
        <w:pStyle w:val="TableofFigures"/>
        <w:rPr>
          <w:rFonts w:asciiTheme="minorHAnsi" w:eastAsiaTheme="minorEastAsia" w:hAnsiTheme="minorHAnsi" w:cstheme="minorBidi"/>
        </w:rPr>
      </w:pPr>
      <w:r>
        <w:rPr>
          <w:rFonts w:asciiTheme="minorHAnsi" w:eastAsiaTheme="minorEastAsia" w:hAnsiTheme="minorHAnsi" w:cstheme="minorBidi"/>
          <w:b/>
          <w:smallCaps/>
        </w:rPr>
        <w:fldChar w:fldCharType="begin"/>
      </w:r>
      <w:r>
        <w:rPr>
          <w:rFonts w:asciiTheme="minorHAnsi" w:eastAsiaTheme="minorEastAsia" w:hAnsiTheme="minorHAnsi" w:cstheme="minorBidi"/>
          <w:b/>
          <w:smallCaps/>
        </w:rPr>
        <w:instrText xml:space="preserve"> TOC \h \z \c "Table" </w:instrText>
      </w:r>
      <w:r>
        <w:rPr>
          <w:rFonts w:asciiTheme="minorHAnsi" w:eastAsiaTheme="minorEastAsia" w:hAnsiTheme="minorHAnsi" w:cstheme="minorBidi"/>
          <w:b/>
          <w:smallCaps/>
        </w:rPr>
        <w:fldChar w:fldCharType="separate"/>
      </w:r>
      <w:hyperlink w:anchor="_Toc460514501" w:history="1">
        <w:r w:rsidR="008E0B00" w:rsidRPr="00E01459">
          <w:rPr>
            <w:rStyle w:val="Hyperlink"/>
          </w:rPr>
          <w:t>Table 1</w:t>
        </w:r>
        <w:r w:rsidR="008E0B00">
          <w:rPr>
            <w:rFonts w:asciiTheme="minorHAnsi" w:eastAsiaTheme="minorEastAsia" w:hAnsiTheme="minorHAnsi" w:cstheme="minorBidi"/>
          </w:rPr>
          <w:tab/>
        </w:r>
        <w:r w:rsidR="008E0B00" w:rsidRPr="00E01459">
          <w:rPr>
            <w:rStyle w:val="Hyperlink"/>
          </w:rPr>
          <w:t>Proposed MBS item descriptor</w:t>
        </w:r>
        <w:r w:rsidR="008E0B00">
          <w:rPr>
            <w:webHidden/>
          </w:rPr>
          <w:tab/>
        </w:r>
        <w:r w:rsidR="008E0B00">
          <w:rPr>
            <w:webHidden/>
          </w:rPr>
          <w:fldChar w:fldCharType="begin"/>
        </w:r>
        <w:r w:rsidR="008E0B00">
          <w:rPr>
            <w:webHidden/>
          </w:rPr>
          <w:instrText xml:space="preserve"> PAGEREF _Toc460514501 \h </w:instrText>
        </w:r>
        <w:r w:rsidR="008E0B00">
          <w:rPr>
            <w:webHidden/>
          </w:rPr>
        </w:r>
        <w:r w:rsidR="008E0B00">
          <w:rPr>
            <w:webHidden/>
          </w:rPr>
          <w:fldChar w:fldCharType="separate"/>
        </w:r>
        <w:r w:rsidR="0029649D">
          <w:rPr>
            <w:webHidden/>
          </w:rPr>
          <w:t>3</w:t>
        </w:r>
        <w:r w:rsidR="008E0B00">
          <w:rPr>
            <w:webHidden/>
          </w:rPr>
          <w:fldChar w:fldCharType="end"/>
        </w:r>
      </w:hyperlink>
    </w:p>
    <w:p w14:paraId="72538465" w14:textId="77777777" w:rsidR="008E0B00" w:rsidRDefault="00DD0356">
      <w:pPr>
        <w:pStyle w:val="TableofFigures"/>
        <w:rPr>
          <w:rFonts w:asciiTheme="minorHAnsi" w:eastAsiaTheme="minorEastAsia" w:hAnsiTheme="minorHAnsi" w:cstheme="minorBidi"/>
        </w:rPr>
      </w:pPr>
      <w:hyperlink w:anchor="_Toc460514502" w:history="1">
        <w:r w:rsidR="008E0B00" w:rsidRPr="00E01459">
          <w:rPr>
            <w:rStyle w:val="Hyperlink"/>
          </w:rPr>
          <w:t>Table 2</w:t>
        </w:r>
        <w:r w:rsidR="008E0B00">
          <w:rPr>
            <w:rFonts w:asciiTheme="minorHAnsi" w:eastAsiaTheme="minorEastAsia" w:hAnsiTheme="minorHAnsi" w:cstheme="minorBidi"/>
          </w:rPr>
          <w:tab/>
        </w:r>
        <w:r w:rsidR="008E0B00" w:rsidRPr="00E01459">
          <w:rPr>
            <w:rStyle w:val="Hyperlink"/>
          </w:rPr>
          <w:t xml:space="preserve"> Key features of the included linked evidence</w:t>
        </w:r>
        <w:r w:rsidR="008E0B00">
          <w:rPr>
            <w:webHidden/>
          </w:rPr>
          <w:tab/>
        </w:r>
        <w:r w:rsidR="008E0B00">
          <w:rPr>
            <w:webHidden/>
          </w:rPr>
          <w:fldChar w:fldCharType="begin"/>
        </w:r>
        <w:r w:rsidR="008E0B00">
          <w:rPr>
            <w:webHidden/>
          </w:rPr>
          <w:instrText xml:space="preserve"> PAGEREF _Toc460514502 \h </w:instrText>
        </w:r>
        <w:r w:rsidR="008E0B00">
          <w:rPr>
            <w:webHidden/>
          </w:rPr>
        </w:r>
        <w:r w:rsidR="008E0B00">
          <w:rPr>
            <w:webHidden/>
          </w:rPr>
          <w:fldChar w:fldCharType="separate"/>
        </w:r>
        <w:r w:rsidR="0029649D">
          <w:rPr>
            <w:webHidden/>
          </w:rPr>
          <w:t>7</w:t>
        </w:r>
        <w:r w:rsidR="008E0B00">
          <w:rPr>
            <w:webHidden/>
          </w:rPr>
          <w:fldChar w:fldCharType="end"/>
        </w:r>
      </w:hyperlink>
    </w:p>
    <w:p w14:paraId="090B194C" w14:textId="77777777" w:rsidR="008E0B00" w:rsidRDefault="00DD0356">
      <w:pPr>
        <w:pStyle w:val="TableofFigures"/>
        <w:rPr>
          <w:rFonts w:asciiTheme="minorHAnsi" w:eastAsiaTheme="minorEastAsia" w:hAnsiTheme="minorHAnsi" w:cstheme="minorBidi"/>
        </w:rPr>
      </w:pPr>
      <w:hyperlink w:anchor="_Toc460514503" w:history="1">
        <w:r w:rsidR="008E0B00" w:rsidRPr="00E01459">
          <w:rPr>
            <w:rStyle w:val="Hyperlink"/>
          </w:rPr>
          <w:t>Table 3</w:t>
        </w:r>
        <w:r w:rsidR="008E0B00">
          <w:rPr>
            <w:rFonts w:asciiTheme="minorHAnsi" w:eastAsiaTheme="minorEastAsia" w:hAnsiTheme="minorHAnsi" w:cstheme="minorBidi"/>
          </w:rPr>
          <w:tab/>
        </w:r>
        <w:r w:rsidR="008E0B00" w:rsidRPr="00E01459">
          <w:rPr>
            <w:rStyle w:val="Hyperlink"/>
          </w:rPr>
          <w:t>Summary statistics for mpMRI against biopsy (TRUSGB, TPUSGB or cognitive MRIGB) in Population 1 (assumed disease prevalence of 35% for low-concern patients and 50% for high-concern patients)</w:t>
        </w:r>
        <w:r w:rsidR="008E0B00">
          <w:rPr>
            <w:webHidden/>
          </w:rPr>
          <w:tab/>
        </w:r>
        <w:r w:rsidR="008E0B00">
          <w:rPr>
            <w:webHidden/>
          </w:rPr>
          <w:fldChar w:fldCharType="begin"/>
        </w:r>
        <w:r w:rsidR="008E0B00">
          <w:rPr>
            <w:webHidden/>
          </w:rPr>
          <w:instrText xml:space="preserve"> PAGEREF _Toc460514503 \h </w:instrText>
        </w:r>
        <w:r w:rsidR="008E0B00">
          <w:rPr>
            <w:webHidden/>
          </w:rPr>
        </w:r>
        <w:r w:rsidR="008E0B00">
          <w:rPr>
            <w:webHidden/>
          </w:rPr>
          <w:fldChar w:fldCharType="separate"/>
        </w:r>
        <w:r w:rsidR="0029649D">
          <w:rPr>
            <w:webHidden/>
          </w:rPr>
          <w:t>9</w:t>
        </w:r>
        <w:r w:rsidR="008E0B00">
          <w:rPr>
            <w:webHidden/>
          </w:rPr>
          <w:fldChar w:fldCharType="end"/>
        </w:r>
      </w:hyperlink>
    </w:p>
    <w:p w14:paraId="09D61CCE" w14:textId="77777777" w:rsidR="008E0B00" w:rsidRDefault="00DD0356">
      <w:pPr>
        <w:pStyle w:val="TableofFigures"/>
        <w:rPr>
          <w:rFonts w:asciiTheme="minorHAnsi" w:eastAsiaTheme="minorEastAsia" w:hAnsiTheme="minorHAnsi" w:cstheme="minorBidi"/>
        </w:rPr>
      </w:pPr>
      <w:hyperlink w:anchor="_Toc460514504" w:history="1">
        <w:r w:rsidR="008E0B00" w:rsidRPr="00E01459">
          <w:rPr>
            <w:rStyle w:val="Hyperlink"/>
          </w:rPr>
          <w:t>Table 4</w:t>
        </w:r>
        <w:r w:rsidR="008E0B00">
          <w:rPr>
            <w:rFonts w:asciiTheme="minorHAnsi" w:eastAsiaTheme="minorEastAsia" w:hAnsiTheme="minorHAnsi" w:cstheme="minorBidi"/>
          </w:rPr>
          <w:tab/>
        </w:r>
        <w:r w:rsidR="008E0B00" w:rsidRPr="00E01459">
          <w:rPr>
            <w:rStyle w:val="Hyperlink"/>
          </w:rPr>
          <w:t>Summary statistics for mpMRI against biopsy (TRUGB, TPUSGB or cognitive MRIGB) in Population 2 (prevalence of disease upgrade of 30%)</w:t>
        </w:r>
        <w:r w:rsidR="008E0B00">
          <w:rPr>
            <w:webHidden/>
          </w:rPr>
          <w:tab/>
        </w:r>
        <w:r w:rsidR="008E0B00">
          <w:rPr>
            <w:webHidden/>
          </w:rPr>
          <w:fldChar w:fldCharType="begin"/>
        </w:r>
        <w:r w:rsidR="008E0B00">
          <w:rPr>
            <w:webHidden/>
          </w:rPr>
          <w:instrText xml:space="preserve"> PAGEREF _Toc460514504 \h </w:instrText>
        </w:r>
        <w:r w:rsidR="008E0B00">
          <w:rPr>
            <w:webHidden/>
          </w:rPr>
        </w:r>
        <w:r w:rsidR="008E0B00">
          <w:rPr>
            <w:webHidden/>
          </w:rPr>
          <w:fldChar w:fldCharType="separate"/>
        </w:r>
        <w:r w:rsidR="0029649D">
          <w:rPr>
            <w:webHidden/>
          </w:rPr>
          <w:t>10</w:t>
        </w:r>
        <w:r w:rsidR="008E0B00">
          <w:rPr>
            <w:webHidden/>
          </w:rPr>
          <w:fldChar w:fldCharType="end"/>
        </w:r>
      </w:hyperlink>
    </w:p>
    <w:p w14:paraId="761BB40B" w14:textId="77777777" w:rsidR="008E0B00" w:rsidRDefault="00DD0356">
      <w:pPr>
        <w:pStyle w:val="TableofFigures"/>
        <w:rPr>
          <w:rFonts w:asciiTheme="minorHAnsi" w:eastAsiaTheme="minorEastAsia" w:hAnsiTheme="minorHAnsi" w:cstheme="minorBidi"/>
        </w:rPr>
      </w:pPr>
      <w:hyperlink w:anchor="_Toc460514505" w:history="1">
        <w:r w:rsidR="008E0B00" w:rsidRPr="00E01459">
          <w:rPr>
            <w:rStyle w:val="Hyperlink"/>
          </w:rPr>
          <w:t>Table 5</w:t>
        </w:r>
        <w:r w:rsidR="008E0B00">
          <w:rPr>
            <w:rFonts w:asciiTheme="minorHAnsi" w:eastAsiaTheme="minorEastAsia" w:hAnsiTheme="minorHAnsi" w:cstheme="minorBidi"/>
          </w:rPr>
          <w:tab/>
        </w:r>
        <w:r w:rsidR="008E0B00" w:rsidRPr="00E01459">
          <w:rPr>
            <w:rStyle w:val="Hyperlink"/>
          </w:rPr>
          <w:t>Population 1: Summary of findings for the linked evidence comparison of mpMRI, relative to TRUSGB or TPUSGB, in patients at low-concern with suspected prostate cancer with assumed pre-test probability (prevalence) of 35%</w:t>
        </w:r>
        <w:r w:rsidR="008E0B00">
          <w:rPr>
            <w:webHidden/>
          </w:rPr>
          <w:tab/>
        </w:r>
        <w:r w:rsidR="008E0B00">
          <w:rPr>
            <w:webHidden/>
          </w:rPr>
          <w:fldChar w:fldCharType="begin"/>
        </w:r>
        <w:r w:rsidR="008E0B00">
          <w:rPr>
            <w:webHidden/>
          </w:rPr>
          <w:instrText xml:space="preserve"> PAGEREF _Toc460514505 \h </w:instrText>
        </w:r>
        <w:r w:rsidR="008E0B00">
          <w:rPr>
            <w:webHidden/>
          </w:rPr>
        </w:r>
        <w:r w:rsidR="008E0B00">
          <w:rPr>
            <w:webHidden/>
          </w:rPr>
          <w:fldChar w:fldCharType="separate"/>
        </w:r>
        <w:r w:rsidR="0029649D">
          <w:rPr>
            <w:webHidden/>
          </w:rPr>
          <w:t>12</w:t>
        </w:r>
        <w:r w:rsidR="008E0B00">
          <w:rPr>
            <w:webHidden/>
          </w:rPr>
          <w:fldChar w:fldCharType="end"/>
        </w:r>
      </w:hyperlink>
    </w:p>
    <w:p w14:paraId="1FD70674" w14:textId="77777777" w:rsidR="008E0B00" w:rsidRDefault="00DD0356">
      <w:pPr>
        <w:pStyle w:val="TableofFigures"/>
        <w:rPr>
          <w:rFonts w:asciiTheme="minorHAnsi" w:eastAsiaTheme="minorEastAsia" w:hAnsiTheme="minorHAnsi" w:cstheme="minorBidi"/>
        </w:rPr>
      </w:pPr>
      <w:hyperlink w:anchor="_Toc460514506" w:history="1">
        <w:r w:rsidR="008E0B00" w:rsidRPr="00E01459">
          <w:rPr>
            <w:rStyle w:val="Hyperlink"/>
          </w:rPr>
          <w:t>Table 6</w:t>
        </w:r>
        <w:r w:rsidR="008E0B00">
          <w:rPr>
            <w:rFonts w:asciiTheme="minorHAnsi" w:eastAsiaTheme="minorEastAsia" w:hAnsiTheme="minorHAnsi" w:cstheme="minorBidi"/>
          </w:rPr>
          <w:tab/>
        </w:r>
        <w:r w:rsidR="008E0B00" w:rsidRPr="00E01459">
          <w:rPr>
            <w:rStyle w:val="Hyperlink"/>
          </w:rPr>
          <w:t>Population 2: Summary of findings for the linked evidence comparison of mpMRI, relative to TRUSGB or TPUSGB, in patients on active surveillance with assumed pre-test probability (prevalence) for upgraded disease of 30%</w:t>
        </w:r>
        <w:r w:rsidR="008E0B00">
          <w:rPr>
            <w:webHidden/>
          </w:rPr>
          <w:tab/>
        </w:r>
        <w:r w:rsidR="008E0B00">
          <w:rPr>
            <w:webHidden/>
          </w:rPr>
          <w:fldChar w:fldCharType="begin"/>
        </w:r>
        <w:r w:rsidR="008E0B00">
          <w:rPr>
            <w:webHidden/>
          </w:rPr>
          <w:instrText xml:space="preserve"> PAGEREF _Toc460514506 \h </w:instrText>
        </w:r>
        <w:r w:rsidR="008E0B00">
          <w:rPr>
            <w:webHidden/>
          </w:rPr>
        </w:r>
        <w:r w:rsidR="008E0B00">
          <w:rPr>
            <w:webHidden/>
          </w:rPr>
          <w:fldChar w:fldCharType="separate"/>
        </w:r>
        <w:r w:rsidR="0029649D">
          <w:rPr>
            <w:webHidden/>
          </w:rPr>
          <w:t>14</w:t>
        </w:r>
        <w:r w:rsidR="008E0B00">
          <w:rPr>
            <w:webHidden/>
          </w:rPr>
          <w:fldChar w:fldCharType="end"/>
        </w:r>
      </w:hyperlink>
    </w:p>
    <w:p w14:paraId="171F5EBE" w14:textId="77777777" w:rsidR="008E0B00" w:rsidRDefault="00DD0356">
      <w:pPr>
        <w:pStyle w:val="TableofFigures"/>
        <w:rPr>
          <w:rFonts w:asciiTheme="minorHAnsi" w:eastAsiaTheme="minorEastAsia" w:hAnsiTheme="minorHAnsi" w:cstheme="minorBidi"/>
        </w:rPr>
      </w:pPr>
      <w:hyperlink w:anchor="_Toc460514507" w:history="1">
        <w:r w:rsidR="008E0B00" w:rsidRPr="00E01459">
          <w:rPr>
            <w:rStyle w:val="Hyperlink"/>
          </w:rPr>
          <w:t>Table 7</w:t>
        </w:r>
        <w:r w:rsidR="008E0B00">
          <w:rPr>
            <w:rFonts w:asciiTheme="minorHAnsi" w:eastAsiaTheme="minorEastAsia" w:hAnsiTheme="minorHAnsi" w:cstheme="minorBidi"/>
          </w:rPr>
          <w:tab/>
        </w:r>
        <w:r w:rsidR="008E0B00" w:rsidRPr="00E01459">
          <w:rPr>
            <w:rStyle w:val="Hyperlink"/>
          </w:rPr>
          <w:t>Utility values used in the economic model</w:t>
        </w:r>
        <w:r w:rsidR="008E0B00">
          <w:rPr>
            <w:webHidden/>
          </w:rPr>
          <w:tab/>
        </w:r>
        <w:r w:rsidR="008E0B00">
          <w:rPr>
            <w:webHidden/>
          </w:rPr>
          <w:fldChar w:fldCharType="begin"/>
        </w:r>
        <w:r w:rsidR="008E0B00">
          <w:rPr>
            <w:webHidden/>
          </w:rPr>
          <w:instrText xml:space="preserve"> PAGEREF _Toc460514507 \h </w:instrText>
        </w:r>
        <w:r w:rsidR="008E0B00">
          <w:rPr>
            <w:webHidden/>
          </w:rPr>
        </w:r>
        <w:r w:rsidR="008E0B00">
          <w:rPr>
            <w:webHidden/>
          </w:rPr>
          <w:fldChar w:fldCharType="separate"/>
        </w:r>
        <w:r w:rsidR="0029649D">
          <w:rPr>
            <w:webHidden/>
          </w:rPr>
          <w:t>17</w:t>
        </w:r>
        <w:r w:rsidR="008E0B00">
          <w:rPr>
            <w:webHidden/>
          </w:rPr>
          <w:fldChar w:fldCharType="end"/>
        </w:r>
      </w:hyperlink>
    </w:p>
    <w:p w14:paraId="29826742" w14:textId="77777777" w:rsidR="008E0B00" w:rsidRDefault="00DD0356">
      <w:pPr>
        <w:pStyle w:val="TableofFigures"/>
        <w:rPr>
          <w:rFonts w:asciiTheme="minorHAnsi" w:eastAsiaTheme="minorEastAsia" w:hAnsiTheme="minorHAnsi" w:cstheme="minorBidi"/>
        </w:rPr>
      </w:pPr>
      <w:hyperlink w:anchor="_Toc460514508" w:history="1">
        <w:r w:rsidR="008E0B00" w:rsidRPr="00E01459">
          <w:rPr>
            <w:rStyle w:val="Hyperlink"/>
          </w:rPr>
          <w:t>Table 8</w:t>
        </w:r>
        <w:r w:rsidR="008E0B00">
          <w:rPr>
            <w:rFonts w:asciiTheme="minorHAnsi" w:eastAsiaTheme="minorEastAsia" w:hAnsiTheme="minorHAnsi" w:cstheme="minorBidi"/>
          </w:rPr>
          <w:tab/>
        </w:r>
        <w:r w:rsidR="008E0B00" w:rsidRPr="00E01459">
          <w:rPr>
            <w:rStyle w:val="Hyperlink"/>
          </w:rPr>
          <w:t xml:space="preserve"> Summary of the economic evaluation</w:t>
        </w:r>
        <w:r w:rsidR="008E0B00">
          <w:rPr>
            <w:webHidden/>
          </w:rPr>
          <w:tab/>
        </w:r>
        <w:r w:rsidR="008E0B00">
          <w:rPr>
            <w:webHidden/>
          </w:rPr>
          <w:fldChar w:fldCharType="begin"/>
        </w:r>
        <w:r w:rsidR="008E0B00">
          <w:rPr>
            <w:webHidden/>
          </w:rPr>
          <w:instrText xml:space="preserve"> PAGEREF _Toc460514508 \h </w:instrText>
        </w:r>
        <w:r w:rsidR="008E0B00">
          <w:rPr>
            <w:webHidden/>
          </w:rPr>
        </w:r>
        <w:r w:rsidR="008E0B00">
          <w:rPr>
            <w:webHidden/>
          </w:rPr>
          <w:fldChar w:fldCharType="separate"/>
        </w:r>
        <w:r w:rsidR="0029649D">
          <w:rPr>
            <w:webHidden/>
          </w:rPr>
          <w:t>18</w:t>
        </w:r>
        <w:r w:rsidR="008E0B00">
          <w:rPr>
            <w:webHidden/>
          </w:rPr>
          <w:fldChar w:fldCharType="end"/>
        </w:r>
      </w:hyperlink>
    </w:p>
    <w:p w14:paraId="0AC0065A" w14:textId="77777777" w:rsidR="008E0B00" w:rsidRDefault="00DD0356">
      <w:pPr>
        <w:pStyle w:val="TableofFigures"/>
        <w:rPr>
          <w:rFonts w:asciiTheme="minorHAnsi" w:eastAsiaTheme="minorEastAsia" w:hAnsiTheme="minorHAnsi" w:cstheme="minorBidi"/>
        </w:rPr>
      </w:pPr>
      <w:hyperlink w:anchor="_Toc460514509" w:history="1">
        <w:r w:rsidR="008E0B00" w:rsidRPr="00E01459">
          <w:rPr>
            <w:rStyle w:val="Hyperlink"/>
          </w:rPr>
          <w:t>Table 9</w:t>
        </w:r>
        <w:r w:rsidR="008E0B00">
          <w:rPr>
            <w:rFonts w:asciiTheme="minorHAnsi" w:eastAsiaTheme="minorEastAsia" w:hAnsiTheme="minorHAnsi" w:cstheme="minorBidi"/>
          </w:rPr>
          <w:tab/>
        </w:r>
        <w:r w:rsidR="008E0B00" w:rsidRPr="00E01459">
          <w:rPr>
            <w:rStyle w:val="Hyperlink"/>
          </w:rPr>
          <w:t>Test accuracy of mpMRI and TRUSGB/TPUSGB</w:t>
        </w:r>
        <w:r w:rsidR="008E0B00">
          <w:rPr>
            <w:webHidden/>
          </w:rPr>
          <w:tab/>
        </w:r>
        <w:r w:rsidR="008E0B00">
          <w:rPr>
            <w:webHidden/>
          </w:rPr>
          <w:fldChar w:fldCharType="begin"/>
        </w:r>
        <w:r w:rsidR="008E0B00">
          <w:rPr>
            <w:webHidden/>
          </w:rPr>
          <w:instrText xml:space="preserve"> PAGEREF _Toc460514509 \h </w:instrText>
        </w:r>
        <w:r w:rsidR="008E0B00">
          <w:rPr>
            <w:webHidden/>
          </w:rPr>
        </w:r>
        <w:r w:rsidR="008E0B00">
          <w:rPr>
            <w:webHidden/>
          </w:rPr>
          <w:fldChar w:fldCharType="separate"/>
        </w:r>
        <w:r w:rsidR="0029649D">
          <w:rPr>
            <w:webHidden/>
          </w:rPr>
          <w:t>19</w:t>
        </w:r>
        <w:r w:rsidR="008E0B00">
          <w:rPr>
            <w:webHidden/>
          </w:rPr>
          <w:fldChar w:fldCharType="end"/>
        </w:r>
      </w:hyperlink>
    </w:p>
    <w:p w14:paraId="03C06717" w14:textId="77777777" w:rsidR="008E0B00" w:rsidRDefault="00DD0356">
      <w:pPr>
        <w:pStyle w:val="TableofFigures"/>
        <w:rPr>
          <w:rFonts w:asciiTheme="minorHAnsi" w:eastAsiaTheme="minorEastAsia" w:hAnsiTheme="minorHAnsi" w:cstheme="minorBidi"/>
        </w:rPr>
      </w:pPr>
      <w:hyperlink w:anchor="_Toc460514510" w:history="1">
        <w:r w:rsidR="008E0B00" w:rsidRPr="00E01459">
          <w:rPr>
            <w:rStyle w:val="Hyperlink"/>
          </w:rPr>
          <w:t>Table 10</w:t>
        </w:r>
        <w:r w:rsidR="008E0B00">
          <w:rPr>
            <w:rFonts w:asciiTheme="minorHAnsi" w:eastAsiaTheme="minorEastAsia" w:hAnsiTheme="minorHAnsi" w:cstheme="minorBidi"/>
          </w:rPr>
          <w:tab/>
        </w:r>
        <w:r w:rsidR="008E0B00" w:rsidRPr="00E01459">
          <w:rPr>
            <w:rStyle w:val="Hyperlink"/>
          </w:rPr>
          <w:t>Costs in economic model</w:t>
        </w:r>
        <w:r w:rsidR="008E0B00">
          <w:rPr>
            <w:webHidden/>
          </w:rPr>
          <w:tab/>
        </w:r>
        <w:r w:rsidR="008E0B00">
          <w:rPr>
            <w:webHidden/>
          </w:rPr>
          <w:fldChar w:fldCharType="begin"/>
        </w:r>
        <w:r w:rsidR="008E0B00">
          <w:rPr>
            <w:webHidden/>
          </w:rPr>
          <w:instrText xml:space="preserve"> PAGEREF _Toc460514510 \h </w:instrText>
        </w:r>
        <w:r w:rsidR="008E0B00">
          <w:rPr>
            <w:webHidden/>
          </w:rPr>
        </w:r>
        <w:r w:rsidR="008E0B00">
          <w:rPr>
            <w:webHidden/>
          </w:rPr>
          <w:fldChar w:fldCharType="separate"/>
        </w:r>
        <w:r w:rsidR="0029649D">
          <w:rPr>
            <w:webHidden/>
          </w:rPr>
          <w:t>20</w:t>
        </w:r>
        <w:r w:rsidR="008E0B00">
          <w:rPr>
            <w:webHidden/>
          </w:rPr>
          <w:fldChar w:fldCharType="end"/>
        </w:r>
      </w:hyperlink>
    </w:p>
    <w:p w14:paraId="073FA045" w14:textId="77777777" w:rsidR="008E0B00" w:rsidRDefault="00DD0356">
      <w:pPr>
        <w:pStyle w:val="TableofFigures"/>
        <w:rPr>
          <w:rFonts w:asciiTheme="minorHAnsi" w:eastAsiaTheme="minorEastAsia" w:hAnsiTheme="minorHAnsi" w:cstheme="minorBidi"/>
        </w:rPr>
      </w:pPr>
      <w:hyperlink w:anchor="_Toc460514511" w:history="1">
        <w:r w:rsidR="008E0B00" w:rsidRPr="00E01459">
          <w:rPr>
            <w:rStyle w:val="Hyperlink"/>
          </w:rPr>
          <w:t xml:space="preserve">Table 11 </w:t>
        </w:r>
        <w:r w:rsidR="008E0B00">
          <w:rPr>
            <w:rFonts w:asciiTheme="minorHAnsi" w:eastAsiaTheme="minorEastAsia" w:hAnsiTheme="minorHAnsi" w:cstheme="minorBidi"/>
          </w:rPr>
          <w:tab/>
        </w:r>
        <w:r w:rsidR="008E0B00" w:rsidRPr="00E01459">
          <w:rPr>
            <w:rStyle w:val="Hyperlink"/>
          </w:rPr>
          <w:t>Results of the economic evaluation</w:t>
        </w:r>
        <w:r w:rsidR="008E0B00">
          <w:rPr>
            <w:webHidden/>
          </w:rPr>
          <w:tab/>
        </w:r>
        <w:r w:rsidR="008E0B00">
          <w:rPr>
            <w:webHidden/>
          </w:rPr>
          <w:fldChar w:fldCharType="begin"/>
        </w:r>
        <w:r w:rsidR="008E0B00">
          <w:rPr>
            <w:webHidden/>
          </w:rPr>
          <w:instrText xml:space="preserve"> PAGEREF _Toc460514511 \h </w:instrText>
        </w:r>
        <w:r w:rsidR="008E0B00">
          <w:rPr>
            <w:webHidden/>
          </w:rPr>
        </w:r>
        <w:r w:rsidR="008E0B00">
          <w:rPr>
            <w:webHidden/>
          </w:rPr>
          <w:fldChar w:fldCharType="separate"/>
        </w:r>
        <w:r w:rsidR="0029649D">
          <w:rPr>
            <w:webHidden/>
          </w:rPr>
          <w:t>21</w:t>
        </w:r>
        <w:r w:rsidR="008E0B00">
          <w:rPr>
            <w:webHidden/>
          </w:rPr>
          <w:fldChar w:fldCharType="end"/>
        </w:r>
      </w:hyperlink>
    </w:p>
    <w:p w14:paraId="2EF43269" w14:textId="77777777" w:rsidR="008E0B00" w:rsidRDefault="00DD0356">
      <w:pPr>
        <w:pStyle w:val="TableofFigures"/>
        <w:rPr>
          <w:rFonts w:asciiTheme="minorHAnsi" w:eastAsiaTheme="minorEastAsia" w:hAnsiTheme="minorHAnsi" w:cstheme="minorBidi"/>
        </w:rPr>
      </w:pPr>
      <w:hyperlink w:anchor="_Toc460514512" w:history="1">
        <w:r w:rsidR="008E0B00" w:rsidRPr="00E01459">
          <w:rPr>
            <w:rStyle w:val="Hyperlink"/>
          </w:rPr>
          <w:t>Table 12</w:t>
        </w:r>
        <w:r w:rsidR="008E0B00">
          <w:rPr>
            <w:rFonts w:asciiTheme="minorHAnsi" w:eastAsiaTheme="minorEastAsia" w:hAnsiTheme="minorHAnsi" w:cstheme="minorBidi"/>
          </w:rPr>
          <w:tab/>
        </w:r>
        <w:r w:rsidR="008E0B00" w:rsidRPr="00E01459">
          <w:rPr>
            <w:rStyle w:val="Hyperlink"/>
            <w:rFonts w:cs="Arial"/>
            <w:snapToGrid w:val="0"/>
            <w:lang w:eastAsia="en-US"/>
          </w:rPr>
          <w:t>Key drivers of the economic model</w:t>
        </w:r>
        <w:r w:rsidR="008E0B00">
          <w:rPr>
            <w:webHidden/>
          </w:rPr>
          <w:tab/>
        </w:r>
        <w:r w:rsidR="008E0B00">
          <w:rPr>
            <w:webHidden/>
          </w:rPr>
          <w:fldChar w:fldCharType="begin"/>
        </w:r>
        <w:r w:rsidR="008E0B00">
          <w:rPr>
            <w:webHidden/>
          </w:rPr>
          <w:instrText xml:space="preserve"> PAGEREF _Toc460514512 \h </w:instrText>
        </w:r>
        <w:r w:rsidR="008E0B00">
          <w:rPr>
            <w:webHidden/>
          </w:rPr>
        </w:r>
        <w:r w:rsidR="008E0B00">
          <w:rPr>
            <w:webHidden/>
          </w:rPr>
          <w:fldChar w:fldCharType="separate"/>
        </w:r>
        <w:r w:rsidR="0029649D">
          <w:rPr>
            <w:webHidden/>
          </w:rPr>
          <w:t>22</w:t>
        </w:r>
        <w:r w:rsidR="008E0B00">
          <w:rPr>
            <w:webHidden/>
          </w:rPr>
          <w:fldChar w:fldCharType="end"/>
        </w:r>
      </w:hyperlink>
    </w:p>
    <w:p w14:paraId="693EBA96" w14:textId="77777777" w:rsidR="008E0B00" w:rsidRDefault="00DD0356">
      <w:pPr>
        <w:pStyle w:val="TableofFigures"/>
        <w:rPr>
          <w:rFonts w:asciiTheme="minorHAnsi" w:eastAsiaTheme="minorEastAsia" w:hAnsiTheme="minorHAnsi" w:cstheme="minorBidi"/>
        </w:rPr>
      </w:pPr>
      <w:hyperlink w:anchor="_Toc460514513" w:history="1">
        <w:r w:rsidR="008E0B00" w:rsidRPr="00E01459">
          <w:rPr>
            <w:rStyle w:val="Hyperlink"/>
          </w:rPr>
          <w:t>Table 13</w:t>
        </w:r>
        <w:r w:rsidR="008E0B00">
          <w:rPr>
            <w:rFonts w:asciiTheme="minorHAnsi" w:eastAsiaTheme="minorEastAsia" w:hAnsiTheme="minorHAnsi" w:cstheme="minorBidi"/>
          </w:rPr>
          <w:tab/>
        </w:r>
        <w:r w:rsidR="008E0B00" w:rsidRPr="00E01459">
          <w:rPr>
            <w:rStyle w:val="Hyperlink"/>
          </w:rPr>
          <w:t>Total costs to the MBS associated with mpMRI for prostate cancer.</w:t>
        </w:r>
        <w:r w:rsidR="008E0B00">
          <w:rPr>
            <w:webHidden/>
          </w:rPr>
          <w:tab/>
        </w:r>
        <w:r w:rsidR="008E0B00">
          <w:rPr>
            <w:webHidden/>
          </w:rPr>
          <w:fldChar w:fldCharType="begin"/>
        </w:r>
        <w:r w:rsidR="008E0B00">
          <w:rPr>
            <w:webHidden/>
          </w:rPr>
          <w:instrText xml:space="preserve"> PAGEREF _Toc460514513 \h </w:instrText>
        </w:r>
        <w:r w:rsidR="008E0B00">
          <w:rPr>
            <w:webHidden/>
          </w:rPr>
        </w:r>
        <w:r w:rsidR="008E0B00">
          <w:rPr>
            <w:webHidden/>
          </w:rPr>
          <w:fldChar w:fldCharType="separate"/>
        </w:r>
        <w:r w:rsidR="0029649D">
          <w:rPr>
            <w:webHidden/>
          </w:rPr>
          <w:t>23</w:t>
        </w:r>
        <w:r w:rsidR="008E0B00">
          <w:rPr>
            <w:webHidden/>
          </w:rPr>
          <w:fldChar w:fldCharType="end"/>
        </w:r>
      </w:hyperlink>
    </w:p>
    <w:p w14:paraId="26890188" w14:textId="77777777" w:rsidR="008E0B00" w:rsidRDefault="00DD0356">
      <w:pPr>
        <w:pStyle w:val="TableofFigures"/>
        <w:rPr>
          <w:rFonts w:asciiTheme="minorHAnsi" w:eastAsiaTheme="minorEastAsia" w:hAnsiTheme="minorHAnsi" w:cstheme="minorBidi"/>
        </w:rPr>
      </w:pPr>
      <w:hyperlink w:anchor="_Toc460514514" w:history="1">
        <w:r w:rsidR="008E0B00" w:rsidRPr="00E01459">
          <w:rPr>
            <w:rStyle w:val="Hyperlink"/>
          </w:rPr>
          <w:t>Table 14</w:t>
        </w:r>
        <w:r w:rsidR="008E0B00">
          <w:rPr>
            <w:rFonts w:asciiTheme="minorHAnsi" w:eastAsiaTheme="minorEastAsia" w:hAnsiTheme="minorHAnsi" w:cstheme="minorBidi"/>
          </w:rPr>
          <w:tab/>
        </w:r>
        <w:r w:rsidR="008E0B00" w:rsidRPr="00E01459">
          <w:rPr>
            <w:rStyle w:val="Hyperlink"/>
          </w:rPr>
          <w:t>Proposed MBS item descriptor</w:t>
        </w:r>
        <w:r w:rsidR="008E0B00">
          <w:rPr>
            <w:webHidden/>
          </w:rPr>
          <w:tab/>
        </w:r>
        <w:r w:rsidR="008E0B00">
          <w:rPr>
            <w:webHidden/>
          </w:rPr>
          <w:fldChar w:fldCharType="begin"/>
        </w:r>
        <w:r w:rsidR="008E0B00">
          <w:rPr>
            <w:webHidden/>
          </w:rPr>
          <w:instrText xml:space="preserve"> PAGEREF _Toc460514514 \h </w:instrText>
        </w:r>
        <w:r w:rsidR="008E0B00">
          <w:rPr>
            <w:webHidden/>
          </w:rPr>
        </w:r>
        <w:r w:rsidR="008E0B00">
          <w:rPr>
            <w:webHidden/>
          </w:rPr>
          <w:fldChar w:fldCharType="separate"/>
        </w:r>
        <w:r w:rsidR="0029649D">
          <w:rPr>
            <w:webHidden/>
          </w:rPr>
          <w:t>30</w:t>
        </w:r>
        <w:r w:rsidR="008E0B00">
          <w:rPr>
            <w:webHidden/>
          </w:rPr>
          <w:fldChar w:fldCharType="end"/>
        </w:r>
      </w:hyperlink>
    </w:p>
    <w:p w14:paraId="710C8D9A" w14:textId="77777777" w:rsidR="008E0B00" w:rsidRDefault="00DD0356">
      <w:pPr>
        <w:pStyle w:val="TableofFigures"/>
        <w:rPr>
          <w:rFonts w:asciiTheme="minorHAnsi" w:eastAsiaTheme="minorEastAsia" w:hAnsiTheme="minorHAnsi" w:cstheme="minorBidi"/>
        </w:rPr>
      </w:pPr>
      <w:hyperlink w:anchor="_Toc460514515" w:history="1">
        <w:r w:rsidR="008E0B00" w:rsidRPr="00E01459">
          <w:rPr>
            <w:rStyle w:val="Hyperlink"/>
          </w:rPr>
          <w:t>Table 15</w:t>
        </w:r>
        <w:r w:rsidR="008E0B00">
          <w:rPr>
            <w:rFonts w:asciiTheme="minorHAnsi" w:eastAsiaTheme="minorEastAsia" w:hAnsiTheme="minorHAnsi" w:cstheme="minorBidi"/>
          </w:rPr>
          <w:tab/>
        </w:r>
        <w:r w:rsidR="008E0B00" w:rsidRPr="00E01459">
          <w:rPr>
            <w:rStyle w:val="Hyperlink"/>
          </w:rPr>
          <w:t>Current MBS item descriptors for scans of the prostate</w:t>
        </w:r>
        <w:r w:rsidR="008E0B00">
          <w:rPr>
            <w:webHidden/>
          </w:rPr>
          <w:tab/>
        </w:r>
        <w:r w:rsidR="008E0B00">
          <w:rPr>
            <w:webHidden/>
          </w:rPr>
          <w:fldChar w:fldCharType="begin"/>
        </w:r>
        <w:r w:rsidR="008E0B00">
          <w:rPr>
            <w:webHidden/>
          </w:rPr>
          <w:instrText xml:space="preserve"> PAGEREF _Toc460514515 \h </w:instrText>
        </w:r>
        <w:r w:rsidR="008E0B00">
          <w:rPr>
            <w:webHidden/>
          </w:rPr>
        </w:r>
        <w:r w:rsidR="008E0B00">
          <w:rPr>
            <w:webHidden/>
          </w:rPr>
          <w:fldChar w:fldCharType="separate"/>
        </w:r>
        <w:r w:rsidR="0029649D">
          <w:rPr>
            <w:webHidden/>
          </w:rPr>
          <w:t>33</w:t>
        </w:r>
        <w:r w:rsidR="008E0B00">
          <w:rPr>
            <w:webHidden/>
          </w:rPr>
          <w:fldChar w:fldCharType="end"/>
        </w:r>
      </w:hyperlink>
    </w:p>
    <w:p w14:paraId="09A14CED" w14:textId="77777777" w:rsidR="008E0B00" w:rsidRDefault="00DD0356">
      <w:pPr>
        <w:pStyle w:val="TableofFigures"/>
        <w:rPr>
          <w:rFonts w:asciiTheme="minorHAnsi" w:eastAsiaTheme="minorEastAsia" w:hAnsiTheme="minorHAnsi" w:cstheme="minorBidi"/>
        </w:rPr>
      </w:pPr>
      <w:hyperlink w:anchor="_Toc460514516" w:history="1">
        <w:r w:rsidR="008E0B00" w:rsidRPr="00E01459">
          <w:rPr>
            <w:rStyle w:val="Hyperlink"/>
          </w:rPr>
          <w:t>Table 16</w:t>
        </w:r>
        <w:r w:rsidR="008E0B00">
          <w:rPr>
            <w:rFonts w:asciiTheme="minorHAnsi" w:eastAsiaTheme="minorEastAsia" w:hAnsiTheme="minorHAnsi" w:cstheme="minorBidi"/>
          </w:rPr>
          <w:tab/>
        </w:r>
        <w:r w:rsidR="008E0B00" w:rsidRPr="00E01459">
          <w:rPr>
            <w:rStyle w:val="Hyperlink"/>
          </w:rPr>
          <w:t>Relevant MBS item descriptor for item 37219</w:t>
        </w:r>
        <w:r w:rsidR="008E0B00">
          <w:rPr>
            <w:webHidden/>
          </w:rPr>
          <w:tab/>
        </w:r>
        <w:r w:rsidR="008E0B00">
          <w:rPr>
            <w:webHidden/>
          </w:rPr>
          <w:fldChar w:fldCharType="begin"/>
        </w:r>
        <w:r w:rsidR="008E0B00">
          <w:rPr>
            <w:webHidden/>
          </w:rPr>
          <w:instrText xml:space="preserve"> PAGEREF _Toc460514516 \h </w:instrText>
        </w:r>
        <w:r w:rsidR="008E0B00">
          <w:rPr>
            <w:webHidden/>
          </w:rPr>
        </w:r>
        <w:r w:rsidR="008E0B00">
          <w:rPr>
            <w:webHidden/>
          </w:rPr>
          <w:fldChar w:fldCharType="separate"/>
        </w:r>
        <w:r w:rsidR="0029649D">
          <w:rPr>
            <w:webHidden/>
          </w:rPr>
          <w:t>35</w:t>
        </w:r>
        <w:r w:rsidR="008E0B00">
          <w:rPr>
            <w:webHidden/>
          </w:rPr>
          <w:fldChar w:fldCharType="end"/>
        </w:r>
      </w:hyperlink>
    </w:p>
    <w:p w14:paraId="0C10DCDE" w14:textId="77777777" w:rsidR="008E0B00" w:rsidRDefault="00DD0356">
      <w:pPr>
        <w:pStyle w:val="TableofFigures"/>
        <w:rPr>
          <w:rFonts w:asciiTheme="minorHAnsi" w:eastAsiaTheme="minorEastAsia" w:hAnsiTheme="minorHAnsi" w:cstheme="minorBidi"/>
        </w:rPr>
      </w:pPr>
      <w:hyperlink w:anchor="_Toc460514517" w:history="1">
        <w:r w:rsidR="008E0B00" w:rsidRPr="00E01459">
          <w:rPr>
            <w:rStyle w:val="Hyperlink"/>
          </w:rPr>
          <w:t>Table 17</w:t>
        </w:r>
        <w:r w:rsidR="008E0B00">
          <w:rPr>
            <w:rFonts w:asciiTheme="minorHAnsi" w:eastAsiaTheme="minorEastAsia" w:hAnsiTheme="minorHAnsi" w:cstheme="minorBidi"/>
          </w:rPr>
          <w:tab/>
        </w:r>
        <w:r w:rsidR="008E0B00" w:rsidRPr="00E01459">
          <w:rPr>
            <w:rStyle w:val="Hyperlink"/>
          </w:rPr>
          <w:t>Classification of an intervention for determination of economic evaluation to be presented</w:t>
        </w:r>
        <w:r w:rsidR="008E0B00">
          <w:rPr>
            <w:webHidden/>
          </w:rPr>
          <w:tab/>
        </w:r>
        <w:r w:rsidR="008E0B00">
          <w:rPr>
            <w:webHidden/>
          </w:rPr>
          <w:fldChar w:fldCharType="begin"/>
        </w:r>
        <w:r w:rsidR="008E0B00">
          <w:rPr>
            <w:webHidden/>
          </w:rPr>
          <w:instrText xml:space="preserve"> PAGEREF _Toc460514517 \h </w:instrText>
        </w:r>
        <w:r w:rsidR="008E0B00">
          <w:rPr>
            <w:webHidden/>
          </w:rPr>
        </w:r>
        <w:r w:rsidR="008E0B00">
          <w:rPr>
            <w:webHidden/>
          </w:rPr>
          <w:fldChar w:fldCharType="separate"/>
        </w:r>
        <w:r w:rsidR="0029649D">
          <w:rPr>
            <w:webHidden/>
          </w:rPr>
          <w:t>40</w:t>
        </w:r>
        <w:r w:rsidR="008E0B00">
          <w:rPr>
            <w:webHidden/>
          </w:rPr>
          <w:fldChar w:fldCharType="end"/>
        </w:r>
      </w:hyperlink>
    </w:p>
    <w:p w14:paraId="7DF5F009" w14:textId="77777777" w:rsidR="008E0B00" w:rsidRDefault="00DD0356">
      <w:pPr>
        <w:pStyle w:val="TableofFigures"/>
        <w:rPr>
          <w:rFonts w:asciiTheme="minorHAnsi" w:eastAsiaTheme="minorEastAsia" w:hAnsiTheme="minorHAnsi" w:cstheme="minorBidi"/>
        </w:rPr>
      </w:pPr>
      <w:hyperlink w:anchor="_Toc460514518" w:history="1">
        <w:r w:rsidR="008E0B00" w:rsidRPr="00E01459">
          <w:rPr>
            <w:rStyle w:val="Hyperlink"/>
          </w:rPr>
          <w:t>Table 18</w:t>
        </w:r>
        <w:r w:rsidR="008E0B00">
          <w:rPr>
            <w:rFonts w:asciiTheme="minorHAnsi" w:eastAsiaTheme="minorEastAsia" w:hAnsiTheme="minorHAnsi" w:cstheme="minorBidi"/>
          </w:rPr>
          <w:tab/>
        </w:r>
        <w:r w:rsidR="008E0B00" w:rsidRPr="00E01459">
          <w:rPr>
            <w:rStyle w:val="Hyperlink"/>
          </w:rPr>
          <w:t>PubMED search strategy</w:t>
        </w:r>
        <w:r w:rsidR="008E0B00">
          <w:rPr>
            <w:webHidden/>
          </w:rPr>
          <w:tab/>
        </w:r>
        <w:r w:rsidR="008E0B00">
          <w:rPr>
            <w:webHidden/>
          </w:rPr>
          <w:fldChar w:fldCharType="begin"/>
        </w:r>
        <w:r w:rsidR="008E0B00">
          <w:rPr>
            <w:webHidden/>
          </w:rPr>
          <w:instrText xml:space="preserve"> PAGEREF _Toc460514518 \h </w:instrText>
        </w:r>
        <w:r w:rsidR="008E0B00">
          <w:rPr>
            <w:webHidden/>
          </w:rPr>
        </w:r>
        <w:r w:rsidR="008E0B00">
          <w:rPr>
            <w:webHidden/>
          </w:rPr>
          <w:fldChar w:fldCharType="separate"/>
        </w:r>
        <w:r w:rsidR="0029649D">
          <w:rPr>
            <w:webHidden/>
          </w:rPr>
          <w:t>46</w:t>
        </w:r>
        <w:r w:rsidR="008E0B00">
          <w:rPr>
            <w:webHidden/>
          </w:rPr>
          <w:fldChar w:fldCharType="end"/>
        </w:r>
      </w:hyperlink>
    </w:p>
    <w:p w14:paraId="5F067CBC" w14:textId="77777777" w:rsidR="008E0B00" w:rsidRDefault="00DD0356">
      <w:pPr>
        <w:pStyle w:val="TableofFigures"/>
        <w:rPr>
          <w:rFonts w:asciiTheme="minorHAnsi" w:eastAsiaTheme="minorEastAsia" w:hAnsiTheme="minorHAnsi" w:cstheme="minorBidi"/>
        </w:rPr>
      </w:pPr>
      <w:hyperlink w:anchor="_Toc460514519" w:history="1">
        <w:r w:rsidR="008E0B00" w:rsidRPr="00E01459">
          <w:rPr>
            <w:rStyle w:val="Hyperlink"/>
          </w:rPr>
          <w:t>Table 19</w:t>
        </w:r>
        <w:r w:rsidR="008E0B00">
          <w:rPr>
            <w:rFonts w:asciiTheme="minorHAnsi" w:eastAsiaTheme="minorEastAsia" w:hAnsiTheme="minorHAnsi" w:cstheme="minorBidi"/>
          </w:rPr>
          <w:tab/>
        </w:r>
        <w:r w:rsidR="008E0B00" w:rsidRPr="00E01459">
          <w:rPr>
            <w:rStyle w:val="Hyperlink"/>
          </w:rPr>
          <w:t>Key features of the included evidence comparing mpMRI against prostate biopsy in Population 1</w:t>
        </w:r>
        <w:r w:rsidR="008E0B00">
          <w:rPr>
            <w:webHidden/>
          </w:rPr>
          <w:tab/>
        </w:r>
        <w:r w:rsidR="008E0B00">
          <w:rPr>
            <w:webHidden/>
          </w:rPr>
          <w:fldChar w:fldCharType="begin"/>
        </w:r>
        <w:r w:rsidR="008E0B00">
          <w:rPr>
            <w:webHidden/>
          </w:rPr>
          <w:instrText xml:space="preserve"> PAGEREF _Toc460514519 \h </w:instrText>
        </w:r>
        <w:r w:rsidR="008E0B00">
          <w:rPr>
            <w:webHidden/>
          </w:rPr>
        </w:r>
        <w:r w:rsidR="008E0B00">
          <w:rPr>
            <w:webHidden/>
          </w:rPr>
          <w:fldChar w:fldCharType="separate"/>
        </w:r>
        <w:r w:rsidR="0029649D">
          <w:rPr>
            <w:webHidden/>
          </w:rPr>
          <w:t>52</w:t>
        </w:r>
        <w:r w:rsidR="008E0B00">
          <w:rPr>
            <w:webHidden/>
          </w:rPr>
          <w:fldChar w:fldCharType="end"/>
        </w:r>
      </w:hyperlink>
    </w:p>
    <w:p w14:paraId="16EC0EB1" w14:textId="77777777" w:rsidR="008E0B00" w:rsidRDefault="00DD0356">
      <w:pPr>
        <w:pStyle w:val="TableofFigures"/>
        <w:rPr>
          <w:rFonts w:asciiTheme="minorHAnsi" w:eastAsiaTheme="minorEastAsia" w:hAnsiTheme="minorHAnsi" w:cstheme="minorBidi"/>
        </w:rPr>
      </w:pPr>
      <w:hyperlink w:anchor="_Toc460514520" w:history="1">
        <w:r w:rsidR="008E0B00" w:rsidRPr="00E01459">
          <w:rPr>
            <w:rStyle w:val="Hyperlink"/>
          </w:rPr>
          <w:t>Table 20</w:t>
        </w:r>
        <w:r w:rsidR="008E0B00">
          <w:rPr>
            <w:rFonts w:asciiTheme="minorHAnsi" w:eastAsiaTheme="minorEastAsia" w:hAnsiTheme="minorHAnsi" w:cstheme="minorBidi"/>
          </w:rPr>
          <w:tab/>
        </w:r>
        <w:r w:rsidR="008E0B00" w:rsidRPr="00E01459">
          <w:rPr>
            <w:rStyle w:val="Hyperlink"/>
          </w:rPr>
          <w:t>Selected characteristics of the key diagnostic accuracy studies for Population 1</w:t>
        </w:r>
        <w:r w:rsidR="008E0B00">
          <w:rPr>
            <w:webHidden/>
          </w:rPr>
          <w:tab/>
        </w:r>
        <w:r w:rsidR="008E0B00">
          <w:rPr>
            <w:webHidden/>
          </w:rPr>
          <w:fldChar w:fldCharType="begin"/>
        </w:r>
        <w:r w:rsidR="008E0B00">
          <w:rPr>
            <w:webHidden/>
          </w:rPr>
          <w:instrText xml:space="preserve"> PAGEREF _Toc460514520 \h </w:instrText>
        </w:r>
        <w:r w:rsidR="008E0B00">
          <w:rPr>
            <w:webHidden/>
          </w:rPr>
        </w:r>
        <w:r w:rsidR="008E0B00">
          <w:rPr>
            <w:webHidden/>
          </w:rPr>
          <w:fldChar w:fldCharType="separate"/>
        </w:r>
        <w:r w:rsidR="0029649D">
          <w:rPr>
            <w:webHidden/>
          </w:rPr>
          <w:t>57</w:t>
        </w:r>
        <w:r w:rsidR="008E0B00">
          <w:rPr>
            <w:webHidden/>
          </w:rPr>
          <w:fldChar w:fldCharType="end"/>
        </w:r>
      </w:hyperlink>
    </w:p>
    <w:p w14:paraId="78FC6055" w14:textId="77777777" w:rsidR="008E0B00" w:rsidRDefault="00DD0356">
      <w:pPr>
        <w:pStyle w:val="TableofFigures"/>
        <w:rPr>
          <w:rFonts w:asciiTheme="minorHAnsi" w:eastAsiaTheme="minorEastAsia" w:hAnsiTheme="minorHAnsi" w:cstheme="minorBidi"/>
        </w:rPr>
      </w:pPr>
      <w:hyperlink w:anchor="_Toc460514521" w:history="1">
        <w:r w:rsidR="008E0B00" w:rsidRPr="00E01459">
          <w:rPr>
            <w:rStyle w:val="Hyperlink"/>
          </w:rPr>
          <w:t>Table 21</w:t>
        </w:r>
        <w:r w:rsidR="008E0B00">
          <w:rPr>
            <w:rFonts w:asciiTheme="minorHAnsi" w:eastAsiaTheme="minorEastAsia" w:hAnsiTheme="minorHAnsi" w:cstheme="minorBidi"/>
          </w:rPr>
          <w:tab/>
        </w:r>
        <w:r w:rsidR="008E0B00" w:rsidRPr="00E01459">
          <w:rPr>
            <w:rStyle w:val="Hyperlink"/>
          </w:rPr>
          <w:t>Diagnostic accuracy data extraction</w:t>
        </w:r>
        <w:r w:rsidR="008E0B00">
          <w:rPr>
            <w:webHidden/>
          </w:rPr>
          <w:tab/>
        </w:r>
        <w:r w:rsidR="008E0B00">
          <w:rPr>
            <w:webHidden/>
          </w:rPr>
          <w:fldChar w:fldCharType="begin"/>
        </w:r>
        <w:r w:rsidR="008E0B00">
          <w:rPr>
            <w:webHidden/>
          </w:rPr>
          <w:instrText xml:space="preserve"> PAGEREF _Toc460514521 \h </w:instrText>
        </w:r>
        <w:r w:rsidR="008E0B00">
          <w:rPr>
            <w:webHidden/>
          </w:rPr>
        </w:r>
        <w:r w:rsidR="008E0B00">
          <w:rPr>
            <w:webHidden/>
          </w:rPr>
          <w:fldChar w:fldCharType="separate"/>
        </w:r>
        <w:r w:rsidR="0029649D">
          <w:rPr>
            <w:webHidden/>
          </w:rPr>
          <w:t>59</w:t>
        </w:r>
        <w:r w:rsidR="008E0B00">
          <w:rPr>
            <w:webHidden/>
          </w:rPr>
          <w:fldChar w:fldCharType="end"/>
        </w:r>
      </w:hyperlink>
    </w:p>
    <w:p w14:paraId="05089A63" w14:textId="77777777" w:rsidR="008E0B00" w:rsidRDefault="00DD0356">
      <w:pPr>
        <w:pStyle w:val="TableofFigures"/>
        <w:rPr>
          <w:rFonts w:asciiTheme="minorHAnsi" w:eastAsiaTheme="minorEastAsia" w:hAnsiTheme="minorHAnsi" w:cstheme="minorBidi"/>
        </w:rPr>
      </w:pPr>
      <w:hyperlink w:anchor="_Toc460514522" w:history="1">
        <w:r w:rsidR="008E0B00" w:rsidRPr="00E01459">
          <w:rPr>
            <w:rStyle w:val="Hyperlink"/>
          </w:rPr>
          <w:t>Table 22</w:t>
        </w:r>
        <w:r w:rsidR="008E0B00">
          <w:rPr>
            <w:rFonts w:asciiTheme="minorHAnsi" w:eastAsiaTheme="minorEastAsia" w:hAnsiTheme="minorHAnsi" w:cstheme="minorBidi"/>
          </w:rPr>
          <w:tab/>
        </w:r>
        <w:r w:rsidR="008E0B00" w:rsidRPr="00E01459">
          <w:rPr>
            <w:rStyle w:val="Hyperlink"/>
          </w:rPr>
          <w:t>Results of key accuracy trials comparing mpMRI against biopsy</w:t>
        </w:r>
        <w:r w:rsidR="008E0B00">
          <w:rPr>
            <w:webHidden/>
          </w:rPr>
          <w:tab/>
        </w:r>
        <w:r w:rsidR="008E0B00">
          <w:rPr>
            <w:webHidden/>
          </w:rPr>
          <w:fldChar w:fldCharType="begin"/>
        </w:r>
        <w:r w:rsidR="008E0B00">
          <w:rPr>
            <w:webHidden/>
          </w:rPr>
          <w:instrText xml:space="preserve"> PAGEREF _Toc460514522 \h </w:instrText>
        </w:r>
        <w:r w:rsidR="008E0B00">
          <w:rPr>
            <w:webHidden/>
          </w:rPr>
        </w:r>
        <w:r w:rsidR="008E0B00">
          <w:rPr>
            <w:webHidden/>
          </w:rPr>
          <w:fldChar w:fldCharType="separate"/>
        </w:r>
        <w:r w:rsidR="0029649D">
          <w:rPr>
            <w:webHidden/>
          </w:rPr>
          <w:t>62</w:t>
        </w:r>
        <w:r w:rsidR="008E0B00">
          <w:rPr>
            <w:webHidden/>
          </w:rPr>
          <w:fldChar w:fldCharType="end"/>
        </w:r>
      </w:hyperlink>
    </w:p>
    <w:p w14:paraId="36178508" w14:textId="77777777" w:rsidR="008E0B00" w:rsidRDefault="00DD0356">
      <w:pPr>
        <w:pStyle w:val="TableofFigures"/>
        <w:rPr>
          <w:rFonts w:asciiTheme="minorHAnsi" w:eastAsiaTheme="minorEastAsia" w:hAnsiTheme="minorHAnsi" w:cstheme="minorBidi"/>
        </w:rPr>
      </w:pPr>
      <w:hyperlink w:anchor="_Toc460514523" w:history="1">
        <w:r w:rsidR="008E0B00" w:rsidRPr="00E01459">
          <w:rPr>
            <w:rStyle w:val="Hyperlink"/>
          </w:rPr>
          <w:t>Table 23</w:t>
        </w:r>
        <w:r w:rsidR="008E0B00">
          <w:rPr>
            <w:rFonts w:asciiTheme="minorHAnsi" w:eastAsiaTheme="minorEastAsia" w:hAnsiTheme="minorHAnsi" w:cstheme="minorBidi"/>
          </w:rPr>
          <w:tab/>
        </w:r>
        <w:r w:rsidR="008E0B00" w:rsidRPr="00E01459">
          <w:rPr>
            <w:rStyle w:val="Hyperlink"/>
          </w:rPr>
          <w:t>Summary of findings for the accuracy of mpMRI, relative to biopsy, in patients with suspected prostate cancer with assumed pre-test probability (prevalence) of 35%</w:t>
        </w:r>
        <w:r w:rsidR="008E0B00">
          <w:rPr>
            <w:webHidden/>
          </w:rPr>
          <w:tab/>
        </w:r>
        <w:r w:rsidR="008E0B00">
          <w:rPr>
            <w:webHidden/>
          </w:rPr>
          <w:fldChar w:fldCharType="begin"/>
        </w:r>
        <w:r w:rsidR="008E0B00">
          <w:rPr>
            <w:webHidden/>
          </w:rPr>
          <w:instrText xml:space="preserve"> PAGEREF _Toc460514523 \h </w:instrText>
        </w:r>
        <w:r w:rsidR="008E0B00">
          <w:rPr>
            <w:webHidden/>
          </w:rPr>
        </w:r>
        <w:r w:rsidR="008E0B00">
          <w:rPr>
            <w:webHidden/>
          </w:rPr>
          <w:fldChar w:fldCharType="separate"/>
        </w:r>
        <w:r w:rsidR="0029649D">
          <w:rPr>
            <w:webHidden/>
          </w:rPr>
          <w:t>63</w:t>
        </w:r>
        <w:r w:rsidR="008E0B00">
          <w:rPr>
            <w:webHidden/>
          </w:rPr>
          <w:fldChar w:fldCharType="end"/>
        </w:r>
      </w:hyperlink>
    </w:p>
    <w:p w14:paraId="3F575F2B" w14:textId="77777777" w:rsidR="008E0B00" w:rsidRDefault="00DD0356">
      <w:pPr>
        <w:pStyle w:val="TableofFigures"/>
        <w:rPr>
          <w:rFonts w:asciiTheme="minorHAnsi" w:eastAsiaTheme="minorEastAsia" w:hAnsiTheme="minorHAnsi" w:cstheme="minorBidi"/>
        </w:rPr>
      </w:pPr>
      <w:hyperlink w:anchor="_Toc460514524" w:history="1">
        <w:r w:rsidR="008E0B00" w:rsidRPr="00E01459">
          <w:rPr>
            <w:rStyle w:val="Hyperlink"/>
          </w:rPr>
          <w:t>Table 24</w:t>
        </w:r>
        <w:r w:rsidR="008E0B00">
          <w:rPr>
            <w:rFonts w:asciiTheme="minorHAnsi" w:eastAsiaTheme="minorEastAsia" w:hAnsiTheme="minorHAnsi" w:cstheme="minorBidi"/>
          </w:rPr>
          <w:tab/>
        </w:r>
        <w:r w:rsidR="008E0B00" w:rsidRPr="00E01459">
          <w:rPr>
            <w:rStyle w:val="Hyperlink"/>
          </w:rPr>
          <w:t>Subgroup and sensitivity analysis for the diagnostic accuracy of mpMRI in Population 1</w:t>
        </w:r>
        <w:r w:rsidR="008E0B00">
          <w:rPr>
            <w:webHidden/>
          </w:rPr>
          <w:tab/>
        </w:r>
        <w:r w:rsidR="008E0B00">
          <w:rPr>
            <w:webHidden/>
          </w:rPr>
          <w:fldChar w:fldCharType="begin"/>
        </w:r>
        <w:r w:rsidR="008E0B00">
          <w:rPr>
            <w:webHidden/>
          </w:rPr>
          <w:instrText xml:space="preserve"> PAGEREF _Toc460514524 \h </w:instrText>
        </w:r>
        <w:r w:rsidR="008E0B00">
          <w:rPr>
            <w:webHidden/>
          </w:rPr>
        </w:r>
        <w:r w:rsidR="008E0B00">
          <w:rPr>
            <w:webHidden/>
          </w:rPr>
          <w:fldChar w:fldCharType="separate"/>
        </w:r>
        <w:r w:rsidR="0029649D">
          <w:rPr>
            <w:webHidden/>
          </w:rPr>
          <w:t>65</w:t>
        </w:r>
        <w:r w:rsidR="008E0B00">
          <w:rPr>
            <w:webHidden/>
          </w:rPr>
          <w:fldChar w:fldCharType="end"/>
        </w:r>
      </w:hyperlink>
    </w:p>
    <w:p w14:paraId="15EAD79B" w14:textId="77777777" w:rsidR="008E0B00" w:rsidRDefault="00DD0356">
      <w:pPr>
        <w:pStyle w:val="TableofFigures"/>
        <w:rPr>
          <w:rFonts w:asciiTheme="minorHAnsi" w:eastAsiaTheme="minorEastAsia" w:hAnsiTheme="minorHAnsi" w:cstheme="minorBidi"/>
        </w:rPr>
      </w:pPr>
      <w:hyperlink w:anchor="_Toc460514525" w:history="1">
        <w:r w:rsidR="008E0B00" w:rsidRPr="00E01459">
          <w:rPr>
            <w:rStyle w:val="Hyperlink"/>
          </w:rPr>
          <w:t>Table 25</w:t>
        </w:r>
        <w:r w:rsidR="008E0B00">
          <w:rPr>
            <w:rFonts w:asciiTheme="minorHAnsi" w:eastAsiaTheme="minorEastAsia" w:hAnsiTheme="minorHAnsi" w:cstheme="minorBidi"/>
          </w:rPr>
          <w:tab/>
        </w:r>
        <w:r w:rsidR="008E0B00" w:rsidRPr="00E01459">
          <w:rPr>
            <w:rStyle w:val="Hyperlink"/>
          </w:rPr>
          <w:t>Search terms used (PubMED platform)</w:t>
        </w:r>
        <w:r w:rsidR="008E0B00">
          <w:rPr>
            <w:webHidden/>
          </w:rPr>
          <w:tab/>
        </w:r>
        <w:r w:rsidR="008E0B00">
          <w:rPr>
            <w:webHidden/>
          </w:rPr>
          <w:fldChar w:fldCharType="begin"/>
        </w:r>
        <w:r w:rsidR="008E0B00">
          <w:rPr>
            <w:webHidden/>
          </w:rPr>
          <w:instrText xml:space="preserve"> PAGEREF _Toc460514525 \h </w:instrText>
        </w:r>
        <w:r w:rsidR="008E0B00">
          <w:rPr>
            <w:webHidden/>
          </w:rPr>
        </w:r>
        <w:r w:rsidR="008E0B00">
          <w:rPr>
            <w:webHidden/>
          </w:rPr>
          <w:fldChar w:fldCharType="separate"/>
        </w:r>
        <w:r w:rsidR="0029649D">
          <w:rPr>
            <w:webHidden/>
          </w:rPr>
          <w:t>68</w:t>
        </w:r>
        <w:r w:rsidR="008E0B00">
          <w:rPr>
            <w:webHidden/>
          </w:rPr>
          <w:fldChar w:fldCharType="end"/>
        </w:r>
      </w:hyperlink>
    </w:p>
    <w:p w14:paraId="6D5E06C2" w14:textId="77777777" w:rsidR="008E0B00" w:rsidRDefault="00DD0356">
      <w:pPr>
        <w:pStyle w:val="TableofFigures"/>
        <w:rPr>
          <w:rFonts w:asciiTheme="minorHAnsi" w:eastAsiaTheme="minorEastAsia" w:hAnsiTheme="minorHAnsi" w:cstheme="minorBidi"/>
        </w:rPr>
      </w:pPr>
      <w:hyperlink w:anchor="_Toc460514526" w:history="1">
        <w:r w:rsidR="008E0B00" w:rsidRPr="00E01459">
          <w:rPr>
            <w:rStyle w:val="Hyperlink"/>
          </w:rPr>
          <w:t>Table 26</w:t>
        </w:r>
        <w:r w:rsidR="008E0B00">
          <w:rPr>
            <w:rFonts w:asciiTheme="minorHAnsi" w:eastAsiaTheme="minorEastAsia" w:hAnsiTheme="minorHAnsi" w:cstheme="minorBidi"/>
          </w:rPr>
          <w:tab/>
        </w:r>
        <w:r w:rsidR="008E0B00" w:rsidRPr="00E01459">
          <w:rPr>
            <w:rStyle w:val="Hyperlink"/>
          </w:rPr>
          <w:t>Results of reliability trials</w:t>
        </w:r>
        <w:r w:rsidR="008E0B00">
          <w:rPr>
            <w:webHidden/>
          </w:rPr>
          <w:tab/>
        </w:r>
        <w:r w:rsidR="008E0B00">
          <w:rPr>
            <w:webHidden/>
          </w:rPr>
          <w:fldChar w:fldCharType="begin"/>
        </w:r>
        <w:r w:rsidR="008E0B00">
          <w:rPr>
            <w:webHidden/>
          </w:rPr>
          <w:instrText xml:space="preserve"> PAGEREF _Toc460514526 \h </w:instrText>
        </w:r>
        <w:r w:rsidR="008E0B00">
          <w:rPr>
            <w:webHidden/>
          </w:rPr>
        </w:r>
        <w:r w:rsidR="008E0B00">
          <w:rPr>
            <w:webHidden/>
          </w:rPr>
          <w:fldChar w:fldCharType="separate"/>
        </w:r>
        <w:r w:rsidR="0029649D">
          <w:rPr>
            <w:webHidden/>
          </w:rPr>
          <w:t>70</w:t>
        </w:r>
        <w:r w:rsidR="008E0B00">
          <w:rPr>
            <w:webHidden/>
          </w:rPr>
          <w:fldChar w:fldCharType="end"/>
        </w:r>
      </w:hyperlink>
    </w:p>
    <w:p w14:paraId="4B363C2F" w14:textId="77777777" w:rsidR="008E0B00" w:rsidRDefault="00DD0356">
      <w:pPr>
        <w:pStyle w:val="TableofFigures"/>
        <w:rPr>
          <w:rFonts w:asciiTheme="minorHAnsi" w:eastAsiaTheme="minorEastAsia" w:hAnsiTheme="minorHAnsi" w:cstheme="minorBidi"/>
        </w:rPr>
      </w:pPr>
      <w:hyperlink w:anchor="_Toc460514527" w:history="1">
        <w:r w:rsidR="008E0B00" w:rsidRPr="00E01459">
          <w:rPr>
            <w:rStyle w:val="Hyperlink"/>
          </w:rPr>
          <w:t>Table 27</w:t>
        </w:r>
        <w:r w:rsidR="008E0B00">
          <w:rPr>
            <w:rFonts w:asciiTheme="minorHAnsi" w:eastAsiaTheme="minorEastAsia" w:hAnsiTheme="minorHAnsi" w:cstheme="minorBidi"/>
          </w:rPr>
          <w:tab/>
        </w:r>
        <w:r w:rsidR="008E0B00" w:rsidRPr="00E01459">
          <w:rPr>
            <w:rStyle w:val="Hyperlink"/>
          </w:rPr>
          <w:t>PubMED search strategy</w:t>
        </w:r>
        <w:r w:rsidR="008E0B00">
          <w:rPr>
            <w:webHidden/>
          </w:rPr>
          <w:tab/>
        </w:r>
        <w:r w:rsidR="008E0B00">
          <w:rPr>
            <w:webHidden/>
          </w:rPr>
          <w:fldChar w:fldCharType="begin"/>
        </w:r>
        <w:r w:rsidR="008E0B00">
          <w:rPr>
            <w:webHidden/>
          </w:rPr>
          <w:instrText xml:space="preserve"> PAGEREF _Toc460514527 \h </w:instrText>
        </w:r>
        <w:r w:rsidR="008E0B00">
          <w:rPr>
            <w:webHidden/>
          </w:rPr>
        </w:r>
        <w:r w:rsidR="008E0B00">
          <w:rPr>
            <w:webHidden/>
          </w:rPr>
          <w:fldChar w:fldCharType="separate"/>
        </w:r>
        <w:r w:rsidR="0029649D">
          <w:rPr>
            <w:webHidden/>
          </w:rPr>
          <w:t>75</w:t>
        </w:r>
        <w:r w:rsidR="008E0B00">
          <w:rPr>
            <w:webHidden/>
          </w:rPr>
          <w:fldChar w:fldCharType="end"/>
        </w:r>
      </w:hyperlink>
    </w:p>
    <w:p w14:paraId="7AAFACB7" w14:textId="77777777" w:rsidR="008E0B00" w:rsidRDefault="00DD0356">
      <w:pPr>
        <w:pStyle w:val="TableofFigures"/>
        <w:rPr>
          <w:rFonts w:asciiTheme="minorHAnsi" w:eastAsiaTheme="minorEastAsia" w:hAnsiTheme="minorHAnsi" w:cstheme="minorBidi"/>
        </w:rPr>
      </w:pPr>
      <w:hyperlink w:anchor="_Toc460514528" w:history="1">
        <w:r w:rsidR="008E0B00" w:rsidRPr="00E01459">
          <w:rPr>
            <w:rStyle w:val="Hyperlink"/>
          </w:rPr>
          <w:t>Table 28</w:t>
        </w:r>
        <w:r w:rsidR="008E0B00">
          <w:rPr>
            <w:rFonts w:asciiTheme="minorHAnsi" w:eastAsiaTheme="minorEastAsia" w:hAnsiTheme="minorHAnsi" w:cstheme="minorBidi"/>
          </w:rPr>
          <w:tab/>
        </w:r>
        <w:r w:rsidR="008E0B00" w:rsidRPr="00E01459">
          <w:rPr>
            <w:rStyle w:val="Hyperlink"/>
          </w:rPr>
          <w:t>Key features of the included evidence assessing impact of delayed treatment in Population 1</w:t>
        </w:r>
        <w:r w:rsidR="008E0B00">
          <w:rPr>
            <w:webHidden/>
          </w:rPr>
          <w:tab/>
        </w:r>
        <w:r w:rsidR="008E0B00">
          <w:rPr>
            <w:webHidden/>
          </w:rPr>
          <w:fldChar w:fldCharType="begin"/>
        </w:r>
        <w:r w:rsidR="008E0B00">
          <w:rPr>
            <w:webHidden/>
          </w:rPr>
          <w:instrText xml:space="preserve"> PAGEREF _Toc460514528 \h </w:instrText>
        </w:r>
        <w:r w:rsidR="008E0B00">
          <w:rPr>
            <w:webHidden/>
          </w:rPr>
        </w:r>
        <w:r w:rsidR="008E0B00">
          <w:rPr>
            <w:webHidden/>
          </w:rPr>
          <w:fldChar w:fldCharType="separate"/>
        </w:r>
        <w:r w:rsidR="0029649D">
          <w:rPr>
            <w:webHidden/>
          </w:rPr>
          <w:t>78</w:t>
        </w:r>
        <w:r w:rsidR="008E0B00">
          <w:rPr>
            <w:webHidden/>
          </w:rPr>
          <w:fldChar w:fldCharType="end"/>
        </w:r>
      </w:hyperlink>
    </w:p>
    <w:p w14:paraId="4081D9EC" w14:textId="77777777" w:rsidR="008E0B00" w:rsidRDefault="00DD0356">
      <w:pPr>
        <w:pStyle w:val="TableofFigures"/>
        <w:rPr>
          <w:rFonts w:asciiTheme="minorHAnsi" w:eastAsiaTheme="minorEastAsia" w:hAnsiTheme="minorHAnsi" w:cstheme="minorBidi"/>
        </w:rPr>
      </w:pPr>
      <w:hyperlink w:anchor="_Toc460514529" w:history="1">
        <w:r w:rsidR="008E0B00" w:rsidRPr="00E01459">
          <w:rPr>
            <w:rStyle w:val="Hyperlink"/>
          </w:rPr>
          <w:t>Table 29</w:t>
        </w:r>
        <w:r w:rsidR="008E0B00">
          <w:rPr>
            <w:rFonts w:asciiTheme="minorHAnsi" w:eastAsiaTheme="minorEastAsia" w:hAnsiTheme="minorHAnsi" w:cstheme="minorBidi"/>
          </w:rPr>
          <w:tab/>
        </w:r>
        <w:r w:rsidR="008E0B00" w:rsidRPr="00E01459">
          <w:rPr>
            <w:rStyle w:val="Hyperlink"/>
          </w:rPr>
          <w:t>Summary of findings assessing whether a delay in treatment due to a false negative mpMRI changes patient outcomes in patients with prostate cancer</w:t>
        </w:r>
        <w:r w:rsidR="008E0B00">
          <w:rPr>
            <w:webHidden/>
          </w:rPr>
          <w:tab/>
        </w:r>
        <w:r w:rsidR="008E0B00">
          <w:rPr>
            <w:webHidden/>
          </w:rPr>
          <w:fldChar w:fldCharType="begin"/>
        </w:r>
        <w:r w:rsidR="008E0B00">
          <w:rPr>
            <w:webHidden/>
          </w:rPr>
          <w:instrText xml:space="preserve"> PAGEREF _Toc460514529 \h </w:instrText>
        </w:r>
        <w:r w:rsidR="008E0B00">
          <w:rPr>
            <w:webHidden/>
          </w:rPr>
        </w:r>
        <w:r w:rsidR="008E0B00">
          <w:rPr>
            <w:webHidden/>
          </w:rPr>
          <w:fldChar w:fldCharType="separate"/>
        </w:r>
        <w:r w:rsidR="0029649D">
          <w:rPr>
            <w:webHidden/>
          </w:rPr>
          <w:t>80</w:t>
        </w:r>
        <w:r w:rsidR="008E0B00">
          <w:rPr>
            <w:webHidden/>
          </w:rPr>
          <w:fldChar w:fldCharType="end"/>
        </w:r>
      </w:hyperlink>
    </w:p>
    <w:p w14:paraId="50920CB9" w14:textId="77777777" w:rsidR="008E0B00" w:rsidRDefault="00DD0356">
      <w:pPr>
        <w:pStyle w:val="TableofFigures"/>
        <w:rPr>
          <w:rFonts w:asciiTheme="minorHAnsi" w:eastAsiaTheme="minorEastAsia" w:hAnsiTheme="minorHAnsi" w:cstheme="minorBidi"/>
        </w:rPr>
      </w:pPr>
      <w:hyperlink w:anchor="_Toc460514530" w:history="1">
        <w:r w:rsidR="008E0B00" w:rsidRPr="00E01459">
          <w:rPr>
            <w:rStyle w:val="Hyperlink"/>
          </w:rPr>
          <w:t>Table 30</w:t>
        </w:r>
        <w:r w:rsidR="008E0B00">
          <w:rPr>
            <w:rFonts w:asciiTheme="minorHAnsi" w:eastAsiaTheme="minorEastAsia" w:hAnsiTheme="minorHAnsi" w:cstheme="minorBidi"/>
          </w:rPr>
          <w:tab/>
        </w:r>
        <w:r w:rsidR="008E0B00" w:rsidRPr="00E01459">
          <w:rPr>
            <w:rStyle w:val="Hyperlink"/>
          </w:rPr>
          <w:t>Key features of the included evidence comparing mpMRI against prostate biopsy in Population 2</w:t>
        </w:r>
        <w:r w:rsidR="008E0B00">
          <w:rPr>
            <w:webHidden/>
          </w:rPr>
          <w:tab/>
        </w:r>
        <w:r w:rsidR="008E0B00">
          <w:rPr>
            <w:webHidden/>
          </w:rPr>
          <w:fldChar w:fldCharType="begin"/>
        </w:r>
        <w:r w:rsidR="008E0B00">
          <w:rPr>
            <w:webHidden/>
          </w:rPr>
          <w:instrText xml:space="preserve"> PAGEREF _Toc460514530 \h </w:instrText>
        </w:r>
        <w:r w:rsidR="008E0B00">
          <w:rPr>
            <w:webHidden/>
          </w:rPr>
        </w:r>
        <w:r w:rsidR="008E0B00">
          <w:rPr>
            <w:webHidden/>
          </w:rPr>
          <w:fldChar w:fldCharType="separate"/>
        </w:r>
        <w:r w:rsidR="0029649D">
          <w:rPr>
            <w:webHidden/>
          </w:rPr>
          <w:t>84</w:t>
        </w:r>
        <w:r w:rsidR="008E0B00">
          <w:rPr>
            <w:webHidden/>
          </w:rPr>
          <w:fldChar w:fldCharType="end"/>
        </w:r>
      </w:hyperlink>
    </w:p>
    <w:p w14:paraId="0DFEF4D2" w14:textId="77777777" w:rsidR="008E0B00" w:rsidRDefault="00DD0356">
      <w:pPr>
        <w:pStyle w:val="TableofFigures"/>
        <w:rPr>
          <w:rFonts w:asciiTheme="minorHAnsi" w:eastAsiaTheme="minorEastAsia" w:hAnsiTheme="minorHAnsi" w:cstheme="minorBidi"/>
        </w:rPr>
      </w:pPr>
      <w:hyperlink w:anchor="_Toc460514531" w:history="1">
        <w:r w:rsidR="008E0B00" w:rsidRPr="00E01459">
          <w:rPr>
            <w:rStyle w:val="Hyperlink"/>
          </w:rPr>
          <w:t>Table 31</w:t>
        </w:r>
        <w:r w:rsidR="008E0B00">
          <w:rPr>
            <w:rFonts w:asciiTheme="minorHAnsi" w:eastAsiaTheme="minorEastAsia" w:hAnsiTheme="minorHAnsi" w:cstheme="minorBidi"/>
          </w:rPr>
          <w:tab/>
        </w:r>
        <w:r w:rsidR="008E0B00" w:rsidRPr="00E01459">
          <w:rPr>
            <w:rStyle w:val="Hyperlink"/>
          </w:rPr>
          <w:t>Selected characteristics of the key diagnostic accuracy studies for Population 2</w:t>
        </w:r>
        <w:r w:rsidR="008E0B00">
          <w:rPr>
            <w:webHidden/>
          </w:rPr>
          <w:tab/>
        </w:r>
        <w:r w:rsidR="008E0B00">
          <w:rPr>
            <w:webHidden/>
          </w:rPr>
          <w:fldChar w:fldCharType="begin"/>
        </w:r>
        <w:r w:rsidR="008E0B00">
          <w:rPr>
            <w:webHidden/>
          </w:rPr>
          <w:instrText xml:space="preserve"> PAGEREF _Toc460514531 \h </w:instrText>
        </w:r>
        <w:r w:rsidR="008E0B00">
          <w:rPr>
            <w:webHidden/>
          </w:rPr>
        </w:r>
        <w:r w:rsidR="008E0B00">
          <w:rPr>
            <w:webHidden/>
          </w:rPr>
          <w:fldChar w:fldCharType="separate"/>
        </w:r>
        <w:r w:rsidR="0029649D">
          <w:rPr>
            <w:webHidden/>
          </w:rPr>
          <w:t>87</w:t>
        </w:r>
        <w:r w:rsidR="008E0B00">
          <w:rPr>
            <w:webHidden/>
          </w:rPr>
          <w:fldChar w:fldCharType="end"/>
        </w:r>
      </w:hyperlink>
    </w:p>
    <w:p w14:paraId="0902C714" w14:textId="77777777" w:rsidR="008E0B00" w:rsidRDefault="00DD0356">
      <w:pPr>
        <w:pStyle w:val="TableofFigures"/>
        <w:rPr>
          <w:rFonts w:asciiTheme="minorHAnsi" w:eastAsiaTheme="minorEastAsia" w:hAnsiTheme="minorHAnsi" w:cstheme="minorBidi"/>
        </w:rPr>
      </w:pPr>
      <w:hyperlink w:anchor="_Toc460514532" w:history="1">
        <w:r w:rsidR="008E0B00" w:rsidRPr="00E01459">
          <w:rPr>
            <w:rStyle w:val="Hyperlink"/>
          </w:rPr>
          <w:t>Table 32</w:t>
        </w:r>
        <w:r w:rsidR="008E0B00">
          <w:rPr>
            <w:rFonts w:asciiTheme="minorHAnsi" w:eastAsiaTheme="minorEastAsia" w:hAnsiTheme="minorHAnsi" w:cstheme="minorBidi"/>
          </w:rPr>
          <w:tab/>
        </w:r>
        <w:r w:rsidR="008E0B00" w:rsidRPr="00E01459">
          <w:rPr>
            <w:rStyle w:val="Hyperlink"/>
          </w:rPr>
          <w:t>Diagnostic accuracy data extraction</w:t>
        </w:r>
        <w:r w:rsidR="008E0B00">
          <w:rPr>
            <w:webHidden/>
          </w:rPr>
          <w:tab/>
        </w:r>
        <w:r w:rsidR="008E0B00">
          <w:rPr>
            <w:webHidden/>
          </w:rPr>
          <w:fldChar w:fldCharType="begin"/>
        </w:r>
        <w:r w:rsidR="008E0B00">
          <w:rPr>
            <w:webHidden/>
          </w:rPr>
          <w:instrText xml:space="preserve"> PAGEREF _Toc460514532 \h </w:instrText>
        </w:r>
        <w:r w:rsidR="008E0B00">
          <w:rPr>
            <w:webHidden/>
          </w:rPr>
        </w:r>
        <w:r w:rsidR="008E0B00">
          <w:rPr>
            <w:webHidden/>
          </w:rPr>
          <w:fldChar w:fldCharType="separate"/>
        </w:r>
        <w:r w:rsidR="0029649D">
          <w:rPr>
            <w:webHidden/>
          </w:rPr>
          <w:t>88</w:t>
        </w:r>
        <w:r w:rsidR="008E0B00">
          <w:rPr>
            <w:webHidden/>
          </w:rPr>
          <w:fldChar w:fldCharType="end"/>
        </w:r>
      </w:hyperlink>
    </w:p>
    <w:p w14:paraId="4A9BF2E0" w14:textId="77777777" w:rsidR="008E0B00" w:rsidRDefault="00DD0356">
      <w:pPr>
        <w:pStyle w:val="TableofFigures"/>
        <w:rPr>
          <w:rFonts w:asciiTheme="minorHAnsi" w:eastAsiaTheme="minorEastAsia" w:hAnsiTheme="minorHAnsi" w:cstheme="minorBidi"/>
        </w:rPr>
      </w:pPr>
      <w:hyperlink w:anchor="_Toc460514533" w:history="1">
        <w:r w:rsidR="008E0B00" w:rsidRPr="00E01459">
          <w:rPr>
            <w:rStyle w:val="Hyperlink"/>
          </w:rPr>
          <w:t>Table 33</w:t>
        </w:r>
        <w:r w:rsidR="008E0B00">
          <w:rPr>
            <w:rFonts w:asciiTheme="minorHAnsi" w:eastAsiaTheme="minorEastAsia" w:hAnsiTheme="minorHAnsi" w:cstheme="minorBidi"/>
          </w:rPr>
          <w:tab/>
        </w:r>
        <w:r w:rsidR="008E0B00" w:rsidRPr="00E01459">
          <w:rPr>
            <w:rStyle w:val="Hyperlink"/>
          </w:rPr>
          <w:t>Results of key accuracy trials comparing mpMRI against biopsy</w:t>
        </w:r>
        <w:r w:rsidR="008E0B00">
          <w:rPr>
            <w:webHidden/>
          </w:rPr>
          <w:tab/>
        </w:r>
        <w:r w:rsidR="008E0B00">
          <w:rPr>
            <w:webHidden/>
          </w:rPr>
          <w:fldChar w:fldCharType="begin"/>
        </w:r>
        <w:r w:rsidR="008E0B00">
          <w:rPr>
            <w:webHidden/>
          </w:rPr>
          <w:instrText xml:space="preserve"> PAGEREF _Toc460514533 \h </w:instrText>
        </w:r>
        <w:r w:rsidR="008E0B00">
          <w:rPr>
            <w:webHidden/>
          </w:rPr>
        </w:r>
        <w:r w:rsidR="008E0B00">
          <w:rPr>
            <w:webHidden/>
          </w:rPr>
          <w:fldChar w:fldCharType="separate"/>
        </w:r>
        <w:r w:rsidR="0029649D">
          <w:rPr>
            <w:webHidden/>
          </w:rPr>
          <w:t>90</w:t>
        </w:r>
        <w:r w:rsidR="008E0B00">
          <w:rPr>
            <w:webHidden/>
          </w:rPr>
          <w:fldChar w:fldCharType="end"/>
        </w:r>
      </w:hyperlink>
    </w:p>
    <w:p w14:paraId="5BC16672" w14:textId="77777777" w:rsidR="008E0B00" w:rsidRDefault="00DD0356">
      <w:pPr>
        <w:pStyle w:val="TableofFigures"/>
        <w:rPr>
          <w:rFonts w:asciiTheme="minorHAnsi" w:eastAsiaTheme="minorEastAsia" w:hAnsiTheme="minorHAnsi" w:cstheme="minorBidi"/>
        </w:rPr>
      </w:pPr>
      <w:hyperlink w:anchor="_Toc460514534" w:history="1">
        <w:r w:rsidR="008E0B00" w:rsidRPr="00E01459">
          <w:rPr>
            <w:rStyle w:val="Hyperlink"/>
          </w:rPr>
          <w:t>Table 34</w:t>
        </w:r>
        <w:r w:rsidR="008E0B00">
          <w:rPr>
            <w:rFonts w:asciiTheme="minorHAnsi" w:eastAsiaTheme="minorEastAsia" w:hAnsiTheme="minorHAnsi" w:cstheme="minorBidi"/>
          </w:rPr>
          <w:tab/>
        </w:r>
        <w:r w:rsidR="008E0B00" w:rsidRPr="00E01459">
          <w:rPr>
            <w:rStyle w:val="Hyperlink"/>
          </w:rPr>
          <w:t>Summary of findings for the accuracy of mpMRI, relative to TRUSGB or TPUSGB for the detection of upgraded cancer in patients on active surveillance programs (assumed pre-test probability of 30%)</w:t>
        </w:r>
        <w:r w:rsidR="008E0B00">
          <w:rPr>
            <w:webHidden/>
          </w:rPr>
          <w:tab/>
        </w:r>
        <w:r w:rsidR="008E0B00">
          <w:rPr>
            <w:webHidden/>
          </w:rPr>
          <w:fldChar w:fldCharType="begin"/>
        </w:r>
        <w:r w:rsidR="008E0B00">
          <w:rPr>
            <w:webHidden/>
          </w:rPr>
          <w:instrText xml:space="preserve"> PAGEREF _Toc460514534 \h </w:instrText>
        </w:r>
        <w:r w:rsidR="008E0B00">
          <w:rPr>
            <w:webHidden/>
          </w:rPr>
        </w:r>
        <w:r w:rsidR="008E0B00">
          <w:rPr>
            <w:webHidden/>
          </w:rPr>
          <w:fldChar w:fldCharType="separate"/>
        </w:r>
        <w:r w:rsidR="0029649D">
          <w:rPr>
            <w:webHidden/>
          </w:rPr>
          <w:t>90</w:t>
        </w:r>
        <w:r w:rsidR="008E0B00">
          <w:rPr>
            <w:webHidden/>
          </w:rPr>
          <w:fldChar w:fldCharType="end"/>
        </w:r>
      </w:hyperlink>
    </w:p>
    <w:p w14:paraId="258412E9" w14:textId="77777777" w:rsidR="008E0B00" w:rsidRDefault="00DD0356">
      <w:pPr>
        <w:pStyle w:val="TableofFigures"/>
        <w:rPr>
          <w:rFonts w:asciiTheme="minorHAnsi" w:eastAsiaTheme="minorEastAsia" w:hAnsiTheme="minorHAnsi" w:cstheme="minorBidi"/>
        </w:rPr>
      </w:pPr>
      <w:hyperlink w:anchor="_Toc460514535" w:history="1">
        <w:r w:rsidR="008E0B00" w:rsidRPr="00E01459">
          <w:rPr>
            <w:rStyle w:val="Hyperlink"/>
          </w:rPr>
          <w:t>Table 35</w:t>
        </w:r>
        <w:r w:rsidR="008E0B00">
          <w:rPr>
            <w:rFonts w:asciiTheme="minorHAnsi" w:eastAsiaTheme="minorEastAsia" w:hAnsiTheme="minorHAnsi" w:cstheme="minorBidi"/>
          </w:rPr>
          <w:tab/>
        </w:r>
        <w:r w:rsidR="008E0B00" w:rsidRPr="00E01459">
          <w:rPr>
            <w:rStyle w:val="Hyperlink"/>
          </w:rPr>
          <w:t>Subgroup analysis for the use of mpMRI to monitor patients in Population 2</w:t>
        </w:r>
        <w:r w:rsidR="008E0B00">
          <w:rPr>
            <w:webHidden/>
          </w:rPr>
          <w:tab/>
        </w:r>
        <w:r w:rsidR="008E0B00">
          <w:rPr>
            <w:webHidden/>
          </w:rPr>
          <w:fldChar w:fldCharType="begin"/>
        </w:r>
        <w:r w:rsidR="008E0B00">
          <w:rPr>
            <w:webHidden/>
          </w:rPr>
          <w:instrText xml:space="preserve"> PAGEREF _Toc460514535 \h </w:instrText>
        </w:r>
        <w:r w:rsidR="008E0B00">
          <w:rPr>
            <w:webHidden/>
          </w:rPr>
        </w:r>
        <w:r w:rsidR="008E0B00">
          <w:rPr>
            <w:webHidden/>
          </w:rPr>
          <w:fldChar w:fldCharType="separate"/>
        </w:r>
        <w:r w:rsidR="0029649D">
          <w:rPr>
            <w:webHidden/>
          </w:rPr>
          <w:t>92</w:t>
        </w:r>
        <w:r w:rsidR="008E0B00">
          <w:rPr>
            <w:webHidden/>
          </w:rPr>
          <w:fldChar w:fldCharType="end"/>
        </w:r>
      </w:hyperlink>
    </w:p>
    <w:p w14:paraId="56D632E9" w14:textId="77777777" w:rsidR="008E0B00" w:rsidRDefault="00DD0356">
      <w:pPr>
        <w:pStyle w:val="TableofFigures"/>
        <w:rPr>
          <w:rFonts w:asciiTheme="minorHAnsi" w:eastAsiaTheme="minorEastAsia" w:hAnsiTheme="minorHAnsi" w:cstheme="minorBidi"/>
        </w:rPr>
      </w:pPr>
      <w:hyperlink w:anchor="_Toc460514536" w:history="1">
        <w:r w:rsidR="008E0B00" w:rsidRPr="00E01459">
          <w:rPr>
            <w:rStyle w:val="Hyperlink"/>
          </w:rPr>
          <w:t>Table 36</w:t>
        </w:r>
        <w:r w:rsidR="008E0B00">
          <w:rPr>
            <w:rFonts w:asciiTheme="minorHAnsi" w:eastAsiaTheme="minorEastAsia" w:hAnsiTheme="minorHAnsi" w:cstheme="minorBidi"/>
          </w:rPr>
          <w:tab/>
        </w:r>
        <w:r w:rsidR="008E0B00" w:rsidRPr="00E01459">
          <w:rPr>
            <w:rStyle w:val="Hyperlink"/>
          </w:rPr>
          <w:t>Summary of findings for the safety of trans-rectal and trans-perineal prostate biopsy</w:t>
        </w:r>
        <w:r w:rsidR="008E0B00">
          <w:rPr>
            <w:webHidden/>
          </w:rPr>
          <w:tab/>
        </w:r>
        <w:r w:rsidR="008E0B00">
          <w:rPr>
            <w:webHidden/>
          </w:rPr>
          <w:fldChar w:fldCharType="begin"/>
        </w:r>
        <w:r w:rsidR="008E0B00">
          <w:rPr>
            <w:webHidden/>
          </w:rPr>
          <w:instrText xml:space="preserve"> PAGEREF _Toc460514536 \h </w:instrText>
        </w:r>
        <w:r w:rsidR="008E0B00">
          <w:rPr>
            <w:webHidden/>
          </w:rPr>
        </w:r>
        <w:r w:rsidR="008E0B00">
          <w:rPr>
            <w:webHidden/>
          </w:rPr>
          <w:fldChar w:fldCharType="separate"/>
        </w:r>
        <w:r w:rsidR="0029649D">
          <w:rPr>
            <w:webHidden/>
          </w:rPr>
          <w:t>102</w:t>
        </w:r>
        <w:r w:rsidR="008E0B00">
          <w:rPr>
            <w:webHidden/>
          </w:rPr>
          <w:fldChar w:fldCharType="end"/>
        </w:r>
      </w:hyperlink>
    </w:p>
    <w:p w14:paraId="726BEC4F" w14:textId="77777777" w:rsidR="008E0B00" w:rsidRDefault="00DD0356">
      <w:pPr>
        <w:pStyle w:val="TableofFigures"/>
        <w:rPr>
          <w:rFonts w:asciiTheme="minorHAnsi" w:eastAsiaTheme="minorEastAsia" w:hAnsiTheme="minorHAnsi" w:cstheme="minorBidi"/>
        </w:rPr>
      </w:pPr>
      <w:hyperlink w:anchor="_Toc460514537" w:history="1">
        <w:r w:rsidR="008E0B00" w:rsidRPr="00E01459">
          <w:rPr>
            <w:rStyle w:val="Hyperlink"/>
          </w:rPr>
          <w:t>Table 37</w:t>
        </w:r>
        <w:r w:rsidR="008E0B00">
          <w:rPr>
            <w:rFonts w:asciiTheme="minorHAnsi" w:eastAsiaTheme="minorEastAsia" w:hAnsiTheme="minorHAnsi" w:cstheme="minorBidi"/>
          </w:rPr>
          <w:tab/>
        </w:r>
        <w:r w:rsidR="008E0B00" w:rsidRPr="00E01459">
          <w:rPr>
            <w:rStyle w:val="Hyperlink"/>
          </w:rPr>
          <w:t>Summary of findings for the linked evidence comparison of mpMRI, relative to TRUSGB or TPUSGB, in patients at low-concern with suspected prostate cancer with assumed pre-test probability (prevalence) of 35%</w:t>
        </w:r>
        <w:r w:rsidR="008E0B00">
          <w:rPr>
            <w:webHidden/>
          </w:rPr>
          <w:tab/>
        </w:r>
        <w:r w:rsidR="008E0B00">
          <w:rPr>
            <w:webHidden/>
          </w:rPr>
          <w:fldChar w:fldCharType="begin"/>
        </w:r>
        <w:r w:rsidR="008E0B00">
          <w:rPr>
            <w:webHidden/>
          </w:rPr>
          <w:instrText xml:space="preserve"> PAGEREF _Toc460514537 \h </w:instrText>
        </w:r>
        <w:r w:rsidR="008E0B00">
          <w:rPr>
            <w:webHidden/>
          </w:rPr>
        </w:r>
        <w:r w:rsidR="008E0B00">
          <w:rPr>
            <w:webHidden/>
          </w:rPr>
          <w:fldChar w:fldCharType="separate"/>
        </w:r>
        <w:r w:rsidR="0029649D">
          <w:rPr>
            <w:webHidden/>
          </w:rPr>
          <w:t>109</w:t>
        </w:r>
        <w:r w:rsidR="008E0B00">
          <w:rPr>
            <w:webHidden/>
          </w:rPr>
          <w:fldChar w:fldCharType="end"/>
        </w:r>
      </w:hyperlink>
    </w:p>
    <w:p w14:paraId="31558078" w14:textId="77777777" w:rsidR="008E0B00" w:rsidRDefault="00DD0356">
      <w:pPr>
        <w:pStyle w:val="TableofFigures"/>
        <w:rPr>
          <w:rFonts w:asciiTheme="minorHAnsi" w:eastAsiaTheme="minorEastAsia" w:hAnsiTheme="minorHAnsi" w:cstheme="minorBidi"/>
        </w:rPr>
      </w:pPr>
      <w:hyperlink w:anchor="_Toc460514538" w:history="1">
        <w:r w:rsidR="008E0B00" w:rsidRPr="00E01459">
          <w:rPr>
            <w:rStyle w:val="Hyperlink"/>
          </w:rPr>
          <w:t>Table 38</w:t>
        </w:r>
        <w:r w:rsidR="008E0B00">
          <w:rPr>
            <w:rFonts w:asciiTheme="minorHAnsi" w:eastAsiaTheme="minorEastAsia" w:hAnsiTheme="minorHAnsi" w:cstheme="minorBidi"/>
          </w:rPr>
          <w:tab/>
        </w:r>
        <w:r w:rsidR="008E0B00" w:rsidRPr="00E01459">
          <w:rPr>
            <w:rStyle w:val="Hyperlink"/>
          </w:rPr>
          <w:t>Summary of findings for the linked evidence comparison of mpMRI, relative to TRUSGB or TPUSGB, in patients on active surveillance with assumed pre-test probability (prevalence) for upgraded disease of 30%</w:t>
        </w:r>
        <w:r w:rsidR="008E0B00">
          <w:rPr>
            <w:webHidden/>
          </w:rPr>
          <w:tab/>
        </w:r>
        <w:r w:rsidR="008E0B00">
          <w:rPr>
            <w:webHidden/>
          </w:rPr>
          <w:fldChar w:fldCharType="begin"/>
        </w:r>
        <w:r w:rsidR="008E0B00">
          <w:rPr>
            <w:webHidden/>
          </w:rPr>
          <w:instrText xml:space="preserve"> PAGEREF _Toc460514538 \h </w:instrText>
        </w:r>
        <w:r w:rsidR="008E0B00">
          <w:rPr>
            <w:webHidden/>
          </w:rPr>
        </w:r>
        <w:r w:rsidR="008E0B00">
          <w:rPr>
            <w:webHidden/>
          </w:rPr>
          <w:fldChar w:fldCharType="separate"/>
        </w:r>
        <w:r w:rsidR="0029649D">
          <w:rPr>
            <w:webHidden/>
          </w:rPr>
          <w:t>111</w:t>
        </w:r>
        <w:r w:rsidR="008E0B00">
          <w:rPr>
            <w:webHidden/>
          </w:rPr>
          <w:fldChar w:fldCharType="end"/>
        </w:r>
      </w:hyperlink>
    </w:p>
    <w:p w14:paraId="382E597B" w14:textId="77777777" w:rsidR="008E0B00" w:rsidRDefault="00DD0356">
      <w:pPr>
        <w:pStyle w:val="TableofFigures"/>
        <w:rPr>
          <w:rFonts w:asciiTheme="minorHAnsi" w:eastAsiaTheme="minorEastAsia" w:hAnsiTheme="minorHAnsi" w:cstheme="minorBidi"/>
        </w:rPr>
      </w:pPr>
      <w:hyperlink w:anchor="_Toc460514539" w:history="1">
        <w:r w:rsidR="008E0B00" w:rsidRPr="00E01459">
          <w:rPr>
            <w:rStyle w:val="Hyperlink"/>
          </w:rPr>
          <w:t>Table 39</w:t>
        </w:r>
        <w:r w:rsidR="008E0B00">
          <w:rPr>
            <w:rFonts w:asciiTheme="minorHAnsi" w:eastAsiaTheme="minorEastAsia" w:hAnsiTheme="minorHAnsi" w:cstheme="minorBidi"/>
          </w:rPr>
          <w:tab/>
        </w:r>
        <w:r w:rsidR="008E0B00" w:rsidRPr="00E01459">
          <w:rPr>
            <w:rStyle w:val="Hyperlink"/>
          </w:rPr>
          <w:t>Summary of translation issues</w:t>
        </w:r>
        <w:r w:rsidR="008E0B00">
          <w:rPr>
            <w:webHidden/>
          </w:rPr>
          <w:tab/>
        </w:r>
        <w:r w:rsidR="008E0B00">
          <w:rPr>
            <w:webHidden/>
          </w:rPr>
          <w:fldChar w:fldCharType="begin"/>
        </w:r>
        <w:r w:rsidR="008E0B00">
          <w:rPr>
            <w:webHidden/>
          </w:rPr>
          <w:instrText xml:space="preserve"> PAGEREF _Toc460514539 \h </w:instrText>
        </w:r>
        <w:r w:rsidR="008E0B00">
          <w:rPr>
            <w:webHidden/>
          </w:rPr>
        </w:r>
        <w:r w:rsidR="008E0B00">
          <w:rPr>
            <w:webHidden/>
          </w:rPr>
          <w:fldChar w:fldCharType="separate"/>
        </w:r>
        <w:r w:rsidR="0029649D">
          <w:rPr>
            <w:webHidden/>
          </w:rPr>
          <w:t>114</w:t>
        </w:r>
        <w:r w:rsidR="008E0B00">
          <w:rPr>
            <w:webHidden/>
          </w:rPr>
          <w:fldChar w:fldCharType="end"/>
        </w:r>
      </w:hyperlink>
    </w:p>
    <w:p w14:paraId="652B8E03" w14:textId="77777777" w:rsidR="008E0B00" w:rsidRDefault="00DD0356">
      <w:pPr>
        <w:pStyle w:val="TableofFigures"/>
        <w:rPr>
          <w:rFonts w:asciiTheme="minorHAnsi" w:eastAsiaTheme="minorEastAsia" w:hAnsiTheme="minorHAnsi" w:cstheme="minorBidi"/>
        </w:rPr>
      </w:pPr>
      <w:hyperlink w:anchor="_Toc460514540" w:history="1">
        <w:r w:rsidR="008E0B00" w:rsidRPr="00E01459">
          <w:rPr>
            <w:rStyle w:val="Hyperlink"/>
          </w:rPr>
          <w:t>Table 40</w:t>
        </w:r>
        <w:r w:rsidR="008E0B00">
          <w:rPr>
            <w:rFonts w:asciiTheme="minorHAnsi" w:eastAsiaTheme="minorEastAsia" w:hAnsiTheme="minorHAnsi" w:cstheme="minorBidi"/>
          </w:rPr>
          <w:tab/>
        </w:r>
        <w:r w:rsidR="008E0B00" w:rsidRPr="00E01459">
          <w:rPr>
            <w:rStyle w:val="Hyperlink"/>
          </w:rPr>
          <w:t>Population characteristics, comparison between key clinical studies and the expected MBS Population 1</w:t>
        </w:r>
        <w:r w:rsidR="008E0B00">
          <w:rPr>
            <w:webHidden/>
          </w:rPr>
          <w:tab/>
        </w:r>
        <w:r w:rsidR="008E0B00">
          <w:rPr>
            <w:webHidden/>
          </w:rPr>
          <w:fldChar w:fldCharType="begin"/>
        </w:r>
        <w:r w:rsidR="008E0B00">
          <w:rPr>
            <w:webHidden/>
          </w:rPr>
          <w:instrText xml:space="preserve"> PAGEREF _Toc460514540 \h </w:instrText>
        </w:r>
        <w:r w:rsidR="008E0B00">
          <w:rPr>
            <w:webHidden/>
          </w:rPr>
        </w:r>
        <w:r w:rsidR="008E0B00">
          <w:rPr>
            <w:webHidden/>
          </w:rPr>
          <w:fldChar w:fldCharType="separate"/>
        </w:r>
        <w:r w:rsidR="0029649D">
          <w:rPr>
            <w:webHidden/>
          </w:rPr>
          <w:t>115</w:t>
        </w:r>
        <w:r w:rsidR="008E0B00">
          <w:rPr>
            <w:webHidden/>
          </w:rPr>
          <w:fldChar w:fldCharType="end"/>
        </w:r>
      </w:hyperlink>
    </w:p>
    <w:p w14:paraId="52F3EA1F" w14:textId="77777777" w:rsidR="008E0B00" w:rsidRDefault="00DD0356">
      <w:pPr>
        <w:pStyle w:val="TableofFigures"/>
        <w:rPr>
          <w:rFonts w:asciiTheme="minorHAnsi" w:eastAsiaTheme="minorEastAsia" w:hAnsiTheme="minorHAnsi" w:cstheme="minorBidi"/>
        </w:rPr>
      </w:pPr>
      <w:hyperlink w:anchor="_Toc460514541" w:history="1">
        <w:r w:rsidR="008E0B00" w:rsidRPr="00E01459">
          <w:rPr>
            <w:rStyle w:val="Hyperlink"/>
          </w:rPr>
          <w:t>Table 41</w:t>
        </w:r>
        <w:r w:rsidR="008E0B00">
          <w:rPr>
            <w:rFonts w:asciiTheme="minorHAnsi" w:eastAsiaTheme="minorEastAsia" w:hAnsiTheme="minorHAnsi" w:cstheme="minorBidi"/>
          </w:rPr>
          <w:tab/>
        </w:r>
        <w:r w:rsidR="008E0B00" w:rsidRPr="00E01459">
          <w:rPr>
            <w:rStyle w:val="Hyperlink"/>
          </w:rPr>
          <w:t>Intervention (mpMRI) characteristics, comparison between key clinical studies and the expected MBS Population 1</w:t>
        </w:r>
        <w:r w:rsidR="008E0B00">
          <w:rPr>
            <w:webHidden/>
          </w:rPr>
          <w:tab/>
        </w:r>
        <w:r w:rsidR="008E0B00">
          <w:rPr>
            <w:webHidden/>
          </w:rPr>
          <w:fldChar w:fldCharType="begin"/>
        </w:r>
        <w:r w:rsidR="008E0B00">
          <w:rPr>
            <w:webHidden/>
          </w:rPr>
          <w:instrText xml:space="preserve"> PAGEREF _Toc460514541 \h </w:instrText>
        </w:r>
        <w:r w:rsidR="008E0B00">
          <w:rPr>
            <w:webHidden/>
          </w:rPr>
        </w:r>
        <w:r w:rsidR="008E0B00">
          <w:rPr>
            <w:webHidden/>
          </w:rPr>
          <w:fldChar w:fldCharType="separate"/>
        </w:r>
        <w:r w:rsidR="0029649D">
          <w:rPr>
            <w:webHidden/>
          </w:rPr>
          <w:t>117</w:t>
        </w:r>
        <w:r w:rsidR="008E0B00">
          <w:rPr>
            <w:webHidden/>
          </w:rPr>
          <w:fldChar w:fldCharType="end"/>
        </w:r>
      </w:hyperlink>
    </w:p>
    <w:p w14:paraId="726989B7" w14:textId="77777777" w:rsidR="008E0B00" w:rsidRDefault="00DD0356">
      <w:pPr>
        <w:pStyle w:val="TableofFigures"/>
        <w:rPr>
          <w:rFonts w:asciiTheme="minorHAnsi" w:eastAsiaTheme="minorEastAsia" w:hAnsiTheme="minorHAnsi" w:cstheme="minorBidi"/>
        </w:rPr>
      </w:pPr>
      <w:hyperlink w:anchor="_Toc460514542" w:history="1">
        <w:r w:rsidR="008E0B00" w:rsidRPr="00E01459">
          <w:rPr>
            <w:rStyle w:val="Hyperlink"/>
          </w:rPr>
          <w:t>Table 42</w:t>
        </w:r>
        <w:r w:rsidR="008E0B00">
          <w:rPr>
            <w:rFonts w:asciiTheme="minorHAnsi" w:eastAsiaTheme="minorEastAsia" w:hAnsiTheme="minorHAnsi" w:cstheme="minorBidi"/>
          </w:rPr>
          <w:tab/>
        </w:r>
        <w:r w:rsidR="008E0B00" w:rsidRPr="00E01459">
          <w:rPr>
            <w:rStyle w:val="Hyperlink"/>
          </w:rPr>
          <w:t>Population characteristics, comparison between key clinical studies and the expected MBS Population 2</w:t>
        </w:r>
        <w:r w:rsidR="008E0B00">
          <w:rPr>
            <w:webHidden/>
          </w:rPr>
          <w:tab/>
        </w:r>
        <w:r w:rsidR="008E0B00">
          <w:rPr>
            <w:webHidden/>
          </w:rPr>
          <w:fldChar w:fldCharType="begin"/>
        </w:r>
        <w:r w:rsidR="008E0B00">
          <w:rPr>
            <w:webHidden/>
          </w:rPr>
          <w:instrText xml:space="preserve"> PAGEREF _Toc460514542 \h </w:instrText>
        </w:r>
        <w:r w:rsidR="008E0B00">
          <w:rPr>
            <w:webHidden/>
          </w:rPr>
        </w:r>
        <w:r w:rsidR="008E0B00">
          <w:rPr>
            <w:webHidden/>
          </w:rPr>
          <w:fldChar w:fldCharType="separate"/>
        </w:r>
        <w:r w:rsidR="0029649D">
          <w:rPr>
            <w:webHidden/>
          </w:rPr>
          <w:t>118</w:t>
        </w:r>
        <w:r w:rsidR="008E0B00">
          <w:rPr>
            <w:webHidden/>
          </w:rPr>
          <w:fldChar w:fldCharType="end"/>
        </w:r>
      </w:hyperlink>
    </w:p>
    <w:p w14:paraId="55D5253E" w14:textId="77777777" w:rsidR="008E0B00" w:rsidRDefault="00DD0356">
      <w:pPr>
        <w:pStyle w:val="TableofFigures"/>
        <w:rPr>
          <w:rFonts w:asciiTheme="minorHAnsi" w:eastAsiaTheme="minorEastAsia" w:hAnsiTheme="minorHAnsi" w:cstheme="minorBidi"/>
        </w:rPr>
      </w:pPr>
      <w:hyperlink w:anchor="_Toc460514543" w:history="1">
        <w:r w:rsidR="008E0B00" w:rsidRPr="00E01459">
          <w:rPr>
            <w:rStyle w:val="Hyperlink"/>
          </w:rPr>
          <w:t>Table 43</w:t>
        </w:r>
        <w:r w:rsidR="008E0B00">
          <w:rPr>
            <w:rFonts w:asciiTheme="minorHAnsi" w:eastAsiaTheme="minorEastAsia" w:hAnsiTheme="minorHAnsi" w:cstheme="minorBidi"/>
          </w:rPr>
          <w:tab/>
        </w:r>
        <w:r w:rsidR="008E0B00" w:rsidRPr="00E01459">
          <w:rPr>
            <w:rStyle w:val="Hyperlink"/>
          </w:rPr>
          <w:t>Intervention (mpMRI) characteristics, comparison between key clinical studies and the expected MBS Population 2</w:t>
        </w:r>
        <w:r w:rsidR="008E0B00">
          <w:rPr>
            <w:webHidden/>
          </w:rPr>
          <w:tab/>
        </w:r>
        <w:r w:rsidR="008E0B00">
          <w:rPr>
            <w:webHidden/>
          </w:rPr>
          <w:fldChar w:fldCharType="begin"/>
        </w:r>
        <w:r w:rsidR="008E0B00">
          <w:rPr>
            <w:webHidden/>
          </w:rPr>
          <w:instrText xml:space="preserve"> PAGEREF _Toc460514543 \h </w:instrText>
        </w:r>
        <w:r w:rsidR="008E0B00">
          <w:rPr>
            <w:webHidden/>
          </w:rPr>
        </w:r>
        <w:r w:rsidR="008E0B00">
          <w:rPr>
            <w:webHidden/>
          </w:rPr>
          <w:fldChar w:fldCharType="separate"/>
        </w:r>
        <w:r w:rsidR="0029649D">
          <w:rPr>
            <w:webHidden/>
          </w:rPr>
          <w:t>120</w:t>
        </w:r>
        <w:r w:rsidR="008E0B00">
          <w:rPr>
            <w:webHidden/>
          </w:rPr>
          <w:fldChar w:fldCharType="end"/>
        </w:r>
      </w:hyperlink>
    </w:p>
    <w:p w14:paraId="6D02ADC9" w14:textId="77777777" w:rsidR="008E0B00" w:rsidRDefault="00DD0356">
      <w:pPr>
        <w:pStyle w:val="TableofFigures"/>
        <w:rPr>
          <w:rFonts w:asciiTheme="minorHAnsi" w:eastAsiaTheme="minorEastAsia" w:hAnsiTheme="minorHAnsi" w:cstheme="minorBidi"/>
        </w:rPr>
      </w:pPr>
      <w:hyperlink w:anchor="_Toc460514544" w:history="1">
        <w:r w:rsidR="008E0B00" w:rsidRPr="00E01459">
          <w:rPr>
            <w:rStyle w:val="Hyperlink"/>
          </w:rPr>
          <w:t>Table 44</w:t>
        </w:r>
        <w:r w:rsidR="008E0B00">
          <w:rPr>
            <w:rFonts w:asciiTheme="minorHAnsi" w:eastAsiaTheme="minorEastAsia" w:hAnsiTheme="minorHAnsi" w:cstheme="minorBidi"/>
          </w:rPr>
          <w:tab/>
        </w:r>
        <w:r w:rsidR="008E0B00" w:rsidRPr="00E01459">
          <w:rPr>
            <w:rStyle w:val="Hyperlink"/>
          </w:rPr>
          <w:t>Results of utility literature search</w:t>
        </w:r>
        <w:r w:rsidR="008E0B00">
          <w:rPr>
            <w:webHidden/>
          </w:rPr>
          <w:tab/>
        </w:r>
        <w:r w:rsidR="008E0B00">
          <w:rPr>
            <w:webHidden/>
          </w:rPr>
          <w:fldChar w:fldCharType="begin"/>
        </w:r>
        <w:r w:rsidR="008E0B00">
          <w:rPr>
            <w:webHidden/>
          </w:rPr>
          <w:instrText xml:space="preserve"> PAGEREF _Toc460514544 \h </w:instrText>
        </w:r>
        <w:r w:rsidR="008E0B00">
          <w:rPr>
            <w:webHidden/>
          </w:rPr>
        </w:r>
        <w:r w:rsidR="008E0B00">
          <w:rPr>
            <w:webHidden/>
          </w:rPr>
          <w:fldChar w:fldCharType="separate"/>
        </w:r>
        <w:r w:rsidR="0029649D">
          <w:rPr>
            <w:webHidden/>
          </w:rPr>
          <w:t>123</w:t>
        </w:r>
        <w:r w:rsidR="008E0B00">
          <w:rPr>
            <w:webHidden/>
          </w:rPr>
          <w:fldChar w:fldCharType="end"/>
        </w:r>
      </w:hyperlink>
    </w:p>
    <w:p w14:paraId="1AD1F84D" w14:textId="77777777" w:rsidR="008E0B00" w:rsidRDefault="00DD0356">
      <w:pPr>
        <w:pStyle w:val="TableofFigures"/>
        <w:rPr>
          <w:rFonts w:asciiTheme="minorHAnsi" w:eastAsiaTheme="minorEastAsia" w:hAnsiTheme="minorHAnsi" w:cstheme="minorBidi"/>
        </w:rPr>
      </w:pPr>
      <w:hyperlink w:anchor="_Toc460514545" w:history="1">
        <w:r w:rsidR="008E0B00" w:rsidRPr="00E01459">
          <w:rPr>
            <w:rStyle w:val="Hyperlink"/>
          </w:rPr>
          <w:t>Table 45</w:t>
        </w:r>
        <w:r w:rsidR="008E0B00">
          <w:rPr>
            <w:rFonts w:asciiTheme="minorHAnsi" w:eastAsiaTheme="minorEastAsia" w:hAnsiTheme="minorHAnsi" w:cstheme="minorBidi"/>
          </w:rPr>
          <w:tab/>
        </w:r>
        <w:r w:rsidR="008E0B00" w:rsidRPr="00E01459">
          <w:rPr>
            <w:rStyle w:val="Hyperlink"/>
          </w:rPr>
          <w:t>Utility values used in the economic model</w:t>
        </w:r>
        <w:r w:rsidR="008E0B00">
          <w:rPr>
            <w:webHidden/>
          </w:rPr>
          <w:tab/>
        </w:r>
        <w:r w:rsidR="008E0B00">
          <w:rPr>
            <w:webHidden/>
          </w:rPr>
          <w:fldChar w:fldCharType="begin"/>
        </w:r>
        <w:r w:rsidR="008E0B00">
          <w:rPr>
            <w:webHidden/>
          </w:rPr>
          <w:instrText xml:space="preserve"> PAGEREF _Toc460514545 \h </w:instrText>
        </w:r>
        <w:r w:rsidR="008E0B00">
          <w:rPr>
            <w:webHidden/>
          </w:rPr>
        </w:r>
        <w:r w:rsidR="008E0B00">
          <w:rPr>
            <w:webHidden/>
          </w:rPr>
          <w:fldChar w:fldCharType="separate"/>
        </w:r>
        <w:r w:rsidR="0029649D">
          <w:rPr>
            <w:webHidden/>
          </w:rPr>
          <w:t>124</w:t>
        </w:r>
        <w:r w:rsidR="008E0B00">
          <w:rPr>
            <w:webHidden/>
          </w:rPr>
          <w:fldChar w:fldCharType="end"/>
        </w:r>
      </w:hyperlink>
    </w:p>
    <w:p w14:paraId="042F5441" w14:textId="77777777" w:rsidR="008E0B00" w:rsidRDefault="00DD0356">
      <w:pPr>
        <w:pStyle w:val="TableofFigures"/>
        <w:rPr>
          <w:rFonts w:asciiTheme="minorHAnsi" w:eastAsiaTheme="minorEastAsia" w:hAnsiTheme="minorHAnsi" w:cstheme="minorBidi"/>
        </w:rPr>
      </w:pPr>
      <w:hyperlink w:anchor="_Toc460514546" w:history="1">
        <w:r w:rsidR="008E0B00" w:rsidRPr="00E01459">
          <w:rPr>
            <w:rStyle w:val="Hyperlink"/>
          </w:rPr>
          <w:t>Table 46</w:t>
        </w:r>
        <w:r w:rsidR="008E0B00">
          <w:rPr>
            <w:rFonts w:asciiTheme="minorHAnsi" w:eastAsiaTheme="minorEastAsia" w:hAnsiTheme="minorHAnsi" w:cstheme="minorBidi"/>
          </w:rPr>
          <w:tab/>
        </w:r>
        <w:r w:rsidR="008E0B00" w:rsidRPr="00E01459">
          <w:rPr>
            <w:rStyle w:val="Hyperlink"/>
          </w:rPr>
          <w:t>Example of summary of results of pre-modelling studies and their uses in the economic evaluation</w:t>
        </w:r>
        <w:r w:rsidR="008E0B00">
          <w:rPr>
            <w:webHidden/>
          </w:rPr>
          <w:tab/>
        </w:r>
        <w:r w:rsidR="008E0B00">
          <w:rPr>
            <w:webHidden/>
          </w:rPr>
          <w:fldChar w:fldCharType="begin"/>
        </w:r>
        <w:r w:rsidR="008E0B00">
          <w:rPr>
            <w:webHidden/>
          </w:rPr>
          <w:instrText xml:space="preserve"> PAGEREF _Toc460514546 \h </w:instrText>
        </w:r>
        <w:r w:rsidR="008E0B00">
          <w:rPr>
            <w:webHidden/>
          </w:rPr>
        </w:r>
        <w:r w:rsidR="008E0B00">
          <w:rPr>
            <w:webHidden/>
          </w:rPr>
          <w:fldChar w:fldCharType="separate"/>
        </w:r>
        <w:r w:rsidR="0029649D">
          <w:rPr>
            <w:webHidden/>
          </w:rPr>
          <w:t>126</w:t>
        </w:r>
        <w:r w:rsidR="008E0B00">
          <w:rPr>
            <w:webHidden/>
          </w:rPr>
          <w:fldChar w:fldCharType="end"/>
        </w:r>
      </w:hyperlink>
    </w:p>
    <w:p w14:paraId="26BFF085" w14:textId="77777777" w:rsidR="008E0B00" w:rsidRDefault="00DD0356">
      <w:pPr>
        <w:pStyle w:val="TableofFigures"/>
        <w:rPr>
          <w:rFonts w:asciiTheme="minorHAnsi" w:eastAsiaTheme="minorEastAsia" w:hAnsiTheme="minorHAnsi" w:cstheme="minorBidi"/>
        </w:rPr>
      </w:pPr>
      <w:hyperlink w:anchor="_Toc460514547" w:history="1">
        <w:r w:rsidR="008E0B00" w:rsidRPr="00E01459">
          <w:rPr>
            <w:rStyle w:val="Hyperlink"/>
          </w:rPr>
          <w:t>Table 47</w:t>
        </w:r>
        <w:r w:rsidR="008E0B00">
          <w:rPr>
            <w:rFonts w:asciiTheme="minorHAnsi" w:eastAsiaTheme="minorEastAsia" w:hAnsiTheme="minorHAnsi" w:cstheme="minorBidi"/>
          </w:rPr>
          <w:tab/>
        </w:r>
        <w:r w:rsidR="008E0B00" w:rsidRPr="00E01459">
          <w:rPr>
            <w:rStyle w:val="Hyperlink"/>
          </w:rPr>
          <w:t>Summary of evidence for mpMRI versus TRUSGB or TPUSGB</w:t>
        </w:r>
        <w:r w:rsidR="008E0B00">
          <w:rPr>
            <w:webHidden/>
          </w:rPr>
          <w:tab/>
        </w:r>
        <w:r w:rsidR="008E0B00">
          <w:rPr>
            <w:webHidden/>
          </w:rPr>
          <w:fldChar w:fldCharType="begin"/>
        </w:r>
        <w:r w:rsidR="008E0B00">
          <w:rPr>
            <w:webHidden/>
          </w:rPr>
          <w:instrText xml:space="preserve"> PAGEREF _Toc460514547 \h </w:instrText>
        </w:r>
        <w:r w:rsidR="008E0B00">
          <w:rPr>
            <w:webHidden/>
          </w:rPr>
        </w:r>
        <w:r w:rsidR="008E0B00">
          <w:rPr>
            <w:webHidden/>
          </w:rPr>
          <w:fldChar w:fldCharType="separate"/>
        </w:r>
        <w:r w:rsidR="0029649D">
          <w:rPr>
            <w:webHidden/>
          </w:rPr>
          <w:t>128</w:t>
        </w:r>
        <w:r w:rsidR="008E0B00">
          <w:rPr>
            <w:webHidden/>
          </w:rPr>
          <w:fldChar w:fldCharType="end"/>
        </w:r>
      </w:hyperlink>
    </w:p>
    <w:p w14:paraId="2C7AECEB" w14:textId="77777777" w:rsidR="008E0B00" w:rsidRDefault="00DD0356">
      <w:pPr>
        <w:pStyle w:val="TableofFigures"/>
        <w:rPr>
          <w:rFonts w:asciiTheme="minorHAnsi" w:eastAsiaTheme="minorEastAsia" w:hAnsiTheme="minorHAnsi" w:cstheme="minorBidi"/>
        </w:rPr>
      </w:pPr>
      <w:hyperlink w:anchor="_Toc460514548" w:history="1">
        <w:r w:rsidR="008E0B00" w:rsidRPr="00E01459">
          <w:rPr>
            <w:rStyle w:val="Hyperlink"/>
          </w:rPr>
          <w:t>Table 48</w:t>
        </w:r>
        <w:r w:rsidR="008E0B00">
          <w:rPr>
            <w:rFonts w:asciiTheme="minorHAnsi" w:eastAsiaTheme="minorEastAsia" w:hAnsiTheme="minorHAnsi" w:cstheme="minorBidi"/>
          </w:rPr>
          <w:tab/>
        </w:r>
        <w:r w:rsidR="008E0B00" w:rsidRPr="00E01459">
          <w:rPr>
            <w:rStyle w:val="Hyperlink"/>
          </w:rPr>
          <w:t>Active surveillance of men with prostate cancer</w:t>
        </w:r>
        <w:r w:rsidR="008E0B00">
          <w:rPr>
            <w:webHidden/>
          </w:rPr>
          <w:tab/>
        </w:r>
        <w:r w:rsidR="008E0B00">
          <w:rPr>
            <w:webHidden/>
          </w:rPr>
          <w:fldChar w:fldCharType="begin"/>
        </w:r>
        <w:r w:rsidR="008E0B00">
          <w:rPr>
            <w:webHidden/>
          </w:rPr>
          <w:instrText xml:space="preserve"> PAGEREF _Toc460514548 \h </w:instrText>
        </w:r>
        <w:r w:rsidR="008E0B00">
          <w:rPr>
            <w:webHidden/>
          </w:rPr>
        </w:r>
        <w:r w:rsidR="008E0B00">
          <w:rPr>
            <w:webHidden/>
          </w:rPr>
          <w:fldChar w:fldCharType="separate"/>
        </w:r>
        <w:r w:rsidR="0029649D">
          <w:rPr>
            <w:webHidden/>
          </w:rPr>
          <w:t>131</w:t>
        </w:r>
        <w:r w:rsidR="008E0B00">
          <w:rPr>
            <w:webHidden/>
          </w:rPr>
          <w:fldChar w:fldCharType="end"/>
        </w:r>
      </w:hyperlink>
    </w:p>
    <w:p w14:paraId="02DFBB9B" w14:textId="77777777" w:rsidR="008E0B00" w:rsidRDefault="00DD0356">
      <w:pPr>
        <w:pStyle w:val="TableofFigures"/>
        <w:rPr>
          <w:rFonts w:asciiTheme="minorHAnsi" w:eastAsiaTheme="minorEastAsia" w:hAnsiTheme="minorHAnsi" w:cstheme="minorBidi"/>
        </w:rPr>
      </w:pPr>
      <w:hyperlink w:anchor="_Toc460514549" w:history="1">
        <w:r w:rsidR="008E0B00" w:rsidRPr="00E01459">
          <w:rPr>
            <w:rStyle w:val="Hyperlink"/>
          </w:rPr>
          <w:t>Table 49</w:t>
        </w:r>
        <w:r w:rsidR="008E0B00">
          <w:rPr>
            <w:rFonts w:asciiTheme="minorHAnsi" w:eastAsiaTheme="minorEastAsia" w:hAnsiTheme="minorHAnsi" w:cstheme="minorBidi"/>
          </w:rPr>
          <w:tab/>
        </w:r>
        <w:r w:rsidR="008E0B00" w:rsidRPr="00E01459">
          <w:rPr>
            <w:rStyle w:val="Hyperlink"/>
          </w:rPr>
          <w:t>Comparison of characteristics of trial and requested population and circumstances of use for Population 1, men with suspected prostate cancer</w:t>
        </w:r>
        <w:r w:rsidR="008E0B00">
          <w:rPr>
            <w:webHidden/>
          </w:rPr>
          <w:tab/>
        </w:r>
        <w:r w:rsidR="008E0B00">
          <w:rPr>
            <w:webHidden/>
          </w:rPr>
          <w:fldChar w:fldCharType="begin"/>
        </w:r>
        <w:r w:rsidR="008E0B00">
          <w:rPr>
            <w:webHidden/>
          </w:rPr>
          <w:instrText xml:space="preserve"> PAGEREF _Toc460514549 \h </w:instrText>
        </w:r>
        <w:r w:rsidR="008E0B00">
          <w:rPr>
            <w:webHidden/>
          </w:rPr>
        </w:r>
        <w:r w:rsidR="008E0B00">
          <w:rPr>
            <w:webHidden/>
          </w:rPr>
          <w:fldChar w:fldCharType="separate"/>
        </w:r>
        <w:r w:rsidR="0029649D">
          <w:rPr>
            <w:webHidden/>
          </w:rPr>
          <w:t>131</w:t>
        </w:r>
        <w:r w:rsidR="008E0B00">
          <w:rPr>
            <w:webHidden/>
          </w:rPr>
          <w:fldChar w:fldCharType="end"/>
        </w:r>
      </w:hyperlink>
    </w:p>
    <w:p w14:paraId="5C2CE0AE" w14:textId="77777777" w:rsidR="008E0B00" w:rsidRDefault="00DD0356">
      <w:pPr>
        <w:pStyle w:val="TableofFigures"/>
        <w:rPr>
          <w:rFonts w:asciiTheme="minorHAnsi" w:eastAsiaTheme="minorEastAsia" w:hAnsiTheme="minorHAnsi" w:cstheme="minorBidi"/>
        </w:rPr>
      </w:pPr>
      <w:hyperlink w:anchor="_Toc460514550" w:history="1">
        <w:r w:rsidR="008E0B00" w:rsidRPr="00E01459">
          <w:rPr>
            <w:rStyle w:val="Hyperlink"/>
          </w:rPr>
          <w:t>Table 50</w:t>
        </w:r>
        <w:r w:rsidR="008E0B00">
          <w:rPr>
            <w:rFonts w:asciiTheme="minorHAnsi" w:eastAsiaTheme="minorEastAsia" w:hAnsiTheme="minorHAnsi" w:cstheme="minorBidi"/>
          </w:rPr>
          <w:tab/>
        </w:r>
        <w:r w:rsidR="008E0B00" w:rsidRPr="00E01459">
          <w:rPr>
            <w:rStyle w:val="Hyperlink"/>
          </w:rPr>
          <w:t>Comparison of characteristics of trial and requested population and circumstances of use for Population 2, men with prostate cancer undergoing active surveillance</w:t>
        </w:r>
        <w:r w:rsidR="008E0B00">
          <w:rPr>
            <w:webHidden/>
          </w:rPr>
          <w:tab/>
        </w:r>
        <w:r w:rsidR="008E0B00">
          <w:rPr>
            <w:webHidden/>
          </w:rPr>
          <w:fldChar w:fldCharType="begin"/>
        </w:r>
        <w:r w:rsidR="008E0B00">
          <w:rPr>
            <w:webHidden/>
          </w:rPr>
          <w:instrText xml:space="preserve"> PAGEREF _Toc460514550 \h </w:instrText>
        </w:r>
        <w:r w:rsidR="008E0B00">
          <w:rPr>
            <w:webHidden/>
          </w:rPr>
        </w:r>
        <w:r w:rsidR="008E0B00">
          <w:rPr>
            <w:webHidden/>
          </w:rPr>
          <w:fldChar w:fldCharType="separate"/>
        </w:r>
        <w:r w:rsidR="0029649D">
          <w:rPr>
            <w:webHidden/>
          </w:rPr>
          <w:t>133</w:t>
        </w:r>
        <w:r w:rsidR="008E0B00">
          <w:rPr>
            <w:webHidden/>
          </w:rPr>
          <w:fldChar w:fldCharType="end"/>
        </w:r>
      </w:hyperlink>
    </w:p>
    <w:p w14:paraId="40B455F8" w14:textId="77777777" w:rsidR="008E0B00" w:rsidRDefault="00DD0356">
      <w:pPr>
        <w:pStyle w:val="TableofFigures"/>
        <w:rPr>
          <w:rFonts w:asciiTheme="minorHAnsi" w:eastAsiaTheme="minorEastAsia" w:hAnsiTheme="minorHAnsi" w:cstheme="minorBidi"/>
        </w:rPr>
      </w:pPr>
      <w:hyperlink w:anchor="_Toc460514551" w:history="1">
        <w:r w:rsidR="008E0B00" w:rsidRPr="00E01459">
          <w:rPr>
            <w:rStyle w:val="Hyperlink"/>
          </w:rPr>
          <w:t>Table 51</w:t>
        </w:r>
        <w:r w:rsidR="008E0B00">
          <w:rPr>
            <w:rFonts w:asciiTheme="minorHAnsi" w:eastAsiaTheme="minorEastAsia" w:hAnsiTheme="minorHAnsi" w:cstheme="minorBidi"/>
          </w:rPr>
          <w:tab/>
        </w:r>
        <w:r w:rsidR="008E0B00" w:rsidRPr="00E01459">
          <w:rPr>
            <w:rStyle w:val="Hyperlink"/>
          </w:rPr>
          <w:t>Summary of the economic evaluation</w:t>
        </w:r>
        <w:r w:rsidR="008E0B00">
          <w:rPr>
            <w:webHidden/>
          </w:rPr>
          <w:tab/>
        </w:r>
        <w:r w:rsidR="008E0B00">
          <w:rPr>
            <w:webHidden/>
          </w:rPr>
          <w:fldChar w:fldCharType="begin"/>
        </w:r>
        <w:r w:rsidR="008E0B00">
          <w:rPr>
            <w:webHidden/>
          </w:rPr>
          <w:instrText xml:space="preserve"> PAGEREF _Toc460514551 \h </w:instrText>
        </w:r>
        <w:r w:rsidR="008E0B00">
          <w:rPr>
            <w:webHidden/>
          </w:rPr>
        </w:r>
        <w:r w:rsidR="008E0B00">
          <w:rPr>
            <w:webHidden/>
          </w:rPr>
          <w:fldChar w:fldCharType="separate"/>
        </w:r>
        <w:r w:rsidR="0029649D">
          <w:rPr>
            <w:webHidden/>
          </w:rPr>
          <w:t>134</w:t>
        </w:r>
        <w:r w:rsidR="008E0B00">
          <w:rPr>
            <w:webHidden/>
          </w:rPr>
          <w:fldChar w:fldCharType="end"/>
        </w:r>
      </w:hyperlink>
    </w:p>
    <w:p w14:paraId="6152E502" w14:textId="77777777" w:rsidR="008E0B00" w:rsidRDefault="00DD0356">
      <w:pPr>
        <w:pStyle w:val="TableofFigures"/>
        <w:rPr>
          <w:rFonts w:asciiTheme="minorHAnsi" w:eastAsiaTheme="minorEastAsia" w:hAnsiTheme="minorHAnsi" w:cstheme="minorBidi"/>
        </w:rPr>
      </w:pPr>
      <w:hyperlink w:anchor="_Toc460514552" w:history="1">
        <w:r w:rsidR="008E0B00" w:rsidRPr="00E01459">
          <w:rPr>
            <w:rStyle w:val="Hyperlink"/>
          </w:rPr>
          <w:t>Table 52</w:t>
        </w:r>
        <w:r w:rsidR="008E0B00">
          <w:rPr>
            <w:rFonts w:asciiTheme="minorHAnsi" w:eastAsiaTheme="minorEastAsia" w:hAnsiTheme="minorHAnsi" w:cstheme="minorBidi"/>
          </w:rPr>
          <w:tab/>
        </w:r>
        <w:r w:rsidR="008E0B00" w:rsidRPr="00E01459">
          <w:rPr>
            <w:rStyle w:val="Hyperlink"/>
          </w:rPr>
          <w:t>Grounds for not using a published economic evaluation in the current assessment</w:t>
        </w:r>
        <w:r w:rsidR="008E0B00">
          <w:rPr>
            <w:webHidden/>
          </w:rPr>
          <w:tab/>
        </w:r>
        <w:r w:rsidR="008E0B00">
          <w:rPr>
            <w:webHidden/>
          </w:rPr>
          <w:fldChar w:fldCharType="begin"/>
        </w:r>
        <w:r w:rsidR="008E0B00">
          <w:rPr>
            <w:webHidden/>
          </w:rPr>
          <w:instrText xml:space="preserve"> PAGEREF _Toc460514552 \h </w:instrText>
        </w:r>
        <w:r w:rsidR="008E0B00">
          <w:rPr>
            <w:webHidden/>
          </w:rPr>
        </w:r>
        <w:r w:rsidR="008E0B00">
          <w:rPr>
            <w:webHidden/>
          </w:rPr>
          <w:fldChar w:fldCharType="separate"/>
        </w:r>
        <w:r w:rsidR="0029649D">
          <w:rPr>
            <w:webHidden/>
          </w:rPr>
          <w:t>136</w:t>
        </w:r>
        <w:r w:rsidR="008E0B00">
          <w:rPr>
            <w:webHidden/>
          </w:rPr>
          <w:fldChar w:fldCharType="end"/>
        </w:r>
      </w:hyperlink>
    </w:p>
    <w:p w14:paraId="4428565E" w14:textId="77777777" w:rsidR="008E0B00" w:rsidRDefault="00DD0356">
      <w:pPr>
        <w:pStyle w:val="TableofFigures"/>
        <w:rPr>
          <w:rFonts w:asciiTheme="minorHAnsi" w:eastAsiaTheme="minorEastAsia" w:hAnsiTheme="minorHAnsi" w:cstheme="minorBidi"/>
        </w:rPr>
      </w:pPr>
      <w:hyperlink w:anchor="_Toc460514553" w:history="1">
        <w:r w:rsidR="008E0B00" w:rsidRPr="00E01459">
          <w:rPr>
            <w:rStyle w:val="Hyperlink"/>
          </w:rPr>
          <w:t>Table 53</w:t>
        </w:r>
        <w:r w:rsidR="008E0B00">
          <w:rPr>
            <w:rFonts w:asciiTheme="minorHAnsi" w:eastAsiaTheme="minorEastAsia" w:hAnsiTheme="minorHAnsi" w:cstheme="minorBidi"/>
          </w:rPr>
          <w:tab/>
        </w:r>
        <w:r w:rsidR="008E0B00" w:rsidRPr="00E01459">
          <w:rPr>
            <w:rStyle w:val="Hyperlink"/>
          </w:rPr>
          <w:t>Summary economic evaluations identified in the literature</w:t>
        </w:r>
        <w:r w:rsidR="008E0B00">
          <w:rPr>
            <w:webHidden/>
          </w:rPr>
          <w:tab/>
        </w:r>
        <w:r w:rsidR="008E0B00">
          <w:rPr>
            <w:webHidden/>
          </w:rPr>
          <w:fldChar w:fldCharType="begin"/>
        </w:r>
        <w:r w:rsidR="008E0B00">
          <w:rPr>
            <w:webHidden/>
          </w:rPr>
          <w:instrText xml:space="preserve"> PAGEREF _Toc460514553 \h </w:instrText>
        </w:r>
        <w:r w:rsidR="008E0B00">
          <w:rPr>
            <w:webHidden/>
          </w:rPr>
        </w:r>
        <w:r w:rsidR="008E0B00">
          <w:rPr>
            <w:webHidden/>
          </w:rPr>
          <w:fldChar w:fldCharType="separate"/>
        </w:r>
        <w:r w:rsidR="0029649D">
          <w:rPr>
            <w:webHidden/>
          </w:rPr>
          <w:t>137</w:t>
        </w:r>
        <w:r w:rsidR="008E0B00">
          <w:rPr>
            <w:webHidden/>
          </w:rPr>
          <w:fldChar w:fldCharType="end"/>
        </w:r>
      </w:hyperlink>
    </w:p>
    <w:p w14:paraId="5A86296A" w14:textId="77777777" w:rsidR="008E0B00" w:rsidRDefault="00DD0356">
      <w:pPr>
        <w:pStyle w:val="TableofFigures"/>
        <w:rPr>
          <w:rFonts w:asciiTheme="minorHAnsi" w:eastAsiaTheme="minorEastAsia" w:hAnsiTheme="minorHAnsi" w:cstheme="minorBidi"/>
        </w:rPr>
      </w:pPr>
      <w:hyperlink w:anchor="_Toc460514554" w:history="1">
        <w:r w:rsidR="008E0B00" w:rsidRPr="00E01459">
          <w:rPr>
            <w:rStyle w:val="Hyperlink"/>
          </w:rPr>
          <w:t>Table 54</w:t>
        </w:r>
        <w:r w:rsidR="008E0B00">
          <w:rPr>
            <w:rFonts w:asciiTheme="minorHAnsi" w:eastAsiaTheme="minorEastAsia" w:hAnsiTheme="minorHAnsi" w:cstheme="minorBidi"/>
          </w:rPr>
          <w:tab/>
        </w:r>
        <w:r w:rsidR="008E0B00" w:rsidRPr="00E01459">
          <w:rPr>
            <w:rStyle w:val="Hyperlink"/>
          </w:rPr>
          <w:t>Comparison of key economic evaluations: CA 1397 and Gordon et al. (2016)</w:t>
        </w:r>
        <w:r w:rsidR="008E0B00">
          <w:rPr>
            <w:webHidden/>
          </w:rPr>
          <w:tab/>
        </w:r>
        <w:r w:rsidR="008E0B00">
          <w:rPr>
            <w:webHidden/>
          </w:rPr>
          <w:fldChar w:fldCharType="begin"/>
        </w:r>
        <w:r w:rsidR="008E0B00">
          <w:rPr>
            <w:webHidden/>
          </w:rPr>
          <w:instrText xml:space="preserve"> PAGEREF _Toc460514554 \h </w:instrText>
        </w:r>
        <w:r w:rsidR="008E0B00">
          <w:rPr>
            <w:webHidden/>
          </w:rPr>
        </w:r>
        <w:r w:rsidR="008E0B00">
          <w:rPr>
            <w:webHidden/>
          </w:rPr>
          <w:fldChar w:fldCharType="separate"/>
        </w:r>
        <w:r w:rsidR="0029649D">
          <w:rPr>
            <w:webHidden/>
          </w:rPr>
          <w:t>147</w:t>
        </w:r>
        <w:r w:rsidR="008E0B00">
          <w:rPr>
            <w:webHidden/>
          </w:rPr>
          <w:fldChar w:fldCharType="end"/>
        </w:r>
      </w:hyperlink>
    </w:p>
    <w:p w14:paraId="67EFBC78" w14:textId="77777777" w:rsidR="008E0B00" w:rsidRDefault="00DD0356">
      <w:pPr>
        <w:pStyle w:val="TableofFigures"/>
        <w:rPr>
          <w:rFonts w:asciiTheme="minorHAnsi" w:eastAsiaTheme="minorEastAsia" w:hAnsiTheme="minorHAnsi" w:cstheme="minorBidi"/>
        </w:rPr>
      </w:pPr>
      <w:hyperlink w:anchor="_Toc460514555" w:history="1">
        <w:r w:rsidR="008E0B00" w:rsidRPr="00E01459">
          <w:rPr>
            <w:rStyle w:val="Hyperlink"/>
          </w:rPr>
          <w:t>Table 55</w:t>
        </w:r>
        <w:r w:rsidR="008E0B00">
          <w:rPr>
            <w:rFonts w:asciiTheme="minorHAnsi" w:eastAsiaTheme="minorEastAsia" w:hAnsiTheme="minorHAnsi" w:cstheme="minorBidi"/>
          </w:rPr>
          <w:tab/>
        </w:r>
        <w:r w:rsidR="008E0B00" w:rsidRPr="00E01459">
          <w:rPr>
            <w:rStyle w:val="Hyperlink"/>
          </w:rPr>
          <w:t>Test accuracy of mpMRI, TRUSGB/TPUSGB and MRIGB</w:t>
        </w:r>
        <w:r w:rsidR="008E0B00">
          <w:rPr>
            <w:webHidden/>
          </w:rPr>
          <w:tab/>
        </w:r>
        <w:r w:rsidR="008E0B00">
          <w:rPr>
            <w:webHidden/>
          </w:rPr>
          <w:fldChar w:fldCharType="begin"/>
        </w:r>
        <w:r w:rsidR="008E0B00">
          <w:rPr>
            <w:webHidden/>
          </w:rPr>
          <w:instrText xml:space="preserve"> PAGEREF _Toc460514555 \h </w:instrText>
        </w:r>
        <w:r w:rsidR="008E0B00">
          <w:rPr>
            <w:webHidden/>
          </w:rPr>
        </w:r>
        <w:r w:rsidR="008E0B00">
          <w:rPr>
            <w:webHidden/>
          </w:rPr>
          <w:fldChar w:fldCharType="separate"/>
        </w:r>
        <w:r w:rsidR="0029649D">
          <w:rPr>
            <w:webHidden/>
          </w:rPr>
          <w:t>150</w:t>
        </w:r>
        <w:r w:rsidR="008E0B00">
          <w:rPr>
            <w:webHidden/>
          </w:rPr>
          <w:fldChar w:fldCharType="end"/>
        </w:r>
      </w:hyperlink>
    </w:p>
    <w:p w14:paraId="731E362F" w14:textId="77777777" w:rsidR="008E0B00" w:rsidRDefault="00DD0356">
      <w:pPr>
        <w:pStyle w:val="TableofFigures"/>
        <w:rPr>
          <w:rFonts w:asciiTheme="minorHAnsi" w:eastAsiaTheme="minorEastAsia" w:hAnsiTheme="minorHAnsi" w:cstheme="minorBidi"/>
        </w:rPr>
      </w:pPr>
      <w:hyperlink w:anchor="_Toc460514556" w:history="1">
        <w:r w:rsidR="008E0B00" w:rsidRPr="00E01459">
          <w:rPr>
            <w:rStyle w:val="Hyperlink"/>
          </w:rPr>
          <w:t>Table 56</w:t>
        </w:r>
        <w:r w:rsidR="008E0B00">
          <w:rPr>
            <w:rFonts w:asciiTheme="minorHAnsi" w:eastAsiaTheme="minorEastAsia" w:hAnsiTheme="minorHAnsi" w:cstheme="minorBidi"/>
          </w:rPr>
          <w:tab/>
        </w:r>
        <w:r w:rsidR="008E0B00" w:rsidRPr="00E01459">
          <w:rPr>
            <w:rStyle w:val="Hyperlink"/>
          </w:rPr>
          <w:t>Frequency of adverse events associated with biopsy and treatment of prostate cancer.</w:t>
        </w:r>
        <w:r w:rsidR="008E0B00">
          <w:rPr>
            <w:webHidden/>
          </w:rPr>
          <w:tab/>
        </w:r>
        <w:r w:rsidR="008E0B00">
          <w:rPr>
            <w:webHidden/>
          </w:rPr>
          <w:fldChar w:fldCharType="begin"/>
        </w:r>
        <w:r w:rsidR="008E0B00">
          <w:rPr>
            <w:webHidden/>
          </w:rPr>
          <w:instrText xml:space="preserve"> PAGEREF _Toc460514556 \h </w:instrText>
        </w:r>
        <w:r w:rsidR="008E0B00">
          <w:rPr>
            <w:webHidden/>
          </w:rPr>
        </w:r>
        <w:r w:rsidR="008E0B00">
          <w:rPr>
            <w:webHidden/>
          </w:rPr>
          <w:fldChar w:fldCharType="separate"/>
        </w:r>
        <w:r w:rsidR="0029649D">
          <w:rPr>
            <w:webHidden/>
          </w:rPr>
          <w:t>151</w:t>
        </w:r>
        <w:r w:rsidR="008E0B00">
          <w:rPr>
            <w:webHidden/>
          </w:rPr>
          <w:fldChar w:fldCharType="end"/>
        </w:r>
      </w:hyperlink>
    </w:p>
    <w:p w14:paraId="6911AD2C" w14:textId="77777777" w:rsidR="008E0B00" w:rsidRDefault="00DD0356">
      <w:pPr>
        <w:pStyle w:val="TableofFigures"/>
        <w:rPr>
          <w:rFonts w:asciiTheme="minorHAnsi" w:eastAsiaTheme="minorEastAsia" w:hAnsiTheme="minorHAnsi" w:cstheme="minorBidi"/>
        </w:rPr>
      </w:pPr>
      <w:hyperlink w:anchor="_Toc460514557" w:history="1">
        <w:r w:rsidR="008E0B00" w:rsidRPr="00E01459">
          <w:rPr>
            <w:rStyle w:val="Hyperlink"/>
          </w:rPr>
          <w:t>Table 57</w:t>
        </w:r>
        <w:r w:rsidR="008E0B00">
          <w:rPr>
            <w:rFonts w:asciiTheme="minorHAnsi" w:eastAsiaTheme="minorEastAsia" w:hAnsiTheme="minorHAnsi" w:cstheme="minorBidi"/>
          </w:rPr>
          <w:tab/>
        </w:r>
        <w:r w:rsidR="008E0B00" w:rsidRPr="00E01459">
          <w:rPr>
            <w:rStyle w:val="Hyperlink"/>
          </w:rPr>
          <w:t>Summary of cost study by Cronin et al (2016)</w:t>
        </w:r>
        <w:r w:rsidR="008E0B00">
          <w:rPr>
            <w:webHidden/>
          </w:rPr>
          <w:tab/>
        </w:r>
        <w:r w:rsidR="008E0B00">
          <w:rPr>
            <w:webHidden/>
          </w:rPr>
          <w:fldChar w:fldCharType="begin"/>
        </w:r>
        <w:r w:rsidR="008E0B00">
          <w:rPr>
            <w:webHidden/>
          </w:rPr>
          <w:instrText xml:space="preserve"> PAGEREF _Toc460514557 \h </w:instrText>
        </w:r>
        <w:r w:rsidR="008E0B00">
          <w:rPr>
            <w:webHidden/>
          </w:rPr>
        </w:r>
        <w:r w:rsidR="008E0B00">
          <w:rPr>
            <w:webHidden/>
          </w:rPr>
          <w:fldChar w:fldCharType="separate"/>
        </w:r>
        <w:r w:rsidR="0029649D">
          <w:rPr>
            <w:webHidden/>
          </w:rPr>
          <w:t>153</w:t>
        </w:r>
        <w:r w:rsidR="008E0B00">
          <w:rPr>
            <w:webHidden/>
          </w:rPr>
          <w:fldChar w:fldCharType="end"/>
        </w:r>
      </w:hyperlink>
    </w:p>
    <w:p w14:paraId="662D53D0" w14:textId="77777777" w:rsidR="008E0B00" w:rsidRDefault="00DD0356">
      <w:pPr>
        <w:pStyle w:val="TableofFigures"/>
        <w:rPr>
          <w:rFonts w:asciiTheme="minorHAnsi" w:eastAsiaTheme="minorEastAsia" w:hAnsiTheme="minorHAnsi" w:cstheme="minorBidi"/>
        </w:rPr>
      </w:pPr>
      <w:hyperlink w:anchor="_Toc460514558" w:history="1">
        <w:r w:rsidR="008E0B00" w:rsidRPr="00E01459">
          <w:rPr>
            <w:rStyle w:val="Hyperlink"/>
          </w:rPr>
          <w:t>Table 58</w:t>
        </w:r>
        <w:r w:rsidR="008E0B00">
          <w:rPr>
            <w:rFonts w:asciiTheme="minorHAnsi" w:eastAsiaTheme="minorEastAsia" w:hAnsiTheme="minorHAnsi" w:cstheme="minorBidi"/>
          </w:rPr>
          <w:tab/>
        </w:r>
        <w:r w:rsidR="008E0B00" w:rsidRPr="00E01459">
          <w:rPr>
            <w:rStyle w:val="Hyperlink"/>
          </w:rPr>
          <w:t>Prostate cancer health care costs (initial treatment group) reported in Cronin et al (2016)</w:t>
        </w:r>
        <w:r w:rsidR="008E0B00">
          <w:rPr>
            <w:webHidden/>
          </w:rPr>
          <w:tab/>
        </w:r>
        <w:r w:rsidR="008E0B00">
          <w:rPr>
            <w:webHidden/>
          </w:rPr>
          <w:fldChar w:fldCharType="begin"/>
        </w:r>
        <w:r w:rsidR="008E0B00">
          <w:rPr>
            <w:webHidden/>
          </w:rPr>
          <w:instrText xml:space="preserve"> PAGEREF _Toc460514558 \h </w:instrText>
        </w:r>
        <w:r w:rsidR="008E0B00">
          <w:rPr>
            <w:webHidden/>
          </w:rPr>
        </w:r>
        <w:r w:rsidR="008E0B00">
          <w:rPr>
            <w:webHidden/>
          </w:rPr>
          <w:fldChar w:fldCharType="separate"/>
        </w:r>
        <w:r w:rsidR="0029649D">
          <w:rPr>
            <w:webHidden/>
          </w:rPr>
          <w:t>155</w:t>
        </w:r>
        <w:r w:rsidR="008E0B00">
          <w:rPr>
            <w:webHidden/>
          </w:rPr>
          <w:fldChar w:fldCharType="end"/>
        </w:r>
      </w:hyperlink>
    </w:p>
    <w:p w14:paraId="73F542CD" w14:textId="77777777" w:rsidR="008E0B00" w:rsidRDefault="00DD0356">
      <w:pPr>
        <w:pStyle w:val="TableofFigures"/>
        <w:rPr>
          <w:rFonts w:asciiTheme="minorHAnsi" w:eastAsiaTheme="minorEastAsia" w:hAnsiTheme="minorHAnsi" w:cstheme="minorBidi"/>
        </w:rPr>
      </w:pPr>
      <w:hyperlink w:anchor="_Toc460514559" w:history="1">
        <w:r w:rsidR="008E0B00" w:rsidRPr="00E01459">
          <w:rPr>
            <w:rStyle w:val="Hyperlink"/>
          </w:rPr>
          <w:t>Table 59</w:t>
        </w:r>
        <w:r w:rsidR="008E0B00">
          <w:rPr>
            <w:rFonts w:asciiTheme="minorHAnsi" w:eastAsiaTheme="minorEastAsia" w:hAnsiTheme="minorHAnsi" w:cstheme="minorBidi"/>
          </w:rPr>
          <w:tab/>
        </w:r>
        <w:r w:rsidR="008E0B00" w:rsidRPr="00E01459">
          <w:rPr>
            <w:rStyle w:val="Hyperlink"/>
          </w:rPr>
          <w:t>Costs in economic model</w:t>
        </w:r>
        <w:r w:rsidR="008E0B00">
          <w:rPr>
            <w:webHidden/>
          </w:rPr>
          <w:tab/>
        </w:r>
        <w:r w:rsidR="008E0B00">
          <w:rPr>
            <w:webHidden/>
          </w:rPr>
          <w:fldChar w:fldCharType="begin"/>
        </w:r>
        <w:r w:rsidR="008E0B00">
          <w:rPr>
            <w:webHidden/>
          </w:rPr>
          <w:instrText xml:space="preserve"> PAGEREF _Toc460514559 \h </w:instrText>
        </w:r>
        <w:r w:rsidR="008E0B00">
          <w:rPr>
            <w:webHidden/>
          </w:rPr>
        </w:r>
        <w:r w:rsidR="008E0B00">
          <w:rPr>
            <w:webHidden/>
          </w:rPr>
          <w:fldChar w:fldCharType="separate"/>
        </w:r>
        <w:r w:rsidR="0029649D">
          <w:rPr>
            <w:webHidden/>
          </w:rPr>
          <w:t>156</w:t>
        </w:r>
        <w:r w:rsidR="008E0B00">
          <w:rPr>
            <w:webHidden/>
          </w:rPr>
          <w:fldChar w:fldCharType="end"/>
        </w:r>
      </w:hyperlink>
    </w:p>
    <w:p w14:paraId="2310B66C" w14:textId="77777777" w:rsidR="008E0B00" w:rsidRDefault="00DD0356">
      <w:pPr>
        <w:pStyle w:val="TableofFigures"/>
        <w:rPr>
          <w:rFonts w:asciiTheme="minorHAnsi" w:eastAsiaTheme="minorEastAsia" w:hAnsiTheme="minorHAnsi" w:cstheme="minorBidi"/>
        </w:rPr>
      </w:pPr>
      <w:hyperlink w:anchor="_Toc460514560" w:history="1">
        <w:r w:rsidR="008E0B00" w:rsidRPr="00E01459">
          <w:rPr>
            <w:rStyle w:val="Hyperlink"/>
          </w:rPr>
          <w:t>Table 60</w:t>
        </w:r>
        <w:r w:rsidR="008E0B00">
          <w:rPr>
            <w:rFonts w:asciiTheme="minorHAnsi" w:eastAsiaTheme="minorEastAsia" w:hAnsiTheme="minorHAnsi" w:cstheme="minorBidi"/>
          </w:rPr>
          <w:tab/>
        </w:r>
        <w:r w:rsidR="008E0B00" w:rsidRPr="00E01459">
          <w:rPr>
            <w:rStyle w:val="Hyperlink"/>
          </w:rPr>
          <w:t>Utility values used in the economic model</w:t>
        </w:r>
        <w:r w:rsidR="008E0B00">
          <w:rPr>
            <w:webHidden/>
          </w:rPr>
          <w:tab/>
        </w:r>
        <w:r w:rsidR="008E0B00">
          <w:rPr>
            <w:webHidden/>
          </w:rPr>
          <w:fldChar w:fldCharType="begin"/>
        </w:r>
        <w:r w:rsidR="008E0B00">
          <w:rPr>
            <w:webHidden/>
          </w:rPr>
          <w:instrText xml:space="preserve"> PAGEREF _Toc460514560 \h </w:instrText>
        </w:r>
        <w:r w:rsidR="008E0B00">
          <w:rPr>
            <w:webHidden/>
          </w:rPr>
        </w:r>
        <w:r w:rsidR="008E0B00">
          <w:rPr>
            <w:webHidden/>
          </w:rPr>
          <w:fldChar w:fldCharType="separate"/>
        </w:r>
        <w:r w:rsidR="0029649D">
          <w:rPr>
            <w:webHidden/>
          </w:rPr>
          <w:t>157</w:t>
        </w:r>
        <w:r w:rsidR="008E0B00">
          <w:rPr>
            <w:webHidden/>
          </w:rPr>
          <w:fldChar w:fldCharType="end"/>
        </w:r>
      </w:hyperlink>
    </w:p>
    <w:p w14:paraId="53332221" w14:textId="77777777" w:rsidR="008E0B00" w:rsidRDefault="00DD0356">
      <w:pPr>
        <w:pStyle w:val="TableofFigures"/>
        <w:rPr>
          <w:rFonts w:asciiTheme="minorHAnsi" w:eastAsiaTheme="minorEastAsia" w:hAnsiTheme="minorHAnsi" w:cstheme="minorBidi"/>
        </w:rPr>
      </w:pPr>
      <w:hyperlink w:anchor="_Toc460514561" w:history="1">
        <w:r w:rsidR="008E0B00" w:rsidRPr="00E01459">
          <w:rPr>
            <w:rStyle w:val="Hyperlink"/>
          </w:rPr>
          <w:t xml:space="preserve">Table 61 </w:t>
        </w:r>
        <w:r w:rsidR="008E0B00">
          <w:rPr>
            <w:rFonts w:asciiTheme="minorHAnsi" w:eastAsiaTheme="minorEastAsia" w:hAnsiTheme="minorHAnsi" w:cstheme="minorBidi"/>
          </w:rPr>
          <w:tab/>
        </w:r>
        <w:r w:rsidR="008E0B00" w:rsidRPr="00E01459">
          <w:rPr>
            <w:rStyle w:val="Hyperlink"/>
          </w:rPr>
          <w:t>Results of the economic evaluation</w:t>
        </w:r>
        <w:r w:rsidR="008E0B00">
          <w:rPr>
            <w:webHidden/>
          </w:rPr>
          <w:tab/>
        </w:r>
        <w:r w:rsidR="008E0B00">
          <w:rPr>
            <w:webHidden/>
          </w:rPr>
          <w:fldChar w:fldCharType="begin"/>
        </w:r>
        <w:r w:rsidR="008E0B00">
          <w:rPr>
            <w:webHidden/>
          </w:rPr>
          <w:instrText xml:space="preserve"> PAGEREF _Toc460514561 \h </w:instrText>
        </w:r>
        <w:r w:rsidR="008E0B00">
          <w:rPr>
            <w:webHidden/>
          </w:rPr>
        </w:r>
        <w:r w:rsidR="008E0B00">
          <w:rPr>
            <w:webHidden/>
          </w:rPr>
          <w:fldChar w:fldCharType="separate"/>
        </w:r>
        <w:r w:rsidR="0029649D">
          <w:rPr>
            <w:webHidden/>
          </w:rPr>
          <w:t>158</w:t>
        </w:r>
        <w:r w:rsidR="008E0B00">
          <w:rPr>
            <w:webHidden/>
          </w:rPr>
          <w:fldChar w:fldCharType="end"/>
        </w:r>
      </w:hyperlink>
    </w:p>
    <w:p w14:paraId="6BB11E1B" w14:textId="77777777" w:rsidR="008E0B00" w:rsidRDefault="00DD0356">
      <w:pPr>
        <w:pStyle w:val="TableofFigures"/>
        <w:rPr>
          <w:rFonts w:asciiTheme="minorHAnsi" w:eastAsiaTheme="minorEastAsia" w:hAnsiTheme="minorHAnsi" w:cstheme="minorBidi"/>
        </w:rPr>
      </w:pPr>
      <w:hyperlink w:anchor="_Toc460514562" w:history="1">
        <w:r w:rsidR="008E0B00" w:rsidRPr="00E01459">
          <w:rPr>
            <w:rStyle w:val="Hyperlink"/>
          </w:rPr>
          <w:t>Table 62</w:t>
        </w:r>
        <w:r w:rsidR="008E0B00">
          <w:rPr>
            <w:rFonts w:asciiTheme="minorHAnsi" w:eastAsiaTheme="minorEastAsia" w:hAnsiTheme="minorHAnsi" w:cstheme="minorBidi"/>
          </w:rPr>
          <w:tab/>
        </w:r>
        <w:r w:rsidR="008E0B00" w:rsidRPr="00E01459">
          <w:rPr>
            <w:rStyle w:val="Hyperlink"/>
            <w:rFonts w:cs="Arial"/>
            <w:snapToGrid w:val="0"/>
            <w:lang w:eastAsia="en-US"/>
          </w:rPr>
          <w:t>Key drivers of the economic model</w:t>
        </w:r>
        <w:r w:rsidR="008E0B00">
          <w:rPr>
            <w:webHidden/>
          </w:rPr>
          <w:tab/>
        </w:r>
        <w:r w:rsidR="008E0B00">
          <w:rPr>
            <w:webHidden/>
          </w:rPr>
          <w:fldChar w:fldCharType="begin"/>
        </w:r>
        <w:r w:rsidR="008E0B00">
          <w:rPr>
            <w:webHidden/>
          </w:rPr>
          <w:instrText xml:space="preserve"> PAGEREF _Toc460514562 \h </w:instrText>
        </w:r>
        <w:r w:rsidR="008E0B00">
          <w:rPr>
            <w:webHidden/>
          </w:rPr>
        </w:r>
        <w:r w:rsidR="008E0B00">
          <w:rPr>
            <w:webHidden/>
          </w:rPr>
          <w:fldChar w:fldCharType="separate"/>
        </w:r>
        <w:r w:rsidR="0029649D">
          <w:rPr>
            <w:webHidden/>
          </w:rPr>
          <w:t>160</w:t>
        </w:r>
        <w:r w:rsidR="008E0B00">
          <w:rPr>
            <w:webHidden/>
          </w:rPr>
          <w:fldChar w:fldCharType="end"/>
        </w:r>
      </w:hyperlink>
    </w:p>
    <w:p w14:paraId="04DCF503" w14:textId="77777777" w:rsidR="008E0B00" w:rsidRDefault="00DD0356">
      <w:pPr>
        <w:pStyle w:val="TableofFigures"/>
        <w:rPr>
          <w:rFonts w:asciiTheme="minorHAnsi" w:eastAsiaTheme="minorEastAsia" w:hAnsiTheme="minorHAnsi" w:cstheme="minorBidi"/>
        </w:rPr>
      </w:pPr>
      <w:hyperlink w:anchor="_Toc460514563" w:history="1">
        <w:r w:rsidR="008E0B00" w:rsidRPr="00E01459">
          <w:rPr>
            <w:rStyle w:val="Hyperlink"/>
          </w:rPr>
          <w:t>Table 63</w:t>
        </w:r>
        <w:r w:rsidR="008E0B00">
          <w:rPr>
            <w:rFonts w:asciiTheme="minorHAnsi" w:eastAsiaTheme="minorEastAsia" w:hAnsiTheme="minorHAnsi" w:cstheme="minorBidi"/>
          </w:rPr>
          <w:tab/>
        </w:r>
        <w:r w:rsidR="008E0B00" w:rsidRPr="00E01459">
          <w:rPr>
            <w:rStyle w:val="Hyperlink"/>
          </w:rPr>
          <w:t>Summary of data sources used</w:t>
        </w:r>
        <w:r w:rsidR="008E0B00">
          <w:rPr>
            <w:webHidden/>
          </w:rPr>
          <w:tab/>
        </w:r>
        <w:r w:rsidR="008E0B00">
          <w:rPr>
            <w:webHidden/>
          </w:rPr>
          <w:fldChar w:fldCharType="begin"/>
        </w:r>
        <w:r w:rsidR="008E0B00">
          <w:rPr>
            <w:webHidden/>
          </w:rPr>
          <w:instrText xml:space="preserve"> PAGEREF _Toc460514563 \h </w:instrText>
        </w:r>
        <w:r w:rsidR="008E0B00">
          <w:rPr>
            <w:webHidden/>
          </w:rPr>
        </w:r>
        <w:r w:rsidR="008E0B00">
          <w:rPr>
            <w:webHidden/>
          </w:rPr>
          <w:fldChar w:fldCharType="separate"/>
        </w:r>
        <w:r w:rsidR="0029649D">
          <w:rPr>
            <w:webHidden/>
          </w:rPr>
          <w:t>161</w:t>
        </w:r>
        <w:r w:rsidR="008E0B00">
          <w:rPr>
            <w:webHidden/>
          </w:rPr>
          <w:fldChar w:fldCharType="end"/>
        </w:r>
      </w:hyperlink>
    </w:p>
    <w:p w14:paraId="2BB029AA" w14:textId="77777777" w:rsidR="008E0B00" w:rsidRDefault="00DD0356">
      <w:pPr>
        <w:pStyle w:val="TableofFigures"/>
        <w:rPr>
          <w:rFonts w:asciiTheme="minorHAnsi" w:eastAsiaTheme="minorEastAsia" w:hAnsiTheme="minorHAnsi" w:cstheme="minorBidi"/>
        </w:rPr>
      </w:pPr>
      <w:hyperlink w:anchor="_Toc460514564" w:history="1">
        <w:r w:rsidR="008E0B00" w:rsidRPr="00E01459">
          <w:rPr>
            <w:rStyle w:val="Hyperlink"/>
          </w:rPr>
          <w:t>Table 64</w:t>
        </w:r>
        <w:r w:rsidR="008E0B00">
          <w:rPr>
            <w:rFonts w:asciiTheme="minorHAnsi" w:eastAsiaTheme="minorEastAsia" w:hAnsiTheme="minorHAnsi" w:cstheme="minorBidi"/>
          </w:rPr>
          <w:tab/>
        </w:r>
        <w:r w:rsidR="008E0B00" w:rsidRPr="00E01459">
          <w:rPr>
            <w:rStyle w:val="Hyperlink"/>
          </w:rPr>
          <w:t>Use and costs of mpMRI</w:t>
        </w:r>
        <w:r w:rsidR="008E0B00">
          <w:rPr>
            <w:webHidden/>
          </w:rPr>
          <w:tab/>
        </w:r>
        <w:r w:rsidR="008E0B00">
          <w:rPr>
            <w:webHidden/>
          </w:rPr>
          <w:fldChar w:fldCharType="begin"/>
        </w:r>
        <w:r w:rsidR="008E0B00">
          <w:rPr>
            <w:webHidden/>
          </w:rPr>
          <w:instrText xml:space="preserve"> PAGEREF _Toc460514564 \h </w:instrText>
        </w:r>
        <w:r w:rsidR="008E0B00">
          <w:rPr>
            <w:webHidden/>
          </w:rPr>
        </w:r>
        <w:r w:rsidR="008E0B00">
          <w:rPr>
            <w:webHidden/>
          </w:rPr>
          <w:fldChar w:fldCharType="separate"/>
        </w:r>
        <w:r w:rsidR="0029649D">
          <w:rPr>
            <w:webHidden/>
          </w:rPr>
          <w:t>163</w:t>
        </w:r>
        <w:r w:rsidR="008E0B00">
          <w:rPr>
            <w:webHidden/>
          </w:rPr>
          <w:fldChar w:fldCharType="end"/>
        </w:r>
      </w:hyperlink>
    </w:p>
    <w:p w14:paraId="203B33BB" w14:textId="77777777" w:rsidR="008E0B00" w:rsidRDefault="00DD0356">
      <w:pPr>
        <w:pStyle w:val="TableofFigures"/>
        <w:rPr>
          <w:rFonts w:asciiTheme="minorHAnsi" w:eastAsiaTheme="minorEastAsia" w:hAnsiTheme="minorHAnsi" w:cstheme="minorBidi"/>
        </w:rPr>
      </w:pPr>
      <w:hyperlink w:anchor="_Toc460514565" w:history="1">
        <w:r w:rsidR="008E0B00" w:rsidRPr="00E01459">
          <w:rPr>
            <w:rStyle w:val="Hyperlink"/>
          </w:rPr>
          <w:t>Table 65</w:t>
        </w:r>
        <w:r w:rsidR="008E0B00">
          <w:rPr>
            <w:rFonts w:asciiTheme="minorHAnsi" w:eastAsiaTheme="minorEastAsia" w:hAnsiTheme="minorHAnsi" w:cstheme="minorBidi"/>
          </w:rPr>
          <w:tab/>
        </w:r>
        <w:r w:rsidR="008E0B00" w:rsidRPr="00E01459">
          <w:rPr>
            <w:rStyle w:val="Hyperlink"/>
          </w:rPr>
          <w:t>Changes in use and costs of other medical services</w:t>
        </w:r>
        <w:r w:rsidR="008E0B00">
          <w:rPr>
            <w:webHidden/>
          </w:rPr>
          <w:tab/>
        </w:r>
        <w:r w:rsidR="008E0B00">
          <w:rPr>
            <w:webHidden/>
          </w:rPr>
          <w:fldChar w:fldCharType="begin"/>
        </w:r>
        <w:r w:rsidR="008E0B00">
          <w:rPr>
            <w:webHidden/>
          </w:rPr>
          <w:instrText xml:space="preserve"> PAGEREF _Toc460514565 \h </w:instrText>
        </w:r>
        <w:r w:rsidR="008E0B00">
          <w:rPr>
            <w:webHidden/>
          </w:rPr>
        </w:r>
        <w:r w:rsidR="008E0B00">
          <w:rPr>
            <w:webHidden/>
          </w:rPr>
          <w:fldChar w:fldCharType="separate"/>
        </w:r>
        <w:r w:rsidR="0029649D">
          <w:rPr>
            <w:webHidden/>
          </w:rPr>
          <w:t>165</w:t>
        </w:r>
        <w:r w:rsidR="008E0B00">
          <w:rPr>
            <w:webHidden/>
          </w:rPr>
          <w:fldChar w:fldCharType="end"/>
        </w:r>
      </w:hyperlink>
    </w:p>
    <w:p w14:paraId="1A3C3FAA" w14:textId="77777777" w:rsidR="008E0B00" w:rsidRDefault="00DD0356">
      <w:pPr>
        <w:pStyle w:val="TableofFigures"/>
        <w:rPr>
          <w:rFonts w:asciiTheme="minorHAnsi" w:eastAsiaTheme="minorEastAsia" w:hAnsiTheme="minorHAnsi" w:cstheme="minorBidi"/>
        </w:rPr>
      </w:pPr>
      <w:hyperlink w:anchor="_Toc460514566" w:history="1">
        <w:r w:rsidR="008E0B00" w:rsidRPr="00E01459">
          <w:rPr>
            <w:rStyle w:val="Hyperlink"/>
          </w:rPr>
          <w:t>Table 66</w:t>
        </w:r>
        <w:r w:rsidR="008E0B00">
          <w:rPr>
            <w:rFonts w:asciiTheme="minorHAnsi" w:eastAsiaTheme="minorEastAsia" w:hAnsiTheme="minorHAnsi" w:cstheme="minorBidi"/>
          </w:rPr>
          <w:tab/>
        </w:r>
        <w:r w:rsidR="008E0B00" w:rsidRPr="00E01459">
          <w:rPr>
            <w:rStyle w:val="Hyperlink"/>
          </w:rPr>
          <w:t>Total costs to the MBS associated with mpMRI for prostate cancer.</w:t>
        </w:r>
        <w:r w:rsidR="008E0B00">
          <w:rPr>
            <w:webHidden/>
          </w:rPr>
          <w:tab/>
        </w:r>
        <w:r w:rsidR="008E0B00">
          <w:rPr>
            <w:webHidden/>
          </w:rPr>
          <w:fldChar w:fldCharType="begin"/>
        </w:r>
        <w:r w:rsidR="008E0B00">
          <w:rPr>
            <w:webHidden/>
          </w:rPr>
          <w:instrText xml:space="preserve"> PAGEREF _Toc460514566 \h </w:instrText>
        </w:r>
        <w:r w:rsidR="008E0B00">
          <w:rPr>
            <w:webHidden/>
          </w:rPr>
        </w:r>
        <w:r w:rsidR="008E0B00">
          <w:rPr>
            <w:webHidden/>
          </w:rPr>
          <w:fldChar w:fldCharType="separate"/>
        </w:r>
        <w:r w:rsidR="0029649D">
          <w:rPr>
            <w:webHidden/>
          </w:rPr>
          <w:t>166</w:t>
        </w:r>
        <w:r w:rsidR="008E0B00">
          <w:rPr>
            <w:webHidden/>
          </w:rPr>
          <w:fldChar w:fldCharType="end"/>
        </w:r>
      </w:hyperlink>
    </w:p>
    <w:p w14:paraId="14630F1D" w14:textId="77777777" w:rsidR="008E0B00" w:rsidRDefault="00DD0356">
      <w:pPr>
        <w:pStyle w:val="TableofFigures"/>
        <w:rPr>
          <w:rFonts w:asciiTheme="minorHAnsi" w:eastAsiaTheme="minorEastAsia" w:hAnsiTheme="minorHAnsi" w:cstheme="minorBidi"/>
        </w:rPr>
      </w:pPr>
      <w:hyperlink w:anchor="_Toc460514567" w:history="1">
        <w:r w:rsidR="008E0B00" w:rsidRPr="00E01459">
          <w:rPr>
            <w:rStyle w:val="Hyperlink"/>
          </w:rPr>
          <w:t>Table 67</w:t>
        </w:r>
        <w:r w:rsidR="008E0B00">
          <w:rPr>
            <w:rFonts w:asciiTheme="minorHAnsi" w:eastAsiaTheme="minorEastAsia" w:hAnsiTheme="minorHAnsi" w:cstheme="minorBidi"/>
          </w:rPr>
          <w:tab/>
        </w:r>
        <w:r w:rsidR="008E0B00" w:rsidRPr="00E01459">
          <w:rPr>
            <w:rStyle w:val="Hyperlink"/>
          </w:rPr>
          <w:t>Sensitivity analyses: Total costs to the MBS associated with mpMRI for prostate cancer</w:t>
        </w:r>
        <w:r w:rsidR="008E0B00">
          <w:rPr>
            <w:webHidden/>
          </w:rPr>
          <w:tab/>
        </w:r>
        <w:r w:rsidR="008E0B00">
          <w:rPr>
            <w:webHidden/>
          </w:rPr>
          <w:fldChar w:fldCharType="begin"/>
        </w:r>
        <w:r w:rsidR="008E0B00">
          <w:rPr>
            <w:webHidden/>
          </w:rPr>
          <w:instrText xml:space="preserve"> PAGEREF _Toc460514567 \h </w:instrText>
        </w:r>
        <w:r w:rsidR="008E0B00">
          <w:rPr>
            <w:webHidden/>
          </w:rPr>
        </w:r>
        <w:r w:rsidR="008E0B00">
          <w:rPr>
            <w:webHidden/>
          </w:rPr>
          <w:fldChar w:fldCharType="separate"/>
        </w:r>
        <w:r w:rsidR="0029649D">
          <w:rPr>
            <w:webHidden/>
          </w:rPr>
          <w:t>167</w:t>
        </w:r>
        <w:r w:rsidR="008E0B00">
          <w:rPr>
            <w:webHidden/>
          </w:rPr>
          <w:fldChar w:fldCharType="end"/>
        </w:r>
      </w:hyperlink>
    </w:p>
    <w:p w14:paraId="37478169" w14:textId="77777777" w:rsidR="008E0B00" w:rsidRDefault="00DD0356">
      <w:pPr>
        <w:pStyle w:val="TableofFigures"/>
        <w:rPr>
          <w:rFonts w:asciiTheme="minorHAnsi" w:eastAsiaTheme="minorEastAsia" w:hAnsiTheme="minorHAnsi" w:cstheme="minorBidi"/>
        </w:rPr>
      </w:pPr>
      <w:hyperlink w:anchor="_Toc460514568" w:history="1">
        <w:r w:rsidR="008E0B00" w:rsidRPr="00E01459">
          <w:rPr>
            <w:rStyle w:val="Hyperlink"/>
          </w:rPr>
          <w:t>Table 68</w:t>
        </w:r>
        <w:r w:rsidR="008E0B00">
          <w:rPr>
            <w:rFonts w:asciiTheme="minorHAnsi" w:eastAsiaTheme="minorEastAsia" w:hAnsiTheme="minorHAnsi" w:cstheme="minorBidi"/>
          </w:rPr>
          <w:tab/>
        </w:r>
        <w:r w:rsidR="008E0B00" w:rsidRPr="00E01459">
          <w:rPr>
            <w:rStyle w:val="Hyperlink"/>
          </w:rPr>
          <w:t>Electronic databases searched</w:t>
        </w:r>
        <w:r w:rsidR="008E0B00">
          <w:rPr>
            <w:webHidden/>
          </w:rPr>
          <w:tab/>
        </w:r>
        <w:r w:rsidR="008E0B00">
          <w:rPr>
            <w:webHidden/>
          </w:rPr>
          <w:fldChar w:fldCharType="begin"/>
        </w:r>
        <w:r w:rsidR="008E0B00">
          <w:rPr>
            <w:webHidden/>
          </w:rPr>
          <w:instrText xml:space="preserve"> PAGEREF _Toc460514568 \h </w:instrText>
        </w:r>
        <w:r w:rsidR="008E0B00">
          <w:rPr>
            <w:webHidden/>
          </w:rPr>
        </w:r>
        <w:r w:rsidR="008E0B00">
          <w:rPr>
            <w:webHidden/>
          </w:rPr>
          <w:fldChar w:fldCharType="separate"/>
        </w:r>
        <w:r w:rsidR="0029649D">
          <w:rPr>
            <w:webHidden/>
          </w:rPr>
          <w:t>169</w:t>
        </w:r>
        <w:r w:rsidR="008E0B00">
          <w:rPr>
            <w:webHidden/>
          </w:rPr>
          <w:fldChar w:fldCharType="end"/>
        </w:r>
      </w:hyperlink>
    </w:p>
    <w:p w14:paraId="4D3C639F" w14:textId="77777777" w:rsidR="008E0B00" w:rsidRDefault="00DD0356">
      <w:pPr>
        <w:pStyle w:val="TableofFigures"/>
        <w:rPr>
          <w:rFonts w:asciiTheme="minorHAnsi" w:eastAsiaTheme="minorEastAsia" w:hAnsiTheme="minorHAnsi" w:cstheme="minorBidi"/>
        </w:rPr>
      </w:pPr>
      <w:hyperlink w:anchor="_Toc460514569" w:history="1">
        <w:r w:rsidR="008E0B00" w:rsidRPr="00E01459">
          <w:rPr>
            <w:rStyle w:val="Hyperlink"/>
          </w:rPr>
          <w:t>Table 69</w:t>
        </w:r>
        <w:r w:rsidR="008E0B00">
          <w:rPr>
            <w:rFonts w:asciiTheme="minorHAnsi" w:eastAsiaTheme="minorEastAsia" w:hAnsiTheme="minorHAnsi" w:cstheme="minorBidi"/>
          </w:rPr>
          <w:tab/>
        </w:r>
        <w:r w:rsidR="008E0B00" w:rsidRPr="00E01459">
          <w:rPr>
            <w:rStyle w:val="Hyperlink"/>
          </w:rPr>
          <w:t>Website searched for this assessment</w:t>
        </w:r>
        <w:r w:rsidR="008E0B00">
          <w:rPr>
            <w:webHidden/>
          </w:rPr>
          <w:tab/>
        </w:r>
        <w:r w:rsidR="008E0B00">
          <w:rPr>
            <w:webHidden/>
          </w:rPr>
          <w:fldChar w:fldCharType="begin"/>
        </w:r>
        <w:r w:rsidR="008E0B00">
          <w:rPr>
            <w:webHidden/>
          </w:rPr>
          <w:instrText xml:space="preserve"> PAGEREF _Toc460514569 \h </w:instrText>
        </w:r>
        <w:r w:rsidR="008E0B00">
          <w:rPr>
            <w:webHidden/>
          </w:rPr>
        </w:r>
        <w:r w:rsidR="008E0B00">
          <w:rPr>
            <w:webHidden/>
          </w:rPr>
          <w:fldChar w:fldCharType="separate"/>
        </w:r>
        <w:r w:rsidR="0029649D">
          <w:rPr>
            <w:webHidden/>
          </w:rPr>
          <w:t>169</w:t>
        </w:r>
        <w:r w:rsidR="008E0B00">
          <w:rPr>
            <w:webHidden/>
          </w:rPr>
          <w:fldChar w:fldCharType="end"/>
        </w:r>
      </w:hyperlink>
    </w:p>
    <w:p w14:paraId="20C6B9BC" w14:textId="77777777" w:rsidR="008E0B00" w:rsidRDefault="00DD0356">
      <w:pPr>
        <w:pStyle w:val="TableofFigures"/>
        <w:rPr>
          <w:rFonts w:asciiTheme="minorHAnsi" w:eastAsiaTheme="minorEastAsia" w:hAnsiTheme="minorHAnsi" w:cstheme="minorBidi"/>
        </w:rPr>
      </w:pPr>
      <w:hyperlink w:anchor="_Toc460514570" w:history="1">
        <w:r w:rsidR="008E0B00" w:rsidRPr="00E01459">
          <w:rPr>
            <w:rStyle w:val="Hyperlink"/>
          </w:rPr>
          <w:t>Table 70</w:t>
        </w:r>
        <w:r w:rsidR="008E0B00">
          <w:rPr>
            <w:rFonts w:asciiTheme="minorHAnsi" w:eastAsiaTheme="minorEastAsia" w:hAnsiTheme="minorHAnsi" w:cstheme="minorBidi"/>
          </w:rPr>
          <w:tab/>
        </w:r>
        <w:r w:rsidR="008E0B00" w:rsidRPr="00E01459">
          <w:rPr>
            <w:rStyle w:val="Hyperlink"/>
          </w:rPr>
          <w:t>Studies reporting diagnostc accuracy data on the use of mpMRI in Population 1</w:t>
        </w:r>
        <w:r w:rsidR="008E0B00">
          <w:rPr>
            <w:webHidden/>
          </w:rPr>
          <w:tab/>
        </w:r>
        <w:r w:rsidR="008E0B00">
          <w:rPr>
            <w:webHidden/>
          </w:rPr>
          <w:fldChar w:fldCharType="begin"/>
        </w:r>
        <w:r w:rsidR="008E0B00">
          <w:rPr>
            <w:webHidden/>
          </w:rPr>
          <w:instrText xml:space="preserve"> PAGEREF _Toc460514570 \h </w:instrText>
        </w:r>
        <w:r w:rsidR="008E0B00">
          <w:rPr>
            <w:webHidden/>
          </w:rPr>
        </w:r>
        <w:r w:rsidR="008E0B00">
          <w:rPr>
            <w:webHidden/>
          </w:rPr>
          <w:fldChar w:fldCharType="separate"/>
        </w:r>
        <w:r w:rsidR="0029649D">
          <w:rPr>
            <w:webHidden/>
          </w:rPr>
          <w:t>170</w:t>
        </w:r>
        <w:r w:rsidR="008E0B00">
          <w:rPr>
            <w:webHidden/>
          </w:rPr>
          <w:fldChar w:fldCharType="end"/>
        </w:r>
      </w:hyperlink>
    </w:p>
    <w:p w14:paraId="02D01527" w14:textId="77777777" w:rsidR="008E0B00" w:rsidRDefault="00DD0356">
      <w:pPr>
        <w:pStyle w:val="TableofFigures"/>
        <w:rPr>
          <w:rFonts w:asciiTheme="minorHAnsi" w:eastAsiaTheme="minorEastAsia" w:hAnsiTheme="minorHAnsi" w:cstheme="minorBidi"/>
        </w:rPr>
      </w:pPr>
      <w:hyperlink w:anchor="_Toc460514571" w:history="1">
        <w:r w:rsidR="008E0B00" w:rsidRPr="00E01459">
          <w:rPr>
            <w:rStyle w:val="Hyperlink"/>
          </w:rPr>
          <w:t>Table 71</w:t>
        </w:r>
        <w:r w:rsidR="008E0B00">
          <w:rPr>
            <w:rFonts w:asciiTheme="minorHAnsi" w:eastAsiaTheme="minorEastAsia" w:hAnsiTheme="minorHAnsi" w:cstheme="minorBidi"/>
          </w:rPr>
          <w:tab/>
        </w:r>
        <w:r w:rsidR="008E0B00" w:rsidRPr="00E01459">
          <w:rPr>
            <w:rStyle w:val="Hyperlink"/>
          </w:rPr>
          <w:t>Studies reporting diagnostic accuracy data on the use of mpMRI in Population 2</w:t>
        </w:r>
        <w:r w:rsidR="008E0B00">
          <w:rPr>
            <w:webHidden/>
          </w:rPr>
          <w:tab/>
        </w:r>
        <w:r w:rsidR="008E0B00">
          <w:rPr>
            <w:webHidden/>
          </w:rPr>
          <w:fldChar w:fldCharType="begin"/>
        </w:r>
        <w:r w:rsidR="008E0B00">
          <w:rPr>
            <w:webHidden/>
          </w:rPr>
          <w:instrText xml:space="preserve"> PAGEREF _Toc460514571 \h </w:instrText>
        </w:r>
        <w:r w:rsidR="008E0B00">
          <w:rPr>
            <w:webHidden/>
          </w:rPr>
        </w:r>
        <w:r w:rsidR="008E0B00">
          <w:rPr>
            <w:webHidden/>
          </w:rPr>
          <w:fldChar w:fldCharType="separate"/>
        </w:r>
        <w:r w:rsidR="0029649D">
          <w:rPr>
            <w:webHidden/>
          </w:rPr>
          <w:t>177</w:t>
        </w:r>
        <w:r w:rsidR="008E0B00">
          <w:rPr>
            <w:webHidden/>
          </w:rPr>
          <w:fldChar w:fldCharType="end"/>
        </w:r>
      </w:hyperlink>
    </w:p>
    <w:p w14:paraId="03C820F5" w14:textId="77777777" w:rsidR="008E0B00" w:rsidRDefault="00DD0356">
      <w:pPr>
        <w:pStyle w:val="TableofFigures"/>
        <w:rPr>
          <w:rFonts w:asciiTheme="minorHAnsi" w:eastAsiaTheme="minorEastAsia" w:hAnsiTheme="minorHAnsi" w:cstheme="minorBidi"/>
        </w:rPr>
      </w:pPr>
      <w:hyperlink w:anchor="_Toc460514572" w:history="1">
        <w:r w:rsidR="008E0B00" w:rsidRPr="00E01459">
          <w:rPr>
            <w:rStyle w:val="Hyperlink"/>
          </w:rPr>
          <w:t>Table 72</w:t>
        </w:r>
        <w:r w:rsidR="008E0B00">
          <w:rPr>
            <w:rFonts w:asciiTheme="minorHAnsi" w:eastAsiaTheme="minorEastAsia" w:hAnsiTheme="minorHAnsi" w:cstheme="minorBidi"/>
          </w:rPr>
          <w:tab/>
        </w:r>
        <w:r w:rsidR="008E0B00" w:rsidRPr="00E01459">
          <w:rPr>
            <w:rStyle w:val="Hyperlink"/>
          </w:rPr>
          <w:t>Studies reprting patinet outcomes due to delayed treatment of PCa</w:t>
        </w:r>
        <w:r w:rsidR="008E0B00">
          <w:rPr>
            <w:webHidden/>
          </w:rPr>
          <w:tab/>
        </w:r>
        <w:r w:rsidR="008E0B00">
          <w:rPr>
            <w:webHidden/>
          </w:rPr>
          <w:fldChar w:fldCharType="begin"/>
        </w:r>
        <w:r w:rsidR="008E0B00">
          <w:rPr>
            <w:webHidden/>
          </w:rPr>
          <w:instrText xml:space="preserve"> PAGEREF _Toc460514572 \h </w:instrText>
        </w:r>
        <w:r w:rsidR="008E0B00">
          <w:rPr>
            <w:webHidden/>
          </w:rPr>
        </w:r>
        <w:r w:rsidR="008E0B00">
          <w:rPr>
            <w:webHidden/>
          </w:rPr>
          <w:fldChar w:fldCharType="separate"/>
        </w:r>
        <w:r w:rsidR="0029649D">
          <w:rPr>
            <w:webHidden/>
          </w:rPr>
          <w:t>181</w:t>
        </w:r>
        <w:r w:rsidR="008E0B00">
          <w:rPr>
            <w:webHidden/>
          </w:rPr>
          <w:fldChar w:fldCharType="end"/>
        </w:r>
      </w:hyperlink>
    </w:p>
    <w:p w14:paraId="2FA51BCB" w14:textId="77777777" w:rsidR="008E0B00" w:rsidRDefault="00DD0356">
      <w:pPr>
        <w:pStyle w:val="TableofFigures"/>
        <w:rPr>
          <w:rFonts w:asciiTheme="minorHAnsi" w:eastAsiaTheme="minorEastAsia" w:hAnsiTheme="minorHAnsi" w:cstheme="minorBidi"/>
        </w:rPr>
      </w:pPr>
      <w:hyperlink w:anchor="_Toc460514573" w:history="1">
        <w:r w:rsidR="008E0B00" w:rsidRPr="00E01459">
          <w:rPr>
            <w:rStyle w:val="Hyperlink"/>
          </w:rPr>
          <w:t>Table 73</w:t>
        </w:r>
        <w:r w:rsidR="008E0B00">
          <w:rPr>
            <w:rFonts w:asciiTheme="minorHAnsi" w:eastAsiaTheme="minorEastAsia" w:hAnsiTheme="minorHAnsi" w:cstheme="minorBidi"/>
          </w:rPr>
          <w:tab/>
        </w:r>
        <w:r w:rsidR="008E0B00" w:rsidRPr="00E01459">
          <w:rPr>
            <w:rStyle w:val="Hyperlink"/>
          </w:rPr>
          <w:t>Studies rpeorting safety outcomes associated with TRUSGB</w:t>
        </w:r>
        <w:r w:rsidR="008E0B00">
          <w:rPr>
            <w:webHidden/>
          </w:rPr>
          <w:tab/>
        </w:r>
        <w:r w:rsidR="008E0B00">
          <w:rPr>
            <w:webHidden/>
          </w:rPr>
          <w:fldChar w:fldCharType="begin"/>
        </w:r>
        <w:r w:rsidR="008E0B00">
          <w:rPr>
            <w:webHidden/>
          </w:rPr>
          <w:instrText xml:space="preserve"> PAGEREF _Toc460514573 \h </w:instrText>
        </w:r>
        <w:r w:rsidR="008E0B00">
          <w:rPr>
            <w:webHidden/>
          </w:rPr>
        </w:r>
        <w:r w:rsidR="008E0B00">
          <w:rPr>
            <w:webHidden/>
          </w:rPr>
          <w:fldChar w:fldCharType="separate"/>
        </w:r>
        <w:r w:rsidR="0029649D">
          <w:rPr>
            <w:webHidden/>
          </w:rPr>
          <w:t>183</w:t>
        </w:r>
        <w:r w:rsidR="008E0B00">
          <w:rPr>
            <w:webHidden/>
          </w:rPr>
          <w:fldChar w:fldCharType="end"/>
        </w:r>
      </w:hyperlink>
    </w:p>
    <w:p w14:paraId="6C27FB7A" w14:textId="77777777" w:rsidR="008E0B00" w:rsidRDefault="00DD0356">
      <w:pPr>
        <w:pStyle w:val="TableofFigures"/>
        <w:rPr>
          <w:rFonts w:asciiTheme="minorHAnsi" w:eastAsiaTheme="minorEastAsia" w:hAnsiTheme="minorHAnsi" w:cstheme="minorBidi"/>
        </w:rPr>
      </w:pPr>
      <w:hyperlink w:anchor="_Toc460514574" w:history="1">
        <w:r w:rsidR="008E0B00" w:rsidRPr="00E01459">
          <w:rPr>
            <w:rStyle w:val="Hyperlink"/>
          </w:rPr>
          <w:t>Table 74</w:t>
        </w:r>
        <w:r w:rsidR="008E0B00">
          <w:rPr>
            <w:rFonts w:asciiTheme="minorHAnsi" w:eastAsiaTheme="minorEastAsia" w:hAnsiTheme="minorHAnsi" w:cstheme="minorBidi"/>
          </w:rPr>
          <w:tab/>
        </w:r>
        <w:r w:rsidR="008E0B00" w:rsidRPr="00E01459">
          <w:rPr>
            <w:rStyle w:val="Hyperlink"/>
          </w:rPr>
          <w:t>Studies rpeorting safety outcomes associated with TPUSGB</w:t>
        </w:r>
        <w:r w:rsidR="008E0B00">
          <w:rPr>
            <w:webHidden/>
          </w:rPr>
          <w:tab/>
        </w:r>
        <w:r w:rsidR="008E0B00">
          <w:rPr>
            <w:webHidden/>
          </w:rPr>
          <w:fldChar w:fldCharType="begin"/>
        </w:r>
        <w:r w:rsidR="008E0B00">
          <w:rPr>
            <w:webHidden/>
          </w:rPr>
          <w:instrText xml:space="preserve"> PAGEREF _Toc460514574 \h </w:instrText>
        </w:r>
        <w:r w:rsidR="008E0B00">
          <w:rPr>
            <w:webHidden/>
          </w:rPr>
        </w:r>
        <w:r w:rsidR="008E0B00">
          <w:rPr>
            <w:webHidden/>
          </w:rPr>
          <w:fldChar w:fldCharType="separate"/>
        </w:r>
        <w:r w:rsidR="0029649D">
          <w:rPr>
            <w:webHidden/>
          </w:rPr>
          <w:t>188</w:t>
        </w:r>
        <w:r w:rsidR="008E0B00">
          <w:rPr>
            <w:webHidden/>
          </w:rPr>
          <w:fldChar w:fldCharType="end"/>
        </w:r>
      </w:hyperlink>
    </w:p>
    <w:p w14:paraId="54E76D7B" w14:textId="77777777" w:rsidR="008E0B00" w:rsidRDefault="00DD0356">
      <w:pPr>
        <w:pStyle w:val="TableofFigures"/>
        <w:rPr>
          <w:rFonts w:asciiTheme="minorHAnsi" w:eastAsiaTheme="minorEastAsia" w:hAnsiTheme="minorHAnsi" w:cstheme="minorBidi"/>
        </w:rPr>
      </w:pPr>
      <w:hyperlink w:anchor="_Toc460514575" w:history="1">
        <w:r w:rsidR="008E0B00" w:rsidRPr="00E01459">
          <w:rPr>
            <w:rStyle w:val="Hyperlink"/>
          </w:rPr>
          <w:t>Table 75</w:t>
        </w:r>
        <w:r w:rsidR="008E0B00">
          <w:rPr>
            <w:rFonts w:asciiTheme="minorHAnsi" w:eastAsiaTheme="minorEastAsia" w:hAnsiTheme="minorHAnsi" w:cstheme="minorBidi"/>
          </w:rPr>
          <w:tab/>
        </w:r>
        <w:r w:rsidR="008E0B00" w:rsidRPr="00E01459">
          <w:rPr>
            <w:rStyle w:val="Hyperlink"/>
          </w:rPr>
          <w:t>Evidence profile table for the accuracy of mpMRI compared to biopsy for men with suspected prostate cancer (assumed prevalence 35% in men with low-concern and 50% in men with high-concern). mpMRI has a sensitivity of 73%, 95%CI [57, 85]; and a specificity of 77%, 95%CI [64, 87]</w:t>
        </w:r>
        <w:r w:rsidR="008E0B00">
          <w:rPr>
            <w:webHidden/>
          </w:rPr>
          <w:tab/>
        </w:r>
        <w:r w:rsidR="008E0B00">
          <w:rPr>
            <w:webHidden/>
          </w:rPr>
          <w:fldChar w:fldCharType="begin"/>
        </w:r>
        <w:r w:rsidR="008E0B00">
          <w:rPr>
            <w:webHidden/>
          </w:rPr>
          <w:instrText xml:space="preserve"> PAGEREF _Toc460514575 \h </w:instrText>
        </w:r>
        <w:r w:rsidR="008E0B00">
          <w:rPr>
            <w:webHidden/>
          </w:rPr>
        </w:r>
        <w:r w:rsidR="008E0B00">
          <w:rPr>
            <w:webHidden/>
          </w:rPr>
          <w:fldChar w:fldCharType="separate"/>
        </w:r>
        <w:r w:rsidR="0029649D">
          <w:rPr>
            <w:webHidden/>
          </w:rPr>
          <w:t>189</w:t>
        </w:r>
        <w:r w:rsidR="008E0B00">
          <w:rPr>
            <w:webHidden/>
          </w:rPr>
          <w:fldChar w:fldCharType="end"/>
        </w:r>
      </w:hyperlink>
    </w:p>
    <w:p w14:paraId="4D5FF2C1" w14:textId="77777777" w:rsidR="008E0B00" w:rsidRDefault="00DD0356">
      <w:pPr>
        <w:pStyle w:val="TableofFigures"/>
        <w:rPr>
          <w:rFonts w:asciiTheme="minorHAnsi" w:eastAsiaTheme="minorEastAsia" w:hAnsiTheme="minorHAnsi" w:cstheme="minorBidi"/>
        </w:rPr>
      </w:pPr>
      <w:hyperlink w:anchor="_Toc460514576" w:history="1">
        <w:r w:rsidR="008E0B00" w:rsidRPr="00E01459">
          <w:rPr>
            <w:rStyle w:val="Hyperlink"/>
          </w:rPr>
          <w:t>Table 76</w:t>
        </w:r>
        <w:r w:rsidR="008E0B00">
          <w:rPr>
            <w:rFonts w:asciiTheme="minorHAnsi" w:eastAsiaTheme="minorEastAsia" w:hAnsiTheme="minorHAnsi" w:cstheme="minorBidi"/>
          </w:rPr>
          <w:tab/>
        </w:r>
        <w:r w:rsidR="008E0B00" w:rsidRPr="00E01459">
          <w:rPr>
            <w:rStyle w:val="Hyperlink"/>
          </w:rPr>
          <w:t>Evidence profile table for the impact of delayed treatment due to a false negative on mpMRI compared to biopsy for Population 1</w:t>
        </w:r>
        <w:r w:rsidR="008E0B00">
          <w:rPr>
            <w:webHidden/>
          </w:rPr>
          <w:tab/>
        </w:r>
        <w:r w:rsidR="008E0B00">
          <w:rPr>
            <w:webHidden/>
          </w:rPr>
          <w:fldChar w:fldCharType="begin"/>
        </w:r>
        <w:r w:rsidR="008E0B00">
          <w:rPr>
            <w:webHidden/>
          </w:rPr>
          <w:instrText xml:space="preserve"> PAGEREF _Toc460514576 \h </w:instrText>
        </w:r>
        <w:r w:rsidR="008E0B00">
          <w:rPr>
            <w:webHidden/>
          </w:rPr>
        </w:r>
        <w:r w:rsidR="008E0B00">
          <w:rPr>
            <w:webHidden/>
          </w:rPr>
          <w:fldChar w:fldCharType="separate"/>
        </w:r>
        <w:r w:rsidR="0029649D">
          <w:rPr>
            <w:webHidden/>
          </w:rPr>
          <w:t>190</w:t>
        </w:r>
        <w:r w:rsidR="008E0B00">
          <w:rPr>
            <w:webHidden/>
          </w:rPr>
          <w:fldChar w:fldCharType="end"/>
        </w:r>
      </w:hyperlink>
    </w:p>
    <w:p w14:paraId="74F0C59B" w14:textId="77777777" w:rsidR="008E0B00" w:rsidRDefault="00DD0356">
      <w:pPr>
        <w:pStyle w:val="TableofFigures"/>
        <w:rPr>
          <w:rFonts w:asciiTheme="minorHAnsi" w:eastAsiaTheme="minorEastAsia" w:hAnsiTheme="minorHAnsi" w:cstheme="minorBidi"/>
        </w:rPr>
      </w:pPr>
      <w:hyperlink w:anchor="_Toc460514577" w:history="1">
        <w:r w:rsidR="008E0B00" w:rsidRPr="00E01459">
          <w:rPr>
            <w:rStyle w:val="Hyperlink"/>
          </w:rPr>
          <w:t>Table 77</w:t>
        </w:r>
        <w:r w:rsidR="008E0B00">
          <w:rPr>
            <w:rFonts w:asciiTheme="minorHAnsi" w:eastAsiaTheme="minorEastAsia" w:hAnsiTheme="minorHAnsi" w:cstheme="minorBidi"/>
          </w:rPr>
          <w:tab/>
        </w:r>
        <w:r w:rsidR="008E0B00" w:rsidRPr="00E01459">
          <w:rPr>
            <w:rStyle w:val="Hyperlink"/>
          </w:rPr>
          <w:t>Evidence profile table for the accuracy of mpMRI compared to biopsy for detected upgrade cancer in men on active surveillance (assumed prevalence 30%) mpMRI (sensitivity 79%, 95%CI [75, 83]; specificity 55%, 95%CI [50, 60])</w:t>
        </w:r>
        <w:r w:rsidR="008E0B00">
          <w:rPr>
            <w:webHidden/>
          </w:rPr>
          <w:tab/>
        </w:r>
        <w:r w:rsidR="008E0B00">
          <w:rPr>
            <w:webHidden/>
          </w:rPr>
          <w:fldChar w:fldCharType="begin"/>
        </w:r>
        <w:r w:rsidR="008E0B00">
          <w:rPr>
            <w:webHidden/>
          </w:rPr>
          <w:instrText xml:space="preserve"> PAGEREF _Toc460514577 \h </w:instrText>
        </w:r>
        <w:r w:rsidR="008E0B00">
          <w:rPr>
            <w:webHidden/>
          </w:rPr>
        </w:r>
        <w:r w:rsidR="008E0B00">
          <w:rPr>
            <w:webHidden/>
          </w:rPr>
          <w:fldChar w:fldCharType="separate"/>
        </w:r>
        <w:r w:rsidR="0029649D">
          <w:rPr>
            <w:webHidden/>
          </w:rPr>
          <w:t>192</w:t>
        </w:r>
        <w:r w:rsidR="008E0B00">
          <w:rPr>
            <w:webHidden/>
          </w:rPr>
          <w:fldChar w:fldCharType="end"/>
        </w:r>
      </w:hyperlink>
    </w:p>
    <w:p w14:paraId="53D9AFF0" w14:textId="77777777" w:rsidR="008E0B00" w:rsidRDefault="00DD0356">
      <w:pPr>
        <w:pStyle w:val="TableofFigures"/>
        <w:rPr>
          <w:rFonts w:asciiTheme="minorHAnsi" w:eastAsiaTheme="minorEastAsia" w:hAnsiTheme="minorHAnsi" w:cstheme="minorBidi"/>
        </w:rPr>
      </w:pPr>
      <w:hyperlink w:anchor="_Toc460514578" w:history="1">
        <w:r w:rsidR="008E0B00" w:rsidRPr="00E01459">
          <w:rPr>
            <w:rStyle w:val="Hyperlink"/>
          </w:rPr>
          <w:t>Table 78</w:t>
        </w:r>
        <w:r w:rsidR="008E0B00">
          <w:rPr>
            <w:rFonts w:asciiTheme="minorHAnsi" w:eastAsiaTheme="minorEastAsia" w:hAnsiTheme="minorHAnsi" w:cstheme="minorBidi"/>
          </w:rPr>
          <w:tab/>
        </w:r>
        <w:r w:rsidR="008E0B00" w:rsidRPr="00E01459">
          <w:rPr>
            <w:rStyle w:val="Hyperlink"/>
          </w:rPr>
          <w:t>Evidence profile table for the impact of delayed treatment due to a false negative on mpMRI compared to biopsy for Population 2</w:t>
        </w:r>
        <w:r w:rsidR="008E0B00">
          <w:rPr>
            <w:webHidden/>
          </w:rPr>
          <w:tab/>
        </w:r>
        <w:r w:rsidR="008E0B00">
          <w:rPr>
            <w:webHidden/>
          </w:rPr>
          <w:fldChar w:fldCharType="begin"/>
        </w:r>
        <w:r w:rsidR="008E0B00">
          <w:rPr>
            <w:webHidden/>
          </w:rPr>
          <w:instrText xml:space="preserve"> PAGEREF _Toc460514578 \h </w:instrText>
        </w:r>
        <w:r w:rsidR="008E0B00">
          <w:rPr>
            <w:webHidden/>
          </w:rPr>
        </w:r>
        <w:r w:rsidR="008E0B00">
          <w:rPr>
            <w:webHidden/>
          </w:rPr>
          <w:fldChar w:fldCharType="separate"/>
        </w:r>
        <w:r w:rsidR="0029649D">
          <w:rPr>
            <w:webHidden/>
          </w:rPr>
          <w:t>193</w:t>
        </w:r>
        <w:r w:rsidR="008E0B00">
          <w:rPr>
            <w:webHidden/>
          </w:rPr>
          <w:fldChar w:fldCharType="end"/>
        </w:r>
      </w:hyperlink>
    </w:p>
    <w:p w14:paraId="613F61ED" w14:textId="77777777" w:rsidR="008E0B00" w:rsidRDefault="00DD0356">
      <w:pPr>
        <w:pStyle w:val="TableofFigures"/>
        <w:rPr>
          <w:rFonts w:asciiTheme="minorHAnsi" w:eastAsiaTheme="minorEastAsia" w:hAnsiTheme="minorHAnsi" w:cstheme="minorBidi"/>
        </w:rPr>
      </w:pPr>
      <w:hyperlink w:anchor="_Toc460514579" w:history="1">
        <w:r w:rsidR="008E0B00" w:rsidRPr="00E01459">
          <w:rPr>
            <w:rStyle w:val="Hyperlink"/>
          </w:rPr>
          <w:t>Table 79</w:t>
        </w:r>
        <w:r w:rsidR="008E0B00">
          <w:rPr>
            <w:rFonts w:asciiTheme="minorHAnsi" w:eastAsiaTheme="minorEastAsia" w:hAnsiTheme="minorHAnsi" w:cstheme="minorBidi"/>
          </w:rPr>
          <w:tab/>
        </w:r>
        <w:r w:rsidR="008E0B00" w:rsidRPr="00E01459">
          <w:rPr>
            <w:rStyle w:val="Hyperlink"/>
          </w:rPr>
          <w:t>Evidence profile table for the adverse events associated with biopsy</w:t>
        </w:r>
        <w:r w:rsidR="008E0B00">
          <w:rPr>
            <w:webHidden/>
          </w:rPr>
          <w:tab/>
        </w:r>
        <w:r w:rsidR="008E0B00">
          <w:rPr>
            <w:webHidden/>
          </w:rPr>
          <w:fldChar w:fldCharType="begin"/>
        </w:r>
        <w:r w:rsidR="008E0B00">
          <w:rPr>
            <w:webHidden/>
          </w:rPr>
          <w:instrText xml:space="preserve"> PAGEREF _Toc460514579 \h </w:instrText>
        </w:r>
        <w:r w:rsidR="008E0B00">
          <w:rPr>
            <w:webHidden/>
          </w:rPr>
        </w:r>
        <w:r w:rsidR="008E0B00">
          <w:rPr>
            <w:webHidden/>
          </w:rPr>
          <w:fldChar w:fldCharType="separate"/>
        </w:r>
        <w:r w:rsidR="0029649D">
          <w:rPr>
            <w:webHidden/>
          </w:rPr>
          <w:t>194</w:t>
        </w:r>
        <w:r w:rsidR="008E0B00">
          <w:rPr>
            <w:webHidden/>
          </w:rPr>
          <w:fldChar w:fldCharType="end"/>
        </w:r>
      </w:hyperlink>
    </w:p>
    <w:p w14:paraId="579CB5D6" w14:textId="77777777" w:rsidR="008E0B00" w:rsidRDefault="00DD0356">
      <w:pPr>
        <w:pStyle w:val="TableofFigures"/>
        <w:rPr>
          <w:rFonts w:asciiTheme="minorHAnsi" w:eastAsiaTheme="minorEastAsia" w:hAnsiTheme="minorHAnsi" w:cstheme="minorBidi"/>
        </w:rPr>
      </w:pPr>
      <w:hyperlink w:anchor="_Toc460514580" w:history="1">
        <w:r w:rsidR="008E0B00" w:rsidRPr="00E01459">
          <w:rPr>
            <w:rStyle w:val="Hyperlink"/>
          </w:rPr>
          <w:t>Table 80</w:t>
        </w:r>
        <w:r w:rsidR="008E0B00">
          <w:rPr>
            <w:rFonts w:asciiTheme="minorHAnsi" w:eastAsiaTheme="minorEastAsia" w:hAnsiTheme="minorHAnsi" w:cstheme="minorBidi"/>
          </w:rPr>
          <w:tab/>
        </w:r>
        <w:r w:rsidR="008E0B00" w:rsidRPr="00E01459">
          <w:rPr>
            <w:rStyle w:val="Hyperlink"/>
          </w:rPr>
          <w:t>QUADAS triggering questions</w:t>
        </w:r>
        <w:r w:rsidR="008E0B00">
          <w:rPr>
            <w:webHidden/>
          </w:rPr>
          <w:tab/>
        </w:r>
        <w:r w:rsidR="008E0B00">
          <w:rPr>
            <w:webHidden/>
          </w:rPr>
          <w:fldChar w:fldCharType="begin"/>
        </w:r>
        <w:r w:rsidR="008E0B00">
          <w:rPr>
            <w:webHidden/>
          </w:rPr>
          <w:instrText xml:space="preserve"> PAGEREF _Toc460514580 \h </w:instrText>
        </w:r>
        <w:r w:rsidR="008E0B00">
          <w:rPr>
            <w:webHidden/>
          </w:rPr>
        </w:r>
        <w:r w:rsidR="008E0B00">
          <w:rPr>
            <w:webHidden/>
          </w:rPr>
          <w:fldChar w:fldCharType="separate"/>
        </w:r>
        <w:r w:rsidR="0029649D">
          <w:rPr>
            <w:webHidden/>
          </w:rPr>
          <w:t>202</w:t>
        </w:r>
        <w:r w:rsidR="008E0B00">
          <w:rPr>
            <w:webHidden/>
          </w:rPr>
          <w:fldChar w:fldCharType="end"/>
        </w:r>
      </w:hyperlink>
    </w:p>
    <w:p w14:paraId="31F8AC6F" w14:textId="77777777" w:rsidR="008E0B00" w:rsidRDefault="00DD0356">
      <w:pPr>
        <w:pStyle w:val="TableofFigures"/>
        <w:rPr>
          <w:rFonts w:asciiTheme="minorHAnsi" w:eastAsiaTheme="minorEastAsia" w:hAnsiTheme="minorHAnsi" w:cstheme="minorBidi"/>
        </w:rPr>
      </w:pPr>
      <w:hyperlink w:anchor="_Toc460514581" w:history="1">
        <w:r w:rsidR="008E0B00" w:rsidRPr="00E01459">
          <w:rPr>
            <w:rStyle w:val="Hyperlink"/>
          </w:rPr>
          <w:t>Table 81</w:t>
        </w:r>
        <w:r w:rsidR="008E0B00">
          <w:rPr>
            <w:rFonts w:asciiTheme="minorHAnsi" w:eastAsiaTheme="minorEastAsia" w:hAnsiTheme="minorHAnsi" w:cstheme="minorBidi"/>
          </w:rPr>
          <w:tab/>
        </w:r>
        <w:r w:rsidR="008E0B00" w:rsidRPr="00E01459">
          <w:rPr>
            <w:rStyle w:val="Hyperlink"/>
          </w:rPr>
          <w:t>Risk of bias assessment for systematic reviews reporting the diagnostic accuracy of biopsy (AMSTAR)</w:t>
        </w:r>
        <w:r w:rsidR="008E0B00">
          <w:rPr>
            <w:webHidden/>
          </w:rPr>
          <w:tab/>
        </w:r>
        <w:r w:rsidR="008E0B00">
          <w:rPr>
            <w:webHidden/>
          </w:rPr>
          <w:fldChar w:fldCharType="begin"/>
        </w:r>
        <w:r w:rsidR="008E0B00">
          <w:rPr>
            <w:webHidden/>
          </w:rPr>
          <w:instrText xml:space="preserve"> PAGEREF _Toc460514581 \h </w:instrText>
        </w:r>
        <w:r w:rsidR="008E0B00">
          <w:rPr>
            <w:webHidden/>
          </w:rPr>
        </w:r>
        <w:r w:rsidR="008E0B00">
          <w:rPr>
            <w:webHidden/>
          </w:rPr>
          <w:fldChar w:fldCharType="separate"/>
        </w:r>
        <w:r w:rsidR="0029649D">
          <w:rPr>
            <w:webHidden/>
          </w:rPr>
          <w:t>204</w:t>
        </w:r>
        <w:r w:rsidR="008E0B00">
          <w:rPr>
            <w:webHidden/>
          </w:rPr>
          <w:fldChar w:fldCharType="end"/>
        </w:r>
      </w:hyperlink>
    </w:p>
    <w:p w14:paraId="2BFBE210" w14:textId="77777777" w:rsidR="008E0B00" w:rsidRDefault="00DD0356">
      <w:pPr>
        <w:pStyle w:val="TableofFigures"/>
        <w:rPr>
          <w:rFonts w:asciiTheme="minorHAnsi" w:eastAsiaTheme="minorEastAsia" w:hAnsiTheme="minorHAnsi" w:cstheme="minorBidi"/>
        </w:rPr>
      </w:pPr>
      <w:hyperlink w:anchor="_Toc460514582" w:history="1">
        <w:r w:rsidR="008E0B00" w:rsidRPr="00E01459">
          <w:rPr>
            <w:rStyle w:val="Hyperlink"/>
          </w:rPr>
          <w:t>Table 82</w:t>
        </w:r>
        <w:r w:rsidR="008E0B00">
          <w:rPr>
            <w:rFonts w:asciiTheme="minorHAnsi" w:eastAsiaTheme="minorEastAsia" w:hAnsiTheme="minorHAnsi" w:cstheme="minorBidi"/>
          </w:rPr>
          <w:tab/>
        </w:r>
        <w:r w:rsidR="008E0B00" w:rsidRPr="00E01459">
          <w:rPr>
            <w:rStyle w:val="Hyperlink"/>
          </w:rPr>
          <w:t>Quality appraisal of studies assessing the diagnostic accuracy of mpMRI in Population 1 using the QUADAS-2 tool</w:t>
        </w:r>
        <w:r w:rsidR="008E0B00">
          <w:rPr>
            <w:webHidden/>
          </w:rPr>
          <w:tab/>
        </w:r>
        <w:r w:rsidR="008E0B00">
          <w:rPr>
            <w:webHidden/>
          </w:rPr>
          <w:fldChar w:fldCharType="begin"/>
        </w:r>
        <w:r w:rsidR="008E0B00">
          <w:rPr>
            <w:webHidden/>
          </w:rPr>
          <w:instrText xml:space="preserve"> PAGEREF _Toc460514582 \h </w:instrText>
        </w:r>
        <w:r w:rsidR="008E0B00">
          <w:rPr>
            <w:webHidden/>
          </w:rPr>
        </w:r>
        <w:r w:rsidR="008E0B00">
          <w:rPr>
            <w:webHidden/>
          </w:rPr>
          <w:fldChar w:fldCharType="separate"/>
        </w:r>
        <w:r w:rsidR="0029649D">
          <w:rPr>
            <w:webHidden/>
          </w:rPr>
          <w:t>204</w:t>
        </w:r>
        <w:r w:rsidR="008E0B00">
          <w:rPr>
            <w:webHidden/>
          </w:rPr>
          <w:fldChar w:fldCharType="end"/>
        </w:r>
      </w:hyperlink>
    </w:p>
    <w:p w14:paraId="791C3B14" w14:textId="77777777" w:rsidR="008E0B00" w:rsidRDefault="00DD0356">
      <w:pPr>
        <w:pStyle w:val="TableofFigures"/>
        <w:rPr>
          <w:rFonts w:asciiTheme="minorHAnsi" w:eastAsiaTheme="minorEastAsia" w:hAnsiTheme="minorHAnsi" w:cstheme="minorBidi"/>
        </w:rPr>
      </w:pPr>
      <w:hyperlink w:anchor="_Toc460514583" w:history="1">
        <w:r w:rsidR="008E0B00" w:rsidRPr="00E01459">
          <w:rPr>
            <w:rStyle w:val="Hyperlink"/>
          </w:rPr>
          <w:t>Table 83</w:t>
        </w:r>
        <w:r w:rsidR="008E0B00">
          <w:rPr>
            <w:rFonts w:asciiTheme="minorHAnsi" w:eastAsiaTheme="minorEastAsia" w:hAnsiTheme="minorHAnsi" w:cstheme="minorBidi"/>
          </w:rPr>
          <w:tab/>
        </w:r>
        <w:r w:rsidR="008E0B00" w:rsidRPr="00E01459">
          <w:rPr>
            <w:rStyle w:val="Hyperlink"/>
          </w:rPr>
          <w:t>Quality appraisal of systematic reviews using AMSTAR</w:t>
        </w:r>
        <w:r w:rsidR="008E0B00">
          <w:rPr>
            <w:webHidden/>
          </w:rPr>
          <w:tab/>
        </w:r>
        <w:r w:rsidR="008E0B00">
          <w:rPr>
            <w:webHidden/>
          </w:rPr>
          <w:fldChar w:fldCharType="begin"/>
        </w:r>
        <w:r w:rsidR="008E0B00">
          <w:rPr>
            <w:webHidden/>
          </w:rPr>
          <w:instrText xml:space="preserve"> PAGEREF _Toc460514583 \h </w:instrText>
        </w:r>
        <w:r w:rsidR="008E0B00">
          <w:rPr>
            <w:webHidden/>
          </w:rPr>
        </w:r>
        <w:r w:rsidR="008E0B00">
          <w:rPr>
            <w:webHidden/>
          </w:rPr>
          <w:fldChar w:fldCharType="separate"/>
        </w:r>
        <w:r w:rsidR="0029649D">
          <w:rPr>
            <w:webHidden/>
          </w:rPr>
          <w:t>206</w:t>
        </w:r>
        <w:r w:rsidR="008E0B00">
          <w:rPr>
            <w:webHidden/>
          </w:rPr>
          <w:fldChar w:fldCharType="end"/>
        </w:r>
      </w:hyperlink>
    </w:p>
    <w:p w14:paraId="4B13621B" w14:textId="77777777" w:rsidR="008E0B00" w:rsidRDefault="00DD0356">
      <w:pPr>
        <w:pStyle w:val="TableofFigures"/>
        <w:rPr>
          <w:rFonts w:asciiTheme="minorHAnsi" w:eastAsiaTheme="minorEastAsia" w:hAnsiTheme="minorHAnsi" w:cstheme="minorBidi"/>
        </w:rPr>
      </w:pPr>
      <w:hyperlink w:anchor="_Toc460514584" w:history="1">
        <w:r w:rsidR="008E0B00" w:rsidRPr="00E01459">
          <w:rPr>
            <w:rStyle w:val="Hyperlink"/>
          </w:rPr>
          <w:t>Table 84</w:t>
        </w:r>
        <w:r w:rsidR="008E0B00">
          <w:rPr>
            <w:rFonts w:asciiTheme="minorHAnsi" w:eastAsiaTheme="minorEastAsia" w:hAnsiTheme="minorHAnsi" w:cstheme="minorBidi"/>
          </w:rPr>
          <w:tab/>
        </w:r>
        <w:r w:rsidR="008E0B00" w:rsidRPr="00E01459">
          <w:rPr>
            <w:rStyle w:val="Hyperlink"/>
          </w:rPr>
          <w:t>Quality appraisal of non-comparative studies using modified Downs and Black checklist for non-randomized studies</w:t>
        </w:r>
        <w:r w:rsidR="008E0B00">
          <w:rPr>
            <w:webHidden/>
          </w:rPr>
          <w:tab/>
        </w:r>
        <w:r w:rsidR="008E0B00">
          <w:rPr>
            <w:webHidden/>
          </w:rPr>
          <w:fldChar w:fldCharType="begin"/>
        </w:r>
        <w:r w:rsidR="008E0B00">
          <w:rPr>
            <w:webHidden/>
          </w:rPr>
          <w:instrText xml:space="preserve"> PAGEREF _Toc460514584 \h </w:instrText>
        </w:r>
        <w:r w:rsidR="008E0B00">
          <w:rPr>
            <w:webHidden/>
          </w:rPr>
        </w:r>
        <w:r w:rsidR="008E0B00">
          <w:rPr>
            <w:webHidden/>
          </w:rPr>
          <w:fldChar w:fldCharType="separate"/>
        </w:r>
        <w:r w:rsidR="0029649D">
          <w:rPr>
            <w:webHidden/>
          </w:rPr>
          <w:t>206</w:t>
        </w:r>
        <w:r w:rsidR="008E0B00">
          <w:rPr>
            <w:webHidden/>
          </w:rPr>
          <w:fldChar w:fldCharType="end"/>
        </w:r>
      </w:hyperlink>
    </w:p>
    <w:p w14:paraId="41A7789B" w14:textId="77777777" w:rsidR="008E0B00" w:rsidRDefault="00DD0356">
      <w:pPr>
        <w:pStyle w:val="TableofFigures"/>
        <w:rPr>
          <w:rFonts w:asciiTheme="minorHAnsi" w:eastAsiaTheme="minorEastAsia" w:hAnsiTheme="minorHAnsi" w:cstheme="minorBidi"/>
        </w:rPr>
      </w:pPr>
      <w:hyperlink w:anchor="_Toc460514585" w:history="1">
        <w:r w:rsidR="008E0B00" w:rsidRPr="00E01459">
          <w:rPr>
            <w:rStyle w:val="Hyperlink"/>
          </w:rPr>
          <w:t>Table 85</w:t>
        </w:r>
        <w:r w:rsidR="008E0B00">
          <w:rPr>
            <w:rFonts w:asciiTheme="minorHAnsi" w:eastAsiaTheme="minorEastAsia" w:hAnsiTheme="minorHAnsi" w:cstheme="minorBidi"/>
          </w:rPr>
          <w:tab/>
        </w:r>
        <w:r w:rsidR="008E0B00" w:rsidRPr="00E01459">
          <w:rPr>
            <w:rStyle w:val="Hyperlink"/>
          </w:rPr>
          <w:t>QUADAS-2 results: Population 2</w:t>
        </w:r>
        <w:r w:rsidR="008E0B00">
          <w:rPr>
            <w:webHidden/>
          </w:rPr>
          <w:tab/>
        </w:r>
        <w:r w:rsidR="008E0B00">
          <w:rPr>
            <w:webHidden/>
          </w:rPr>
          <w:fldChar w:fldCharType="begin"/>
        </w:r>
        <w:r w:rsidR="008E0B00">
          <w:rPr>
            <w:webHidden/>
          </w:rPr>
          <w:instrText xml:space="preserve"> PAGEREF _Toc460514585 \h </w:instrText>
        </w:r>
        <w:r w:rsidR="008E0B00">
          <w:rPr>
            <w:webHidden/>
          </w:rPr>
        </w:r>
        <w:r w:rsidR="008E0B00">
          <w:rPr>
            <w:webHidden/>
          </w:rPr>
          <w:fldChar w:fldCharType="separate"/>
        </w:r>
        <w:r w:rsidR="0029649D">
          <w:rPr>
            <w:webHidden/>
          </w:rPr>
          <w:t>209</w:t>
        </w:r>
        <w:r w:rsidR="008E0B00">
          <w:rPr>
            <w:webHidden/>
          </w:rPr>
          <w:fldChar w:fldCharType="end"/>
        </w:r>
      </w:hyperlink>
    </w:p>
    <w:p w14:paraId="50CAA122" w14:textId="77777777" w:rsidR="008E0B00" w:rsidRDefault="00DD0356">
      <w:pPr>
        <w:pStyle w:val="TableofFigures"/>
        <w:rPr>
          <w:rFonts w:asciiTheme="minorHAnsi" w:eastAsiaTheme="minorEastAsia" w:hAnsiTheme="minorHAnsi" w:cstheme="minorBidi"/>
        </w:rPr>
      </w:pPr>
      <w:hyperlink w:anchor="_Toc460514586" w:history="1">
        <w:r w:rsidR="008E0B00" w:rsidRPr="00E01459">
          <w:rPr>
            <w:rStyle w:val="Hyperlink"/>
          </w:rPr>
          <w:t>Table 86</w:t>
        </w:r>
        <w:r w:rsidR="008E0B00">
          <w:rPr>
            <w:rFonts w:asciiTheme="minorHAnsi" w:eastAsiaTheme="minorEastAsia" w:hAnsiTheme="minorHAnsi" w:cstheme="minorBidi"/>
          </w:rPr>
          <w:tab/>
        </w:r>
        <w:r w:rsidR="008E0B00" w:rsidRPr="00E01459">
          <w:rPr>
            <w:rStyle w:val="Hyperlink"/>
          </w:rPr>
          <w:t>Quality appraisal of the systematic reviews using the AMSTAR tool</w:t>
        </w:r>
        <w:r w:rsidR="008E0B00">
          <w:rPr>
            <w:webHidden/>
          </w:rPr>
          <w:tab/>
        </w:r>
        <w:r w:rsidR="008E0B00">
          <w:rPr>
            <w:webHidden/>
          </w:rPr>
          <w:fldChar w:fldCharType="begin"/>
        </w:r>
        <w:r w:rsidR="008E0B00">
          <w:rPr>
            <w:webHidden/>
          </w:rPr>
          <w:instrText xml:space="preserve"> PAGEREF _Toc460514586 \h </w:instrText>
        </w:r>
        <w:r w:rsidR="008E0B00">
          <w:rPr>
            <w:webHidden/>
          </w:rPr>
        </w:r>
        <w:r w:rsidR="008E0B00">
          <w:rPr>
            <w:webHidden/>
          </w:rPr>
          <w:fldChar w:fldCharType="separate"/>
        </w:r>
        <w:r w:rsidR="0029649D">
          <w:rPr>
            <w:webHidden/>
          </w:rPr>
          <w:t>210</w:t>
        </w:r>
        <w:r w:rsidR="008E0B00">
          <w:rPr>
            <w:webHidden/>
          </w:rPr>
          <w:fldChar w:fldCharType="end"/>
        </w:r>
      </w:hyperlink>
    </w:p>
    <w:p w14:paraId="0894727E" w14:textId="77777777" w:rsidR="008E0B00" w:rsidRDefault="00DD0356">
      <w:pPr>
        <w:pStyle w:val="TableofFigures"/>
        <w:rPr>
          <w:rFonts w:asciiTheme="minorHAnsi" w:eastAsiaTheme="minorEastAsia" w:hAnsiTheme="minorHAnsi" w:cstheme="minorBidi"/>
        </w:rPr>
      </w:pPr>
      <w:hyperlink w:anchor="_Toc460514587" w:history="1">
        <w:r w:rsidR="008E0B00" w:rsidRPr="00E01459">
          <w:rPr>
            <w:rStyle w:val="Hyperlink"/>
          </w:rPr>
          <w:t>Table 87</w:t>
        </w:r>
        <w:r w:rsidR="008E0B00">
          <w:rPr>
            <w:rFonts w:asciiTheme="minorHAnsi" w:eastAsiaTheme="minorEastAsia" w:hAnsiTheme="minorHAnsi" w:cstheme="minorBidi"/>
          </w:rPr>
          <w:tab/>
        </w:r>
        <w:r w:rsidR="008E0B00" w:rsidRPr="00E01459">
          <w:rPr>
            <w:rStyle w:val="Hyperlink"/>
          </w:rPr>
          <w:t>Quality appraisal of the Randomised Controlled Trial using Cochrane Collaboration's tool for assessing risk of bias in randomised trials</w:t>
        </w:r>
        <w:r w:rsidR="008E0B00" w:rsidRPr="00E01459">
          <w:rPr>
            <w:rStyle w:val="Hyperlink"/>
            <w:rFonts w:cs="Times New Roman"/>
          </w:rPr>
          <w:t xml:space="preserve"> (Peteffi et al. (2002))</w:t>
        </w:r>
        <w:r w:rsidR="008E0B00">
          <w:rPr>
            <w:webHidden/>
          </w:rPr>
          <w:tab/>
        </w:r>
        <w:r w:rsidR="008E0B00">
          <w:rPr>
            <w:webHidden/>
          </w:rPr>
          <w:fldChar w:fldCharType="begin"/>
        </w:r>
        <w:r w:rsidR="008E0B00">
          <w:rPr>
            <w:webHidden/>
          </w:rPr>
          <w:instrText xml:space="preserve"> PAGEREF _Toc460514587 \h </w:instrText>
        </w:r>
        <w:r w:rsidR="008E0B00">
          <w:rPr>
            <w:webHidden/>
          </w:rPr>
        </w:r>
        <w:r w:rsidR="008E0B00">
          <w:rPr>
            <w:webHidden/>
          </w:rPr>
          <w:fldChar w:fldCharType="separate"/>
        </w:r>
        <w:r w:rsidR="0029649D">
          <w:rPr>
            <w:webHidden/>
          </w:rPr>
          <w:t>210</w:t>
        </w:r>
        <w:r w:rsidR="008E0B00">
          <w:rPr>
            <w:webHidden/>
          </w:rPr>
          <w:fldChar w:fldCharType="end"/>
        </w:r>
      </w:hyperlink>
    </w:p>
    <w:p w14:paraId="41F8F6C8" w14:textId="77777777" w:rsidR="008E0B00" w:rsidRDefault="00DD0356">
      <w:pPr>
        <w:pStyle w:val="TableofFigures"/>
        <w:rPr>
          <w:rFonts w:asciiTheme="minorHAnsi" w:eastAsiaTheme="minorEastAsia" w:hAnsiTheme="minorHAnsi" w:cstheme="minorBidi"/>
        </w:rPr>
      </w:pPr>
      <w:hyperlink w:anchor="_Toc460514588" w:history="1">
        <w:r w:rsidR="008E0B00" w:rsidRPr="00E01459">
          <w:rPr>
            <w:rStyle w:val="Hyperlink"/>
          </w:rPr>
          <w:t>Table 88</w:t>
        </w:r>
        <w:r w:rsidR="008E0B00">
          <w:rPr>
            <w:rFonts w:asciiTheme="minorHAnsi" w:eastAsiaTheme="minorEastAsia" w:hAnsiTheme="minorHAnsi" w:cstheme="minorBidi"/>
          </w:rPr>
          <w:tab/>
        </w:r>
        <w:r w:rsidR="008E0B00" w:rsidRPr="00E01459">
          <w:rPr>
            <w:rStyle w:val="Hyperlink"/>
          </w:rPr>
          <w:t>Quality appraisal of the comparative studies using modified Downs and Black checklist for non-randomized studies</w:t>
        </w:r>
        <w:r w:rsidR="008E0B00">
          <w:rPr>
            <w:webHidden/>
          </w:rPr>
          <w:tab/>
        </w:r>
        <w:r w:rsidR="008E0B00">
          <w:rPr>
            <w:webHidden/>
          </w:rPr>
          <w:fldChar w:fldCharType="begin"/>
        </w:r>
        <w:r w:rsidR="008E0B00">
          <w:rPr>
            <w:webHidden/>
          </w:rPr>
          <w:instrText xml:space="preserve"> PAGEREF _Toc460514588 \h </w:instrText>
        </w:r>
        <w:r w:rsidR="008E0B00">
          <w:rPr>
            <w:webHidden/>
          </w:rPr>
        </w:r>
        <w:r w:rsidR="008E0B00">
          <w:rPr>
            <w:webHidden/>
          </w:rPr>
          <w:fldChar w:fldCharType="separate"/>
        </w:r>
        <w:r w:rsidR="0029649D">
          <w:rPr>
            <w:webHidden/>
          </w:rPr>
          <w:t>211</w:t>
        </w:r>
        <w:r w:rsidR="008E0B00">
          <w:rPr>
            <w:webHidden/>
          </w:rPr>
          <w:fldChar w:fldCharType="end"/>
        </w:r>
      </w:hyperlink>
    </w:p>
    <w:p w14:paraId="07203A8A" w14:textId="77777777" w:rsidR="008E0B00" w:rsidRDefault="00DD0356">
      <w:pPr>
        <w:pStyle w:val="TableofFigures"/>
        <w:rPr>
          <w:rFonts w:asciiTheme="minorHAnsi" w:eastAsiaTheme="minorEastAsia" w:hAnsiTheme="minorHAnsi" w:cstheme="minorBidi"/>
        </w:rPr>
      </w:pPr>
      <w:hyperlink w:anchor="_Toc460514589" w:history="1">
        <w:r w:rsidR="008E0B00" w:rsidRPr="00E01459">
          <w:rPr>
            <w:rStyle w:val="Hyperlink"/>
          </w:rPr>
          <w:t>Table 89</w:t>
        </w:r>
        <w:r w:rsidR="008E0B00">
          <w:rPr>
            <w:rFonts w:asciiTheme="minorHAnsi" w:eastAsiaTheme="minorEastAsia" w:hAnsiTheme="minorHAnsi" w:cstheme="minorBidi"/>
          </w:rPr>
          <w:tab/>
        </w:r>
        <w:r w:rsidR="008E0B00" w:rsidRPr="00E01459">
          <w:rPr>
            <w:rStyle w:val="Hyperlink"/>
          </w:rPr>
          <w:t>Quality appraisal of the case series studies using Downs and Black tool</w:t>
        </w:r>
        <w:r w:rsidR="008E0B00">
          <w:rPr>
            <w:webHidden/>
          </w:rPr>
          <w:tab/>
        </w:r>
        <w:r w:rsidR="008E0B00">
          <w:rPr>
            <w:webHidden/>
          </w:rPr>
          <w:fldChar w:fldCharType="begin"/>
        </w:r>
        <w:r w:rsidR="008E0B00">
          <w:rPr>
            <w:webHidden/>
          </w:rPr>
          <w:instrText xml:space="preserve"> PAGEREF _Toc460514589 \h </w:instrText>
        </w:r>
        <w:r w:rsidR="008E0B00">
          <w:rPr>
            <w:webHidden/>
          </w:rPr>
        </w:r>
        <w:r w:rsidR="008E0B00">
          <w:rPr>
            <w:webHidden/>
          </w:rPr>
          <w:fldChar w:fldCharType="separate"/>
        </w:r>
        <w:r w:rsidR="0029649D">
          <w:rPr>
            <w:webHidden/>
          </w:rPr>
          <w:t>215</w:t>
        </w:r>
        <w:r w:rsidR="008E0B00">
          <w:rPr>
            <w:webHidden/>
          </w:rPr>
          <w:fldChar w:fldCharType="end"/>
        </w:r>
      </w:hyperlink>
    </w:p>
    <w:p w14:paraId="7A72787A" w14:textId="77777777" w:rsidR="008E0B00" w:rsidRDefault="00DD0356">
      <w:pPr>
        <w:pStyle w:val="TableofFigures"/>
        <w:rPr>
          <w:rFonts w:asciiTheme="minorHAnsi" w:eastAsiaTheme="minorEastAsia" w:hAnsiTheme="minorHAnsi" w:cstheme="minorBidi"/>
        </w:rPr>
      </w:pPr>
      <w:hyperlink w:anchor="_Toc460514590" w:history="1">
        <w:r w:rsidR="008E0B00" w:rsidRPr="00E01459">
          <w:rPr>
            <w:rStyle w:val="Hyperlink"/>
          </w:rPr>
          <w:t>Table 90</w:t>
        </w:r>
        <w:r w:rsidR="008E0B00">
          <w:rPr>
            <w:rFonts w:asciiTheme="minorHAnsi" w:eastAsiaTheme="minorEastAsia" w:hAnsiTheme="minorHAnsi" w:cstheme="minorBidi"/>
          </w:rPr>
          <w:tab/>
        </w:r>
        <w:r w:rsidR="008E0B00" w:rsidRPr="00E01459">
          <w:rPr>
            <w:rStyle w:val="Hyperlink"/>
          </w:rPr>
          <w:t xml:space="preserve">Summary of findings for the accuracy of </w:t>
        </w:r>
        <w:r w:rsidR="008E0B00" w:rsidRPr="00E01459">
          <w:rPr>
            <w:rStyle w:val="Hyperlink"/>
            <w:snapToGrid w:val="0"/>
          </w:rPr>
          <w:t>mpMRI, relative to biopsy, in patients with conditions with assumed pre-test probability (prevalence) of 35%</w:t>
        </w:r>
        <w:r w:rsidR="008E0B00">
          <w:rPr>
            <w:webHidden/>
          </w:rPr>
          <w:tab/>
        </w:r>
        <w:r w:rsidR="008E0B00">
          <w:rPr>
            <w:webHidden/>
          </w:rPr>
          <w:fldChar w:fldCharType="begin"/>
        </w:r>
        <w:r w:rsidR="008E0B00">
          <w:rPr>
            <w:webHidden/>
          </w:rPr>
          <w:instrText xml:space="preserve"> PAGEREF _Toc460514590 \h </w:instrText>
        </w:r>
        <w:r w:rsidR="008E0B00">
          <w:rPr>
            <w:webHidden/>
          </w:rPr>
        </w:r>
        <w:r w:rsidR="008E0B00">
          <w:rPr>
            <w:webHidden/>
          </w:rPr>
          <w:fldChar w:fldCharType="separate"/>
        </w:r>
        <w:r w:rsidR="0029649D">
          <w:rPr>
            <w:webHidden/>
          </w:rPr>
          <w:t>217</w:t>
        </w:r>
        <w:r w:rsidR="008E0B00">
          <w:rPr>
            <w:webHidden/>
          </w:rPr>
          <w:fldChar w:fldCharType="end"/>
        </w:r>
      </w:hyperlink>
    </w:p>
    <w:p w14:paraId="1484D0F1" w14:textId="77777777" w:rsidR="008E0B00" w:rsidRDefault="00DD0356">
      <w:pPr>
        <w:pStyle w:val="TableofFigures"/>
        <w:rPr>
          <w:rFonts w:asciiTheme="minorHAnsi" w:eastAsiaTheme="minorEastAsia" w:hAnsiTheme="minorHAnsi" w:cstheme="minorBidi"/>
        </w:rPr>
      </w:pPr>
      <w:hyperlink w:anchor="_Toc460514591" w:history="1">
        <w:r w:rsidR="008E0B00" w:rsidRPr="00E01459">
          <w:rPr>
            <w:rStyle w:val="Hyperlink"/>
          </w:rPr>
          <w:t>Table 91</w:t>
        </w:r>
        <w:r w:rsidR="008E0B00">
          <w:rPr>
            <w:rFonts w:asciiTheme="minorHAnsi" w:eastAsiaTheme="minorEastAsia" w:hAnsiTheme="minorHAnsi" w:cstheme="minorBidi"/>
          </w:rPr>
          <w:tab/>
        </w:r>
        <w:r w:rsidR="008E0B00" w:rsidRPr="00E01459">
          <w:rPr>
            <w:rStyle w:val="Hyperlink"/>
          </w:rPr>
          <w:t xml:space="preserve">Summary of findings for the accuracy of </w:t>
        </w:r>
        <w:r w:rsidR="008E0B00" w:rsidRPr="00E01459">
          <w:rPr>
            <w:rStyle w:val="Hyperlink"/>
            <w:snapToGrid w:val="0"/>
          </w:rPr>
          <w:t>mpMRI, relative to biopsy, in patients with conditions with assumed pre-test probability (prevalence) of 35%</w:t>
        </w:r>
        <w:r w:rsidR="008E0B00">
          <w:rPr>
            <w:webHidden/>
          </w:rPr>
          <w:tab/>
        </w:r>
        <w:r w:rsidR="008E0B00">
          <w:rPr>
            <w:webHidden/>
          </w:rPr>
          <w:fldChar w:fldCharType="begin"/>
        </w:r>
        <w:r w:rsidR="008E0B00">
          <w:rPr>
            <w:webHidden/>
          </w:rPr>
          <w:instrText xml:space="preserve"> PAGEREF _Toc460514591 \h </w:instrText>
        </w:r>
        <w:r w:rsidR="008E0B00">
          <w:rPr>
            <w:webHidden/>
          </w:rPr>
        </w:r>
        <w:r w:rsidR="008E0B00">
          <w:rPr>
            <w:webHidden/>
          </w:rPr>
          <w:fldChar w:fldCharType="separate"/>
        </w:r>
        <w:r w:rsidR="0029649D">
          <w:rPr>
            <w:webHidden/>
          </w:rPr>
          <w:t>219</w:t>
        </w:r>
        <w:r w:rsidR="008E0B00">
          <w:rPr>
            <w:webHidden/>
          </w:rPr>
          <w:fldChar w:fldCharType="end"/>
        </w:r>
      </w:hyperlink>
    </w:p>
    <w:p w14:paraId="46506154" w14:textId="77777777" w:rsidR="008E0B00" w:rsidRDefault="00DD0356">
      <w:pPr>
        <w:pStyle w:val="TableofFigures"/>
        <w:rPr>
          <w:rFonts w:asciiTheme="minorHAnsi" w:eastAsiaTheme="minorEastAsia" w:hAnsiTheme="minorHAnsi" w:cstheme="minorBidi"/>
        </w:rPr>
      </w:pPr>
      <w:hyperlink w:anchor="_Toc460514592" w:history="1">
        <w:r w:rsidR="008E0B00" w:rsidRPr="00E01459">
          <w:rPr>
            <w:rStyle w:val="Hyperlink"/>
          </w:rPr>
          <w:t>Table 92</w:t>
        </w:r>
        <w:r w:rsidR="008E0B00">
          <w:rPr>
            <w:rFonts w:asciiTheme="minorHAnsi" w:eastAsiaTheme="minorEastAsia" w:hAnsiTheme="minorHAnsi" w:cstheme="minorBidi"/>
          </w:rPr>
          <w:tab/>
        </w:r>
        <w:r w:rsidR="008E0B00" w:rsidRPr="00E01459">
          <w:rPr>
            <w:rStyle w:val="Hyperlink"/>
          </w:rPr>
          <w:t>Summary of findings for the accuracy of mpMRI, relative to biopsy for detecting cancer upgrade in patients on active surveillance with an assumed pre-test probability (prevalence) of 30%</w:t>
        </w:r>
        <w:r w:rsidR="008E0B00">
          <w:rPr>
            <w:webHidden/>
          </w:rPr>
          <w:tab/>
        </w:r>
        <w:r w:rsidR="008E0B00">
          <w:rPr>
            <w:webHidden/>
          </w:rPr>
          <w:fldChar w:fldCharType="begin"/>
        </w:r>
        <w:r w:rsidR="008E0B00">
          <w:rPr>
            <w:webHidden/>
          </w:rPr>
          <w:instrText xml:space="preserve"> PAGEREF _Toc460514592 \h </w:instrText>
        </w:r>
        <w:r w:rsidR="008E0B00">
          <w:rPr>
            <w:webHidden/>
          </w:rPr>
        </w:r>
        <w:r w:rsidR="008E0B00">
          <w:rPr>
            <w:webHidden/>
          </w:rPr>
          <w:fldChar w:fldCharType="separate"/>
        </w:r>
        <w:r w:rsidR="0029649D">
          <w:rPr>
            <w:webHidden/>
          </w:rPr>
          <w:t>221</w:t>
        </w:r>
        <w:r w:rsidR="008E0B00">
          <w:rPr>
            <w:webHidden/>
          </w:rPr>
          <w:fldChar w:fldCharType="end"/>
        </w:r>
      </w:hyperlink>
    </w:p>
    <w:p w14:paraId="14B29AB3" w14:textId="77777777" w:rsidR="008E0B00" w:rsidRDefault="00DD0356">
      <w:pPr>
        <w:pStyle w:val="TableofFigures"/>
        <w:rPr>
          <w:rFonts w:asciiTheme="minorHAnsi" w:eastAsiaTheme="minorEastAsia" w:hAnsiTheme="minorHAnsi" w:cstheme="minorBidi"/>
        </w:rPr>
      </w:pPr>
      <w:hyperlink w:anchor="_Toc460514593" w:history="1">
        <w:r w:rsidR="008E0B00" w:rsidRPr="00E01459">
          <w:rPr>
            <w:rStyle w:val="Hyperlink"/>
          </w:rPr>
          <w:t>Table 93</w:t>
        </w:r>
        <w:r w:rsidR="008E0B00">
          <w:rPr>
            <w:rFonts w:asciiTheme="minorHAnsi" w:eastAsiaTheme="minorEastAsia" w:hAnsiTheme="minorHAnsi" w:cstheme="minorBidi"/>
          </w:rPr>
          <w:tab/>
        </w:r>
        <w:r w:rsidR="008E0B00" w:rsidRPr="00E01459">
          <w:rPr>
            <w:rStyle w:val="Hyperlink"/>
          </w:rPr>
          <w:t xml:space="preserve">Summary of studies </w:t>
        </w:r>
        <w:r w:rsidR="008E0B00" w:rsidRPr="00E01459">
          <w:rPr>
            <w:rStyle w:val="Hyperlink"/>
            <w:snapToGrid w:val="0"/>
            <w:lang w:eastAsia="en-US"/>
          </w:rPr>
          <w:t>assessing impact of delayed treatment in Population 1</w:t>
        </w:r>
        <w:r w:rsidR="008E0B00">
          <w:rPr>
            <w:webHidden/>
          </w:rPr>
          <w:tab/>
        </w:r>
        <w:r w:rsidR="008E0B00">
          <w:rPr>
            <w:webHidden/>
          </w:rPr>
          <w:fldChar w:fldCharType="begin"/>
        </w:r>
        <w:r w:rsidR="008E0B00">
          <w:rPr>
            <w:webHidden/>
          </w:rPr>
          <w:instrText xml:space="preserve"> PAGEREF _Toc460514593 \h </w:instrText>
        </w:r>
        <w:r w:rsidR="008E0B00">
          <w:rPr>
            <w:webHidden/>
          </w:rPr>
        </w:r>
        <w:r w:rsidR="008E0B00">
          <w:rPr>
            <w:webHidden/>
          </w:rPr>
          <w:fldChar w:fldCharType="separate"/>
        </w:r>
        <w:r w:rsidR="0029649D">
          <w:rPr>
            <w:webHidden/>
          </w:rPr>
          <w:t>223</w:t>
        </w:r>
        <w:r w:rsidR="008E0B00">
          <w:rPr>
            <w:webHidden/>
          </w:rPr>
          <w:fldChar w:fldCharType="end"/>
        </w:r>
      </w:hyperlink>
    </w:p>
    <w:p w14:paraId="22E58DEF" w14:textId="77777777" w:rsidR="008E0B00" w:rsidRDefault="00DD0356">
      <w:pPr>
        <w:pStyle w:val="TableofFigures"/>
        <w:rPr>
          <w:rFonts w:asciiTheme="minorHAnsi" w:eastAsiaTheme="minorEastAsia" w:hAnsiTheme="minorHAnsi" w:cstheme="minorBidi"/>
        </w:rPr>
      </w:pPr>
      <w:hyperlink w:anchor="_Toc460514594" w:history="1">
        <w:r w:rsidR="008E0B00" w:rsidRPr="00E01459">
          <w:rPr>
            <w:rStyle w:val="Hyperlink"/>
          </w:rPr>
          <w:t>Table 94</w:t>
        </w:r>
        <w:r w:rsidR="008E0B00">
          <w:rPr>
            <w:rFonts w:asciiTheme="minorHAnsi" w:eastAsiaTheme="minorEastAsia" w:hAnsiTheme="minorHAnsi" w:cstheme="minorBidi"/>
          </w:rPr>
          <w:tab/>
        </w:r>
        <w:r w:rsidR="008E0B00" w:rsidRPr="00E01459">
          <w:rPr>
            <w:rStyle w:val="Hyperlink"/>
          </w:rPr>
          <w:t xml:space="preserve"> Safety of trans-rectal biopsy</w:t>
        </w:r>
        <w:r w:rsidR="008E0B00">
          <w:rPr>
            <w:webHidden/>
          </w:rPr>
          <w:tab/>
        </w:r>
        <w:r w:rsidR="008E0B00">
          <w:rPr>
            <w:webHidden/>
          </w:rPr>
          <w:fldChar w:fldCharType="begin"/>
        </w:r>
        <w:r w:rsidR="008E0B00">
          <w:rPr>
            <w:webHidden/>
          </w:rPr>
          <w:instrText xml:space="preserve"> PAGEREF _Toc460514594 \h </w:instrText>
        </w:r>
        <w:r w:rsidR="008E0B00">
          <w:rPr>
            <w:webHidden/>
          </w:rPr>
        </w:r>
        <w:r w:rsidR="008E0B00">
          <w:rPr>
            <w:webHidden/>
          </w:rPr>
          <w:fldChar w:fldCharType="separate"/>
        </w:r>
        <w:r w:rsidR="0029649D">
          <w:rPr>
            <w:webHidden/>
          </w:rPr>
          <w:t>228</w:t>
        </w:r>
        <w:r w:rsidR="008E0B00">
          <w:rPr>
            <w:webHidden/>
          </w:rPr>
          <w:fldChar w:fldCharType="end"/>
        </w:r>
      </w:hyperlink>
    </w:p>
    <w:p w14:paraId="5B82D98C" w14:textId="77777777" w:rsidR="008E0B00" w:rsidRDefault="00DD0356">
      <w:pPr>
        <w:pStyle w:val="TableofFigures"/>
        <w:rPr>
          <w:rFonts w:asciiTheme="minorHAnsi" w:eastAsiaTheme="minorEastAsia" w:hAnsiTheme="minorHAnsi" w:cstheme="minorBidi"/>
        </w:rPr>
      </w:pPr>
      <w:hyperlink w:anchor="_Toc460514595" w:history="1">
        <w:r w:rsidR="008E0B00" w:rsidRPr="00E01459">
          <w:rPr>
            <w:rStyle w:val="Hyperlink"/>
          </w:rPr>
          <w:t>Table 95</w:t>
        </w:r>
        <w:r w:rsidR="008E0B00">
          <w:rPr>
            <w:rFonts w:asciiTheme="minorHAnsi" w:eastAsiaTheme="minorEastAsia" w:hAnsiTheme="minorHAnsi" w:cstheme="minorBidi"/>
          </w:rPr>
          <w:tab/>
        </w:r>
        <w:r w:rsidR="008E0B00" w:rsidRPr="00E01459">
          <w:rPr>
            <w:rStyle w:val="Hyperlink"/>
          </w:rPr>
          <w:t>Safety of trans-perineal biopsy</w:t>
        </w:r>
        <w:r w:rsidR="008E0B00">
          <w:rPr>
            <w:webHidden/>
          </w:rPr>
          <w:tab/>
        </w:r>
        <w:r w:rsidR="008E0B00">
          <w:rPr>
            <w:webHidden/>
          </w:rPr>
          <w:fldChar w:fldCharType="begin"/>
        </w:r>
        <w:r w:rsidR="008E0B00">
          <w:rPr>
            <w:webHidden/>
          </w:rPr>
          <w:instrText xml:space="preserve"> PAGEREF _Toc460514595 \h </w:instrText>
        </w:r>
        <w:r w:rsidR="008E0B00">
          <w:rPr>
            <w:webHidden/>
          </w:rPr>
        </w:r>
        <w:r w:rsidR="008E0B00">
          <w:rPr>
            <w:webHidden/>
          </w:rPr>
          <w:fldChar w:fldCharType="separate"/>
        </w:r>
        <w:r w:rsidR="0029649D">
          <w:rPr>
            <w:webHidden/>
          </w:rPr>
          <w:t>231</w:t>
        </w:r>
        <w:r w:rsidR="008E0B00">
          <w:rPr>
            <w:webHidden/>
          </w:rPr>
          <w:fldChar w:fldCharType="end"/>
        </w:r>
      </w:hyperlink>
    </w:p>
    <w:p w14:paraId="45E0B3E3" w14:textId="77777777" w:rsidR="008E0B00" w:rsidRDefault="00DD0356">
      <w:pPr>
        <w:pStyle w:val="TableofFigures"/>
        <w:rPr>
          <w:rFonts w:asciiTheme="minorHAnsi" w:eastAsiaTheme="minorEastAsia" w:hAnsiTheme="minorHAnsi" w:cstheme="minorBidi"/>
        </w:rPr>
      </w:pPr>
      <w:hyperlink w:anchor="_Toc460514596" w:history="1">
        <w:r w:rsidR="008E0B00" w:rsidRPr="00E01459">
          <w:rPr>
            <w:rStyle w:val="Hyperlink"/>
          </w:rPr>
          <w:t>Table 96</w:t>
        </w:r>
        <w:r w:rsidR="008E0B00">
          <w:rPr>
            <w:rFonts w:asciiTheme="minorHAnsi" w:eastAsiaTheme="minorEastAsia" w:hAnsiTheme="minorHAnsi" w:cstheme="minorBidi"/>
          </w:rPr>
          <w:tab/>
        </w:r>
        <w:r w:rsidR="008E0B00" w:rsidRPr="00E01459">
          <w:rPr>
            <w:rStyle w:val="Hyperlink"/>
            <w:snapToGrid w:val="0"/>
            <w:lang w:eastAsia="en-US"/>
          </w:rPr>
          <w:t>Ongoing clinical trials</w:t>
        </w:r>
        <w:r w:rsidR="008E0B00">
          <w:rPr>
            <w:webHidden/>
          </w:rPr>
          <w:tab/>
        </w:r>
        <w:r w:rsidR="008E0B00">
          <w:rPr>
            <w:webHidden/>
          </w:rPr>
          <w:fldChar w:fldCharType="begin"/>
        </w:r>
        <w:r w:rsidR="008E0B00">
          <w:rPr>
            <w:webHidden/>
          </w:rPr>
          <w:instrText xml:space="preserve"> PAGEREF _Toc460514596 \h </w:instrText>
        </w:r>
        <w:r w:rsidR="008E0B00">
          <w:rPr>
            <w:webHidden/>
          </w:rPr>
        </w:r>
        <w:r w:rsidR="008E0B00">
          <w:rPr>
            <w:webHidden/>
          </w:rPr>
          <w:fldChar w:fldCharType="separate"/>
        </w:r>
        <w:r w:rsidR="0029649D">
          <w:rPr>
            <w:webHidden/>
          </w:rPr>
          <w:t>233</w:t>
        </w:r>
        <w:r w:rsidR="008E0B00">
          <w:rPr>
            <w:webHidden/>
          </w:rPr>
          <w:fldChar w:fldCharType="end"/>
        </w:r>
      </w:hyperlink>
    </w:p>
    <w:p w14:paraId="5861F81C" w14:textId="77777777" w:rsidR="008E0B00" w:rsidRDefault="00DD0356">
      <w:pPr>
        <w:pStyle w:val="TableofFigures"/>
        <w:rPr>
          <w:rFonts w:asciiTheme="minorHAnsi" w:eastAsiaTheme="minorEastAsia" w:hAnsiTheme="minorHAnsi" w:cstheme="minorBidi"/>
        </w:rPr>
      </w:pPr>
      <w:hyperlink w:anchor="_Toc460514597" w:history="1">
        <w:r w:rsidR="008E0B00" w:rsidRPr="00E01459">
          <w:rPr>
            <w:rStyle w:val="Hyperlink"/>
          </w:rPr>
          <w:t>Table 97</w:t>
        </w:r>
        <w:r w:rsidR="008E0B00">
          <w:rPr>
            <w:rFonts w:asciiTheme="minorHAnsi" w:eastAsiaTheme="minorEastAsia" w:hAnsiTheme="minorHAnsi" w:cstheme="minorBidi"/>
          </w:rPr>
          <w:tab/>
        </w:r>
        <w:r w:rsidR="008E0B00" w:rsidRPr="00E01459">
          <w:rPr>
            <w:rStyle w:val="Hyperlink"/>
          </w:rPr>
          <w:t>Relevant clinical guidelines for mpMRI in prostate biopsy for cancer detection</w:t>
        </w:r>
        <w:r w:rsidR="008E0B00">
          <w:rPr>
            <w:webHidden/>
          </w:rPr>
          <w:tab/>
        </w:r>
        <w:r w:rsidR="008E0B00">
          <w:rPr>
            <w:webHidden/>
          </w:rPr>
          <w:fldChar w:fldCharType="begin"/>
        </w:r>
        <w:r w:rsidR="008E0B00">
          <w:rPr>
            <w:webHidden/>
          </w:rPr>
          <w:instrText xml:space="preserve"> PAGEREF _Toc460514597 \h </w:instrText>
        </w:r>
        <w:r w:rsidR="008E0B00">
          <w:rPr>
            <w:webHidden/>
          </w:rPr>
        </w:r>
        <w:r w:rsidR="008E0B00">
          <w:rPr>
            <w:webHidden/>
          </w:rPr>
          <w:fldChar w:fldCharType="separate"/>
        </w:r>
        <w:r w:rsidR="0029649D">
          <w:rPr>
            <w:webHidden/>
          </w:rPr>
          <w:t>238</w:t>
        </w:r>
        <w:r w:rsidR="008E0B00">
          <w:rPr>
            <w:webHidden/>
          </w:rPr>
          <w:fldChar w:fldCharType="end"/>
        </w:r>
      </w:hyperlink>
    </w:p>
    <w:p w14:paraId="4178328C" w14:textId="77777777" w:rsidR="008E0B00" w:rsidRDefault="00DD0356">
      <w:pPr>
        <w:pStyle w:val="TableofFigures"/>
        <w:rPr>
          <w:rFonts w:asciiTheme="minorHAnsi" w:eastAsiaTheme="minorEastAsia" w:hAnsiTheme="minorHAnsi" w:cstheme="minorBidi"/>
        </w:rPr>
      </w:pPr>
      <w:hyperlink w:anchor="_Toc460514598" w:history="1">
        <w:r w:rsidR="008E0B00" w:rsidRPr="00E01459">
          <w:rPr>
            <w:rStyle w:val="Hyperlink"/>
          </w:rPr>
          <w:t>Table 98</w:t>
        </w:r>
        <w:r w:rsidR="008E0B00">
          <w:rPr>
            <w:rFonts w:asciiTheme="minorHAnsi" w:eastAsiaTheme="minorEastAsia" w:hAnsiTheme="minorHAnsi" w:cstheme="minorBidi"/>
          </w:rPr>
          <w:tab/>
        </w:r>
        <w:r w:rsidR="008E0B00" w:rsidRPr="00E01459">
          <w:rPr>
            <w:rStyle w:val="Hyperlink"/>
          </w:rPr>
          <w:t>Search of health technology websites</w:t>
        </w:r>
        <w:r w:rsidR="008E0B00">
          <w:rPr>
            <w:webHidden/>
          </w:rPr>
          <w:tab/>
        </w:r>
        <w:r w:rsidR="008E0B00">
          <w:rPr>
            <w:webHidden/>
          </w:rPr>
          <w:fldChar w:fldCharType="begin"/>
        </w:r>
        <w:r w:rsidR="008E0B00">
          <w:rPr>
            <w:webHidden/>
          </w:rPr>
          <w:instrText xml:space="preserve"> PAGEREF _Toc460514598 \h </w:instrText>
        </w:r>
        <w:r w:rsidR="008E0B00">
          <w:rPr>
            <w:webHidden/>
          </w:rPr>
        </w:r>
        <w:r w:rsidR="008E0B00">
          <w:rPr>
            <w:webHidden/>
          </w:rPr>
          <w:fldChar w:fldCharType="separate"/>
        </w:r>
        <w:r w:rsidR="0029649D">
          <w:rPr>
            <w:webHidden/>
          </w:rPr>
          <w:t>239</w:t>
        </w:r>
        <w:r w:rsidR="008E0B00">
          <w:rPr>
            <w:webHidden/>
          </w:rPr>
          <w:fldChar w:fldCharType="end"/>
        </w:r>
      </w:hyperlink>
    </w:p>
    <w:p w14:paraId="3B37FFAC" w14:textId="77777777" w:rsidR="008E0B00" w:rsidRDefault="00DD0356">
      <w:pPr>
        <w:pStyle w:val="TableofFigures"/>
        <w:rPr>
          <w:rFonts w:asciiTheme="minorHAnsi" w:eastAsiaTheme="minorEastAsia" w:hAnsiTheme="minorHAnsi" w:cstheme="minorBidi"/>
        </w:rPr>
      </w:pPr>
      <w:hyperlink w:anchor="_Toc460514599" w:history="1">
        <w:r w:rsidR="008E0B00" w:rsidRPr="00E01459">
          <w:rPr>
            <w:rStyle w:val="Hyperlink"/>
          </w:rPr>
          <w:t>Table 99</w:t>
        </w:r>
        <w:r w:rsidR="008E0B00">
          <w:rPr>
            <w:rFonts w:asciiTheme="minorHAnsi" w:eastAsiaTheme="minorEastAsia" w:hAnsiTheme="minorHAnsi" w:cstheme="minorBidi"/>
          </w:rPr>
          <w:tab/>
        </w:r>
        <w:r w:rsidR="008E0B00" w:rsidRPr="00E01459">
          <w:rPr>
            <w:rStyle w:val="Hyperlink"/>
          </w:rPr>
          <w:t>Results of PubMed literature search: economic evaluations [search date 25</w:t>
        </w:r>
        <w:r w:rsidR="008E0B00" w:rsidRPr="00E01459">
          <w:rPr>
            <w:rStyle w:val="Hyperlink"/>
            <w:vertAlign w:val="superscript"/>
          </w:rPr>
          <w:t>th</w:t>
        </w:r>
        <w:r w:rsidR="008E0B00" w:rsidRPr="00E01459">
          <w:rPr>
            <w:rStyle w:val="Hyperlink"/>
          </w:rPr>
          <w:t xml:space="preserve"> of June 2016]</w:t>
        </w:r>
        <w:r w:rsidR="008E0B00">
          <w:rPr>
            <w:webHidden/>
          </w:rPr>
          <w:tab/>
        </w:r>
        <w:r w:rsidR="008E0B00">
          <w:rPr>
            <w:webHidden/>
          </w:rPr>
          <w:fldChar w:fldCharType="begin"/>
        </w:r>
        <w:r w:rsidR="008E0B00">
          <w:rPr>
            <w:webHidden/>
          </w:rPr>
          <w:instrText xml:space="preserve"> PAGEREF _Toc460514599 \h </w:instrText>
        </w:r>
        <w:r w:rsidR="008E0B00">
          <w:rPr>
            <w:webHidden/>
          </w:rPr>
        </w:r>
        <w:r w:rsidR="008E0B00">
          <w:rPr>
            <w:webHidden/>
          </w:rPr>
          <w:fldChar w:fldCharType="separate"/>
        </w:r>
        <w:r w:rsidR="0029649D">
          <w:rPr>
            <w:webHidden/>
          </w:rPr>
          <w:t>240</w:t>
        </w:r>
        <w:r w:rsidR="008E0B00">
          <w:rPr>
            <w:webHidden/>
          </w:rPr>
          <w:fldChar w:fldCharType="end"/>
        </w:r>
      </w:hyperlink>
    </w:p>
    <w:p w14:paraId="6E584904" w14:textId="77777777" w:rsidR="008E0B00" w:rsidRDefault="00DD0356">
      <w:pPr>
        <w:pStyle w:val="TableofFigures"/>
        <w:rPr>
          <w:rFonts w:asciiTheme="minorHAnsi" w:eastAsiaTheme="minorEastAsia" w:hAnsiTheme="minorHAnsi" w:cstheme="minorBidi"/>
        </w:rPr>
      </w:pPr>
      <w:hyperlink w:anchor="_Toc460514600" w:history="1">
        <w:r w:rsidR="008E0B00" w:rsidRPr="00E01459">
          <w:rPr>
            <w:rStyle w:val="Hyperlink"/>
          </w:rPr>
          <w:t>Table 100</w:t>
        </w:r>
        <w:r w:rsidR="008E0B00">
          <w:rPr>
            <w:rFonts w:asciiTheme="minorHAnsi" w:eastAsiaTheme="minorEastAsia" w:hAnsiTheme="minorHAnsi" w:cstheme="minorBidi"/>
          </w:rPr>
          <w:tab/>
        </w:r>
        <w:r w:rsidR="008E0B00" w:rsidRPr="00E01459">
          <w:rPr>
            <w:rStyle w:val="Hyperlink"/>
          </w:rPr>
          <w:t>Results of PubMed literature search: Australian cost studies [search date 14</w:t>
        </w:r>
        <w:r w:rsidR="008E0B00" w:rsidRPr="00E01459">
          <w:rPr>
            <w:rStyle w:val="Hyperlink"/>
            <w:vertAlign w:val="superscript"/>
          </w:rPr>
          <w:t>th</w:t>
        </w:r>
        <w:r w:rsidR="008E0B00" w:rsidRPr="00E01459">
          <w:rPr>
            <w:rStyle w:val="Hyperlink"/>
          </w:rPr>
          <w:t xml:space="preserve"> of July 2016)</w:t>
        </w:r>
        <w:r w:rsidR="008E0B00">
          <w:rPr>
            <w:webHidden/>
          </w:rPr>
          <w:tab/>
        </w:r>
        <w:r w:rsidR="008E0B00">
          <w:rPr>
            <w:webHidden/>
          </w:rPr>
          <w:fldChar w:fldCharType="begin"/>
        </w:r>
        <w:r w:rsidR="008E0B00">
          <w:rPr>
            <w:webHidden/>
          </w:rPr>
          <w:instrText xml:space="preserve"> PAGEREF _Toc460514600 \h </w:instrText>
        </w:r>
        <w:r w:rsidR="008E0B00">
          <w:rPr>
            <w:webHidden/>
          </w:rPr>
        </w:r>
        <w:r w:rsidR="008E0B00">
          <w:rPr>
            <w:webHidden/>
          </w:rPr>
          <w:fldChar w:fldCharType="separate"/>
        </w:r>
        <w:r w:rsidR="0029649D">
          <w:rPr>
            <w:webHidden/>
          </w:rPr>
          <w:t>241</w:t>
        </w:r>
        <w:r w:rsidR="008E0B00">
          <w:rPr>
            <w:webHidden/>
          </w:rPr>
          <w:fldChar w:fldCharType="end"/>
        </w:r>
      </w:hyperlink>
    </w:p>
    <w:p w14:paraId="4B840D87" w14:textId="77777777" w:rsidR="008E0B00" w:rsidRDefault="00503C5B" w:rsidP="002040D5">
      <w:pPr>
        <w:pStyle w:val="Heading2"/>
        <w:rPr>
          <w:noProof/>
        </w:rPr>
      </w:pPr>
      <w:r>
        <w:rPr>
          <w:rFonts w:eastAsiaTheme="minorEastAsia"/>
          <w:noProof/>
        </w:rPr>
        <w:fldChar w:fldCharType="end"/>
      </w:r>
      <w:bookmarkStart w:id="28" w:name="_Toc460513867"/>
      <w:bookmarkStart w:id="29" w:name="_Toc399247192"/>
      <w:r w:rsidR="002040D5" w:rsidRPr="002040D5">
        <w:rPr>
          <w:rFonts w:eastAsiaTheme="minorEastAsia"/>
        </w:rPr>
        <w:t>Boxes</w:t>
      </w:r>
      <w:bookmarkEnd w:id="28"/>
      <w:r w:rsidR="002040D5">
        <w:rPr>
          <w:rFonts w:eastAsiaTheme="minorEastAsia"/>
        </w:rPr>
        <w:fldChar w:fldCharType="begin"/>
      </w:r>
      <w:r w:rsidR="002040D5" w:rsidRPr="002040D5">
        <w:rPr>
          <w:rFonts w:eastAsiaTheme="minorEastAsia"/>
        </w:rPr>
        <w:instrText xml:space="preserve"> TOC \h \z \c "Box" </w:instrText>
      </w:r>
      <w:r w:rsidR="002040D5">
        <w:rPr>
          <w:rFonts w:eastAsiaTheme="minorEastAsia"/>
        </w:rPr>
        <w:fldChar w:fldCharType="separate"/>
      </w:r>
    </w:p>
    <w:p w14:paraId="2407E2DD" w14:textId="77777777" w:rsidR="008E0B00" w:rsidRDefault="00DD0356">
      <w:pPr>
        <w:pStyle w:val="TableofFigures"/>
        <w:rPr>
          <w:rFonts w:asciiTheme="minorHAnsi" w:eastAsiaTheme="minorEastAsia" w:hAnsiTheme="minorHAnsi" w:cstheme="minorBidi"/>
        </w:rPr>
      </w:pPr>
      <w:hyperlink w:anchor="_Toc460514601" w:history="1">
        <w:r w:rsidR="008E0B00" w:rsidRPr="007E1018">
          <w:rPr>
            <w:rStyle w:val="Hyperlink"/>
          </w:rPr>
          <w:t>Box 1</w:t>
        </w:r>
        <w:r w:rsidR="008E0B00">
          <w:rPr>
            <w:rFonts w:asciiTheme="minorHAnsi" w:eastAsiaTheme="minorEastAsia" w:hAnsiTheme="minorHAnsi" w:cstheme="minorBidi"/>
          </w:rPr>
          <w:tab/>
        </w:r>
        <w:r w:rsidR="008E0B00" w:rsidRPr="007E1018">
          <w:rPr>
            <w:rStyle w:val="Hyperlink"/>
          </w:rPr>
          <w:t>Criteria for identifying and selecting studies to determine the safety of mpMRI of the prostate in men with suspicion of prostate cancer or on active surveillance</w:t>
        </w:r>
        <w:r w:rsidR="008E0B00">
          <w:rPr>
            <w:webHidden/>
          </w:rPr>
          <w:tab/>
        </w:r>
        <w:r w:rsidR="008E0B00">
          <w:rPr>
            <w:webHidden/>
          </w:rPr>
          <w:fldChar w:fldCharType="begin"/>
        </w:r>
        <w:r w:rsidR="008E0B00">
          <w:rPr>
            <w:webHidden/>
          </w:rPr>
          <w:instrText xml:space="preserve"> PAGEREF _Toc460514601 \h </w:instrText>
        </w:r>
        <w:r w:rsidR="008E0B00">
          <w:rPr>
            <w:webHidden/>
          </w:rPr>
        </w:r>
        <w:r w:rsidR="008E0B00">
          <w:rPr>
            <w:webHidden/>
          </w:rPr>
          <w:fldChar w:fldCharType="separate"/>
        </w:r>
        <w:r w:rsidR="0029649D">
          <w:rPr>
            <w:webHidden/>
          </w:rPr>
          <w:t>41</w:t>
        </w:r>
        <w:r w:rsidR="008E0B00">
          <w:rPr>
            <w:webHidden/>
          </w:rPr>
          <w:fldChar w:fldCharType="end"/>
        </w:r>
      </w:hyperlink>
    </w:p>
    <w:p w14:paraId="5D970490" w14:textId="77777777" w:rsidR="008E0B00" w:rsidRDefault="00DD0356">
      <w:pPr>
        <w:pStyle w:val="TableofFigures"/>
        <w:rPr>
          <w:rFonts w:asciiTheme="minorHAnsi" w:eastAsiaTheme="minorEastAsia" w:hAnsiTheme="minorHAnsi" w:cstheme="minorBidi"/>
        </w:rPr>
      </w:pPr>
      <w:hyperlink w:anchor="_Toc460514602" w:history="1">
        <w:r w:rsidR="008E0B00" w:rsidRPr="007E1018">
          <w:rPr>
            <w:rStyle w:val="Hyperlink"/>
          </w:rPr>
          <w:t>Box 2</w:t>
        </w:r>
        <w:r w:rsidR="008E0B00">
          <w:rPr>
            <w:rFonts w:asciiTheme="minorHAnsi" w:eastAsiaTheme="minorEastAsia" w:hAnsiTheme="minorHAnsi" w:cstheme="minorBidi"/>
          </w:rPr>
          <w:tab/>
        </w:r>
        <w:r w:rsidR="008E0B00" w:rsidRPr="007E1018">
          <w:rPr>
            <w:rStyle w:val="Hyperlink"/>
          </w:rPr>
          <w:t>Criteria for identifying and selecting studies to determine the safety of prostate biopsy in patients with suspicion of prostate cancer or on active surveillance</w:t>
        </w:r>
        <w:r w:rsidR="008E0B00">
          <w:rPr>
            <w:webHidden/>
          </w:rPr>
          <w:tab/>
        </w:r>
        <w:r w:rsidR="008E0B00">
          <w:rPr>
            <w:webHidden/>
          </w:rPr>
          <w:fldChar w:fldCharType="begin"/>
        </w:r>
        <w:r w:rsidR="008E0B00">
          <w:rPr>
            <w:webHidden/>
          </w:rPr>
          <w:instrText xml:space="preserve"> PAGEREF _Toc460514602 \h </w:instrText>
        </w:r>
        <w:r w:rsidR="008E0B00">
          <w:rPr>
            <w:webHidden/>
          </w:rPr>
        </w:r>
        <w:r w:rsidR="008E0B00">
          <w:rPr>
            <w:webHidden/>
          </w:rPr>
          <w:fldChar w:fldCharType="separate"/>
        </w:r>
        <w:r w:rsidR="0029649D">
          <w:rPr>
            <w:webHidden/>
          </w:rPr>
          <w:t>41</w:t>
        </w:r>
        <w:r w:rsidR="008E0B00">
          <w:rPr>
            <w:webHidden/>
          </w:rPr>
          <w:fldChar w:fldCharType="end"/>
        </w:r>
      </w:hyperlink>
    </w:p>
    <w:p w14:paraId="0596DEB5" w14:textId="77777777" w:rsidR="008E0B00" w:rsidRDefault="00DD0356">
      <w:pPr>
        <w:pStyle w:val="TableofFigures"/>
        <w:rPr>
          <w:rFonts w:asciiTheme="minorHAnsi" w:eastAsiaTheme="minorEastAsia" w:hAnsiTheme="minorHAnsi" w:cstheme="minorBidi"/>
        </w:rPr>
      </w:pPr>
      <w:hyperlink w:anchor="_Toc460514603" w:history="1">
        <w:r w:rsidR="008E0B00" w:rsidRPr="007E1018">
          <w:rPr>
            <w:rStyle w:val="Hyperlink"/>
          </w:rPr>
          <w:t>Box 3</w:t>
        </w:r>
        <w:r w:rsidR="008E0B00">
          <w:rPr>
            <w:rFonts w:asciiTheme="minorHAnsi" w:eastAsiaTheme="minorEastAsia" w:hAnsiTheme="minorHAnsi" w:cstheme="minorBidi"/>
          </w:rPr>
          <w:tab/>
        </w:r>
        <w:r w:rsidR="008E0B00" w:rsidRPr="007E1018">
          <w:rPr>
            <w:rStyle w:val="Hyperlink"/>
          </w:rPr>
          <w:t>Criteria for identifying and selecting studies to determine the direct effectiveness of mpMRI in patients with suspicion of prostate cancer or on active surveillance</w:t>
        </w:r>
        <w:r w:rsidR="008E0B00">
          <w:rPr>
            <w:webHidden/>
          </w:rPr>
          <w:tab/>
        </w:r>
        <w:r w:rsidR="008E0B00">
          <w:rPr>
            <w:webHidden/>
          </w:rPr>
          <w:fldChar w:fldCharType="begin"/>
        </w:r>
        <w:r w:rsidR="008E0B00">
          <w:rPr>
            <w:webHidden/>
          </w:rPr>
          <w:instrText xml:space="preserve"> PAGEREF _Toc460514603 \h </w:instrText>
        </w:r>
        <w:r w:rsidR="008E0B00">
          <w:rPr>
            <w:webHidden/>
          </w:rPr>
        </w:r>
        <w:r w:rsidR="008E0B00">
          <w:rPr>
            <w:webHidden/>
          </w:rPr>
          <w:fldChar w:fldCharType="separate"/>
        </w:r>
        <w:r w:rsidR="0029649D">
          <w:rPr>
            <w:webHidden/>
          </w:rPr>
          <w:t>42</w:t>
        </w:r>
        <w:r w:rsidR="008E0B00">
          <w:rPr>
            <w:webHidden/>
          </w:rPr>
          <w:fldChar w:fldCharType="end"/>
        </w:r>
      </w:hyperlink>
    </w:p>
    <w:p w14:paraId="07EA89CB" w14:textId="77777777" w:rsidR="008E0B00" w:rsidRDefault="00DD0356">
      <w:pPr>
        <w:pStyle w:val="TableofFigures"/>
        <w:rPr>
          <w:rFonts w:asciiTheme="minorHAnsi" w:eastAsiaTheme="minorEastAsia" w:hAnsiTheme="minorHAnsi" w:cstheme="minorBidi"/>
        </w:rPr>
      </w:pPr>
      <w:hyperlink w:anchor="_Toc460514604" w:history="1">
        <w:r w:rsidR="008E0B00" w:rsidRPr="007E1018">
          <w:rPr>
            <w:rStyle w:val="Hyperlink"/>
          </w:rPr>
          <w:t>Box 4</w:t>
        </w:r>
        <w:r w:rsidR="008E0B00">
          <w:rPr>
            <w:rFonts w:asciiTheme="minorHAnsi" w:eastAsiaTheme="minorEastAsia" w:hAnsiTheme="minorHAnsi" w:cstheme="minorBidi"/>
          </w:rPr>
          <w:tab/>
        </w:r>
        <w:r w:rsidR="008E0B00" w:rsidRPr="007E1018">
          <w:rPr>
            <w:rStyle w:val="Hyperlink"/>
          </w:rPr>
          <w:t>Criteria for identifying and selecting studies to determine the accuracy of mpMRI scan of prostate in patients with suspicion of prostate cancer or on active surveillance</w:t>
        </w:r>
        <w:r w:rsidR="008E0B00">
          <w:rPr>
            <w:webHidden/>
          </w:rPr>
          <w:tab/>
        </w:r>
        <w:r w:rsidR="008E0B00">
          <w:rPr>
            <w:webHidden/>
          </w:rPr>
          <w:fldChar w:fldCharType="begin"/>
        </w:r>
        <w:r w:rsidR="008E0B00">
          <w:rPr>
            <w:webHidden/>
          </w:rPr>
          <w:instrText xml:space="preserve"> PAGEREF _Toc460514604 \h </w:instrText>
        </w:r>
        <w:r w:rsidR="008E0B00">
          <w:rPr>
            <w:webHidden/>
          </w:rPr>
        </w:r>
        <w:r w:rsidR="008E0B00">
          <w:rPr>
            <w:webHidden/>
          </w:rPr>
          <w:fldChar w:fldCharType="separate"/>
        </w:r>
        <w:r w:rsidR="0029649D">
          <w:rPr>
            <w:webHidden/>
          </w:rPr>
          <w:t>42</w:t>
        </w:r>
        <w:r w:rsidR="008E0B00">
          <w:rPr>
            <w:webHidden/>
          </w:rPr>
          <w:fldChar w:fldCharType="end"/>
        </w:r>
      </w:hyperlink>
    </w:p>
    <w:p w14:paraId="4BB4E186" w14:textId="77777777" w:rsidR="008E0B00" w:rsidRDefault="00DD0356">
      <w:pPr>
        <w:pStyle w:val="TableofFigures"/>
        <w:rPr>
          <w:rFonts w:asciiTheme="minorHAnsi" w:eastAsiaTheme="minorEastAsia" w:hAnsiTheme="minorHAnsi" w:cstheme="minorBidi"/>
        </w:rPr>
      </w:pPr>
      <w:hyperlink w:anchor="_Toc460514605" w:history="1">
        <w:r w:rsidR="008E0B00" w:rsidRPr="007E1018">
          <w:rPr>
            <w:rStyle w:val="Hyperlink"/>
          </w:rPr>
          <w:t>Box 5</w:t>
        </w:r>
        <w:r w:rsidR="008E0B00">
          <w:rPr>
            <w:rFonts w:asciiTheme="minorHAnsi" w:eastAsiaTheme="minorEastAsia" w:hAnsiTheme="minorHAnsi" w:cstheme="minorBidi"/>
          </w:rPr>
          <w:tab/>
        </w:r>
        <w:r w:rsidR="008E0B00" w:rsidRPr="007E1018">
          <w:rPr>
            <w:rStyle w:val="Hyperlink"/>
          </w:rPr>
          <w:t>Criteria for identifying and selecting studies to determine the reliability of PI-RADS in patients with suspicion of prostate cancer or on active surveillance</w:t>
        </w:r>
        <w:r w:rsidR="008E0B00">
          <w:rPr>
            <w:webHidden/>
          </w:rPr>
          <w:tab/>
        </w:r>
        <w:r w:rsidR="008E0B00">
          <w:rPr>
            <w:webHidden/>
          </w:rPr>
          <w:fldChar w:fldCharType="begin"/>
        </w:r>
        <w:r w:rsidR="008E0B00">
          <w:rPr>
            <w:webHidden/>
          </w:rPr>
          <w:instrText xml:space="preserve"> PAGEREF _Toc460514605 \h </w:instrText>
        </w:r>
        <w:r w:rsidR="008E0B00">
          <w:rPr>
            <w:webHidden/>
          </w:rPr>
        </w:r>
        <w:r w:rsidR="008E0B00">
          <w:rPr>
            <w:webHidden/>
          </w:rPr>
          <w:fldChar w:fldCharType="separate"/>
        </w:r>
        <w:r w:rsidR="0029649D">
          <w:rPr>
            <w:webHidden/>
          </w:rPr>
          <w:t>43</w:t>
        </w:r>
        <w:r w:rsidR="008E0B00">
          <w:rPr>
            <w:webHidden/>
          </w:rPr>
          <w:fldChar w:fldCharType="end"/>
        </w:r>
      </w:hyperlink>
    </w:p>
    <w:p w14:paraId="753CB508" w14:textId="77777777" w:rsidR="008E0B00" w:rsidRDefault="00DD0356">
      <w:pPr>
        <w:pStyle w:val="TableofFigures"/>
        <w:rPr>
          <w:rFonts w:asciiTheme="minorHAnsi" w:eastAsiaTheme="minorEastAsia" w:hAnsiTheme="minorHAnsi" w:cstheme="minorBidi"/>
        </w:rPr>
      </w:pPr>
      <w:hyperlink w:anchor="_Toc460514606" w:history="1">
        <w:r w:rsidR="008E0B00" w:rsidRPr="007E1018">
          <w:rPr>
            <w:rStyle w:val="Hyperlink"/>
          </w:rPr>
          <w:t>Box 6</w:t>
        </w:r>
        <w:r w:rsidR="008E0B00">
          <w:rPr>
            <w:rFonts w:asciiTheme="minorHAnsi" w:eastAsiaTheme="minorEastAsia" w:hAnsiTheme="minorHAnsi" w:cstheme="minorBidi"/>
          </w:rPr>
          <w:tab/>
        </w:r>
        <w:r w:rsidR="008E0B00" w:rsidRPr="007E1018">
          <w:rPr>
            <w:rStyle w:val="Hyperlink"/>
          </w:rPr>
          <w:t>Criteria for identifying and selecting studies to determine the accuracy of prostate biopsy in patients with suspicion of prostate cancer or on active surveillance</w:t>
        </w:r>
        <w:r w:rsidR="008E0B00">
          <w:rPr>
            <w:webHidden/>
          </w:rPr>
          <w:tab/>
        </w:r>
        <w:r w:rsidR="008E0B00">
          <w:rPr>
            <w:webHidden/>
          </w:rPr>
          <w:fldChar w:fldCharType="begin"/>
        </w:r>
        <w:r w:rsidR="008E0B00">
          <w:rPr>
            <w:webHidden/>
          </w:rPr>
          <w:instrText xml:space="preserve"> PAGEREF _Toc460514606 \h </w:instrText>
        </w:r>
        <w:r w:rsidR="008E0B00">
          <w:rPr>
            <w:webHidden/>
          </w:rPr>
        </w:r>
        <w:r w:rsidR="008E0B00">
          <w:rPr>
            <w:webHidden/>
          </w:rPr>
          <w:fldChar w:fldCharType="separate"/>
        </w:r>
        <w:r w:rsidR="0029649D">
          <w:rPr>
            <w:webHidden/>
          </w:rPr>
          <w:t>43</w:t>
        </w:r>
        <w:r w:rsidR="008E0B00">
          <w:rPr>
            <w:webHidden/>
          </w:rPr>
          <w:fldChar w:fldCharType="end"/>
        </w:r>
      </w:hyperlink>
    </w:p>
    <w:p w14:paraId="34F9EE91" w14:textId="77777777" w:rsidR="008E0B00" w:rsidRDefault="00DD0356">
      <w:pPr>
        <w:pStyle w:val="TableofFigures"/>
        <w:rPr>
          <w:rFonts w:asciiTheme="minorHAnsi" w:eastAsiaTheme="minorEastAsia" w:hAnsiTheme="minorHAnsi" w:cstheme="minorBidi"/>
        </w:rPr>
      </w:pPr>
      <w:hyperlink w:anchor="_Toc460514607" w:history="1">
        <w:r w:rsidR="008E0B00" w:rsidRPr="007E1018">
          <w:rPr>
            <w:rStyle w:val="Hyperlink"/>
          </w:rPr>
          <w:t>Box 7</w:t>
        </w:r>
        <w:r w:rsidR="008E0B00">
          <w:rPr>
            <w:rFonts w:asciiTheme="minorHAnsi" w:eastAsiaTheme="minorEastAsia" w:hAnsiTheme="minorHAnsi" w:cstheme="minorBidi"/>
          </w:rPr>
          <w:tab/>
        </w:r>
        <w:r w:rsidR="008E0B00" w:rsidRPr="007E1018">
          <w:rPr>
            <w:rStyle w:val="Hyperlink"/>
          </w:rPr>
          <w:t>Criteria for identifying and selecting studies to determine the patient outcomes subsequent to mpMRI scan of prostate in patients with suspicion of prostate cancer or on active surveillance</w:t>
        </w:r>
        <w:r w:rsidR="008E0B00">
          <w:rPr>
            <w:webHidden/>
          </w:rPr>
          <w:tab/>
        </w:r>
        <w:r w:rsidR="008E0B00">
          <w:rPr>
            <w:webHidden/>
          </w:rPr>
          <w:fldChar w:fldCharType="begin"/>
        </w:r>
        <w:r w:rsidR="008E0B00">
          <w:rPr>
            <w:webHidden/>
          </w:rPr>
          <w:instrText xml:space="preserve"> PAGEREF _Toc460514607 \h </w:instrText>
        </w:r>
        <w:r w:rsidR="008E0B00">
          <w:rPr>
            <w:webHidden/>
          </w:rPr>
        </w:r>
        <w:r w:rsidR="008E0B00">
          <w:rPr>
            <w:webHidden/>
          </w:rPr>
          <w:fldChar w:fldCharType="separate"/>
        </w:r>
        <w:r w:rsidR="0029649D">
          <w:rPr>
            <w:webHidden/>
          </w:rPr>
          <w:t>44</w:t>
        </w:r>
        <w:r w:rsidR="008E0B00">
          <w:rPr>
            <w:webHidden/>
          </w:rPr>
          <w:fldChar w:fldCharType="end"/>
        </w:r>
      </w:hyperlink>
    </w:p>
    <w:p w14:paraId="1E31A695" w14:textId="26991A0B" w:rsidR="00452F32" w:rsidRPr="00183E4D" w:rsidRDefault="002040D5" w:rsidP="00DF343F">
      <w:pPr>
        <w:pStyle w:val="Heading2"/>
      </w:pPr>
      <w:r>
        <w:rPr>
          <w:rFonts w:asciiTheme="minorHAnsi" w:eastAsiaTheme="minorEastAsia" w:hAnsiTheme="minorHAnsi" w:cstheme="minorBidi"/>
          <w:b w:val="0"/>
          <w:smallCaps w:val="0"/>
          <w:noProof/>
          <w:sz w:val="22"/>
        </w:rPr>
        <w:fldChar w:fldCharType="end"/>
      </w:r>
      <w:bookmarkStart w:id="30" w:name="_Toc381796427"/>
      <w:bookmarkStart w:id="31" w:name="_Toc395200738"/>
      <w:bookmarkStart w:id="32" w:name="_Toc399247193"/>
      <w:bookmarkStart w:id="33" w:name="_Toc460513868"/>
      <w:bookmarkEnd w:id="26"/>
      <w:bookmarkEnd w:id="27"/>
      <w:bookmarkEnd w:id="29"/>
      <w:r w:rsidR="008F59A8" w:rsidRPr="00183E4D">
        <w:t>Figures</w:t>
      </w:r>
      <w:bookmarkEnd w:id="30"/>
      <w:bookmarkEnd w:id="31"/>
      <w:bookmarkEnd w:id="32"/>
      <w:bookmarkEnd w:id="33"/>
    </w:p>
    <w:p w14:paraId="61B5EF71" w14:textId="77777777" w:rsidR="008E0B00" w:rsidRDefault="0086593E">
      <w:pPr>
        <w:pStyle w:val="TableofFigures"/>
        <w:rPr>
          <w:rFonts w:asciiTheme="minorHAnsi" w:eastAsiaTheme="minorEastAsia" w:hAnsiTheme="minorHAnsi" w:cstheme="minorBidi"/>
        </w:rPr>
      </w:pPr>
      <w:r w:rsidRPr="00183E4D">
        <w:rPr>
          <w:szCs w:val="24"/>
        </w:rPr>
        <w:fldChar w:fldCharType="begin"/>
      </w:r>
      <w:r w:rsidR="00452F32" w:rsidRPr="00183E4D">
        <w:rPr>
          <w:szCs w:val="24"/>
        </w:rPr>
        <w:instrText xml:space="preserve"> TOC \h \z \c "Figure" </w:instrText>
      </w:r>
      <w:r w:rsidRPr="00183E4D">
        <w:rPr>
          <w:szCs w:val="24"/>
        </w:rPr>
        <w:fldChar w:fldCharType="separate"/>
      </w:r>
      <w:hyperlink w:anchor="_Toc460514608" w:history="1">
        <w:r w:rsidR="008E0B00" w:rsidRPr="00A2342E">
          <w:rPr>
            <w:rStyle w:val="Hyperlink"/>
          </w:rPr>
          <w:t>Figure 1</w:t>
        </w:r>
        <w:r w:rsidR="008E0B00">
          <w:rPr>
            <w:rFonts w:asciiTheme="minorHAnsi" w:eastAsiaTheme="minorEastAsia" w:hAnsiTheme="minorHAnsi" w:cstheme="minorBidi"/>
          </w:rPr>
          <w:tab/>
        </w:r>
        <w:r w:rsidR="008E0B00" w:rsidRPr="00A2342E">
          <w:rPr>
            <w:rStyle w:val="Hyperlink"/>
          </w:rPr>
          <w:t>Current clinical management algorithm without the proposed intervention</w:t>
        </w:r>
        <w:r w:rsidR="008E0B00">
          <w:rPr>
            <w:webHidden/>
          </w:rPr>
          <w:tab/>
        </w:r>
        <w:r w:rsidR="008E0B00">
          <w:rPr>
            <w:webHidden/>
          </w:rPr>
          <w:fldChar w:fldCharType="begin"/>
        </w:r>
        <w:r w:rsidR="008E0B00">
          <w:rPr>
            <w:webHidden/>
          </w:rPr>
          <w:instrText xml:space="preserve"> PAGEREF _Toc460514608 \h </w:instrText>
        </w:r>
        <w:r w:rsidR="008E0B00">
          <w:rPr>
            <w:webHidden/>
          </w:rPr>
        </w:r>
        <w:r w:rsidR="008E0B00">
          <w:rPr>
            <w:webHidden/>
          </w:rPr>
          <w:fldChar w:fldCharType="separate"/>
        </w:r>
        <w:r w:rsidR="0029649D">
          <w:rPr>
            <w:webHidden/>
          </w:rPr>
          <w:t>36</w:t>
        </w:r>
        <w:r w:rsidR="008E0B00">
          <w:rPr>
            <w:webHidden/>
          </w:rPr>
          <w:fldChar w:fldCharType="end"/>
        </w:r>
      </w:hyperlink>
    </w:p>
    <w:p w14:paraId="1BAFA256" w14:textId="77777777" w:rsidR="008E0B00" w:rsidRDefault="00DD0356">
      <w:pPr>
        <w:pStyle w:val="TableofFigures"/>
        <w:rPr>
          <w:rFonts w:asciiTheme="minorHAnsi" w:eastAsiaTheme="minorEastAsia" w:hAnsiTheme="minorHAnsi" w:cstheme="minorBidi"/>
        </w:rPr>
      </w:pPr>
      <w:hyperlink w:anchor="_Toc460514609" w:history="1">
        <w:r w:rsidR="008E0B00" w:rsidRPr="00A2342E">
          <w:rPr>
            <w:rStyle w:val="Hyperlink"/>
          </w:rPr>
          <w:t>Figure 2</w:t>
        </w:r>
        <w:r w:rsidR="008E0B00">
          <w:rPr>
            <w:rFonts w:asciiTheme="minorHAnsi" w:eastAsiaTheme="minorEastAsia" w:hAnsiTheme="minorHAnsi" w:cstheme="minorBidi"/>
          </w:rPr>
          <w:tab/>
        </w:r>
        <w:r w:rsidR="008E0B00" w:rsidRPr="00A2342E">
          <w:rPr>
            <w:rStyle w:val="Hyperlink"/>
          </w:rPr>
          <w:t>Proposed clinical management algorithm for diagnostic mpMRI</w:t>
        </w:r>
        <w:r w:rsidR="008E0B00">
          <w:rPr>
            <w:webHidden/>
          </w:rPr>
          <w:tab/>
        </w:r>
        <w:r w:rsidR="008E0B00">
          <w:rPr>
            <w:webHidden/>
          </w:rPr>
          <w:fldChar w:fldCharType="begin"/>
        </w:r>
        <w:r w:rsidR="008E0B00">
          <w:rPr>
            <w:webHidden/>
          </w:rPr>
          <w:instrText xml:space="preserve"> PAGEREF _Toc460514609 \h </w:instrText>
        </w:r>
        <w:r w:rsidR="008E0B00">
          <w:rPr>
            <w:webHidden/>
          </w:rPr>
        </w:r>
        <w:r w:rsidR="008E0B00">
          <w:rPr>
            <w:webHidden/>
          </w:rPr>
          <w:fldChar w:fldCharType="separate"/>
        </w:r>
        <w:r w:rsidR="0029649D">
          <w:rPr>
            <w:webHidden/>
          </w:rPr>
          <w:t>37</w:t>
        </w:r>
        <w:r w:rsidR="008E0B00">
          <w:rPr>
            <w:webHidden/>
          </w:rPr>
          <w:fldChar w:fldCharType="end"/>
        </w:r>
      </w:hyperlink>
    </w:p>
    <w:p w14:paraId="3BF38061" w14:textId="77777777" w:rsidR="008E0B00" w:rsidRDefault="00DD0356">
      <w:pPr>
        <w:pStyle w:val="TableofFigures"/>
        <w:rPr>
          <w:rFonts w:asciiTheme="minorHAnsi" w:eastAsiaTheme="minorEastAsia" w:hAnsiTheme="minorHAnsi" w:cstheme="minorBidi"/>
        </w:rPr>
      </w:pPr>
      <w:hyperlink w:anchor="_Toc460514610" w:history="1">
        <w:r w:rsidR="008E0B00" w:rsidRPr="00A2342E">
          <w:rPr>
            <w:rStyle w:val="Hyperlink"/>
          </w:rPr>
          <w:t>Figure 3</w:t>
        </w:r>
        <w:r w:rsidR="008E0B00">
          <w:rPr>
            <w:rFonts w:asciiTheme="minorHAnsi" w:eastAsiaTheme="minorEastAsia" w:hAnsiTheme="minorHAnsi" w:cstheme="minorBidi"/>
          </w:rPr>
          <w:tab/>
        </w:r>
        <w:r w:rsidR="008E0B00" w:rsidRPr="00A2342E">
          <w:rPr>
            <w:rStyle w:val="Hyperlink"/>
          </w:rPr>
          <w:t>Current protocol for active surveillance without the proposed intervention</w:t>
        </w:r>
        <w:r w:rsidR="008E0B00">
          <w:rPr>
            <w:webHidden/>
          </w:rPr>
          <w:tab/>
        </w:r>
        <w:r w:rsidR="008E0B00">
          <w:rPr>
            <w:webHidden/>
          </w:rPr>
          <w:fldChar w:fldCharType="begin"/>
        </w:r>
        <w:r w:rsidR="008E0B00">
          <w:rPr>
            <w:webHidden/>
          </w:rPr>
          <w:instrText xml:space="preserve"> PAGEREF _Toc460514610 \h </w:instrText>
        </w:r>
        <w:r w:rsidR="008E0B00">
          <w:rPr>
            <w:webHidden/>
          </w:rPr>
        </w:r>
        <w:r w:rsidR="008E0B00">
          <w:rPr>
            <w:webHidden/>
          </w:rPr>
          <w:fldChar w:fldCharType="separate"/>
        </w:r>
        <w:r w:rsidR="0029649D">
          <w:rPr>
            <w:webHidden/>
          </w:rPr>
          <w:t>38</w:t>
        </w:r>
        <w:r w:rsidR="008E0B00">
          <w:rPr>
            <w:webHidden/>
          </w:rPr>
          <w:fldChar w:fldCharType="end"/>
        </w:r>
      </w:hyperlink>
    </w:p>
    <w:p w14:paraId="0790D97E" w14:textId="77777777" w:rsidR="008E0B00" w:rsidRDefault="00DD0356">
      <w:pPr>
        <w:pStyle w:val="TableofFigures"/>
        <w:rPr>
          <w:rFonts w:asciiTheme="minorHAnsi" w:eastAsiaTheme="minorEastAsia" w:hAnsiTheme="minorHAnsi" w:cstheme="minorBidi"/>
        </w:rPr>
      </w:pPr>
      <w:hyperlink w:anchor="_Toc460514611" w:history="1">
        <w:r w:rsidR="008E0B00" w:rsidRPr="00A2342E">
          <w:rPr>
            <w:rStyle w:val="Hyperlink"/>
          </w:rPr>
          <w:t>Figure 4</w:t>
        </w:r>
        <w:r w:rsidR="008E0B00">
          <w:rPr>
            <w:rFonts w:asciiTheme="minorHAnsi" w:eastAsiaTheme="minorEastAsia" w:hAnsiTheme="minorHAnsi" w:cstheme="minorBidi"/>
          </w:rPr>
          <w:tab/>
        </w:r>
        <w:r w:rsidR="008E0B00" w:rsidRPr="00A2342E">
          <w:rPr>
            <w:rStyle w:val="Hyperlink"/>
          </w:rPr>
          <w:t>Proposed protocol for active surveillance with mpMRI</w:t>
        </w:r>
        <w:r w:rsidR="008E0B00">
          <w:rPr>
            <w:webHidden/>
          </w:rPr>
          <w:tab/>
        </w:r>
        <w:r w:rsidR="008E0B00">
          <w:rPr>
            <w:webHidden/>
          </w:rPr>
          <w:fldChar w:fldCharType="begin"/>
        </w:r>
        <w:r w:rsidR="008E0B00">
          <w:rPr>
            <w:webHidden/>
          </w:rPr>
          <w:instrText xml:space="preserve"> PAGEREF _Toc460514611 \h </w:instrText>
        </w:r>
        <w:r w:rsidR="008E0B00">
          <w:rPr>
            <w:webHidden/>
          </w:rPr>
        </w:r>
        <w:r w:rsidR="008E0B00">
          <w:rPr>
            <w:webHidden/>
          </w:rPr>
          <w:fldChar w:fldCharType="separate"/>
        </w:r>
        <w:r w:rsidR="0029649D">
          <w:rPr>
            <w:webHidden/>
          </w:rPr>
          <w:t>38</w:t>
        </w:r>
        <w:r w:rsidR="008E0B00">
          <w:rPr>
            <w:webHidden/>
          </w:rPr>
          <w:fldChar w:fldCharType="end"/>
        </w:r>
      </w:hyperlink>
    </w:p>
    <w:p w14:paraId="5AF4587D" w14:textId="77777777" w:rsidR="008E0B00" w:rsidRDefault="00DD0356">
      <w:pPr>
        <w:pStyle w:val="TableofFigures"/>
        <w:rPr>
          <w:rFonts w:asciiTheme="minorHAnsi" w:eastAsiaTheme="minorEastAsia" w:hAnsiTheme="minorHAnsi" w:cstheme="minorBidi"/>
        </w:rPr>
      </w:pPr>
      <w:hyperlink w:anchor="_Toc460514612" w:history="1">
        <w:r w:rsidR="008E0B00" w:rsidRPr="00A2342E">
          <w:rPr>
            <w:rStyle w:val="Hyperlink"/>
          </w:rPr>
          <w:t>Figure 5</w:t>
        </w:r>
        <w:r w:rsidR="008E0B00">
          <w:rPr>
            <w:rFonts w:asciiTheme="minorHAnsi" w:eastAsiaTheme="minorEastAsia" w:hAnsiTheme="minorHAnsi" w:cstheme="minorBidi"/>
          </w:rPr>
          <w:tab/>
        </w:r>
        <w:r w:rsidR="008E0B00" w:rsidRPr="00A2342E">
          <w:rPr>
            <w:rStyle w:val="Hyperlink"/>
          </w:rPr>
          <w:t>Summary of the process used to identify and select studies for the assessment</w:t>
        </w:r>
        <w:r w:rsidR="008E0B00">
          <w:rPr>
            <w:webHidden/>
          </w:rPr>
          <w:tab/>
        </w:r>
        <w:r w:rsidR="008E0B00">
          <w:rPr>
            <w:webHidden/>
          </w:rPr>
          <w:fldChar w:fldCharType="begin"/>
        </w:r>
        <w:r w:rsidR="008E0B00">
          <w:rPr>
            <w:webHidden/>
          </w:rPr>
          <w:instrText xml:space="preserve"> PAGEREF _Toc460514612 \h </w:instrText>
        </w:r>
        <w:r w:rsidR="008E0B00">
          <w:rPr>
            <w:webHidden/>
          </w:rPr>
        </w:r>
        <w:r w:rsidR="008E0B00">
          <w:rPr>
            <w:webHidden/>
          </w:rPr>
          <w:fldChar w:fldCharType="separate"/>
        </w:r>
        <w:r w:rsidR="0029649D">
          <w:rPr>
            <w:webHidden/>
          </w:rPr>
          <w:t>47</w:t>
        </w:r>
        <w:r w:rsidR="008E0B00">
          <w:rPr>
            <w:webHidden/>
          </w:rPr>
          <w:fldChar w:fldCharType="end"/>
        </w:r>
      </w:hyperlink>
    </w:p>
    <w:p w14:paraId="6AF3A992" w14:textId="77777777" w:rsidR="008E0B00" w:rsidRDefault="00DD0356">
      <w:pPr>
        <w:pStyle w:val="TableofFigures"/>
        <w:rPr>
          <w:rFonts w:asciiTheme="minorHAnsi" w:eastAsiaTheme="minorEastAsia" w:hAnsiTheme="minorHAnsi" w:cstheme="minorBidi"/>
        </w:rPr>
      </w:pPr>
      <w:hyperlink w:anchor="_Toc460514613" w:history="1">
        <w:r w:rsidR="008E0B00" w:rsidRPr="00A2342E">
          <w:rPr>
            <w:rStyle w:val="Hyperlink"/>
          </w:rPr>
          <w:t>Figure 6</w:t>
        </w:r>
        <w:r w:rsidR="008E0B00">
          <w:rPr>
            <w:rFonts w:asciiTheme="minorHAnsi" w:eastAsiaTheme="minorEastAsia" w:hAnsiTheme="minorHAnsi" w:cstheme="minorBidi"/>
          </w:rPr>
          <w:tab/>
        </w:r>
        <w:r w:rsidR="008E0B00" w:rsidRPr="00A2342E">
          <w:rPr>
            <w:rStyle w:val="Hyperlink"/>
          </w:rPr>
          <w:t>Summary of the process used to identify and select studies to inform the diagnostic accuracy of biopsy</w:t>
        </w:r>
        <w:r w:rsidR="008E0B00">
          <w:rPr>
            <w:webHidden/>
          </w:rPr>
          <w:tab/>
        </w:r>
        <w:r w:rsidR="008E0B00">
          <w:rPr>
            <w:webHidden/>
          </w:rPr>
          <w:fldChar w:fldCharType="begin"/>
        </w:r>
        <w:r w:rsidR="008E0B00">
          <w:rPr>
            <w:webHidden/>
          </w:rPr>
          <w:instrText xml:space="preserve"> PAGEREF _Toc460514613 \h </w:instrText>
        </w:r>
        <w:r w:rsidR="008E0B00">
          <w:rPr>
            <w:webHidden/>
          </w:rPr>
        </w:r>
        <w:r w:rsidR="008E0B00">
          <w:rPr>
            <w:webHidden/>
          </w:rPr>
          <w:fldChar w:fldCharType="separate"/>
        </w:r>
        <w:r w:rsidR="0029649D">
          <w:rPr>
            <w:webHidden/>
          </w:rPr>
          <w:t>50</w:t>
        </w:r>
        <w:r w:rsidR="008E0B00">
          <w:rPr>
            <w:webHidden/>
          </w:rPr>
          <w:fldChar w:fldCharType="end"/>
        </w:r>
      </w:hyperlink>
    </w:p>
    <w:p w14:paraId="20BD310A" w14:textId="77777777" w:rsidR="008E0B00" w:rsidRDefault="00DD0356">
      <w:pPr>
        <w:pStyle w:val="TableofFigures"/>
        <w:rPr>
          <w:rFonts w:asciiTheme="minorHAnsi" w:eastAsiaTheme="minorEastAsia" w:hAnsiTheme="minorHAnsi" w:cstheme="minorBidi"/>
        </w:rPr>
      </w:pPr>
      <w:hyperlink w:anchor="_Toc460514614" w:history="1">
        <w:r w:rsidR="008E0B00" w:rsidRPr="00A2342E">
          <w:rPr>
            <w:rStyle w:val="Hyperlink"/>
          </w:rPr>
          <w:t>Figure 7</w:t>
        </w:r>
        <w:r w:rsidR="008E0B00">
          <w:rPr>
            <w:rFonts w:asciiTheme="minorHAnsi" w:eastAsiaTheme="minorEastAsia" w:hAnsiTheme="minorHAnsi" w:cstheme="minorBidi"/>
          </w:rPr>
          <w:tab/>
        </w:r>
        <w:r w:rsidR="008E0B00" w:rsidRPr="00A2342E">
          <w:rPr>
            <w:rStyle w:val="Hyperlink"/>
          </w:rPr>
          <w:t>HSROC curve and bivariate model results for the diagnosis of any cancer by mpMRI in Population 1.</w:t>
        </w:r>
        <w:r w:rsidR="008E0B00">
          <w:rPr>
            <w:webHidden/>
          </w:rPr>
          <w:tab/>
        </w:r>
        <w:r w:rsidR="008E0B00">
          <w:rPr>
            <w:webHidden/>
          </w:rPr>
          <w:fldChar w:fldCharType="begin"/>
        </w:r>
        <w:r w:rsidR="008E0B00">
          <w:rPr>
            <w:webHidden/>
          </w:rPr>
          <w:instrText xml:space="preserve"> PAGEREF _Toc460514614 \h </w:instrText>
        </w:r>
        <w:r w:rsidR="008E0B00">
          <w:rPr>
            <w:webHidden/>
          </w:rPr>
        </w:r>
        <w:r w:rsidR="008E0B00">
          <w:rPr>
            <w:webHidden/>
          </w:rPr>
          <w:fldChar w:fldCharType="separate"/>
        </w:r>
        <w:r w:rsidR="0029649D">
          <w:rPr>
            <w:webHidden/>
          </w:rPr>
          <w:t>64</w:t>
        </w:r>
        <w:r w:rsidR="008E0B00">
          <w:rPr>
            <w:webHidden/>
          </w:rPr>
          <w:fldChar w:fldCharType="end"/>
        </w:r>
      </w:hyperlink>
    </w:p>
    <w:p w14:paraId="150F0ECC" w14:textId="77777777" w:rsidR="008E0B00" w:rsidRDefault="00DD0356">
      <w:pPr>
        <w:pStyle w:val="TableofFigures"/>
        <w:rPr>
          <w:rFonts w:asciiTheme="minorHAnsi" w:eastAsiaTheme="minorEastAsia" w:hAnsiTheme="minorHAnsi" w:cstheme="minorBidi"/>
        </w:rPr>
      </w:pPr>
      <w:hyperlink w:anchor="_Toc460514615" w:history="1">
        <w:r w:rsidR="008E0B00" w:rsidRPr="00A2342E">
          <w:rPr>
            <w:rStyle w:val="Hyperlink"/>
          </w:rPr>
          <w:t>Figure 8</w:t>
        </w:r>
        <w:r w:rsidR="008E0B00">
          <w:rPr>
            <w:rFonts w:asciiTheme="minorHAnsi" w:eastAsiaTheme="minorEastAsia" w:hAnsiTheme="minorHAnsi" w:cstheme="minorBidi"/>
          </w:rPr>
          <w:tab/>
        </w:r>
        <w:r w:rsidR="008E0B00" w:rsidRPr="00A2342E">
          <w:rPr>
            <w:rStyle w:val="Hyperlink"/>
          </w:rPr>
          <w:t>HSROC curve and bivariate model results for the diagnosis of clinically significant cancer by mpMRI in Population 1</w:t>
        </w:r>
        <w:r w:rsidR="008E0B00">
          <w:rPr>
            <w:webHidden/>
          </w:rPr>
          <w:tab/>
        </w:r>
        <w:r w:rsidR="008E0B00">
          <w:rPr>
            <w:webHidden/>
          </w:rPr>
          <w:fldChar w:fldCharType="begin"/>
        </w:r>
        <w:r w:rsidR="008E0B00">
          <w:rPr>
            <w:webHidden/>
          </w:rPr>
          <w:instrText xml:space="preserve"> PAGEREF _Toc460514615 \h </w:instrText>
        </w:r>
        <w:r w:rsidR="008E0B00">
          <w:rPr>
            <w:webHidden/>
          </w:rPr>
        </w:r>
        <w:r w:rsidR="008E0B00">
          <w:rPr>
            <w:webHidden/>
          </w:rPr>
          <w:fldChar w:fldCharType="separate"/>
        </w:r>
        <w:r w:rsidR="0029649D">
          <w:rPr>
            <w:webHidden/>
          </w:rPr>
          <w:t>67</w:t>
        </w:r>
        <w:r w:rsidR="008E0B00">
          <w:rPr>
            <w:webHidden/>
          </w:rPr>
          <w:fldChar w:fldCharType="end"/>
        </w:r>
      </w:hyperlink>
    </w:p>
    <w:p w14:paraId="7DB76A7E" w14:textId="77777777" w:rsidR="008E0B00" w:rsidRDefault="00DD0356">
      <w:pPr>
        <w:pStyle w:val="TableofFigures"/>
        <w:rPr>
          <w:rFonts w:asciiTheme="minorHAnsi" w:eastAsiaTheme="minorEastAsia" w:hAnsiTheme="minorHAnsi" w:cstheme="minorBidi"/>
        </w:rPr>
      </w:pPr>
      <w:hyperlink w:anchor="_Toc460514616" w:history="1">
        <w:r w:rsidR="008E0B00" w:rsidRPr="00A2342E">
          <w:rPr>
            <w:rStyle w:val="Hyperlink"/>
          </w:rPr>
          <w:t>Figure 9</w:t>
        </w:r>
        <w:r w:rsidR="008E0B00">
          <w:rPr>
            <w:rFonts w:asciiTheme="minorHAnsi" w:eastAsiaTheme="minorEastAsia" w:hAnsiTheme="minorHAnsi" w:cstheme="minorBidi"/>
          </w:rPr>
          <w:tab/>
        </w:r>
        <w:r w:rsidR="008E0B00" w:rsidRPr="00A2342E">
          <w:rPr>
            <w:rStyle w:val="Hyperlink"/>
          </w:rPr>
          <w:t>Summary of the process used to identify and select studies for the assessment of reliability</w:t>
        </w:r>
        <w:r w:rsidR="008E0B00">
          <w:rPr>
            <w:webHidden/>
          </w:rPr>
          <w:tab/>
        </w:r>
        <w:r w:rsidR="008E0B00">
          <w:rPr>
            <w:webHidden/>
          </w:rPr>
          <w:fldChar w:fldCharType="begin"/>
        </w:r>
        <w:r w:rsidR="008E0B00">
          <w:rPr>
            <w:webHidden/>
          </w:rPr>
          <w:instrText xml:space="preserve"> PAGEREF _Toc460514616 \h </w:instrText>
        </w:r>
        <w:r w:rsidR="008E0B00">
          <w:rPr>
            <w:webHidden/>
          </w:rPr>
        </w:r>
        <w:r w:rsidR="008E0B00">
          <w:rPr>
            <w:webHidden/>
          </w:rPr>
          <w:fldChar w:fldCharType="separate"/>
        </w:r>
        <w:r w:rsidR="0029649D">
          <w:rPr>
            <w:webHidden/>
          </w:rPr>
          <w:t>69</w:t>
        </w:r>
        <w:r w:rsidR="008E0B00">
          <w:rPr>
            <w:webHidden/>
          </w:rPr>
          <w:fldChar w:fldCharType="end"/>
        </w:r>
      </w:hyperlink>
    </w:p>
    <w:p w14:paraId="007D616F" w14:textId="77777777" w:rsidR="008E0B00" w:rsidRDefault="00DD0356">
      <w:pPr>
        <w:pStyle w:val="TableofFigures"/>
        <w:rPr>
          <w:rFonts w:asciiTheme="minorHAnsi" w:eastAsiaTheme="minorEastAsia" w:hAnsiTheme="minorHAnsi" w:cstheme="minorBidi"/>
        </w:rPr>
      </w:pPr>
      <w:hyperlink w:anchor="_Toc460514617" w:history="1">
        <w:r w:rsidR="008E0B00" w:rsidRPr="00A2342E">
          <w:rPr>
            <w:rStyle w:val="Hyperlink"/>
          </w:rPr>
          <w:t>Figure 10</w:t>
        </w:r>
        <w:r w:rsidR="008E0B00">
          <w:rPr>
            <w:rFonts w:asciiTheme="minorHAnsi" w:eastAsiaTheme="minorEastAsia" w:hAnsiTheme="minorHAnsi" w:cstheme="minorBidi"/>
          </w:rPr>
          <w:tab/>
        </w:r>
        <w:r w:rsidR="008E0B00" w:rsidRPr="00A2342E">
          <w:rPr>
            <w:rStyle w:val="Hyperlink"/>
          </w:rPr>
          <w:t>Summary of the process used to identify and select studies for the assessment of patient outcomes</w:t>
        </w:r>
        <w:r w:rsidR="008E0B00">
          <w:rPr>
            <w:webHidden/>
          </w:rPr>
          <w:tab/>
        </w:r>
        <w:r w:rsidR="008E0B00">
          <w:rPr>
            <w:webHidden/>
          </w:rPr>
          <w:fldChar w:fldCharType="begin"/>
        </w:r>
        <w:r w:rsidR="008E0B00">
          <w:rPr>
            <w:webHidden/>
          </w:rPr>
          <w:instrText xml:space="preserve"> PAGEREF _Toc460514617 \h </w:instrText>
        </w:r>
        <w:r w:rsidR="008E0B00">
          <w:rPr>
            <w:webHidden/>
          </w:rPr>
        </w:r>
        <w:r w:rsidR="008E0B00">
          <w:rPr>
            <w:webHidden/>
          </w:rPr>
          <w:fldChar w:fldCharType="separate"/>
        </w:r>
        <w:r w:rsidR="0029649D">
          <w:rPr>
            <w:webHidden/>
          </w:rPr>
          <w:t>76</w:t>
        </w:r>
        <w:r w:rsidR="008E0B00">
          <w:rPr>
            <w:webHidden/>
          </w:rPr>
          <w:fldChar w:fldCharType="end"/>
        </w:r>
      </w:hyperlink>
    </w:p>
    <w:p w14:paraId="650F83F6" w14:textId="77777777" w:rsidR="008E0B00" w:rsidRDefault="00DD0356">
      <w:pPr>
        <w:pStyle w:val="TableofFigures"/>
        <w:rPr>
          <w:rFonts w:asciiTheme="minorHAnsi" w:eastAsiaTheme="minorEastAsia" w:hAnsiTheme="minorHAnsi" w:cstheme="minorBidi"/>
        </w:rPr>
      </w:pPr>
      <w:hyperlink w:anchor="_Toc460514618" w:history="1">
        <w:r w:rsidR="008E0B00" w:rsidRPr="00A2342E">
          <w:rPr>
            <w:rStyle w:val="Hyperlink"/>
          </w:rPr>
          <w:t>Figure 11</w:t>
        </w:r>
        <w:r w:rsidR="008E0B00">
          <w:rPr>
            <w:rFonts w:asciiTheme="minorHAnsi" w:eastAsiaTheme="minorEastAsia" w:hAnsiTheme="minorHAnsi" w:cstheme="minorBidi"/>
          </w:rPr>
          <w:tab/>
        </w:r>
        <w:r w:rsidR="008E0B00" w:rsidRPr="00A2342E">
          <w:rPr>
            <w:rStyle w:val="Hyperlink"/>
          </w:rPr>
          <w:t>HSROC curve and bivariate model results for the diagnosis of any cancer by mpMRI in Population 2.</w:t>
        </w:r>
        <w:r w:rsidR="008E0B00">
          <w:rPr>
            <w:webHidden/>
          </w:rPr>
          <w:tab/>
        </w:r>
        <w:r w:rsidR="008E0B00">
          <w:rPr>
            <w:webHidden/>
          </w:rPr>
          <w:fldChar w:fldCharType="begin"/>
        </w:r>
        <w:r w:rsidR="008E0B00">
          <w:rPr>
            <w:webHidden/>
          </w:rPr>
          <w:instrText xml:space="preserve"> PAGEREF _Toc460514618 \h </w:instrText>
        </w:r>
        <w:r w:rsidR="008E0B00">
          <w:rPr>
            <w:webHidden/>
          </w:rPr>
        </w:r>
        <w:r w:rsidR="008E0B00">
          <w:rPr>
            <w:webHidden/>
          </w:rPr>
          <w:fldChar w:fldCharType="separate"/>
        </w:r>
        <w:r w:rsidR="0029649D">
          <w:rPr>
            <w:webHidden/>
          </w:rPr>
          <w:t>91</w:t>
        </w:r>
        <w:r w:rsidR="008E0B00">
          <w:rPr>
            <w:webHidden/>
          </w:rPr>
          <w:fldChar w:fldCharType="end"/>
        </w:r>
      </w:hyperlink>
    </w:p>
    <w:p w14:paraId="1F466DC1" w14:textId="77777777" w:rsidR="008E0B00" w:rsidRDefault="00DD0356">
      <w:pPr>
        <w:pStyle w:val="TableofFigures"/>
        <w:rPr>
          <w:rFonts w:asciiTheme="minorHAnsi" w:eastAsiaTheme="minorEastAsia" w:hAnsiTheme="minorHAnsi" w:cstheme="minorBidi"/>
        </w:rPr>
      </w:pPr>
      <w:hyperlink w:anchor="_Toc460514619" w:history="1">
        <w:r w:rsidR="008E0B00" w:rsidRPr="00A2342E">
          <w:rPr>
            <w:rStyle w:val="Hyperlink"/>
          </w:rPr>
          <w:t>Figure 12</w:t>
        </w:r>
        <w:r w:rsidR="008E0B00">
          <w:rPr>
            <w:rFonts w:asciiTheme="minorHAnsi" w:eastAsiaTheme="minorEastAsia" w:hAnsiTheme="minorHAnsi" w:cstheme="minorBidi"/>
          </w:rPr>
          <w:tab/>
        </w:r>
        <w:r w:rsidR="008E0B00" w:rsidRPr="00A2342E">
          <w:rPr>
            <w:rStyle w:val="Hyperlink"/>
          </w:rPr>
          <w:t>Study selection process for studies assessing the safety of biopsy</w:t>
        </w:r>
        <w:r w:rsidR="008E0B00">
          <w:rPr>
            <w:webHidden/>
          </w:rPr>
          <w:tab/>
        </w:r>
        <w:r w:rsidR="008E0B00">
          <w:rPr>
            <w:webHidden/>
          </w:rPr>
          <w:fldChar w:fldCharType="begin"/>
        </w:r>
        <w:r w:rsidR="008E0B00">
          <w:rPr>
            <w:webHidden/>
          </w:rPr>
          <w:instrText xml:space="preserve"> PAGEREF _Toc460514619 \h </w:instrText>
        </w:r>
        <w:r w:rsidR="008E0B00">
          <w:rPr>
            <w:webHidden/>
          </w:rPr>
        </w:r>
        <w:r w:rsidR="008E0B00">
          <w:rPr>
            <w:webHidden/>
          </w:rPr>
          <w:fldChar w:fldCharType="separate"/>
        </w:r>
        <w:r w:rsidR="0029649D">
          <w:rPr>
            <w:webHidden/>
          </w:rPr>
          <w:t>99</w:t>
        </w:r>
        <w:r w:rsidR="008E0B00">
          <w:rPr>
            <w:webHidden/>
          </w:rPr>
          <w:fldChar w:fldCharType="end"/>
        </w:r>
      </w:hyperlink>
    </w:p>
    <w:p w14:paraId="6BED4DF1" w14:textId="77777777" w:rsidR="008E0B00" w:rsidRDefault="00DD0356">
      <w:pPr>
        <w:pStyle w:val="TableofFigures"/>
        <w:rPr>
          <w:rFonts w:asciiTheme="minorHAnsi" w:eastAsiaTheme="minorEastAsia" w:hAnsiTheme="minorHAnsi" w:cstheme="minorBidi"/>
        </w:rPr>
      </w:pPr>
      <w:hyperlink w:anchor="_Toc460514620" w:history="1">
        <w:r w:rsidR="008E0B00" w:rsidRPr="00A2342E">
          <w:rPr>
            <w:rStyle w:val="Hyperlink"/>
          </w:rPr>
          <w:t>Figure 13</w:t>
        </w:r>
        <w:r w:rsidR="008E0B00">
          <w:rPr>
            <w:rFonts w:asciiTheme="minorHAnsi" w:eastAsiaTheme="minorEastAsia" w:hAnsiTheme="minorHAnsi" w:cstheme="minorBidi"/>
          </w:rPr>
          <w:tab/>
        </w:r>
        <w:r w:rsidR="008E0B00" w:rsidRPr="00A2342E">
          <w:rPr>
            <w:rStyle w:val="Hyperlink"/>
          </w:rPr>
          <w:t>Population 1: mpMRI</w:t>
        </w:r>
        <w:r w:rsidR="008E0B00">
          <w:rPr>
            <w:webHidden/>
          </w:rPr>
          <w:tab/>
        </w:r>
        <w:r w:rsidR="008E0B00">
          <w:rPr>
            <w:webHidden/>
          </w:rPr>
          <w:fldChar w:fldCharType="begin"/>
        </w:r>
        <w:r w:rsidR="008E0B00">
          <w:rPr>
            <w:webHidden/>
          </w:rPr>
          <w:instrText xml:space="preserve"> PAGEREF _Toc460514620 \h </w:instrText>
        </w:r>
        <w:r w:rsidR="008E0B00">
          <w:rPr>
            <w:webHidden/>
          </w:rPr>
        </w:r>
        <w:r w:rsidR="008E0B00">
          <w:rPr>
            <w:webHidden/>
          </w:rPr>
          <w:fldChar w:fldCharType="separate"/>
        </w:r>
        <w:r w:rsidR="0029649D">
          <w:rPr>
            <w:webHidden/>
          </w:rPr>
          <w:t>143</w:t>
        </w:r>
        <w:r w:rsidR="008E0B00">
          <w:rPr>
            <w:webHidden/>
          </w:rPr>
          <w:fldChar w:fldCharType="end"/>
        </w:r>
      </w:hyperlink>
    </w:p>
    <w:p w14:paraId="09D405AC" w14:textId="77777777" w:rsidR="008E0B00" w:rsidRDefault="00DD0356">
      <w:pPr>
        <w:pStyle w:val="TableofFigures"/>
        <w:rPr>
          <w:rFonts w:asciiTheme="minorHAnsi" w:eastAsiaTheme="minorEastAsia" w:hAnsiTheme="minorHAnsi" w:cstheme="minorBidi"/>
        </w:rPr>
      </w:pPr>
      <w:hyperlink w:anchor="_Toc460514621" w:history="1">
        <w:r w:rsidR="008E0B00" w:rsidRPr="00A2342E">
          <w:rPr>
            <w:rStyle w:val="Hyperlink"/>
          </w:rPr>
          <w:t>Figure 14</w:t>
        </w:r>
        <w:r w:rsidR="008E0B00">
          <w:rPr>
            <w:rFonts w:asciiTheme="minorHAnsi" w:eastAsiaTheme="minorEastAsia" w:hAnsiTheme="minorHAnsi" w:cstheme="minorBidi"/>
          </w:rPr>
          <w:tab/>
        </w:r>
        <w:r w:rsidR="008E0B00" w:rsidRPr="00A2342E">
          <w:rPr>
            <w:rStyle w:val="Hyperlink"/>
          </w:rPr>
          <w:t>Population 1: TRUSGB</w:t>
        </w:r>
        <w:r w:rsidR="008E0B00">
          <w:rPr>
            <w:webHidden/>
          </w:rPr>
          <w:tab/>
        </w:r>
        <w:r w:rsidR="008E0B00">
          <w:rPr>
            <w:webHidden/>
          </w:rPr>
          <w:fldChar w:fldCharType="begin"/>
        </w:r>
        <w:r w:rsidR="008E0B00">
          <w:rPr>
            <w:webHidden/>
          </w:rPr>
          <w:instrText xml:space="preserve"> PAGEREF _Toc460514621 \h </w:instrText>
        </w:r>
        <w:r w:rsidR="008E0B00">
          <w:rPr>
            <w:webHidden/>
          </w:rPr>
        </w:r>
        <w:r w:rsidR="008E0B00">
          <w:rPr>
            <w:webHidden/>
          </w:rPr>
          <w:fldChar w:fldCharType="separate"/>
        </w:r>
        <w:r w:rsidR="0029649D">
          <w:rPr>
            <w:webHidden/>
          </w:rPr>
          <w:t>144</w:t>
        </w:r>
        <w:r w:rsidR="008E0B00">
          <w:rPr>
            <w:webHidden/>
          </w:rPr>
          <w:fldChar w:fldCharType="end"/>
        </w:r>
      </w:hyperlink>
    </w:p>
    <w:p w14:paraId="25EA5959" w14:textId="77777777" w:rsidR="008E0B00" w:rsidRDefault="00DD0356">
      <w:pPr>
        <w:pStyle w:val="TableofFigures"/>
        <w:rPr>
          <w:rFonts w:asciiTheme="minorHAnsi" w:eastAsiaTheme="minorEastAsia" w:hAnsiTheme="minorHAnsi" w:cstheme="minorBidi"/>
        </w:rPr>
      </w:pPr>
      <w:hyperlink w:anchor="_Toc460514622" w:history="1">
        <w:r w:rsidR="008E0B00" w:rsidRPr="00A2342E">
          <w:rPr>
            <w:rStyle w:val="Hyperlink"/>
          </w:rPr>
          <w:t>Figure 15</w:t>
        </w:r>
        <w:r w:rsidR="008E0B00">
          <w:rPr>
            <w:rFonts w:asciiTheme="minorHAnsi" w:eastAsiaTheme="minorEastAsia" w:hAnsiTheme="minorHAnsi" w:cstheme="minorBidi"/>
          </w:rPr>
          <w:tab/>
        </w:r>
        <w:r w:rsidR="008E0B00" w:rsidRPr="00A2342E">
          <w:rPr>
            <w:rStyle w:val="Hyperlink"/>
          </w:rPr>
          <w:t>Population 2: mpMRI</w:t>
        </w:r>
        <w:r w:rsidR="008E0B00">
          <w:rPr>
            <w:webHidden/>
          </w:rPr>
          <w:tab/>
        </w:r>
        <w:r w:rsidR="008E0B00">
          <w:rPr>
            <w:webHidden/>
          </w:rPr>
          <w:fldChar w:fldCharType="begin"/>
        </w:r>
        <w:r w:rsidR="008E0B00">
          <w:rPr>
            <w:webHidden/>
          </w:rPr>
          <w:instrText xml:space="preserve"> PAGEREF _Toc460514622 \h </w:instrText>
        </w:r>
        <w:r w:rsidR="008E0B00">
          <w:rPr>
            <w:webHidden/>
          </w:rPr>
        </w:r>
        <w:r w:rsidR="008E0B00">
          <w:rPr>
            <w:webHidden/>
          </w:rPr>
          <w:fldChar w:fldCharType="separate"/>
        </w:r>
        <w:r w:rsidR="0029649D">
          <w:rPr>
            <w:webHidden/>
          </w:rPr>
          <w:t>145</w:t>
        </w:r>
        <w:r w:rsidR="008E0B00">
          <w:rPr>
            <w:webHidden/>
          </w:rPr>
          <w:fldChar w:fldCharType="end"/>
        </w:r>
      </w:hyperlink>
    </w:p>
    <w:p w14:paraId="2A727836" w14:textId="77777777" w:rsidR="008E0B00" w:rsidRDefault="00DD0356">
      <w:pPr>
        <w:pStyle w:val="TableofFigures"/>
        <w:rPr>
          <w:rFonts w:asciiTheme="minorHAnsi" w:eastAsiaTheme="minorEastAsia" w:hAnsiTheme="minorHAnsi" w:cstheme="minorBidi"/>
        </w:rPr>
      </w:pPr>
      <w:hyperlink w:anchor="_Toc460514623" w:history="1">
        <w:r w:rsidR="008E0B00" w:rsidRPr="00A2342E">
          <w:rPr>
            <w:rStyle w:val="Hyperlink"/>
          </w:rPr>
          <w:t>Figure 16</w:t>
        </w:r>
        <w:r w:rsidR="008E0B00">
          <w:rPr>
            <w:rFonts w:asciiTheme="minorHAnsi" w:eastAsiaTheme="minorEastAsia" w:hAnsiTheme="minorHAnsi" w:cstheme="minorBidi"/>
          </w:rPr>
          <w:tab/>
        </w:r>
        <w:r w:rsidR="008E0B00" w:rsidRPr="00A2342E">
          <w:rPr>
            <w:rStyle w:val="Hyperlink"/>
          </w:rPr>
          <w:t>Population 2: TRUSGB</w:t>
        </w:r>
        <w:r w:rsidR="008E0B00">
          <w:rPr>
            <w:webHidden/>
          </w:rPr>
          <w:tab/>
        </w:r>
        <w:r w:rsidR="008E0B00">
          <w:rPr>
            <w:webHidden/>
          </w:rPr>
          <w:fldChar w:fldCharType="begin"/>
        </w:r>
        <w:r w:rsidR="008E0B00">
          <w:rPr>
            <w:webHidden/>
          </w:rPr>
          <w:instrText xml:space="preserve"> PAGEREF _Toc460514623 \h </w:instrText>
        </w:r>
        <w:r w:rsidR="008E0B00">
          <w:rPr>
            <w:webHidden/>
          </w:rPr>
        </w:r>
        <w:r w:rsidR="008E0B00">
          <w:rPr>
            <w:webHidden/>
          </w:rPr>
          <w:fldChar w:fldCharType="separate"/>
        </w:r>
        <w:r w:rsidR="0029649D">
          <w:rPr>
            <w:webHidden/>
          </w:rPr>
          <w:t>146</w:t>
        </w:r>
        <w:r w:rsidR="008E0B00">
          <w:rPr>
            <w:webHidden/>
          </w:rPr>
          <w:fldChar w:fldCharType="end"/>
        </w:r>
      </w:hyperlink>
    </w:p>
    <w:p w14:paraId="047A7109" w14:textId="77777777" w:rsidR="008E0B00" w:rsidRDefault="00DD0356">
      <w:pPr>
        <w:pStyle w:val="TableofFigures"/>
        <w:rPr>
          <w:rFonts w:asciiTheme="minorHAnsi" w:eastAsiaTheme="minorEastAsia" w:hAnsiTheme="minorHAnsi" w:cstheme="minorBidi"/>
        </w:rPr>
      </w:pPr>
      <w:hyperlink w:anchor="_Toc460514624" w:history="1">
        <w:r w:rsidR="008E0B00" w:rsidRPr="00A2342E">
          <w:rPr>
            <w:rStyle w:val="Hyperlink"/>
          </w:rPr>
          <w:t>Figure 17</w:t>
        </w:r>
        <w:r w:rsidR="008E0B00">
          <w:rPr>
            <w:rFonts w:asciiTheme="minorHAnsi" w:eastAsiaTheme="minorEastAsia" w:hAnsiTheme="minorHAnsi" w:cstheme="minorBidi"/>
          </w:rPr>
          <w:tab/>
        </w:r>
        <w:r w:rsidR="008E0B00" w:rsidRPr="00A2342E">
          <w:rPr>
            <w:rStyle w:val="Hyperlink"/>
          </w:rPr>
          <w:t>Markov transition states</w:t>
        </w:r>
        <w:r w:rsidR="008E0B00">
          <w:rPr>
            <w:webHidden/>
          </w:rPr>
          <w:tab/>
        </w:r>
        <w:r w:rsidR="008E0B00">
          <w:rPr>
            <w:webHidden/>
          </w:rPr>
          <w:fldChar w:fldCharType="begin"/>
        </w:r>
        <w:r w:rsidR="008E0B00">
          <w:rPr>
            <w:webHidden/>
          </w:rPr>
          <w:instrText xml:space="preserve"> PAGEREF _Toc460514624 \h </w:instrText>
        </w:r>
        <w:r w:rsidR="008E0B00">
          <w:rPr>
            <w:webHidden/>
          </w:rPr>
        </w:r>
        <w:r w:rsidR="008E0B00">
          <w:rPr>
            <w:webHidden/>
          </w:rPr>
          <w:fldChar w:fldCharType="separate"/>
        </w:r>
        <w:r w:rsidR="0029649D">
          <w:rPr>
            <w:webHidden/>
          </w:rPr>
          <w:t>147</w:t>
        </w:r>
        <w:r w:rsidR="008E0B00">
          <w:rPr>
            <w:webHidden/>
          </w:rPr>
          <w:fldChar w:fldCharType="end"/>
        </w:r>
      </w:hyperlink>
    </w:p>
    <w:p w14:paraId="684F0955" w14:textId="77777777" w:rsidR="008E0B00" w:rsidRDefault="00DD0356">
      <w:pPr>
        <w:pStyle w:val="TableofFigures"/>
        <w:rPr>
          <w:rFonts w:asciiTheme="minorHAnsi" w:eastAsiaTheme="minorEastAsia" w:hAnsiTheme="minorHAnsi" w:cstheme="minorBidi"/>
        </w:rPr>
      </w:pPr>
      <w:hyperlink w:anchor="_Toc460514625" w:history="1">
        <w:r w:rsidR="008E0B00" w:rsidRPr="00A2342E">
          <w:rPr>
            <w:rStyle w:val="Hyperlink"/>
          </w:rPr>
          <w:t>Figure 18</w:t>
        </w:r>
        <w:r w:rsidR="008E0B00">
          <w:rPr>
            <w:rFonts w:asciiTheme="minorHAnsi" w:eastAsiaTheme="minorEastAsia" w:hAnsiTheme="minorHAnsi" w:cstheme="minorBidi"/>
          </w:rPr>
          <w:tab/>
        </w:r>
        <w:r w:rsidR="008E0B00" w:rsidRPr="00A2342E">
          <w:rPr>
            <w:rStyle w:val="Hyperlink"/>
          </w:rPr>
          <w:t>HSROC curve for studies using a PI-RADS ≥3 threshold for the detection of any cancer</w:t>
        </w:r>
        <w:r w:rsidR="008E0B00">
          <w:rPr>
            <w:webHidden/>
          </w:rPr>
          <w:tab/>
        </w:r>
        <w:r w:rsidR="008E0B00">
          <w:rPr>
            <w:webHidden/>
          </w:rPr>
          <w:fldChar w:fldCharType="begin"/>
        </w:r>
        <w:r w:rsidR="008E0B00">
          <w:rPr>
            <w:webHidden/>
          </w:rPr>
          <w:instrText xml:space="preserve"> PAGEREF _Toc460514625 \h </w:instrText>
        </w:r>
        <w:r w:rsidR="008E0B00">
          <w:rPr>
            <w:webHidden/>
          </w:rPr>
        </w:r>
        <w:r w:rsidR="008E0B00">
          <w:rPr>
            <w:webHidden/>
          </w:rPr>
          <w:fldChar w:fldCharType="separate"/>
        </w:r>
        <w:r w:rsidR="0029649D">
          <w:rPr>
            <w:webHidden/>
          </w:rPr>
          <w:t>218</w:t>
        </w:r>
        <w:r w:rsidR="008E0B00">
          <w:rPr>
            <w:webHidden/>
          </w:rPr>
          <w:fldChar w:fldCharType="end"/>
        </w:r>
      </w:hyperlink>
    </w:p>
    <w:p w14:paraId="3B260262" w14:textId="77777777" w:rsidR="008E0B00" w:rsidRDefault="00DD0356">
      <w:pPr>
        <w:pStyle w:val="TableofFigures"/>
        <w:rPr>
          <w:rFonts w:asciiTheme="minorHAnsi" w:eastAsiaTheme="minorEastAsia" w:hAnsiTheme="minorHAnsi" w:cstheme="minorBidi"/>
        </w:rPr>
      </w:pPr>
      <w:hyperlink w:anchor="_Toc460514626" w:history="1">
        <w:r w:rsidR="008E0B00" w:rsidRPr="00A2342E">
          <w:rPr>
            <w:rStyle w:val="Hyperlink"/>
          </w:rPr>
          <w:t>Figure 19</w:t>
        </w:r>
        <w:r w:rsidR="008E0B00">
          <w:rPr>
            <w:rFonts w:asciiTheme="minorHAnsi" w:eastAsiaTheme="minorEastAsia" w:hAnsiTheme="minorHAnsi" w:cstheme="minorBidi"/>
          </w:rPr>
          <w:tab/>
        </w:r>
        <w:r w:rsidR="008E0B00" w:rsidRPr="00A2342E">
          <w:rPr>
            <w:rStyle w:val="Hyperlink"/>
          </w:rPr>
          <w:t>HSROC curve for studies using a PI-RADS ≥3 threshold for the detection of clinically significant cancer</w:t>
        </w:r>
        <w:r w:rsidR="008E0B00">
          <w:rPr>
            <w:webHidden/>
          </w:rPr>
          <w:tab/>
        </w:r>
        <w:r w:rsidR="008E0B00">
          <w:rPr>
            <w:webHidden/>
          </w:rPr>
          <w:fldChar w:fldCharType="begin"/>
        </w:r>
        <w:r w:rsidR="008E0B00">
          <w:rPr>
            <w:webHidden/>
          </w:rPr>
          <w:instrText xml:space="preserve"> PAGEREF _Toc460514626 \h </w:instrText>
        </w:r>
        <w:r w:rsidR="008E0B00">
          <w:rPr>
            <w:webHidden/>
          </w:rPr>
        </w:r>
        <w:r w:rsidR="008E0B00">
          <w:rPr>
            <w:webHidden/>
          </w:rPr>
          <w:fldChar w:fldCharType="separate"/>
        </w:r>
        <w:r w:rsidR="0029649D">
          <w:rPr>
            <w:webHidden/>
          </w:rPr>
          <w:t>218</w:t>
        </w:r>
        <w:r w:rsidR="008E0B00">
          <w:rPr>
            <w:webHidden/>
          </w:rPr>
          <w:fldChar w:fldCharType="end"/>
        </w:r>
      </w:hyperlink>
    </w:p>
    <w:p w14:paraId="3C3630C9" w14:textId="77777777" w:rsidR="008E0B00" w:rsidRDefault="00DD0356">
      <w:pPr>
        <w:pStyle w:val="TableofFigures"/>
        <w:rPr>
          <w:rFonts w:asciiTheme="minorHAnsi" w:eastAsiaTheme="minorEastAsia" w:hAnsiTheme="minorHAnsi" w:cstheme="minorBidi"/>
        </w:rPr>
      </w:pPr>
      <w:hyperlink w:anchor="_Toc460514627" w:history="1">
        <w:r w:rsidR="008E0B00" w:rsidRPr="00A2342E">
          <w:rPr>
            <w:rStyle w:val="Hyperlink"/>
          </w:rPr>
          <w:t>Figure 20</w:t>
        </w:r>
        <w:r w:rsidR="008E0B00">
          <w:rPr>
            <w:rFonts w:asciiTheme="minorHAnsi" w:eastAsiaTheme="minorEastAsia" w:hAnsiTheme="minorHAnsi" w:cstheme="minorBidi"/>
          </w:rPr>
          <w:tab/>
        </w:r>
        <w:r w:rsidR="008E0B00" w:rsidRPr="00A2342E">
          <w:rPr>
            <w:rStyle w:val="Hyperlink"/>
          </w:rPr>
          <w:t>HSROC curve for studies not reporting the threshold or not using PI-RADS for the detection of any cancer</w:t>
        </w:r>
        <w:r w:rsidR="008E0B00">
          <w:rPr>
            <w:webHidden/>
          </w:rPr>
          <w:tab/>
        </w:r>
        <w:r w:rsidR="008E0B00">
          <w:rPr>
            <w:webHidden/>
          </w:rPr>
          <w:fldChar w:fldCharType="begin"/>
        </w:r>
        <w:r w:rsidR="008E0B00">
          <w:rPr>
            <w:webHidden/>
          </w:rPr>
          <w:instrText xml:space="preserve"> PAGEREF _Toc460514627 \h </w:instrText>
        </w:r>
        <w:r w:rsidR="008E0B00">
          <w:rPr>
            <w:webHidden/>
          </w:rPr>
        </w:r>
        <w:r w:rsidR="008E0B00">
          <w:rPr>
            <w:webHidden/>
          </w:rPr>
          <w:fldChar w:fldCharType="separate"/>
        </w:r>
        <w:r w:rsidR="0029649D">
          <w:rPr>
            <w:webHidden/>
          </w:rPr>
          <w:t>219</w:t>
        </w:r>
        <w:r w:rsidR="008E0B00">
          <w:rPr>
            <w:webHidden/>
          </w:rPr>
          <w:fldChar w:fldCharType="end"/>
        </w:r>
      </w:hyperlink>
    </w:p>
    <w:p w14:paraId="05FA57EE" w14:textId="77777777" w:rsidR="008E0B00" w:rsidRDefault="00DD0356">
      <w:pPr>
        <w:pStyle w:val="TableofFigures"/>
        <w:rPr>
          <w:rFonts w:asciiTheme="minorHAnsi" w:eastAsiaTheme="minorEastAsia" w:hAnsiTheme="minorHAnsi" w:cstheme="minorBidi"/>
        </w:rPr>
      </w:pPr>
      <w:hyperlink w:anchor="_Toc460514628" w:history="1">
        <w:r w:rsidR="008E0B00" w:rsidRPr="00A2342E">
          <w:rPr>
            <w:rStyle w:val="Hyperlink"/>
          </w:rPr>
          <w:t>Figure 21</w:t>
        </w:r>
        <w:r w:rsidR="008E0B00">
          <w:rPr>
            <w:rFonts w:asciiTheme="minorHAnsi" w:eastAsiaTheme="minorEastAsia" w:hAnsiTheme="minorHAnsi" w:cstheme="minorBidi"/>
          </w:rPr>
          <w:tab/>
        </w:r>
        <w:r w:rsidR="008E0B00" w:rsidRPr="00A2342E">
          <w:rPr>
            <w:rStyle w:val="Hyperlink"/>
          </w:rPr>
          <w:t>HSROC curve for studies not reporting the threshold or not using PI-RADS for the detection of clinically significant cancer</w:t>
        </w:r>
        <w:r w:rsidR="008E0B00">
          <w:rPr>
            <w:webHidden/>
          </w:rPr>
          <w:tab/>
        </w:r>
        <w:r w:rsidR="008E0B00">
          <w:rPr>
            <w:webHidden/>
          </w:rPr>
          <w:fldChar w:fldCharType="begin"/>
        </w:r>
        <w:r w:rsidR="008E0B00">
          <w:rPr>
            <w:webHidden/>
          </w:rPr>
          <w:instrText xml:space="preserve"> PAGEREF _Toc460514628 \h </w:instrText>
        </w:r>
        <w:r w:rsidR="008E0B00">
          <w:rPr>
            <w:webHidden/>
          </w:rPr>
        </w:r>
        <w:r w:rsidR="008E0B00">
          <w:rPr>
            <w:webHidden/>
          </w:rPr>
          <w:fldChar w:fldCharType="separate"/>
        </w:r>
        <w:r w:rsidR="0029649D">
          <w:rPr>
            <w:webHidden/>
          </w:rPr>
          <w:t>220</w:t>
        </w:r>
        <w:r w:rsidR="008E0B00">
          <w:rPr>
            <w:webHidden/>
          </w:rPr>
          <w:fldChar w:fldCharType="end"/>
        </w:r>
      </w:hyperlink>
    </w:p>
    <w:p w14:paraId="700BEED2" w14:textId="77777777" w:rsidR="008E0B00" w:rsidRDefault="00DD0356">
      <w:pPr>
        <w:pStyle w:val="TableofFigures"/>
        <w:rPr>
          <w:rFonts w:asciiTheme="minorHAnsi" w:eastAsiaTheme="minorEastAsia" w:hAnsiTheme="minorHAnsi" w:cstheme="minorBidi"/>
        </w:rPr>
      </w:pPr>
      <w:hyperlink w:anchor="_Toc460514629" w:history="1">
        <w:r w:rsidR="008E0B00" w:rsidRPr="00A2342E">
          <w:rPr>
            <w:rStyle w:val="Hyperlink"/>
          </w:rPr>
          <w:t>Figure 22</w:t>
        </w:r>
        <w:r w:rsidR="008E0B00">
          <w:rPr>
            <w:rFonts w:asciiTheme="minorHAnsi" w:eastAsiaTheme="minorEastAsia" w:hAnsiTheme="minorHAnsi" w:cstheme="minorBidi"/>
          </w:rPr>
          <w:tab/>
        </w:r>
        <w:r w:rsidR="008E0B00" w:rsidRPr="00A2342E">
          <w:rPr>
            <w:rStyle w:val="Hyperlink"/>
          </w:rPr>
          <w:t>HSROC curve for studies not reporting the threshold or not using PI-RADS for the detection of clinically significant cancer</w:t>
        </w:r>
        <w:r w:rsidR="008E0B00">
          <w:rPr>
            <w:webHidden/>
          </w:rPr>
          <w:tab/>
        </w:r>
        <w:r w:rsidR="008E0B00">
          <w:rPr>
            <w:webHidden/>
          </w:rPr>
          <w:fldChar w:fldCharType="begin"/>
        </w:r>
        <w:r w:rsidR="008E0B00">
          <w:rPr>
            <w:webHidden/>
          </w:rPr>
          <w:instrText xml:space="preserve"> PAGEREF _Toc460514629 \h </w:instrText>
        </w:r>
        <w:r w:rsidR="008E0B00">
          <w:rPr>
            <w:webHidden/>
          </w:rPr>
        </w:r>
        <w:r w:rsidR="008E0B00">
          <w:rPr>
            <w:webHidden/>
          </w:rPr>
          <w:fldChar w:fldCharType="separate"/>
        </w:r>
        <w:r w:rsidR="0029649D">
          <w:rPr>
            <w:webHidden/>
          </w:rPr>
          <w:t>222</w:t>
        </w:r>
        <w:r w:rsidR="008E0B00">
          <w:rPr>
            <w:webHidden/>
          </w:rPr>
          <w:fldChar w:fldCharType="end"/>
        </w:r>
      </w:hyperlink>
    </w:p>
    <w:p w14:paraId="447B1D77" w14:textId="7D3A2E60" w:rsidR="00452F32" w:rsidRPr="00183E4D" w:rsidRDefault="0086593E" w:rsidP="003E1FF0">
      <w:pPr>
        <w:pStyle w:val="TableofFigures"/>
      </w:pPr>
      <w:r w:rsidRPr="00183E4D">
        <w:rPr>
          <w:szCs w:val="24"/>
        </w:rPr>
        <w:lastRenderedPageBreak/>
        <w:fldChar w:fldCharType="end"/>
      </w:r>
    </w:p>
    <w:p w14:paraId="42263213" w14:textId="77777777" w:rsidR="008F59A8" w:rsidRPr="00183E4D" w:rsidRDefault="008F59A8" w:rsidP="00DF343F">
      <w:pPr>
        <w:sectPr w:rsidR="008F59A8" w:rsidRPr="00183E4D" w:rsidSect="00370787">
          <w:headerReference w:type="even" r:id="rId15"/>
          <w:headerReference w:type="default" r:id="rId16"/>
          <w:footerReference w:type="even" r:id="rId17"/>
          <w:footerReference w:type="default" r:id="rId18"/>
          <w:headerReference w:type="first" r:id="rId19"/>
          <w:type w:val="oddPage"/>
          <w:pgSz w:w="11906" w:h="16838"/>
          <w:pgMar w:top="1440" w:right="1440" w:bottom="1440" w:left="1440" w:header="720" w:footer="720" w:gutter="0"/>
          <w:paperSrc w:first="2" w:other="2"/>
          <w:pgNumType w:fmt="lowerRoman" w:start="1"/>
          <w:cols w:space="720"/>
          <w:docGrid w:linePitch="299"/>
        </w:sectPr>
      </w:pPr>
    </w:p>
    <w:p w14:paraId="1D948206" w14:textId="77777777" w:rsidR="00F6409C" w:rsidRPr="00183E4D" w:rsidRDefault="00F6409C" w:rsidP="00F6409C">
      <w:pPr>
        <w:pStyle w:val="Heading1"/>
      </w:pPr>
      <w:bookmarkStart w:id="34" w:name="_Toc236559502"/>
      <w:bookmarkStart w:id="35" w:name="_Toc379118056"/>
      <w:bookmarkStart w:id="36" w:name="_Toc381796428"/>
      <w:bookmarkStart w:id="37" w:name="_Toc456276079"/>
      <w:bookmarkStart w:id="38" w:name="_Toc460513869"/>
      <w:bookmarkStart w:id="39" w:name="_Toc395200751"/>
      <w:bookmarkStart w:id="40" w:name="_Toc379118059"/>
      <w:bookmarkStart w:id="41" w:name="_Toc379118251"/>
      <w:bookmarkStart w:id="42" w:name="_Toc381796435"/>
      <w:r w:rsidRPr="00183E4D">
        <w:lastRenderedPageBreak/>
        <w:t>Executive Summary</w:t>
      </w:r>
      <w:bookmarkEnd w:id="34"/>
      <w:bookmarkEnd w:id="35"/>
      <w:bookmarkEnd w:id="36"/>
      <w:bookmarkEnd w:id="37"/>
      <w:bookmarkEnd w:id="38"/>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242"/>
      </w:tblGrid>
      <w:tr w:rsidR="00F6409C" w14:paraId="3585B813" w14:textId="77777777" w:rsidTr="0039385F">
        <w:trPr>
          <w:tblHeader/>
        </w:trPr>
        <w:tc>
          <w:tcPr>
            <w:tcW w:w="9242" w:type="dxa"/>
            <w:tcBorders>
              <w:bottom w:val="nil"/>
            </w:tcBorders>
          </w:tcPr>
          <w:p w14:paraId="52A24033" w14:textId="24E9456C" w:rsidR="00F6409C" w:rsidRPr="00BF1771" w:rsidRDefault="00466B3D" w:rsidP="006D646E">
            <w:pPr>
              <w:pStyle w:val="Heading5"/>
              <w:ind w:left="426" w:right="237" w:hanging="284"/>
              <w:outlineLvl w:val="4"/>
              <w:rPr>
                <w:highlight w:val="cyan"/>
              </w:rPr>
            </w:pPr>
            <w:bookmarkStart w:id="43" w:name="_Toc381796429"/>
            <w:r w:rsidRPr="0029690D">
              <w:t>Main issues for MSAC consideration</w:t>
            </w:r>
          </w:p>
        </w:tc>
      </w:tr>
      <w:tr w:rsidR="00F6409C" w14:paraId="4015E072" w14:textId="77777777" w:rsidTr="0039385F">
        <w:tc>
          <w:tcPr>
            <w:tcW w:w="9242" w:type="dxa"/>
            <w:tcBorders>
              <w:top w:val="nil"/>
            </w:tcBorders>
          </w:tcPr>
          <w:p w14:paraId="0CEBCCD4" w14:textId="48656291" w:rsidR="0007789D" w:rsidRDefault="00AB2303" w:rsidP="006D646E">
            <w:pPr>
              <w:pStyle w:val="ListParagraph"/>
              <w:numPr>
                <w:ilvl w:val="0"/>
                <w:numId w:val="51"/>
              </w:numPr>
              <w:ind w:left="426" w:right="237"/>
            </w:pPr>
            <w:r>
              <w:t xml:space="preserve">This </w:t>
            </w:r>
            <w:r w:rsidR="00135525">
              <w:t>contracted assessment (CA)</w:t>
            </w:r>
            <w:r>
              <w:t xml:space="preserve"> </w:t>
            </w:r>
            <w:r w:rsidR="001C1655">
              <w:t xml:space="preserve">investigates </w:t>
            </w:r>
            <w:r>
              <w:t xml:space="preserve">the use of </w:t>
            </w:r>
            <w:proofErr w:type="spellStart"/>
            <w:r>
              <w:t>multiparameric</w:t>
            </w:r>
            <w:proofErr w:type="spellEnd"/>
            <w:r>
              <w:t xml:space="preserve"> MRI (</w:t>
            </w:r>
            <w:proofErr w:type="spellStart"/>
            <w:r>
              <w:t>mpMRI</w:t>
            </w:r>
            <w:proofErr w:type="spellEnd"/>
            <w:r>
              <w:t>) in two populations: men with suspected prostate cancer</w:t>
            </w:r>
            <w:r w:rsidR="005C2831">
              <w:t xml:space="preserve"> (</w:t>
            </w:r>
            <w:proofErr w:type="spellStart"/>
            <w:r w:rsidR="005C2831">
              <w:t>PCa</w:t>
            </w:r>
            <w:proofErr w:type="spellEnd"/>
            <w:r w:rsidR="005C2831">
              <w:t>)</w:t>
            </w:r>
            <w:r>
              <w:t xml:space="preserve"> (Popul</w:t>
            </w:r>
            <w:r w:rsidR="006A3C75">
              <w:t>a</w:t>
            </w:r>
            <w:r>
              <w:t>tion 1) and men with low</w:t>
            </w:r>
            <w:r w:rsidR="00474763">
              <w:t xml:space="preserve"> or </w:t>
            </w:r>
            <w:r w:rsidR="00197EFD">
              <w:t>intermediate</w:t>
            </w:r>
            <w:r>
              <w:t xml:space="preserve"> </w:t>
            </w:r>
            <w:r w:rsidR="0049525C">
              <w:t xml:space="preserve">risk </w:t>
            </w:r>
            <w:proofErr w:type="spellStart"/>
            <w:r w:rsidR="005C2831">
              <w:t>PCa</w:t>
            </w:r>
            <w:proofErr w:type="spellEnd"/>
            <w:r>
              <w:t xml:space="preserve"> on active surveillance </w:t>
            </w:r>
            <w:r w:rsidR="00CE60C4">
              <w:t xml:space="preserve">(AS) </w:t>
            </w:r>
            <w:r>
              <w:t>programs (Population 2)</w:t>
            </w:r>
            <w:r w:rsidR="00C44C4A">
              <w:t>.</w:t>
            </w:r>
            <w:r w:rsidR="0007789D">
              <w:t xml:space="preserve"> Currently, </w:t>
            </w:r>
            <w:r w:rsidR="001C1655">
              <w:t xml:space="preserve">these </w:t>
            </w:r>
            <w:r w:rsidR="0007789D">
              <w:t>patients are assessed with trans-rectal ultrasound-guided biopsy (TRUSGB) or trans-perineal ultrasound-guided biopsy (TPUSGB).</w:t>
            </w:r>
          </w:p>
          <w:p w14:paraId="0360945E" w14:textId="229DF5D9" w:rsidR="00DE0458" w:rsidRPr="00D85C1A" w:rsidRDefault="00DE0458" w:rsidP="006D646E">
            <w:pPr>
              <w:pStyle w:val="ListParagraph"/>
              <w:numPr>
                <w:ilvl w:val="0"/>
                <w:numId w:val="51"/>
              </w:numPr>
              <w:ind w:left="426" w:right="237"/>
            </w:pPr>
            <w:r w:rsidRPr="000C108F">
              <w:t xml:space="preserve">No direct evidence on the effectiveness of </w:t>
            </w:r>
            <w:proofErr w:type="spellStart"/>
            <w:r w:rsidRPr="000C108F">
              <w:t>mpMRI</w:t>
            </w:r>
            <w:proofErr w:type="spellEnd"/>
            <w:r w:rsidRPr="000C108F">
              <w:t xml:space="preserve"> was </w:t>
            </w:r>
            <w:r w:rsidR="000C108F" w:rsidRPr="004D7325">
              <w:t>identified</w:t>
            </w:r>
            <w:r w:rsidR="00AB2303">
              <w:t xml:space="preserve"> for either population</w:t>
            </w:r>
            <w:r w:rsidR="000C108F" w:rsidRPr="004D7325">
              <w:t>;</w:t>
            </w:r>
            <w:r w:rsidRPr="003E30E8">
              <w:t xml:space="preserve"> </w:t>
            </w:r>
            <w:r w:rsidR="00C44C4A" w:rsidRPr="003E30E8">
              <w:t>therefore,</w:t>
            </w:r>
            <w:r w:rsidRPr="003E30E8">
              <w:t xml:space="preserve"> a linked evidence approach was used for this asses</w:t>
            </w:r>
            <w:r w:rsidRPr="00D85C1A">
              <w:t>sment</w:t>
            </w:r>
            <w:r w:rsidR="0029690D" w:rsidRPr="00D85C1A">
              <w:t>.</w:t>
            </w:r>
          </w:p>
          <w:p w14:paraId="7160EBB0" w14:textId="225523E8" w:rsidR="00D85C1A" w:rsidRDefault="00765AB1" w:rsidP="006D646E">
            <w:pPr>
              <w:pStyle w:val="ListParagraph"/>
              <w:numPr>
                <w:ilvl w:val="0"/>
                <w:numId w:val="51"/>
              </w:numPr>
              <w:ind w:left="426" w:right="237"/>
            </w:pPr>
            <w:r w:rsidRPr="00D85C1A">
              <w:t xml:space="preserve">The diagnostic accuracy of </w:t>
            </w:r>
            <w:proofErr w:type="spellStart"/>
            <w:r w:rsidRPr="00D85C1A">
              <w:t>mpMRI</w:t>
            </w:r>
            <w:proofErr w:type="spellEnd"/>
            <w:r w:rsidRPr="00D85C1A">
              <w:t xml:space="preserve"> was determined using the bivariate model to generate point estimates of sensitivity and specificity. </w:t>
            </w:r>
            <w:r w:rsidR="00D85C1A" w:rsidRPr="000D5EDA">
              <w:t>Overall</w:t>
            </w:r>
            <w:r w:rsidR="006A3C75">
              <w:t>,</w:t>
            </w:r>
            <w:r w:rsidR="00D85C1A" w:rsidRPr="000D5EDA">
              <w:t xml:space="preserve"> </w:t>
            </w:r>
            <w:r w:rsidR="00AB2303">
              <w:t xml:space="preserve">Population 1 </w:t>
            </w:r>
            <w:proofErr w:type="spellStart"/>
            <w:r w:rsidR="00AB2303">
              <w:t>mpMRI</w:t>
            </w:r>
            <w:proofErr w:type="spellEnd"/>
            <w:r w:rsidR="00AB2303">
              <w:t xml:space="preserve"> had a sensitivity of </w:t>
            </w:r>
            <w:r w:rsidR="00AB2303" w:rsidRPr="00AB2303">
              <w:t>73.4%</w:t>
            </w:r>
            <w:r w:rsidR="00135525">
              <w:t xml:space="preserve"> (95% confidence interval (CI)</w:t>
            </w:r>
            <w:r w:rsidR="00AB2303" w:rsidRPr="00AB2303">
              <w:t xml:space="preserve"> [57.0, 85.1]</w:t>
            </w:r>
            <w:r w:rsidR="002411BC">
              <w:t xml:space="preserve">) and a </w:t>
            </w:r>
            <w:r w:rsidR="002A63B4">
              <w:t>specificity</w:t>
            </w:r>
            <w:r w:rsidR="00AB2303">
              <w:t xml:space="preserve"> of </w:t>
            </w:r>
            <w:r w:rsidR="00AB2303" w:rsidRPr="00AB2303">
              <w:t xml:space="preserve">77.1% </w:t>
            </w:r>
            <w:r w:rsidR="00AB2303">
              <w:t xml:space="preserve">(95% CI </w:t>
            </w:r>
            <w:r w:rsidR="00AB2303" w:rsidRPr="00AB2303">
              <w:t>[63.5, 86.7]</w:t>
            </w:r>
            <w:r w:rsidR="00AB2303">
              <w:t>) compared to prostate biopsy</w:t>
            </w:r>
            <w:r w:rsidR="002411BC">
              <w:t xml:space="preserve"> in the de</w:t>
            </w:r>
            <w:r w:rsidR="002A63B4">
              <w:t>te</w:t>
            </w:r>
            <w:r w:rsidR="002411BC">
              <w:t>ction of cancer of any severity</w:t>
            </w:r>
            <w:r w:rsidR="00AB2303">
              <w:t xml:space="preserve">. Population 2 </w:t>
            </w:r>
            <w:proofErr w:type="spellStart"/>
            <w:r w:rsidR="00AB2303">
              <w:t>mpMRI</w:t>
            </w:r>
            <w:proofErr w:type="spellEnd"/>
            <w:r w:rsidR="00AB2303">
              <w:t xml:space="preserve"> ha</w:t>
            </w:r>
            <w:r w:rsidR="006A3C75">
              <w:t>d</w:t>
            </w:r>
            <w:r w:rsidR="00D85C1A" w:rsidRPr="000D5EDA">
              <w:t xml:space="preserve"> </w:t>
            </w:r>
            <w:r w:rsidR="00AB2303">
              <w:t xml:space="preserve">a sensitivity of </w:t>
            </w:r>
            <w:r w:rsidR="00AB2303" w:rsidRPr="00C44C4A">
              <w:t>79.3% (95% CI [74.6, 83.3]) and a specificity of 55.1% (95% CI [50.4, 59.8])</w:t>
            </w:r>
            <w:r w:rsidR="00AB2303">
              <w:t xml:space="preserve"> compared to prostate biopsy. </w:t>
            </w:r>
            <w:r w:rsidR="002D33C7">
              <w:t xml:space="preserve">Therefore, </w:t>
            </w:r>
            <w:proofErr w:type="spellStart"/>
            <w:r w:rsidR="00D85C1A" w:rsidRPr="000D5EDA">
              <w:t>mpMRI</w:t>
            </w:r>
            <w:proofErr w:type="spellEnd"/>
            <w:r w:rsidR="00D85C1A" w:rsidRPr="000D5EDA">
              <w:t xml:space="preserve"> miss</w:t>
            </w:r>
            <w:r w:rsidR="00AB2303">
              <w:t>es</w:t>
            </w:r>
            <w:r w:rsidR="00D85C1A" w:rsidRPr="000D5EDA">
              <w:t xml:space="preserve"> </w:t>
            </w:r>
            <w:proofErr w:type="spellStart"/>
            <w:r w:rsidR="00D85C1A" w:rsidRPr="000D5EDA">
              <w:t>PCa</w:t>
            </w:r>
            <w:proofErr w:type="spellEnd"/>
            <w:r w:rsidR="00D85C1A" w:rsidRPr="000D5EDA">
              <w:t xml:space="preserve"> that would be</w:t>
            </w:r>
            <w:r w:rsidR="002D33C7">
              <w:t xml:space="preserve"> accurately</w:t>
            </w:r>
            <w:r w:rsidR="00D85C1A" w:rsidRPr="000D5EDA">
              <w:t xml:space="preserve"> diagnosed by biopsy</w:t>
            </w:r>
            <w:r w:rsidR="00D85C1A" w:rsidRPr="00D85C1A">
              <w:t xml:space="preserve">. </w:t>
            </w:r>
          </w:p>
          <w:p w14:paraId="6A08976D" w14:textId="4364CE16" w:rsidR="002411BC" w:rsidRPr="00B423E0" w:rsidRDefault="002411BC" w:rsidP="006D646E">
            <w:pPr>
              <w:pStyle w:val="ListParagraph"/>
              <w:numPr>
                <w:ilvl w:val="0"/>
                <w:numId w:val="51"/>
              </w:numPr>
              <w:ind w:left="426" w:right="237"/>
            </w:pPr>
            <w:r>
              <w:t xml:space="preserve">Our analysis found no statistical difference in the sensitivity and specificity of </w:t>
            </w:r>
            <w:proofErr w:type="spellStart"/>
            <w:r>
              <w:t>mpMRI</w:t>
            </w:r>
            <w:proofErr w:type="spellEnd"/>
            <w:r>
              <w:t xml:space="preserve"> in the detection of cancer of any severity compared to clinically significant cancer. </w:t>
            </w:r>
          </w:p>
          <w:p w14:paraId="3535850C" w14:textId="26AB4AD4" w:rsidR="00FC66A3" w:rsidRPr="00ED5BA5" w:rsidRDefault="00B82ADE" w:rsidP="006D646E">
            <w:pPr>
              <w:pStyle w:val="ListParagraph"/>
              <w:numPr>
                <w:ilvl w:val="0"/>
                <w:numId w:val="51"/>
              </w:numPr>
              <w:ind w:left="426" w:right="237"/>
            </w:pPr>
            <w:r w:rsidRPr="00D85C1A">
              <w:t>To limit sources o</w:t>
            </w:r>
            <w:r w:rsidR="00ED5BA5">
              <w:t>f</w:t>
            </w:r>
            <w:r w:rsidRPr="00ED5BA5">
              <w:t xml:space="preserve"> uncertainty</w:t>
            </w:r>
            <w:r w:rsidR="006A3C75">
              <w:t>,</w:t>
            </w:r>
            <w:r w:rsidRPr="00ED5BA5">
              <w:t xml:space="preserve"> o</w:t>
            </w:r>
            <w:r w:rsidR="00DE0458" w:rsidRPr="00ED5BA5">
              <w:t xml:space="preserve">nly studies with no applicability issues and </w:t>
            </w:r>
            <w:r w:rsidRPr="00D85C1A">
              <w:t xml:space="preserve">those </w:t>
            </w:r>
            <w:r w:rsidR="00DE0458" w:rsidRPr="00D85C1A">
              <w:t>using a cons</w:t>
            </w:r>
            <w:r w:rsidRPr="00D85C1A">
              <w:t>istent threshold were included</w:t>
            </w:r>
            <w:r w:rsidR="00DE0458" w:rsidRPr="00D85C1A">
              <w:t xml:space="preserve">. Despite this, for Population 1 there is considerable </w:t>
            </w:r>
            <w:r w:rsidR="00FC66A3" w:rsidRPr="00D85C1A">
              <w:t xml:space="preserve">uncertainty in the point estimates </w:t>
            </w:r>
            <w:r w:rsidR="00DE0458" w:rsidRPr="00D85C1A">
              <w:t>as evidenced by</w:t>
            </w:r>
            <w:r w:rsidR="00FC66A3" w:rsidRPr="00D85C1A">
              <w:t xml:space="preserve"> wide confidence intervals</w:t>
            </w:r>
            <w:r w:rsidR="002D62D4" w:rsidRPr="00D85C1A">
              <w:t xml:space="preserve"> (ranging from 9.5 to 14.5 points </w:t>
            </w:r>
            <w:r w:rsidR="0029690D" w:rsidRPr="00D85C1A">
              <w:t>around</w:t>
            </w:r>
            <w:r w:rsidR="002D62D4" w:rsidRPr="00D85C1A">
              <w:t xml:space="preserve"> the estimate)</w:t>
            </w:r>
            <w:r w:rsidR="00DE0458" w:rsidRPr="00AB2303">
              <w:t xml:space="preserve">. </w:t>
            </w:r>
            <w:r w:rsidR="00E95CFD" w:rsidRPr="00AB2303">
              <w:t>Subgroup analysis was conducted to explore t</w:t>
            </w:r>
            <w:r w:rsidR="00DE0458" w:rsidRPr="00AB2303">
              <w:t>he cause of this heterogeneity; however, no source was identified. There may be</w:t>
            </w:r>
            <w:r w:rsidR="00FC66A3" w:rsidRPr="00AB2303">
              <w:t xml:space="preserve"> reliability issues with </w:t>
            </w:r>
            <w:r w:rsidR="00DE0458" w:rsidRPr="00AB2303">
              <w:t xml:space="preserve">the use of </w:t>
            </w:r>
            <w:proofErr w:type="spellStart"/>
            <w:r w:rsidR="00DE0458" w:rsidRPr="00AB2303">
              <w:t>mpMRI</w:t>
            </w:r>
            <w:proofErr w:type="spellEnd"/>
            <w:r w:rsidR="00DE0458" w:rsidRPr="00AB2303">
              <w:t xml:space="preserve"> and the </w:t>
            </w:r>
            <w:r w:rsidR="00E55F7E" w:rsidRPr="000C2D22">
              <w:t xml:space="preserve">Prostate Imaging Reporting and Data </w:t>
            </w:r>
            <w:r w:rsidR="00E55F7E" w:rsidRPr="00122AAE">
              <w:t xml:space="preserve">System </w:t>
            </w:r>
            <w:r w:rsidR="006A187D" w:rsidRPr="00122AAE">
              <w:t>(</w:t>
            </w:r>
            <w:r w:rsidR="00FC66A3" w:rsidRPr="00122AAE">
              <w:t>PI-RADS</w:t>
            </w:r>
            <w:r w:rsidR="006A187D" w:rsidRPr="00122AAE">
              <w:t>)</w:t>
            </w:r>
            <w:r w:rsidR="00DE0458" w:rsidRPr="00122AAE">
              <w:t>.</w:t>
            </w:r>
            <w:r w:rsidR="006A3C75" w:rsidRPr="00122AAE">
              <w:t xml:space="preserve"> </w:t>
            </w:r>
            <w:r w:rsidR="00DE0458" w:rsidRPr="00122AAE">
              <w:t>For</w:t>
            </w:r>
            <w:r w:rsidR="00DE0458" w:rsidRPr="00D85C1A">
              <w:t xml:space="preserve"> </w:t>
            </w:r>
            <w:r w:rsidR="00FC66A3" w:rsidRPr="00D85C1A">
              <w:t>Pop</w:t>
            </w:r>
            <w:r w:rsidR="00DE0458" w:rsidRPr="00D85C1A">
              <w:t xml:space="preserve">ulation </w:t>
            </w:r>
            <w:r w:rsidR="00FC66A3" w:rsidRPr="00D85C1A">
              <w:t xml:space="preserve">2 </w:t>
            </w:r>
            <w:r w:rsidR="00D85C1A">
              <w:t xml:space="preserve">there is a high level of </w:t>
            </w:r>
            <w:r w:rsidR="00DE0458" w:rsidRPr="00D85C1A">
              <w:t>certainty in the point estimates of sensitivity and specificity</w:t>
            </w:r>
            <w:r w:rsidR="00DE0458" w:rsidRPr="00ED5BA5">
              <w:t>.</w:t>
            </w:r>
            <w:r w:rsidR="00D35E88" w:rsidRPr="00ED5BA5">
              <w:t xml:space="preserve"> </w:t>
            </w:r>
          </w:p>
          <w:p w14:paraId="6BA73121" w14:textId="16B3B218" w:rsidR="00466B3D" w:rsidRPr="00AB2303" w:rsidRDefault="00A9704F" w:rsidP="006D646E">
            <w:pPr>
              <w:pStyle w:val="ListParagraph"/>
              <w:numPr>
                <w:ilvl w:val="0"/>
                <w:numId w:val="51"/>
              </w:numPr>
              <w:ind w:left="426" w:right="237"/>
            </w:pPr>
            <w:r>
              <w:t>For low-</w:t>
            </w:r>
            <w:r w:rsidR="002411BC">
              <w:t>concern</w:t>
            </w:r>
            <w:r w:rsidR="00765AB1">
              <w:t xml:space="preserve"> patients, t</w:t>
            </w:r>
            <w:r w:rsidR="00466B3D" w:rsidRPr="00AB2303">
              <w:t xml:space="preserve">he implication of a false negative </w:t>
            </w:r>
            <w:proofErr w:type="spellStart"/>
            <w:r w:rsidR="00466B3D" w:rsidRPr="00AB2303">
              <w:t>mpMRI</w:t>
            </w:r>
            <w:proofErr w:type="spellEnd"/>
            <w:r w:rsidR="00466B3D" w:rsidRPr="00AB2303">
              <w:t xml:space="preserve"> is delayed treatment; this does not appear to adversely affect patient outcomes for the majority of patients.</w:t>
            </w:r>
            <w:r w:rsidR="00765AB1">
              <w:t xml:space="preserve"> </w:t>
            </w:r>
          </w:p>
          <w:p w14:paraId="4E220DF1" w14:textId="50A4DB7D" w:rsidR="00DE0458" w:rsidRPr="000C108F" w:rsidRDefault="00765AB1" w:rsidP="006D646E">
            <w:pPr>
              <w:pStyle w:val="ListParagraph"/>
              <w:numPr>
                <w:ilvl w:val="0"/>
                <w:numId w:val="51"/>
              </w:numPr>
              <w:ind w:left="426" w:right="237"/>
            </w:pPr>
            <w:r>
              <w:t>For low-</w:t>
            </w:r>
            <w:r w:rsidR="00A9704F">
              <w:t>concern</w:t>
            </w:r>
            <w:r>
              <w:t xml:space="preserve"> </w:t>
            </w:r>
            <w:r w:rsidR="00A9704F">
              <w:t>patients</w:t>
            </w:r>
            <w:r>
              <w:t xml:space="preserve"> t</w:t>
            </w:r>
            <w:r w:rsidR="00DE0458" w:rsidRPr="00765AB1">
              <w:t xml:space="preserve">he </w:t>
            </w:r>
            <w:r w:rsidR="00474763" w:rsidRPr="00765AB1">
              <w:t>consequence</w:t>
            </w:r>
            <w:r w:rsidR="00DE0458" w:rsidRPr="00765AB1">
              <w:t xml:space="preserve"> of a true negative (and false negative) is an avoided biopsy. Biopsy is associated with </w:t>
            </w:r>
            <w:r w:rsidR="00466B3D" w:rsidRPr="00765AB1">
              <w:t>rare</w:t>
            </w:r>
            <w:r w:rsidR="00DE0458" w:rsidRPr="007C76F5">
              <w:t xml:space="preserve"> but potentially serious adverse events whereas </w:t>
            </w:r>
            <w:proofErr w:type="spellStart"/>
            <w:r w:rsidR="00DE0458" w:rsidRPr="007C76F5">
              <w:t>mpMRI</w:t>
            </w:r>
            <w:proofErr w:type="spellEnd"/>
            <w:r w:rsidR="00DE0458" w:rsidRPr="007C76F5">
              <w:t xml:space="preserve"> is generally considered safe. </w:t>
            </w:r>
            <w:r w:rsidR="00DE0458" w:rsidRPr="00765AB1">
              <w:t xml:space="preserve">Avoided biopsy will </w:t>
            </w:r>
            <w:r w:rsidR="00466B3D" w:rsidRPr="00765AB1">
              <w:t>eliminate</w:t>
            </w:r>
            <w:r w:rsidR="00DE0458" w:rsidRPr="007C76F5">
              <w:t xml:space="preserve"> the risk of major infection and associated re</w:t>
            </w:r>
            <w:r w:rsidR="0029690D" w:rsidRPr="000C108F">
              <w:t>-</w:t>
            </w:r>
            <w:r w:rsidR="00DE0458" w:rsidRPr="000C108F">
              <w:t>hospitalisation for 1</w:t>
            </w:r>
            <w:r w:rsidR="0029690D" w:rsidRPr="000C108F">
              <w:t>-2% of patients receiving trans</w:t>
            </w:r>
            <w:r w:rsidR="00474763">
              <w:t>-</w:t>
            </w:r>
            <w:r w:rsidR="00DE0458" w:rsidRPr="000C108F">
              <w:t xml:space="preserve">rectal biopsy. </w:t>
            </w:r>
          </w:p>
          <w:p w14:paraId="567736D4" w14:textId="7D15F1F6" w:rsidR="007C76F5" w:rsidRDefault="007C76F5" w:rsidP="006D646E">
            <w:pPr>
              <w:pStyle w:val="ListParagraph"/>
              <w:numPr>
                <w:ilvl w:val="0"/>
                <w:numId w:val="51"/>
              </w:numPr>
              <w:ind w:left="426" w:right="237"/>
            </w:pPr>
            <w:r>
              <w:t>High-</w:t>
            </w:r>
            <w:r w:rsidR="00A9704F">
              <w:t>concern</w:t>
            </w:r>
            <w:r>
              <w:t xml:space="preserve"> patients will have a biopsy regardless of </w:t>
            </w:r>
            <w:proofErr w:type="spellStart"/>
            <w:r>
              <w:t>mpMRI</w:t>
            </w:r>
            <w:proofErr w:type="spellEnd"/>
            <w:r>
              <w:t xml:space="preserve"> results and there is no change in therapeutic effectiveness associated with the introduction of </w:t>
            </w:r>
            <w:proofErr w:type="spellStart"/>
            <w:r>
              <w:t>mpMRI</w:t>
            </w:r>
            <w:proofErr w:type="spellEnd"/>
            <w:r>
              <w:t xml:space="preserve"> for these patients.</w:t>
            </w:r>
          </w:p>
          <w:p w14:paraId="535FDBD8" w14:textId="6357E766" w:rsidR="006953FB" w:rsidRPr="00C7094D" w:rsidRDefault="006953FB" w:rsidP="006D646E">
            <w:pPr>
              <w:pStyle w:val="ListParagraph"/>
              <w:numPr>
                <w:ilvl w:val="0"/>
                <w:numId w:val="51"/>
              </w:numPr>
              <w:ind w:left="426" w:right="237"/>
              <w:jc w:val="left"/>
            </w:pPr>
            <w:r w:rsidRPr="00C7094D">
              <w:t xml:space="preserve">The cost-effectiveness of </w:t>
            </w:r>
            <w:proofErr w:type="spellStart"/>
            <w:r w:rsidRPr="00C7094D">
              <w:t>mpMRI</w:t>
            </w:r>
            <w:proofErr w:type="spellEnd"/>
            <w:r w:rsidRPr="00C7094D">
              <w:t xml:space="preserve"> differs between Population 1 and Population 2. In Population 1, </w:t>
            </w:r>
            <w:proofErr w:type="spellStart"/>
            <w:r w:rsidRPr="00C7094D">
              <w:t>mpMRI</w:t>
            </w:r>
            <w:proofErr w:type="spellEnd"/>
            <w:r w:rsidRPr="00C7094D">
              <w:t xml:space="preserve"> is dominated by prostate biopsy. In Population 2, the incremental cost of </w:t>
            </w:r>
            <w:proofErr w:type="spellStart"/>
            <w:r w:rsidRPr="00C7094D">
              <w:t>mpMRI</w:t>
            </w:r>
            <w:proofErr w:type="spellEnd"/>
            <w:r w:rsidRPr="00C7094D">
              <w:t xml:space="preserve"> is $12,821 per </w:t>
            </w:r>
            <w:r w:rsidR="00685742">
              <w:t>quality of life year (</w:t>
            </w:r>
            <w:r w:rsidRPr="00C7094D">
              <w:t>QALY</w:t>
            </w:r>
            <w:r w:rsidR="00685742">
              <w:t>)</w:t>
            </w:r>
            <w:r w:rsidRPr="00C7094D">
              <w:t xml:space="preserve"> gained in the base-case.</w:t>
            </w:r>
          </w:p>
          <w:p w14:paraId="68444452" w14:textId="39B32DE7" w:rsidR="006953FB" w:rsidRDefault="006953FB" w:rsidP="006D646E">
            <w:pPr>
              <w:pStyle w:val="ListParagraph"/>
              <w:numPr>
                <w:ilvl w:val="0"/>
                <w:numId w:val="51"/>
              </w:numPr>
              <w:ind w:left="426" w:right="237"/>
            </w:pPr>
            <w:r w:rsidRPr="00C7094D">
              <w:lastRenderedPageBreak/>
              <w:t>The current assessment was performed in parallel with the evaluation of MR</w:t>
            </w:r>
            <w:r w:rsidR="0069549A">
              <w:t>I</w:t>
            </w:r>
            <w:r w:rsidRPr="00C7094D">
              <w:t>-guided biopsy</w:t>
            </w:r>
            <w:r w:rsidR="0069549A">
              <w:t xml:space="preserve"> (MRIGB)</w:t>
            </w:r>
            <w:r w:rsidRPr="00C7094D">
              <w:t xml:space="preserve"> procedures for diagnosis of </w:t>
            </w:r>
            <w:proofErr w:type="spellStart"/>
            <w:r w:rsidRPr="00C7094D">
              <w:t>PCa</w:t>
            </w:r>
            <w:proofErr w:type="spellEnd"/>
            <w:r w:rsidRPr="00C7094D">
              <w:t xml:space="preserve"> (CA 1424). It was therefore not known yet if (any type of) </w:t>
            </w:r>
            <w:r w:rsidR="00E96DDA">
              <w:t>MRIGB</w:t>
            </w:r>
            <w:r w:rsidRPr="00C7094D">
              <w:t xml:space="preserve"> would be part of the future clinical management algorithm. The proposed clinical management algorithm included the use of </w:t>
            </w:r>
            <w:r w:rsidR="00E96DDA">
              <w:t>MRIGB</w:t>
            </w:r>
            <w:r w:rsidRPr="00C7094D">
              <w:t xml:space="preserve"> after </w:t>
            </w:r>
            <w:proofErr w:type="spellStart"/>
            <w:r w:rsidRPr="00C7094D">
              <w:t>mpMRI</w:t>
            </w:r>
            <w:proofErr w:type="spellEnd"/>
            <w:r w:rsidRPr="00C7094D">
              <w:t xml:space="preserve"> for patients with PI-RADS 4-5. In the </w:t>
            </w:r>
            <w:r w:rsidR="002955B5">
              <w:t>base-case</w:t>
            </w:r>
            <w:r w:rsidRPr="00C7094D">
              <w:t xml:space="preserve">, </w:t>
            </w:r>
            <w:proofErr w:type="spellStart"/>
            <w:r w:rsidRPr="00C7094D">
              <w:t>mpMRI</w:t>
            </w:r>
            <w:proofErr w:type="spellEnd"/>
            <w:r w:rsidRPr="00C7094D">
              <w:t xml:space="preserve"> was evaluated assuming no change in the type of biopsies used (i.e. 75% TRUSGB, 25% TPUSGB). The impact of introducing </w:t>
            </w:r>
            <w:r w:rsidR="00E96DDA">
              <w:t>MRIGB</w:t>
            </w:r>
            <w:r w:rsidRPr="00C7094D">
              <w:t xml:space="preserve"> in the intervention arm was evaluated in a sensitivity analysis and increased the </w:t>
            </w:r>
            <w:r w:rsidR="00685742">
              <w:t xml:space="preserve">incremental cost effectiveness ratio </w:t>
            </w:r>
            <w:r w:rsidRPr="00C7094D">
              <w:t>from $12,821 to $66,320 per QALY gained.</w:t>
            </w:r>
          </w:p>
          <w:p w14:paraId="18F31268" w14:textId="1DFDDB27" w:rsidR="00C35EAA" w:rsidRPr="007F7859" w:rsidRDefault="00C35EAA" w:rsidP="006D646E">
            <w:pPr>
              <w:pStyle w:val="ListParagraph"/>
              <w:numPr>
                <w:ilvl w:val="0"/>
                <w:numId w:val="51"/>
              </w:numPr>
              <w:ind w:left="426" w:right="237"/>
            </w:pPr>
            <w:r>
              <w:t xml:space="preserve">Seventeen ongoing clinical trials were identified (Appendix I) indicating considerable </w:t>
            </w:r>
            <w:r w:rsidR="00EC182A">
              <w:t xml:space="preserve">additional </w:t>
            </w:r>
            <w:r>
              <w:t xml:space="preserve">research </w:t>
            </w:r>
            <w:r w:rsidR="00EC182A">
              <w:t>may be available on this topic</w:t>
            </w:r>
            <w:r w:rsidR="00634ABB">
              <w:t xml:space="preserve"> in the future</w:t>
            </w:r>
            <w:r>
              <w:t xml:space="preserve">. </w:t>
            </w:r>
          </w:p>
        </w:tc>
      </w:tr>
    </w:tbl>
    <w:p w14:paraId="225045E4" w14:textId="77777777" w:rsidR="00F6409C" w:rsidRPr="00434B1C" w:rsidRDefault="00F6409C" w:rsidP="00F6409C"/>
    <w:p w14:paraId="70BD6D97" w14:textId="77777777" w:rsidR="00400811" w:rsidRDefault="00400811" w:rsidP="005A3721">
      <w:pPr>
        <w:pStyle w:val="Heading2"/>
      </w:pPr>
      <w:bookmarkStart w:id="44" w:name="_Toc460513870"/>
      <w:bookmarkStart w:id="45" w:name="_Toc395200740"/>
      <w:bookmarkStart w:id="46" w:name="_Toc456276080"/>
      <w:r w:rsidRPr="00400811">
        <w:t xml:space="preserve">Assessment of </w:t>
      </w:r>
      <w:proofErr w:type="spellStart"/>
      <w:r w:rsidRPr="00474763">
        <w:rPr>
          <w:smallCaps w:val="0"/>
        </w:rPr>
        <w:t>mp</w:t>
      </w:r>
      <w:r w:rsidRPr="00400811">
        <w:t>MRI</w:t>
      </w:r>
      <w:proofErr w:type="spellEnd"/>
      <w:r w:rsidRPr="00400811">
        <w:t xml:space="preserve"> prostate diagnostic scans for diagnosis of prostate cancer</w:t>
      </w:r>
      <w:bookmarkEnd w:id="44"/>
      <w:r w:rsidRPr="001020B7" w:rsidDel="00400811">
        <w:t xml:space="preserve"> </w:t>
      </w:r>
      <w:bookmarkEnd w:id="43"/>
      <w:bookmarkEnd w:id="45"/>
      <w:bookmarkEnd w:id="46"/>
    </w:p>
    <w:p w14:paraId="01F96687" w14:textId="63766D7B" w:rsidR="00F6409C" w:rsidRPr="00627DE8" w:rsidRDefault="00F6409C" w:rsidP="00F6409C">
      <w:r w:rsidRPr="001020B7">
        <w:t xml:space="preserve">This contracted assessment examines the evidence to the support listing of </w:t>
      </w:r>
      <w:proofErr w:type="spellStart"/>
      <w:r w:rsidR="00A14452">
        <w:t>multiparametric</w:t>
      </w:r>
      <w:proofErr w:type="spellEnd"/>
      <w:r w:rsidR="00A14452">
        <w:t xml:space="preserve"> MRI (</w:t>
      </w:r>
      <w:proofErr w:type="spellStart"/>
      <w:r w:rsidRPr="001020B7">
        <w:rPr>
          <w:shd w:val="clear" w:color="auto" w:fill="FFFFFF" w:themeFill="background1"/>
        </w:rPr>
        <w:t>mpMRI</w:t>
      </w:r>
      <w:proofErr w:type="spellEnd"/>
      <w:r w:rsidR="00A14452">
        <w:rPr>
          <w:shd w:val="clear" w:color="auto" w:fill="FFFFFF" w:themeFill="background1"/>
        </w:rPr>
        <w:t>)</w:t>
      </w:r>
      <w:r w:rsidRPr="001020B7">
        <w:rPr>
          <w:shd w:val="clear" w:color="auto" w:fill="FFFFFF" w:themeFill="background1"/>
        </w:rPr>
        <w:t xml:space="preserve"> prostate diagnostic scans</w:t>
      </w:r>
      <w:r w:rsidRPr="001020B7">
        <w:t xml:space="preserve"> on the Medicare Benefits Schedule (MBS). The service would be used for cancer detection in patients with suspicion of</w:t>
      </w:r>
      <w:r w:rsidR="006F5EC6" w:rsidRPr="006F5EC6">
        <w:t xml:space="preserve"> </w:t>
      </w:r>
      <w:r w:rsidR="006F5EC6" w:rsidRPr="001020B7">
        <w:t>prostate cancer</w:t>
      </w:r>
      <w:r w:rsidR="00B57813" w:rsidRPr="001020B7">
        <w:t xml:space="preserve"> </w:t>
      </w:r>
      <w:r w:rsidR="00B57813">
        <w:t>(</w:t>
      </w:r>
      <w:proofErr w:type="spellStart"/>
      <w:r w:rsidR="006F5EC6">
        <w:t>PCa</w:t>
      </w:r>
      <w:proofErr w:type="spellEnd"/>
      <w:r w:rsidR="00B57813">
        <w:t>)</w:t>
      </w:r>
      <w:r w:rsidRPr="001020B7">
        <w:t xml:space="preserve"> and disease monitoring in patients with known disease who are on active surveillance programs</w:t>
      </w:r>
      <w:r w:rsidR="00CE60C4">
        <w:t xml:space="preserve"> (AS)</w:t>
      </w:r>
      <w:r w:rsidRPr="001020B7">
        <w:t>. The target populations are men with</w:t>
      </w:r>
      <w:r w:rsidR="001B6869">
        <w:t xml:space="preserve"> suspicion of </w:t>
      </w:r>
      <w:proofErr w:type="spellStart"/>
      <w:r w:rsidR="00B57813">
        <w:t>PCa</w:t>
      </w:r>
      <w:proofErr w:type="spellEnd"/>
      <w:r w:rsidR="001B6869">
        <w:t xml:space="preserve"> (P</w:t>
      </w:r>
      <w:r w:rsidRPr="001020B7">
        <w:t xml:space="preserve">opulation 1) and men diagnosed with low or intermediate risk </w:t>
      </w:r>
      <w:proofErr w:type="spellStart"/>
      <w:r w:rsidR="00B57813">
        <w:t>PCa</w:t>
      </w:r>
      <w:proofErr w:type="spellEnd"/>
      <w:r w:rsidRPr="001020B7">
        <w:t xml:space="preserve"> undertaking </w:t>
      </w:r>
      <w:r w:rsidR="00CE60C4">
        <w:t>AS</w:t>
      </w:r>
      <w:r w:rsidRPr="001020B7">
        <w:t xml:space="preserve"> (</w:t>
      </w:r>
      <w:r w:rsidR="001B6869">
        <w:t>P</w:t>
      </w:r>
      <w:r w:rsidRPr="001020B7">
        <w:t xml:space="preserve">opulation 2). </w:t>
      </w:r>
    </w:p>
    <w:p w14:paraId="57DF00A3" w14:textId="76280F18" w:rsidR="00F6409C" w:rsidRPr="00183E4D" w:rsidRDefault="00F6409C" w:rsidP="00F6409C">
      <w:pPr>
        <w:pStyle w:val="ESNumberedSectionHeading"/>
        <w:ind w:left="0" w:firstLine="0"/>
      </w:pPr>
      <w:bookmarkStart w:id="47" w:name="_Toc456276081"/>
      <w:bookmarkStart w:id="48" w:name="_Toc460513871"/>
      <w:r>
        <w:t xml:space="preserve">Alignment with agreed </w:t>
      </w:r>
      <w:bookmarkEnd w:id="47"/>
      <w:r w:rsidR="007654E3">
        <w:t>protocol</w:t>
      </w:r>
      <w:bookmarkEnd w:id="48"/>
    </w:p>
    <w:p w14:paraId="212864E1" w14:textId="0BD2FEE5" w:rsidR="00F6409C" w:rsidRPr="00183E4D" w:rsidRDefault="00F6409C" w:rsidP="00F6409C">
      <w:r w:rsidRPr="001020B7">
        <w:t xml:space="preserve">This contracted assessment of </w:t>
      </w:r>
      <w:proofErr w:type="spellStart"/>
      <w:r w:rsidRPr="001020B7">
        <w:rPr>
          <w:shd w:val="clear" w:color="auto" w:fill="FFFFFF" w:themeFill="background1"/>
        </w:rPr>
        <w:t>mpMRI</w:t>
      </w:r>
      <w:proofErr w:type="spellEnd"/>
      <w:r w:rsidRPr="001020B7">
        <w:rPr>
          <w:shd w:val="clear" w:color="auto" w:fill="FFFFFF" w:themeFill="background1"/>
        </w:rPr>
        <w:t xml:space="preserve"> prostate diagnostic scans</w:t>
      </w:r>
      <w:r w:rsidRPr="001020B7">
        <w:t xml:space="preserve"> addresses all of the</w:t>
      </w:r>
      <w:r w:rsidR="00C94365">
        <w:t xml:space="preserve"> Population, Intervention Comparator, Outcomes</w:t>
      </w:r>
      <w:r w:rsidRPr="001020B7">
        <w:t xml:space="preserve"> </w:t>
      </w:r>
      <w:r w:rsidR="00C94365">
        <w:t>(</w:t>
      </w:r>
      <w:r w:rsidRPr="001020B7">
        <w:t>PICO</w:t>
      </w:r>
      <w:r w:rsidR="00C94365">
        <w:t>)</w:t>
      </w:r>
      <w:r w:rsidRPr="001020B7">
        <w:t xml:space="preserve"> elements </w:t>
      </w:r>
      <w:r w:rsidR="007654E3">
        <w:t>that were pre-specified in the protocol</w:t>
      </w:r>
      <w:r w:rsidRPr="001020B7">
        <w:t xml:space="preserve"> ratified by the </w:t>
      </w:r>
      <w:r w:rsidR="0057159D">
        <w:t>Protocol</w:t>
      </w:r>
      <w:r w:rsidR="0057159D" w:rsidRPr="001020B7">
        <w:t xml:space="preserve"> </w:t>
      </w:r>
      <w:r w:rsidRPr="001020B7">
        <w:t>Advisory Sub</w:t>
      </w:r>
      <w:r w:rsidR="00F30218">
        <w:t>-</w:t>
      </w:r>
      <w:r w:rsidRPr="001020B7">
        <w:t>Committee (PASC) or the Medical Services Advisory Committee (MSAC) Executive.</w:t>
      </w:r>
      <w:r w:rsidRPr="00183E4D">
        <w:t xml:space="preserve"> </w:t>
      </w:r>
    </w:p>
    <w:p w14:paraId="25B2D94A" w14:textId="77777777" w:rsidR="00F6409C" w:rsidRPr="00183E4D" w:rsidRDefault="00F6409C" w:rsidP="00F6409C">
      <w:pPr>
        <w:pStyle w:val="ESNumberedSectionHeading"/>
        <w:ind w:left="0" w:firstLine="0"/>
      </w:pPr>
      <w:bookmarkStart w:id="49" w:name="_Toc395200742"/>
      <w:bookmarkStart w:id="50" w:name="_Toc456276082"/>
      <w:bookmarkStart w:id="51" w:name="_Toc460513872"/>
      <w:r w:rsidRPr="00183E4D">
        <w:t>Proposed Medical Service</w:t>
      </w:r>
      <w:bookmarkEnd w:id="49"/>
      <w:bookmarkEnd w:id="50"/>
      <w:bookmarkEnd w:id="51"/>
    </w:p>
    <w:p w14:paraId="5946C5A5" w14:textId="7E105EFA" w:rsidR="00F6409C" w:rsidRDefault="008D7BA9" w:rsidP="00F6409C">
      <w:bookmarkStart w:id="52" w:name="_Toc379118248"/>
      <w:bookmarkStart w:id="53" w:name="_Toc381796432"/>
      <w:r>
        <w:t>In</w:t>
      </w:r>
      <w:r w:rsidR="0057159D">
        <w:t xml:space="preserve"> </w:t>
      </w:r>
      <w:proofErr w:type="spellStart"/>
      <w:r w:rsidR="00F6409C" w:rsidRPr="000C2D22">
        <w:t>mpMRI</w:t>
      </w:r>
      <w:proofErr w:type="spellEnd"/>
      <w:r w:rsidR="00A14452">
        <w:t xml:space="preserve"> </w:t>
      </w:r>
      <w:r w:rsidR="00F6409C">
        <w:t>three magnetic pulse sequences</w:t>
      </w:r>
      <w:r>
        <w:t>:</w:t>
      </w:r>
      <w:r w:rsidR="00F6409C">
        <w:t xml:space="preserve"> </w:t>
      </w:r>
      <w:r w:rsidR="00F6409C" w:rsidRPr="00280F06">
        <w:t xml:space="preserve">T2 weighted (T2W), diffusion weighted </w:t>
      </w:r>
      <w:r w:rsidR="00203F4B">
        <w:t xml:space="preserve">image </w:t>
      </w:r>
      <w:r w:rsidR="00F6409C" w:rsidRPr="00280F06">
        <w:t>(DWI)</w:t>
      </w:r>
      <w:r w:rsidR="0058672B">
        <w:t>,</w:t>
      </w:r>
      <w:r w:rsidR="00F6409C" w:rsidRPr="00280F06">
        <w:t xml:space="preserve"> and dynamic-contrast enhanced (DCE)</w:t>
      </w:r>
      <w:r w:rsidR="00F6409C">
        <w:t xml:space="preserve">, </w:t>
      </w:r>
      <w:r>
        <w:t xml:space="preserve">are combined </w:t>
      </w:r>
      <w:r w:rsidR="00F6409C">
        <w:t xml:space="preserve">to form images </w:t>
      </w:r>
      <w:r>
        <w:t>that are</w:t>
      </w:r>
      <w:r w:rsidR="00F6409C">
        <w:t xml:space="preserve"> analysed together.</w:t>
      </w:r>
    </w:p>
    <w:p w14:paraId="0B193C03" w14:textId="3FBB54E3" w:rsidR="00F6409C" w:rsidRDefault="00466B3D" w:rsidP="00F6409C">
      <w:r>
        <w:t>Images are</w:t>
      </w:r>
      <w:r w:rsidR="00F6409C" w:rsidRPr="000C2D22">
        <w:t xml:space="preserve"> </w:t>
      </w:r>
      <w:r w:rsidR="00F6409C">
        <w:t xml:space="preserve">scored using the </w:t>
      </w:r>
      <w:r w:rsidR="00F6409C" w:rsidRPr="000C2D22">
        <w:t xml:space="preserve">Prostate Imaging Reporting and Data System </w:t>
      </w:r>
      <w:r w:rsidR="00F6409C">
        <w:t>(PI-RADS) v2 scoring system</w:t>
      </w:r>
      <w:r>
        <w:t>. This</w:t>
      </w:r>
      <w:r w:rsidR="00F6409C">
        <w:t xml:space="preserve"> five-point scale indicat</w:t>
      </w:r>
      <w:r>
        <w:t>es</w:t>
      </w:r>
      <w:r w:rsidR="00F6409C">
        <w:t xml:space="preserve"> the likelihood that </w:t>
      </w:r>
      <w:proofErr w:type="spellStart"/>
      <w:r w:rsidR="00F6409C">
        <w:t>mpMRI</w:t>
      </w:r>
      <w:proofErr w:type="spellEnd"/>
      <w:r w:rsidR="00F6409C">
        <w:t xml:space="preserve"> findings correlate with the presence of clinically significant cancer at a particular location in the prostate, where </w:t>
      </w:r>
      <w:r w:rsidR="00F6409C" w:rsidRPr="0026720F">
        <w:t>1</w:t>
      </w:r>
      <w:r w:rsidR="00F6409C">
        <w:t xml:space="preserve"> = v</w:t>
      </w:r>
      <w:r w:rsidR="00F6409C" w:rsidRPr="0026720F">
        <w:t xml:space="preserve">ery low (clinically significant </w:t>
      </w:r>
      <w:proofErr w:type="spellStart"/>
      <w:r w:rsidR="00B57813">
        <w:t>PCa</w:t>
      </w:r>
      <w:proofErr w:type="spellEnd"/>
      <w:r w:rsidR="00F6409C" w:rsidRPr="0026720F">
        <w:t xml:space="preserve"> is highly unlikely to</w:t>
      </w:r>
      <w:r w:rsidR="00F6409C">
        <w:t xml:space="preserve"> </w:t>
      </w:r>
      <w:r w:rsidR="00F6409C" w:rsidRPr="0026720F">
        <w:t>be present)</w:t>
      </w:r>
      <w:r w:rsidR="00F6409C">
        <w:t xml:space="preserve"> and 5 = very high </w:t>
      </w:r>
      <w:r w:rsidR="00F6409C" w:rsidRPr="0026720F">
        <w:t xml:space="preserve">(clinically significant </w:t>
      </w:r>
      <w:proofErr w:type="spellStart"/>
      <w:r w:rsidR="00B57813">
        <w:t>PCa</w:t>
      </w:r>
      <w:proofErr w:type="spellEnd"/>
      <w:r w:rsidR="00F6409C" w:rsidRPr="0026720F">
        <w:t xml:space="preserve"> is highly likely to</w:t>
      </w:r>
      <w:r w:rsidR="00F6409C">
        <w:t xml:space="preserve"> </w:t>
      </w:r>
      <w:r w:rsidR="00F6409C" w:rsidRPr="0026720F">
        <w:t>be present)</w:t>
      </w:r>
      <w:r w:rsidR="00F6409C">
        <w:t>.</w:t>
      </w:r>
    </w:p>
    <w:p w14:paraId="655EE4C2" w14:textId="5E7882DA" w:rsidR="009349F4" w:rsidRPr="000C2D22" w:rsidRDefault="00B8618A" w:rsidP="00466B3D">
      <w:bookmarkStart w:id="54" w:name="_Toc379118249"/>
      <w:bookmarkStart w:id="55" w:name="_Toc381796433"/>
      <w:bookmarkEnd w:id="52"/>
      <w:bookmarkEnd w:id="53"/>
      <w:r>
        <w:lastRenderedPageBreak/>
        <w:t>In low</w:t>
      </w:r>
      <w:r w:rsidR="00A14452">
        <w:t>-</w:t>
      </w:r>
      <w:r w:rsidR="00C43054">
        <w:t>concern</w:t>
      </w:r>
      <w:r>
        <w:t xml:space="preserve"> </w:t>
      </w:r>
      <w:r w:rsidR="00017F8C">
        <w:t>patients</w:t>
      </w:r>
      <w:r w:rsidR="009349F4">
        <w:t xml:space="preserve"> (no family history, free/total </w:t>
      </w:r>
      <w:r w:rsidR="000A6664">
        <w:t>prostate-specific antigen (</w:t>
      </w:r>
      <w:r w:rsidR="009349F4">
        <w:t>PSA</w:t>
      </w:r>
      <w:r w:rsidR="000A6664">
        <w:t>)</w:t>
      </w:r>
      <w:r w:rsidR="009349F4">
        <w:t xml:space="preserve"> &gt;12</w:t>
      </w:r>
      <w:r w:rsidR="00FB18F0">
        <w:t xml:space="preserve"> per cent</w:t>
      </w:r>
      <w:r w:rsidR="009349F4">
        <w:t xml:space="preserve"> and PSA density &lt;0.15)</w:t>
      </w:r>
      <w:r w:rsidR="00017F8C">
        <w:t>,</w:t>
      </w:r>
      <w:r>
        <w:t xml:space="preserve"> i</w:t>
      </w:r>
      <w:r w:rsidR="00466B3D" w:rsidRPr="00280F06">
        <w:t xml:space="preserve">f the findings </w:t>
      </w:r>
      <w:r w:rsidR="00466B3D">
        <w:t xml:space="preserve">of </w:t>
      </w:r>
      <w:proofErr w:type="spellStart"/>
      <w:r w:rsidR="00466B3D">
        <w:t>mpMRI</w:t>
      </w:r>
      <w:proofErr w:type="spellEnd"/>
      <w:r w:rsidR="00466B3D">
        <w:t xml:space="preserve"> </w:t>
      </w:r>
      <w:r w:rsidR="00466B3D" w:rsidRPr="00280F06">
        <w:t>are suspicious</w:t>
      </w:r>
      <w:r w:rsidR="002B25F7">
        <w:t xml:space="preserve"> (PI-RADS 4 or 5)</w:t>
      </w:r>
      <w:r w:rsidR="00466B3D" w:rsidRPr="00280F06">
        <w:t xml:space="preserve">, a </w:t>
      </w:r>
      <w:r w:rsidR="00466B3D">
        <w:t xml:space="preserve">confirmatory </w:t>
      </w:r>
      <w:r w:rsidR="00466B3D" w:rsidRPr="00280F06">
        <w:t xml:space="preserve">biopsy is </w:t>
      </w:r>
      <w:r w:rsidR="00466B3D">
        <w:t xml:space="preserve">taken to verify </w:t>
      </w:r>
      <w:r w:rsidR="00466B3D" w:rsidRPr="00280F06">
        <w:t>the presence or absence of cancer.</w:t>
      </w:r>
      <w:r>
        <w:t xml:space="preserve"> High</w:t>
      </w:r>
      <w:r w:rsidR="00A14452">
        <w:t>-</w:t>
      </w:r>
      <w:r w:rsidR="00C43054">
        <w:t>concern</w:t>
      </w:r>
      <w:r>
        <w:t xml:space="preserve"> </w:t>
      </w:r>
      <w:r w:rsidR="00A14452">
        <w:t>patients</w:t>
      </w:r>
      <w:r>
        <w:t xml:space="preserve"> </w:t>
      </w:r>
      <w:r w:rsidR="00017F8C">
        <w:t xml:space="preserve">receive a biopsy regardless of the results of the </w:t>
      </w:r>
      <w:proofErr w:type="spellStart"/>
      <w:r w:rsidR="00017F8C">
        <w:t>mpMRI</w:t>
      </w:r>
      <w:proofErr w:type="spellEnd"/>
      <w:r w:rsidR="00017F8C">
        <w:t xml:space="preserve">. </w:t>
      </w:r>
    </w:p>
    <w:p w14:paraId="1E8341A2" w14:textId="5040D237" w:rsidR="00466B3D" w:rsidRDefault="00466B3D" w:rsidP="00466B3D">
      <w:pPr>
        <w:rPr>
          <w:shd w:val="clear" w:color="auto" w:fill="FFFFFF" w:themeFill="background1"/>
        </w:rPr>
      </w:pPr>
      <w:bookmarkStart w:id="56" w:name="_Toc456276083"/>
      <w:r>
        <w:rPr>
          <w:shd w:val="clear" w:color="auto" w:fill="FFFFFF" w:themeFill="background1"/>
        </w:rPr>
        <w:t xml:space="preserve">Currently there is no MBS item for </w:t>
      </w:r>
      <w:proofErr w:type="spellStart"/>
      <w:r w:rsidRPr="00A65F6D">
        <w:rPr>
          <w:shd w:val="clear" w:color="auto" w:fill="FFFFFF" w:themeFill="background1"/>
        </w:rPr>
        <w:t>mpMRI</w:t>
      </w:r>
      <w:proofErr w:type="spellEnd"/>
      <w:r w:rsidRPr="00A65F6D">
        <w:rPr>
          <w:shd w:val="clear" w:color="auto" w:fill="FFFFFF" w:themeFill="background1"/>
        </w:rPr>
        <w:t xml:space="preserve"> pro</w:t>
      </w:r>
      <w:r>
        <w:rPr>
          <w:shd w:val="clear" w:color="auto" w:fill="FFFFFF" w:themeFill="background1"/>
        </w:rPr>
        <w:t xml:space="preserve">state diagnostic scan; as such, it is not currently reimbursed </w:t>
      </w:r>
      <w:r w:rsidR="00F13FE8">
        <w:rPr>
          <w:shd w:val="clear" w:color="auto" w:fill="FFFFFF" w:themeFill="background1"/>
        </w:rPr>
        <w:t xml:space="preserve">via </w:t>
      </w:r>
      <w:r>
        <w:rPr>
          <w:shd w:val="clear" w:color="auto" w:fill="FFFFFF" w:themeFill="background1"/>
        </w:rPr>
        <w:t xml:space="preserve">the MBS. In addition, </w:t>
      </w:r>
      <w:r w:rsidR="0055231A">
        <w:rPr>
          <w:shd w:val="clear" w:color="auto" w:fill="FFFFFF" w:themeFill="background1"/>
        </w:rPr>
        <w:t>n</w:t>
      </w:r>
      <w:r>
        <w:rPr>
          <w:shd w:val="clear" w:color="auto" w:fill="FFFFFF" w:themeFill="background1"/>
        </w:rPr>
        <w:t xml:space="preserve">o data on the use of </w:t>
      </w:r>
      <w:proofErr w:type="spellStart"/>
      <w:r>
        <w:rPr>
          <w:shd w:val="clear" w:color="auto" w:fill="FFFFFF" w:themeFill="background1"/>
        </w:rPr>
        <w:t>mpMRI</w:t>
      </w:r>
      <w:proofErr w:type="spellEnd"/>
      <w:r>
        <w:rPr>
          <w:shd w:val="clear" w:color="auto" w:fill="FFFFFF" w:themeFill="background1"/>
        </w:rPr>
        <w:t xml:space="preserve"> in the public health system in Australia was identified. It is not clear to what extent </w:t>
      </w:r>
      <w:proofErr w:type="spellStart"/>
      <w:r>
        <w:rPr>
          <w:shd w:val="clear" w:color="auto" w:fill="FFFFFF" w:themeFill="background1"/>
        </w:rPr>
        <w:t>mpMRI</w:t>
      </w:r>
      <w:proofErr w:type="spellEnd"/>
      <w:r>
        <w:rPr>
          <w:shd w:val="clear" w:color="auto" w:fill="FFFFFF" w:themeFill="background1"/>
        </w:rPr>
        <w:t xml:space="preserve"> is currently being used for patients in either population.</w:t>
      </w:r>
    </w:p>
    <w:p w14:paraId="61A8525D" w14:textId="77777777" w:rsidR="00F6409C" w:rsidRDefault="00F6409C" w:rsidP="00F6409C">
      <w:pPr>
        <w:pStyle w:val="ESNumberedSectionHeading"/>
        <w:ind w:left="0" w:firstLine="0"/>
      </w:pPr>
      <w:bookmarkStart w:id="57" w:name="_Toc460513873"/>
      <w:r w:rsidRPr="00183E4D">
        <w:t>Proposal for Public Funding</w:t>
      </w:r>
      <w:bookmarkEnd w:id="56"/>
      <w:bookmarkEnd w:id="57"/>
    </w:p>
    <w:p w14:paraId="116C9A5F" w14:textId="3764581D" w:rsidR="00F6409C" w:rsidRPr="00183E4D" w:rsidRDefault="00F6409C" w:rsidP="00F6409C">
      <w:r>
        <w:t xml:space="preserve">The item descriptors for the proposed services are shown </w:t>
      </w:r>
      <w:r w:rsidRPr="00E545BF">
        <w:t xml:space="preserve">in </w:t>
      </w:r>
      <w:r w:rsidRPr="00E545BF">
        <w:fldChar w:fldCharType="begin"/>
      </w:r>
      <w:r w:rsidRPr="00E545BF">
        <w:instrText xml:space="preserve"> REF _Ref456777282 \h  \* MERGEFORMAT </w:instrText>
      </w:r>
      <w:r w:rsidRPr="00E545BF">
        <w:fldChar w:fldCharType="separate"/>
      </w:r>
      <w:r w:rsidR="0029649D" w:rsidRPr="00E545BF">
        <w:t xml:space="preserve">Table </w:t>
      </w:r>
      <w:r w:rsidR="0029649D">
        <w:rPr>
          <w:noProof/>
        </w:rPr>
        <w:t>1</w:t>
      </w:r>
      <w:r w:rsidRPr="00E545BF">
        <w:fldChar w:fldCharType="end"/>
      </w:r>
      <w:r w:rsidRPr="00E545BF">
        <w:t>. The</w:t>
      </w:r>
      <w:r>
        <w:t>s</w:t>
      </w:r>
      <w:r w:rsidRPr="00E545BF">
        <w:t xml:space="preserve">e are unchanged from those in the PASC ratified </w:t>
      </w:r>
      <w:r w:rsidR="0055231A">
        <w:t>p</w:t>
      </w:r>
      <w:r w:rsidRPr="00E545BF">
        <w:t>rotocol.</w:t>
      </w:r>
      <w:bookmarkStart w:id="58" w:name="_GoBack"/>
      <w:bookmarkEnd w:id="58"/>
    </w:p>
    <w:p w14:paraId="0E6AE729" w14:textId="77777777" w:rsidR="00F6409C" w:rsidRDefault="00F6409C" w:rsidP="00E545BF">
      <w:pPr>
        <w:pStyle w:val="Caption"/>
        <w:tabs>
          <w:tab w:val="left" w:pos="1134"/>
        </w:tabs>
        <w:ind w:left="1134" w:hanging="1134"/>
      </w:pPr>
      <w:bookmarkStart w:id="59" w:name="_Ref456777282"/>
      <w:bookmarkStart w:id="60" w:name="_Toc456276200"/>
      <w:bookmarkStart w:id="61" w:name="_Toc460514501"/>
      <w:r w:rsidRPr="00E545BF">
        <w:t xml:space="preserve">Table </w:t>
      </w:r>
      <w:fldSimple w:instr=" SEQ Table \* ARABIC ">
        <w:r w:rsidR="0029649D">
          <w:rPr>
            <w:noProof/>
          </w:rPr>
          <w:t>1</w:t>
        </w:r>
      </w:fldSimple>
      <w:bookmarkEnd w:id="59"/>
      <w:r w:rsidRPr="00183E4D">
        <w:tab/>
        <w:t xml:space="preserve">Proposed </w:t>
      </w:r>
      <w:r w:rsidRPr="00F864D9">
        <w:t>MBS item</w:t>
      </w:r>
      <w:r w:rsidRPr="00183E4D">
        <w:t xml:space="preserve"> descriptor</w:t>
      </w:r>
      <w:bookmarkEnd w:id="60"/>
      <w:bookmarkEnd w:id="61"/>
    </w:p>
    <w:tbl>
      <w:tblPr>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Table 3: Proposed MBS item descriptor for multiparametric MRI (mpMRI) scans of the prostate"/>
        <w:tblDescription w:val="Proposed MBS item descriptor for multiparametric MRI (mpMRI) scans of the prostate"/>
      </w:tblPr>
      <w:tblGrid>
        <w:gridCol w:w="9111"/>
      </w:tblGrid>
      <w:tr w:rsidR="00F6409C" w:rsidRPr="00035200" w14:paraId="56554FF9" w14:textId="77777777" w:rsidTr="00035200">
        <w:trPr>
          <w:trHeight w:val="397"/>
        </w:trPr>
        <w:tc>
          <w:tcPr>
            <w:tcW w:w="9111" w:type="dxa"/>
            <w:tcBorders>
              <w:top w:val="single" w:sz="4" w:space="0" w:color="000000"/>
              <w:left w:val="single" w:sz="4" w:space="0" w:color="000000"/>
              <w:bottom w:val="single" w:sz="4" w:space="0" w:color="000000"/>
              <w:right w:val="single" w:sz="4" w:space="0" w:color="000000"/>
            </w:tcBorders>
          </w:tcPr>
          <w:p w14:paraId="3632CFA9" w14:textId="77777777" w:rsidR="00F6409C" w:rsidRPr="00035200" w:rsidRDefault="00F6409C" w:rsidP="00D15758">
            <w:pPr>
              <w:pStyle w:val="Tableheading1"/>
            </w:pPr>
            <w:r w:rsidRPr="00035200">
              <w:t>Category 5 – Diagnostic Imaging Services</w:t>
            </w:r>
          </w:p>
        </w:tc>
      </w:tr>
      <w:tr w:rsidR="00F6409C" w:rsidRPr="004318C9" w14:paraId="4D387EAE" w14:textId="77777777" w:rsidTr="00035200">
        <w:trPr>
          <w:trHeight w:val="397"/>
        </w:trPr>
        <w:tc>
          <w:tcPr>
            <w:tcW w:w="9111" w:type="dxa"/>
            <w:tcBorders>
              <w:top w:val="single" w:sz="4" w:space="0" w:color="000000"/>
              <w:left w:val="single" w:sz="4" w:space="0" w:color="000000"/>
              <w:bottom w:val="single" w:sz="4" w:space="0" w:color="000000"/>
              <w:right w:val="single" w:sz="4" w:space="0" w:color="000000"/>
            </w:tcBorders>
          </w:tcPr>
          <w:p w14:paraId="21E9EB89" w14:textId="77777777" w:rsidR="00F6409C" w:rsidRPr="00F864D9" w:rsidRDefault="00F6409C" w:rsidP="00D15758">
            <w:pPr>
              <w:pStyle w:val="Tabletext1"/>
            </w:pPr>
            <w:r w:rsidRPr="00F864D9">
              <w:t>MBS [item number]</w:t>
            </w:r>
          </w:p>
          <w:p w14:paraId="25FDA5B6" w14:textId="77777777" w:rsidR="00F6409C" w:rsidRDefault="00F6409C" w:rsidP="00D15758">
            <w:pPr>
              <w:pStyle w:val="Tabletext1"/>
            </w:pPr>
            <w:proofErr w:type="spellStart"/>
            <w:r w:rsidRPr="004318C9">
              <w:t>Mul</w:t>
            </w:r>
            <w:r>
              <w:t>t</w:t>
            </w:r>
            <w:r w:rsidRPr="004318C9">
              <w:t>iparametric</w:t>
            </w:r>
            <w:proofErr w:type="spellEnd"/>
            <w:r w:rsidRPr="004318C9">
              <w:t xml:space="preserve"> Magnetic Resonance Imaging (</w:t>
            </w:r>
            <w:proofErr w:type="spellStart"/>
            <w:r w:rsidRPr="004318C9">
              <w:t>mpMRI</w:t>
            </w:r>
            <w:proofErr w:type="spellEnd"/>
            <w:r w:rsidRPr="004318C9">
              <w:t xml:space="preserve">) </w:t>
            </w:r>
            <w:r w:rsidRPr="00AA1BF8">
              <w:t>performed under the professional supervision of an eligible provider at an eligible location where the patient is referred by</w:t>
            </w:r>
            <w:r>
              <w:t xml:space="preserve"> </w:t>
            </w:r>
            <w:r w:rsidRPr="008464AF">
              <w:t>an urologist, radiation oncologist, or medical oncologist</w:t>
            </w:r>
            <w:r>
              <w:t xml:space="preserve"> and where:</w:t>
            </w:r>
          </w:p>
          <w:p w14:paraId="0ECB00C6" w14:textId="45DAE2E5" w:rsidR="00F6409C" w:rsidRPr="00F864D9" w:rsidRDefault="00400811" w:rsidP="00D15758">
            <w:pPr>
              <w:pStyle w:val="Tabletext1"/>
            </w:pPr>
            <w:r>
              <w:t xml:space="preserve">a) </w:t>
            </w:r>
            <w:r w:rsidR="00F6409C" w:rsidRPr="00F864D9">
              <w:t>a standardised image acquisition protocol involving T2 weighted imaging, Diffusion Weighted Imaging, and Dynamic Contrast Enhancement (unless contraindicated) is used; and</w:t>
            </w:r>
          </w:p>
          <w:p w14:paraId="1CE9749D" w14:textId="793F4D58" w:rsidR="00F6409C" w:rsidRPr="00F864D9" w:rsidRDefault="00400811" w:rsidP="00D15758">
            <w:pPr>
              <w:pStyle w:val="Tabletext1"/>
            </w:pPr>
            <w:r>
              <w:t xml:space="preserve">b) </w:t>
            </w:r>
            <w:proofErr w:type="gramStart"/>
            <w:r w:rsidR="00F6409C" w:rsidRPr="00F864D9">
              <w:t>the</w:t>
            </w:r>
            <w:proofErr w:type="gramEnd"/>
            <w:r w:rsidR="00F6409C" w:rsidRPr="00F864D9">
              <w:t xml:space="preserve"> man is suspected of having prostate cancer on the basis of a high or concerning PSA.</w:t>
            </w:r>
          </w:p>
          <w:p w14:paraId="432B65DB" w14:textId="77777777" w:rsidR="00F6409C" w:rsidRDefault="00F6409C" w:rsidP="00D15758">
            <w:pPr>
              <w:pStyle w:val="Tabletext1"/>
            </w:pPr>
            <w:r>
              <w:t>S</w:t>
            </w:r>
            <w:r w:rsidRPr="004318C9">
              <w:t xml:space="preserve">can of the prostate </w:t>
            </w:r>
            <w:r>
              <w:t>for:</w:t>
            </w:r>
          </w:p>
          <w:p w14:paraId="72EF4C96" w14:textId="77777777" w:rsidR="00F6409C" w:rsidRPr="00576049" w:rsidRDefault="00F6409C" w:rsidP="00D15758">
            <w:pPr>
              <w:pStyle w:val="Tabletext1"/>
            </w:pPr>
            <w:r>
              <w:t>– detection of cancer</w:t>
            </w:r>
            <w:r w:rsidRPr="00576049">
              <w:t xml:space="preserve"> </w:t>
            </w:r>
            <w:r>
              <w:t>(R)(Contrast)</w:t>
            </w:r>
          </w:p>
          <w:p w14:paraId="615A0203" w14:textId="77777777" w:rsidR="00F6409C" w:rsidRPr="00F864D9" w:rsidRDefault="00F6409C" w:rsidP="00D15758">
            <w:pPr>
              <w:pStyle w:val="Tabletext1"/>
            </w:pPr>
            <w:r w:rsidRPr="00F864D9">
              <w:t>Fee: [Applicant advises that current fee charged is $600]</w:t>
            </w:r>
          </w:p>
          <w:p w14:paraId="550C201B" w14:textId="77777777" w:rsidR="00F6409C" w:rsidRPr="00927DBB" w:rsidRDefault="00F6409C" w:rsidP="00D15758">
            <w:pPr>
              <w:pStyle w:val="Tabletext1"/>
            </w:pPr>
            <w:r w:rsidRPr="00F864D9">
              <w:t>[Relevant explanatory notes]</w:t>
            </w:r>
            <w:r w:rsidRPr="004318C9">
              <w:t xml:space="preserve"> </w:t>
            </w:r>
          </w:p>
        </w:tc>
      </w:tr>
      <w:tr w:rsidR="00F6409C" w:rsidRPr="004318C9" w14:paraId="5BDADE84" w14:textId="77777777" w:rsidTr="00035200">
        <w:trPr>
          <w:trHeight w:val="397"/>
        </w:trPr>
        <w:tc>
          <w:tcPr>
            <w:tcW w:w="9111" w:type="dxa"/>
            <w:tcBorders>
              <w:top w:val="single" w:sz="4" w:space="0" w:color="000000"/>
              <w:left w:val="single" w:sz="4" w:space="0" w:color="000000"/>
              <w:bottom w:val="single" w:sz="4" w:space="0" w:color="000000"/>
              <w:right w:val="single" w:sz="4" w:space="0" w:color="000000"/>
            </w:tcBorders>
          </w:tcPr>
          <w:p w14:paraId="0B60AF02" w14:textId="77777777" w:rsidR="00F6409C" w:rsidRPr="00F864D9" w:rsidRDefault="00F6409C" w:rsidP="00D15758">
            <w:pPr>
              <w:pStyle w:val="Tabletext1"/>
            </w:pPr>
            <w:r w:rsidRPr="00F864D9">
              <w:t>MBS [item number]</w:t>
            </w:r>
          </w:p>
          <w:p w14:paraId="17269262" w14:textId="77777777" w:rsidR="00F6409C" w:rsidRPr="008464AF" w:rsidRDefault="00F6409C" w:rsidP="00D15758">
            <w:pPr>
              <w:pStyle w:val="Tabletext1"/>
            </w:pPr>
            <w:proofErr w:type="spellStart"/>
            <w:r w:rsidRPr="008464AF">
              <w:t>Multiparametric</w:t>
            </w:r>
            <w:proofErr w:type="spellEnd"/>
            <w:r w:rsidRPr="008464AF">
              <w:t xml:space="preserve"> Magnetic Resonance Imaging (</w:t>
            </w:r>
            <w:proofErr w:type="spellStart"/>
            <w:r w:rsidRPr="008464AF">
              <w:t>mpMRI</w:t>
            </w:r>
            <w:proofErr w:type="spellEnd"/>
            <w:r w:rsidRPr="008464AF">
              <w:t>) performed under the professional supervision of an eligible provider at an eligible location where the patient is referred by an urologist, radiation oncologist, or medical oncologist and where:</w:t>
            </w:r>
          </w:p>
          <w:p w14:paraId="3DCA64FC" w14:textId="6EB4103A" w:rsidR="00F6409C" w:rsidRPr="00F864D9" w:rsidRDefault="00400811" w:rsidP="00D15758">
            <w:pPr>
              <w:pStyle w:val="Tabletext1"/>
            </w:pPr>
            <w:r>
              <w:t xml:space="preserve">a) </w:t>
            </w:r>
            <w:r w:rsidR="00F6409C" w:rsidRPr="00F864D9">
              <w:t>a standardised image acquisition protocol involving T2 weighted imaging, Diffusion Weighted Imaging, and Dynamic Contrast Enhancement (unless contraindicated) is used; and</w:t>
            </w:r>
          </w:p>
          <w:p w14:paraId="1890F7E8" w14:textId="0CDF6E8B" w:rsidR="00F6409C" w:rsidRPr="00F864D9" w:rsidRDefault="00400811" w:rsidP="00D15758">
            <w:pPr>
              <w:pStyle w:val="Tabletext1"/>
            </w:pPr>
            <w:r>
              <w:t xml:space="preserve">b) </w:t>
            </w:r>
            <w:proofErr w:type="gramStart"/>
            <w:r w:rsidR="00F6409C" w:rsidRPr="00F864D9">
              <w:t>the</w:t>
            </w:r>
            <w:proofErr w:type="gramEnd"/>
            <w:r w:rsidR="00F6409C" w:rsidRPr="00F864D9">
              <w:t xml:space="preserve"> man has an existing diagnosis of low or intermediate risk prostate cancer and is undertaking Active Surveillance.</w:t>
            </w:r>
          </w:p>
          <w:p w14:paraId="0C834964" w14:textId="77777777" w:rsidR="00F6409C" w:rsidRPr="008464AF" w:rsidRDefault="00F6409C" w:rsidP="00D15758">
            <w:pPr>
              <w:pStyle w:val="Tabletext1"/>
            </w:pPr>
            <w:r w:rsidRPr="008464AF">
              <w:t>Scan of the prostate for:</w:t>
            </w:r>
          </w:p>
          <w:p w14:paraId="23A32718" w14:textId="77777777" w:rsidR="00F6409C" w:rsidRDefault="00F6409C" w:rsidP="00D15758">
            <w:pPr>
              <w:pStyle w:val="Tabletext1"/>
            </w:pPr>
            <w:r w:rsidRPr="008464AF">
              <w:t xml:space="preserve">– </w:t>
            </w:r>
            <w:r>
              <w:t>assessment</w:t>
            </w:r>
            <w:r w:rsidRPr="008464AF">
              <w:t xml:space="preserve"> of cancer (R)(Contrast)</w:t>
            </w:r>
          </w:p>
          <w:p w14:paraId="451F8C2D" w14:textId="77777777" w:rsidR="00F6409C" w:rsidRPr="00F864D9" w:rsidRDefault="00F6409C" w:rsidP="00D15758">
            <w:pPr>
              <w:pStyle w:val="Tabletext1"/>
            </w:pPr>
            <w:r w:rsidRPr="00F864D9">
              <w:t>Fee: [Applicant advises that current fee charged is $600]</w:t>
            </w:r>
          </w:p>
          <w:p w14:paraId="6651669F" w14:textId="77777777" w:rsidR="00F6409C" w:rsidRPr="00927DBB" w:rsidRDefault="00F6409C" w:rsidP="00D15758">
            <w:pPr>
              <w:pStyle w:val="Tabletext1"/>
            </w:pPr>
            <w:r w:rsidRPr="00F864D9">
              <w:t>[Relevant explanatory notes]</w:t>
            </w:r>
            <w:r w:rsidRPr="004318C9">
              <w:t xml:space="preserve"> </w:t>
            </w:r>
          </w:p>
        </w:tc>
      </w:tr>
    </w:tbl>
    <w:p w14:paraId="76975859" w14:textId="77777777" w:rsidR="00F6409C" w:rsidRDefault="00F6409C" w:rsidP="00F6409C">
      <w:pPr>
        <w:rPr>
          <w:vanish/>
          <w:color w:val="C00000"/>
        </w:rPr>
      </w:pPr>
    </w:p>
    <w:p w14:paraId="27254BD7" w14:textId="77777777" w:rsidR="00F6409C" w:rsidRPr="00680EE9" w:rsidRDefault="00F6409C" w:rsidP="00F6409C">
      <w:pPr>
        <w:pStyle w:val="ESNumberedSectionHeading"/>
        <w:ind w:left="0" w:firstLine="0"/>
      </w:pPr>
      <w:bookmarkStart w:id="62" w:name="_Toc456276084"/>
      <w:bookmarkStart w:id="63" w:name="_Toc460513874"/>
      <w:r w:rsidRPr="00680EE9">
        <w:t>Population</w:t>
      </w:r>
      <w:bookmarkEnd w:id="62"/>
      <w:bookmarkEnd w:id="63"/>
    </w:p>
    <w:p w14:paraId="5CDB342C" w14:textId="6133EB96" w:rsidR="00F6409C" w:rsidRPr="00013F75" w:rsidRDefault="00F6409C" w:rsidP="00F6409C">
      <w:r>
        <w:t xml:space="preserve">In 2012, there were </w:t>
      </w:r>
      <w:r w:rsidRPr="00013F75">
        <w:t xml:space="preserve">20,065 new cases of </w:t>
      </w:r>
      <w:proofErr w:type="spellStart"/>
      <w:r w:rsidR="00B57813">
        <w:t>PCa</w:t>
      </w:r>
      <w:proofErr w:type="spellEnd"/>
      <w:r w:rsidRPr="00013F75">
        <w:t xml:space="preserve"> diagnosed in Australia</w:t>
      </w:r>
      <w:r>
        <w:t xml:space="preserve"> and t</w:t>
      </w:r>
      <w:r w:rsidRPr="00013F75">
        <w:t>he age-</w:t>
      </w:r>
      <w:r>
        <w:t xml:space="preserve">standardised incidence rate was </w:t>
      </w:r>
      <w:r w:rsidRPr="00013F75">
        <w:t>163 cases per 100,000 males.</w:t>
      </w:r>
      <w:r w:rsidRPr="00E41D7E">
        <w:t xml:space="preserve"> </w:t>
      </w:r>
      <w:r>
        <w:t>Data indicates that 15.3</w:t>
      </w:r>
      <w:r w:rsidR="002A3910">
        <w:t xml:space="preserve"> per cent</w:t>
      </w:r>
      <w:r>
        <w:t xml:space="preserve"> of patients newly diagnosed with </w:t>
      </w:r>
      <w:proofErr w:type="spellStart"/>
      <w:r w:rsidR="00B57813">
        <w:t>PCa</w:t>
      </w:r>
      <w:proofErr w:type="spellEnd"/>
      <w:r>
        <w:t xml:space="preserve"> are </w:t>
      </w:r>
      <w:r w:rsidR="00F13FE8">
        <w:t xml:space="preserve">undertaking </w:t>
      </w:r>
      <w:r w:rsidR="00CE60C4">
        <w:t>AS</w:t>
      </w:r>
      <w:r w:rsidR="00F13FE8">
        <w:t xml:space="preserve"> to manage their disease</w:t>
      </w:r>
      <w:r>
        <w:t>.</w:t>
      </w:r>
    </w:p>
    <w:p w14:paraId="606D573F" w14:textId="4C3B11F8" w:rsidR="00F6409C" w:rsidRPr="00E41D7E" w:rsidRDefault="00F6409C" w:rsidP="00F6409C">
      <w:r w:rsidRPr="00E41D7E">
        <w:t xml:space="preserve">This assessment considers the use of </w:t>
      </w:r>
      <w:proofErr w:type="spellStart"/>
      <w:r w:rsidRPr="00E41D7E">
        <w:t>mpMRI</w:t>
      </w:r>
      <w:proofErr w:type="spellEnd"/>
      <w:r w:rsidRPr="00E41D7E">
        <w:t xml:space="preserve"> </w:t>
      </w:r>
      <w:r w:rsidR="00203F4B">
        <w:t>in the following</w:t>
      </w:r>
      <w:r w:rsidR="00203F4B" w:rsidRPr="00E41D7E">
        <w:t xml:space="preserve"> </w:t>
      </w:r>
      <w:r w:rsidRPr="00E41D7E">
        <w:t>two populations:</w:t>
      </w:r>
    </w:p>
    <w:p w14:paraId="5DB8EEDE" w14:textId="2329FC50" w:rsidR="00F6409C" w:rsidRPr="00400811" w:rsidRDefault="00F6409C" w:rsidP="006F7245">
      <w:pPr>
        <w:pStyle w:val="ListParagraph"/>
      </w:pPr>
      <w:r w:rsidRPr="006F7245">
        <w:lastRenderedPageBreak/>
        <w:t xml:space="preserve">men who are suspected of having </w:t>
      </w:r>
      <w:proofErr w:type="spellStart"/>
      <w:r w:rsidR="00B57813" w:rsidRPr="00400811">
        <w:t>PCa</w:t>
      </w:r>
      <w:proofErr w:type="spellEnd"/>
      <w:r w:rsidRPr="00400811">
        <w:t xml:space="preserve"> on the basis of a high or concerning PSA; and</w:t>
      </w:r>
    </w:p>
    <w:p w14:paraId="1AB09278" w14:textId="0288AF62" w:rsidR="00F6409C" w:rsidRPr="00400811" w:rsidRDefault="00F6409C" w:rsidP="00400811">
      <w:pPr>
        <w:pStyle w:val="ListParagraph"/>
      </w:pPr>
      <w:proofErr w:type="gramStart"/>
      <w:r w:rsidRPr="00400811">
        <w:t>men</w:t>
      </w:r>
      <w:proofErr w:type="gramEnd"/>
      <w:r w:rsidRPr="00400811">
        <w:t xml:space="preserve"> diagnosed with low or intermediate risk </w:t>
      </w:r>
      <w:proofErr w:type="spellStart"/>
      <w:r w:rsidR="00B57813" w:rsidRPr="00400811">
        <w:t>PCa</w:t>
      </w:r>
      <w:proofErr w:type="spellEnd"/>
      <w:r w:rsidRPr="00400811">
        <w:t xml:space="preserve"> undertaking </w:t>
      </w:r>
      <w:r w:rsidR="00CE60C4">
        <w:t>AS</w:t>
      </w:r>
      <w:r w:rsidRPr="00400811">
        <w:t>.</w:t>
      </w:r>
    </w:p>
    <w:p w14:paraId="02EFB494" w14:textId="77777777" w:rsidR="00F6409C" w:rsidRPr="00183E4D" w:rsidRDefault="00F6409C" w:rsidP="00F6409C">
      <w:pPr>
        <w:pStyle w:val="ESNumberedSectionHeading"/>
        <w:ind w:left="0" w:firstLine="0"/>
      </w:pPr>
      <w:bookmarkStart w:id="64" w:name="_Toc395200744"/>
      <w:bookmarkStart w:id="65" w:name="_Toc456276085"/>
      <w:bookmarkStart w:id="66" w:name="_Toc460513875"/>
      <w:r w:rsidRPr="00183E4D">
        <w:t>Comparator Details</w:t>
      </w:r>
      <w:bookmarkEnd w:id="64"/>
      <w:bookmarkEnd w:id="65"/>
      <w:bookmarkEnd w:id="66"/>
      <w:r w:rsidRPr="00183E4D">
        <w:t xml:space="preserve"> </w:t>
      </w:r>
    </w:p>
    <w:p w14:paraId="40EF40F9" w14:textId="6DD07AF6" w:rsidR="00F6409C" w:rsidRDefault="00203F4B" w:rsidP="00F6409C">
      <w:r>
        <w:t>Within current Australian practice</w:t>
      </w:r>
      <w:r w:rsidR="00F6409C" w:rsidRPr="00ED3ADF">
        <w:t xml:space="preserve">, the signs of </w:t>
      </w:r>
      <w:proofErr w:type="spellStart"/>
      <w:r w:rsidR="00B57813">
        <w:t>PCa</w:t>
      </w:r>
      <w:proofErr w:type="spellEnd"/>
      <w:r w:rsidR="00F6409C" w:rsidRPr="00ED3ADF">
        <w:t xml:space="preserve"> are detected </w:t>
      </w:r>
      <w:r w:rsidR="00DA7F97">
        <w:t>using</w:t>
      </w:r>
      <w:r w:rsidR="00DA7F97" w:rsidRPr="00ED3ADF">
        <w:t xml:space="preserve"> </w:t>
      </w:r>
      <w:r w:rsidR="00F6409C" w:rsidRPr="00ED3ADF">
        <w:t>a prostate-s</w:t>
      </w:r>
      <w:r w:rsidR="00F6409C">
        <w:t>pecific antigen test (PSA test)</w:t>
      </w:r>
      <w:r w:rsidR="00F6409C" w:rsidRPr="00ED3ADF">
        <w:t xml:space="preserve"> and/or a digital rectal examination (DRE). </w:t>
      </w:r>
      <w:r w:rsidR="00F6409C">
        <w:t>However, these are not diagnostic tests</w:t>
      </w:r>
      <w:r w:rsidR="00DA7F97">
        <w:t xml:space="preserve">. The </w:t>
      </w:r>
      <w:r w:rsidR="00466B3D" w:rsidRPr="00ED3ADF">
        <w:t xml:space="preserve">diagnosis of </w:t>
      </w:r>
      <w:proofErr w:type="spellStart"/>
      <w:r w:rsidR="00B57813">
        <w:t>PCa</w:t>
      </w:r>
      <w:proofErr w:type="spellEnd"/>
      <w:r w:rsidR="00466B3D" w:rsidRPr="00ED3ADF">
        <w:t xml:space="preserve"> is </w:t>
      </w:r>
      <w:r w:rsidR="00BE0FE1">
        <w:t>obtained</w:t>
      </w:r>
      <w:r w:rsidR="00814151">
        <w:t xml:space="preserve"> </w:t>
      </w:r>
      <w:r w:rsidR="008D4D07">
        <w:t>using either Trans-rectal Ultrasound Guided Biopsy (TRUSGB), or Trans-perineal Ultrasound Guided Biopsy (TPUSGB).</w:t>
      </w:r>
    </w:p>
    <w:p w14:paraId="359C5492" w14:textId="7AA19956" w:rsidR="00F6409C" w:rsidRPr="00C841C8" w:rsidRDefault="00F6409C" w:rsidP="00F6409C">
      <w:r>
        <w:t xml:space="preserve">The </w:t>
      </w:r>
      <w:r w:rsidR="005C2831">
        <w:t xml:space="preserve">PASC ratified </w:t>
      </w:r>
      <w:r w:rsidR="007F498C">
        <w:t>P</w:t>
      </w:r>
      <w:r>
        <w:t>rotocol states, f</w:t>
      </w:r>
      <w:r w:rsidRPr="00C841C8">
        <w:t xml:space="preserve">or men who are suspected of having </w:t>
      </w:r>
      <w:proofErr w:type="spellStart"/>
      <w:r w:rsidR="00B57813">
        <w:t>PCa</w:t>
      </w:r>
      <w:proofErr w:type="spellEnd"/>
      <w:r w:rsidRPr="00C841C8">
        <w:t xml:space="preserve"> </w:t>
      </w:r>
      <w:r w:rsidR="00466B3D">
        <w:t>because</w:t>
      </w:r>
      <w:r w:rsidRPr="00C841C8">
        <w:t xml:space="preserve"> of a high or concerning PSA, the comparators are:</w:t>
      </w:r>
    </w:p>
    <w:p w14:paraId="496533CA" w14:textId="5EFBCDF0" w:rsidR="00F6409C" w:rsidRPr="00C841C8" w:rsidRDefault="00F6409C" w:rsidP="00A3402C">
      <w:pPr>
        <w:pStyle w:val="ListParagraph"/>
        <w:numPr>
          <w:ilvl w:val="0"/>
          <w:numId w:val="44"/>
        </w:numPr>
      </w:pPr>
      <w:r w:rsidRPr="00C841C8">
        <w:t>PSA</w:t>
      </w:r>
      <w:r w:rsidR="001E1FD1">
        <w:t>/DRE</w:t>
      </w:r>
      <w:r w:rsidRPr="00C841C8">
        <w:t xml:space="preserve"> + clinical judgement and TRUSGB or TPUSGB</w:t>
      </w:r>
    </w:p>
    <w:p w14:paraId="4A80A28D" w14:textId="7D184946" w:rsidR="00F6409C" w:rsidRPr="00C841C8" w:rsidRDefault="00F6409C" w:rsidP="00A3402C">
      <w:pPr>
        <w:pStyle w:val="ListParagraph"/>
        <w:numPr>
          <w:ilvl w:val="0"/>
          <w:numId w:val="44"/>
        </w:numPr>
      </w:pPr>
      <w:r w:rsidRPr="00C841C8">
        <w:t>PSA</w:t>
      </w:r>
      <w:r w:rsidR="001E1FD1">
        <w:t>/DRE</w:t>
      </w:r>
      <w:r w:rsidRPr="00C841C8">
        <w:t xml:space="preserve"> + clinical judgement alone, for patients who elect not to undergo TRUSGB or TPUSGB</w:t>
      </w:r>
      <w:r w:rsidR="000A6664">
        <w:t>.</w:t>
      </w:r>
    </w:p>
    <w:p w14:paraId="43E8D0B7" w14:textId="551CD15E" w:rsidR="00F6409C" w:rsidRDefault="00F6409C" w:rsidP="00F6409C">
      <w:r w:rsidRPr="00C841C8">
        <w:t xml:space="preserve">For men diagnosed with low or intermediate risk </w:t>
      </w:r>
      <w:proofErr w:type="spellStart"/>
      <w:r w:rsidR="00B57813">
        <w:t>PCa</w:t>
      </w:r>
      <w:proofErr w:type="spellEnd"/>
      <w:r w:rsidRPr="00C841C8">
        <w:t xml:space="preserve"> undertaking </w:t>
      </w:r>
      <w:r w:rsidR="004E17B9">
        <w:t>AS</w:t>
      </w:r>
      <w:r w:rsidRPr="00C841C8">
        <w:t xml:space="preserve">, the comparator is the current </w:t>
      </w:r>
      <w:r w:rsidR="00CE60C4">
        <w:t>AS</w:t>
      </w:r>
      <w:r>
        <w:t xml:space="preserve"> protocol with </w:t>
      </w:r>
      <w:r w:rsidR="00DA7F97">
        <w:t>repeat</w:t>
      </w:r>
      <w:r>
        <w:t xml:space="preserve"> T</w:t>
      </w:r>
      <w:r w:rsidR="007B582E">
        <w:t>R</w:t>
      </w:r>
      <w:r>
        <w:t>USGB or TPUSGB</w:t>
      </w:r>
      <w:r w:rsidRPr="00C841C8">
        <w:t>.</w:t>
      </w:r>
    </w:p>
    <w:p w14:paraId="559BDFFC" w14:textId="04FED322" w:rsidR="00F6409C" w:rsidRDefault="00F6409C" w:rsidP="00F6409C">
      <w:r w:rsidRPr="00ED3ADF">
        <w:t xml:space="preserve">During a biopsy, a needle is </w:t>
      </w:r>
      <w:r>
        <w:t>inserted trans</w:t>
      </w:r>
      <w:r w:rsidR="000A5F85">
        <w:t>-</w:t>
      </w:r>
      <w:r>
        <w:t>rectally or trans</w:t>
      </w:r>
      <w:r w:rsidR="000A5F85">
        <w:t>-</w:t>
      </w:r>
      <w:proofErr w:type="spellStart"/>
      <w:r>
        <w:t>perineally</w:t>
      </w:r>
      <w:proofErr w:type="spellEnd"/>
      <w:r w:rsidRPr="00ED3ADF">
        <w:t xml:space="preserve"> into the prostate under ultrasound</w:t>
      </w:r>
      <w:r>
        <w:t>, MRI</w:t>
      </w:r>
      <w:r w:rsidR="00DA7F97">
        <w:t>,</w:t>
      </w:r>
      <w:r>
        <w:t xml:space="preserve"> or cognitive guidance</w:t>
      </w:r>
      <w:r w:rsidRPr="00ED3ADF">
        <w:t>, and a set of random samples of tissue (using between 12-36 needles) are taken from the prostate.</w:t>
      </w:r>
      <w:r>
        <w:t xml:space="preserve"> </w:t>
      </w:r>
      <w:r w:rsidRPr="00ED3ADF">
        <w:t xml:space="preserve">The samples are analysed under a microscope, to </w:t>
      </w:r>
      <w:r>
        <w:t>ascertain</w:t>
      </w:r>
      <w:r w:rsidRPr="00ED3ADF">
        <w:t xml:space="preserve"> if cancer cells are present. </w:t>
      </w:r>
      <w:r w:rsidR="00B57813">
        <w:t>Cancers of the prostate</w:t>
      </w:r>
      <w:r w:rsidRPr="00ED3ADF">
        <w:t xml:space="preserve"> are graded using the Gleason system</w:t>
      </w:r>
      <w:r>
        <w:t>, a</w:t>
      </w:r>
      <w:r w:rsidRPr="00ED3ADF">
        <w:t xml:space="preserve"> score of 6 or less is considered low risk, a score of 7 is considered intermediate risk, and a score of 8 or above is considered to be high risk</w:t>
      </w:r>
      <w:r>
        <w:t>.</w:t>
      </w:r>
    </w:p>
    <w:p w14:paraId="57ECA8C7" w14:textId="77777777" w:rsidR="00F6409C" w:rsidRPr="00C841C8" w:rsidRDefault="00F6409C" w:rsidP="00F6409C">
      <w:r>
        <w:t xml:space="preserve">The reference standard for this assessment is pathology of prostate samples collected via biopsy. </w:t>
      </w:r>
    </w:p>
    <w:p w14:paraId="2D13B927" w14:textId="77777777" w:rsidR="00F6409C" w:rsidRPr="00183E4D" w:rsidRDefault="00F6409C" w:rsidP="00F6409C">
      <w:pPr>
        <w:pStyle w:val="ESNumberedSectionHeading"/>
        <w:ind w:left="0" w:firstLine="0"/>
      </w:pPr>
      <w:bookmarkStart w:id="67" w:name="_Toc456276086"/>
      <w:bookmarkStart w:id="68" w:name="_Toc460513876"/>
      <w:bookmarkEnd w:id="54"/>
      <w:bookmarkEnd w:id="55"/>
      <w:r>
        <w:t>Clinical management algorithm(s)</w:t>
      </w:r>
      <w:bookmarkEnd w:id="67"/>
      <w:bookmarkEnd w:id="68"/>
    </w:p>
    <w:p w14:paraId="68B2E55B" w14:textId="77777777" w:rsidR="00F6409C" w:rsidRDefault="00F6409C" w:rsidP="00F6409C">
      <w:pPr>
        <w:rPr>
          <w:rFonts w:cs="Calibri"/>
          <w:b/>
        </w:rPr>
      </w:pPr>
      <w:r w:rsidRPr="004820FB">
        <w:rPr>
          <w:rFonts w:cs="Calibri"/>
          <w:b/>
        </w:rPr>
        <w:t>Population 1</w:t>
      </w:r>
    </w:p>
    <w:p w14:paraId="3215CC3F" w14:textId="3DE1910D" w:rsidR="00F6409C" w:rsidRDefault="00F6409C" w:rsidP="00F6409C">
      <w:r>
        <w:t xml:space="preserve">The signs of </w:t>
      </w:r>
      <w:proofErr w:type="spellStart"/>
      <w:r w:rsidR="00B57813">
        <w:t>PCa</w:t>
      </w:r>
      <w:proofErr w:type="spellEnd"/>
      <w:r>
        <w:t xml:space="preserve"> are currently detected </w:t>
      </w:r>
      <w:r w:rsidR="005117B5">
        <w:t xml:space="preserve">using </w:t>
      </w:r>
      <w:r>
        <w:t xml:space="preserve">a </w:t>
      </w:r>
      <w:r w:rsidR="005117B5">
        <w:t>PSA test</w:t>
      </w:r>
      <w:r>
        <w:t xml:space="preserve"> and/or a DRE. Criteria for suspected </w:t>
      </w:r>
      <w:proofErr w:type="spellStart"/>
      <w:r w:rsidR="00B57813">
        <w:t>PCa</w:t>
      </w:r>
      <w:proofErr w:type="spellEnd"/>
      <w:r>
        <w:t>, for the purposes of this contracted assessment, are defined as:</w:t>
      </w:r>
    </w:p>
    <w:p w14:paraId="09494DDA" w14:textId="4AE4FAF7" w:rsidR="00F6409C" w:rsidRDefault="00F6409C" w:rsidP="00A3402C">
      <w:pPr>
        <w:pStyle w:val="ListParagraph"/>
        <w:numPr>
          <w:ilvl w:val="0"/>
          <w:numId w:val="22"/>
        </w:numPr>
      </w:pPr>
      <w:r>
        <w:t xml:space="preserve">PSA </w:t>
      </w:r>
      <w:r w:rsidR="005F38B9">
        <w:t>greater than</w:t>
      </w:r>
      <w:r>
        <w:t xml:space="preserve"> 3</w:t>
      </w:r>
      <w:r w:rsidR="001D697C" w:rsidRPr="001D697C">
        <w:rPr>
          <w:rFonts w:asciiTheme="minorHAnsi" w:hAnsiTheme="minorHAnsi"/>
        </w:rPr>
        <w:t>ng/ml</w:t>
      </w:r>
      <w:r>
        <w:t xml:space="preserve"> (or lower level if </w:t>
      </w:r>
      <w:r w:rsidR="00277FA2">
        <w:t>less than</w:t>
      </w:r>
      <w:r>
        <w:t xml:space="preserve"> 50 years of age)</w:t>
      </w:r>
      <w:r w:rsidR="004146D6">
        <w:t>;</w:t>
      </w:r>
      <w:r>
        <w:t xml:space="preserve"> or</w:t>
      </w:r>
    </w:p>
    <w:p w14:paraId="5C3C6A2D" w14:textId="148BB067" w:rsidR="00F6409C" w:rsidRDefault="00F6409C" w:rsidP="00A3402C">
      <w:pPr>
        <w:pStyle w:val="ListParagraph"/>
        <w:numPr>
          <w:ilvl w:val="0"/>
          <w:numId w:val="22"/>
        </w:numPr>
      </w:pPr>
      <w:r>
        <w:t xml:space="preserve">Positive </w:t>
      </w:r>
      <w:r w:rsidR="00371FA1">
        <w:t>f</w:t>
      </w:r>
      <w:r>
        <w:t xml:space="preserve">amily </w:t>
      </w:r>
      <w:r w:rsidR="00371FA1">
        <w:t>h</w:t>
      </w:r>
      <w:r>
        <w:t xml:space="preserve">istory (includes </w:t>
      </w:r>
      <w:r w:rsidR="006C3E25">
        <w:t>breast cancer</w:t>
      </w:r>
      <w:r>
        <w:t xml:space="preserve"> </w:t>
      </w:r>
      <w:r w:rsidR="006C3E25">
        <w:t xml:space="preserve">[BRCA] </w:t>
      </w:r>
      <w:r>
        <w:t>gene mutation)</w:t>
      </w:r>
      <w:r w:rsidR="004146D6">
        <w:t>;</w:t>
      </w:r>
      <w:r>
        <w:t xml:space="preserve"> </w:t>
      </w:r>
      <w:r w:rsidRPr="00E946A0">
        <w:t>or</w:t>
      </w:r>
      <w:r>
        <w:t xml:space="preserve"> </w:t>
      </w:r>
    </w:p>
    <w:p w14:paraId="14C23337" w14:textId="4DFB0DB9" w:rsidR="00F6409C" w:rsidRDefault="00F6409C" w:rsidP="00A3402C">
      <w:pPr>
        <w:pStyle w:val="ListParagraph"/>
        <w:numPr>
          <w:ilvl w:val="0"/>
          <w:numId w:val="22"/>
        </w:numPr>
      </w:pPr>
      <w:r>
        <w:t>Free/</w:t>
      </w:r>
      <w:r w:rsidR="00BE0FE1">
        <w:t>t</w:t>
      </w:r>
      <w:r>
        <w:t xml:space="preserve">otal PSA ratio </w:t>
      </w:r>
      <w:r w:rsidR="00277FA2">
        <w:t>less than</w:t>
      </w:r>
      <w:r>
        <w:t xml:space="preserve"> 25</w:t>
      </w:r>
      <w:r w:rsidR="00FB18F0">
        <w:t xml:space="preserve"> per cent</w:t>
      </w:r>
      <w:r w:rsidR="004146D6">
        <w:t>;</w:t>
      </w:r>
      <w:r>
        <w:t xml:space="preserve"> </w:t>
      </w:r>
      <w:r w:rsidR="00371FA1">
        <w:t>or</w:t>
      </w:r>
    </w:p>
    <w:p w14:paraId="793389E9" w14:textId="191AFA31" w:rsidR="00F6409C" w:rsidRDefault="00F6409C" w:rsidP="00A3402C">
      <w:pPr>
        <w:pStyle w:val="ListParagraph"/>
        <w:numPr>
          <w:ilvl w:val="0"/>
          <w:numId w:val="22"/>
        </w:numPr>
      </w:pPr>
      <w:r>
        <w:t>Positive DRE</w:t>
      </w:r>
      <w:r w:rsidR="000A6664">
        <w:t>.</w:t>
      </w:r>
    </w:p>
    <w:p w14:paraId="493EB40B" w14:textId="6F0C9D9B" w:rsidR="00F6409C" w:rsidRDefault="00F6409C" w:rsidP="00F6409C">
      <w:r>
        <w:t xml:space="preserve">As stated previously, PSA and DRE are not diagnostic and diagnosis is obtained via either TRUSGB or TPUSGB. Patients who receive a negative biopsy result remain under observation and have a follow-up PSA test after six months. Patients with a biopsy result indicating intermediate or low risk cancer </w:t>
      </w:r>
      <w:r>
        <w:lastRenderedPageBreak/>
        <w:t xml:space="preserve">are offered </w:t>
      </w:r>
      <w:r w:rsidR="00CE60C4">
        <w:t>AS</w:t>
      </w:r>
      <w:r>
        <w:t xml:space="preserve">. Patients with a biopsy result indicating high or intermediate risk cancer </w:t>
      </w:r>
      <w:r w:rsidR="000A6664">
        <w:t>are</w:t>
      </w:r>
      <w:r>
        <w:t xml:space="preserve"> offered surgery or radiotherapy/hormone therapy combination</w:t>
      </w:r>
      <w:r w:rsidR="000A6664">
        <w:t>s</w:t>
      </w:r>
      <w:r>
        <w:t xml:space="preserve">. Please see </w:t>
      </w:r>
      <w:r w:rsidR="00BF1771">
        <w:fldChar w:fldCharType="begin"/>
      </w:r>
      <w:r w:rsidR="00BF1771">
        <w:instrText xml:space="preserve"> REF _Ref379455005 \h </w:instrText>
      </w:r>
      <w:r w:rsidR="00BF1771">
        <w:fldChar w:fldCharType="separate"/>
      </w:r>
      <w:r w:rsidR="0029649D" w:rsidRPr="00183E4D">
        <w:t xml:space="preserve">Figure </w:t>
      </w:r>
      <w:r w:rsidR="0029649D">
        <w:rPr>
          <w:noProof/>
        </w:rPr>
        <w:t>1</w:t>
      </w:r>
      <w:r w:rsidR="00BF1771">
        <w:fldChar w:fldCharType="end"/>
      </w:r>
      <w:r>
        <w:t>, Section A for the current clinical algorithm.</w:t>
      </w:r>
    </w:p>
    <w:p w14:paraId="058DE257" w14:textId="03BF21C2" w:rsidR="00F6409C" w:rsidRPr="004820FB" w:rsidRDefault="00F6409C" w:rsidP="00F6409C">
      <w:pPr>
        <w:rPr>
          <w:rFonts w:cs="Calibri"/>
        </w:rPr>
      </w:pPr>
      <w:r w:rsidRPr="004820FB">
        <w:rPr>
          <w:rFonts w:cs="Calibri"/>
        </w:rPr>
        <w:t>Under the proposed clinical management algorithm</w:t>
      </w:r>
      <w:r w:rsidR="00F079C1">
        <w:rPr>
          <w:rFonts w:cs="Calibri"/>
        </w:rPr>
        <w:t>,</w:t>
      </w:r>
      <w:r w:rsidRPr="004820FB">
        <w:rPr>
          <w:rFonts w:cs="Calibri"/>
        </w:rPr>
        <w:t xml:space="preserve"> patients with suspected </w:t>
      </w:r>
      <w:proofErr w:type="spellStart"/>
      <w:r w:rsidR="00B57813">
        <w:t>PCa</w:t>
      </w:r>
      <w:proofErr w:type="spellEnd"/>
      <w:r w:rsidRPr="004820FB">
        <w:rPr>
          <w:rFonts w:cs="Calibri"/>
        </w:rPr>
        <w:t xml:space="preserve"> would be imaged using </w:t>
      </w:r>
      <w:proofErr w:type="spellStart"/>
      <w:r w:rsidRPr="004820FB">
        <w:rPr>
          <w:rFonts w:cs="Calibri"/>
        </w:rPr>
        <w:t>mpMRI</w:t>
      </w:r>
      <w:proofErr w:type="spellEnd"/>
      <w:r w:rsidRPr="004820FB">
        <w:rPr>
          <w:rFonts w:cs="Calibri"/>
        </w:rPr>
        <w:t xml:space="preserve">. </w:t>
      </w:r>
      <w:r>
        <w:rPr>
          <w:rFonts w:cs="Calibri"/>
        </w:rPr>
        <w:t xml:space="preserve">Please see </w:t>
      </w:r>
      <w:r w:rsidR="00BF1771">
        <w:rPr>
          <w:rFonts w:cs="Calibri"/>
        </w:rPr>
        <w:fldChar w:fldCharType="begin"/>
      </w:r>
      <w:r w:rsidR="00BF1771">
        <w:rPr>
          <w:rFonts w:cs="Calibri"/>
        </w:rPr>
        <w:instrText xml:space="preserve"> REF _Ref456771278 \h </w:instrText>
      </w:r>
      <w:r w:rsidR="00BF1771">
        <w:rPr>
          <w:rFonts w:cs="Calibri"/>
        </w:rPr>
      </w:r>
      <w:r w:rsidR="00BF1771">
        <w:rPr>
          <w:rFonts w:cs="Calibri"/>
        </w:rPr>
        <w:fldChar w:fldCharType="separate"/>
      </w:r>
      <w:r w:rsidR="0029649D" w:rsidRPr="005944F4">
        <w:t xml:space="preserve">Figure </w:t>
      </w:r>
      <w:r w:rsidR="0029649D">
        <w:rPr>
          <w:noProof/>
        </w:rPr>
        <w:t>2</w:t>
      </w:r>
      <w:r w:rsidR="00BF1771">
        <w:rPr>
          <w:rFonts w:cs="Calibri"/>
        </w:rPr>
        <w:fldChar w:fldCharType="end"/>
      </w:r>
      <w:r>
        <w:rPr>
          <w:rFonts w:cs="Calibri"/>
        </w:rPr>
        <w:t>, Section A for the proposed clinical algorithm.</w:t>
      </w:r>
    </w:p>
    <w:p w14:paraId="2F30DD00" w14:textId="04DD6047" w:rsidR="00F6409C" w:rsidRPr="004820FB" w:rsidRDefault="00F6409C" w:rsidP="00F6409C">
      <w:pPr>
        <w:rPr>
          <w:rFonts w:cs="Calibri"/>
        </w:rPr>
      </w:pPr>
      <w:r w:rsidRPr="004820FB">
        <w:rPr>
          <w:rFonts w:cs="Calibri"/>
        </w:rPr>
        <w:t xml:space="preserve">Patients with PI-RADS scores 1, 2, or 3 with </w:t>
      </w:r>
      <w:r w:rsidR="0058672B">
        <w:rPr>
          <w:rFonts w:cs="Calibri"/>
        </w:rPr>
        <w:t>low-concern</w:t>
      </w:r>
      <w:r w:rsidRPr="004820FB">
        <w:rPr>
          <w:rFonts w:cs="Calibri"/>
        </w:rPr>
        <w:t>, will return to primary care and may remain under observation. These patients will avoid a biopsy under the proposed algorithm. Patients with PI-RADS score of 1, 2</w:t>
      </w:r>
      <w:r w:rsidR="001E1FD1">
        <w:rPr>
          <w:rFonts w:cs="Calibri"/>
        </w:rPr>
        <w:t>,</w:t>
      </w:r>
      <w:r w:rsidRPr="004820FB">
        <w:rPr>
          <w:rFonts w:cs="Calibri"/>
        </w:rPr>
        <w:t xml:space="preserve"> or 3 with very high</w:t>
      </w:r>
      <w:r w:rsidR="003343B8">
        <w:rPr>
          <w:rFonts w:cs="Calibri"/>
        </w:rPr>
        <w:t>-</w:t>
      </w:r>
      <w:r w:rsidRPr="004820FB">
        <w:rPr>
          <w:rFonts w:cs="Calibri"/>
        </w:rPr>
        <w:t xml:space="preserve"> or intermediate</w:t>
      </w:r>
      <w:r w:rsidR="003343B8">
        <w:rPr>
          <w:rFonts w:cs="Calibri"/>
        </w:rPr>
        <w:t>-</w:t>
      </w:r>
      <w:r w:rsidRPr="004820FB">
        <w:rPr>
          <w:rFonts w:cs="Calibri"/>
        </w:rPr>
        <w:t xml:space="preserve">concern will have a systematic biopsy under both the current and proposed algorithms. Patients with PI-RADS scores 4 </w:t>
      </w:r>
      <w:r w:rsidR="00994945">
        <w:rPr>
          <w:rFonts w:cs="Calibri"/>
        </w:rPr>
        <w:t>or</w:t>
      </w:r>
      <w:r w:rsidR="00994945" w:rsidRPr="004820FB">
        <w:rPr>
          <w:rFonts w:cs="Calibri"/>
        </w:rPr>
        <w:t xml:space="preserve"> </w:t>
      </w:r>
      <w:r w:rsidRPr="004820FB">
        <w:rPr>
          <w:rFonts w:cs="Calibri"/>
        </w:rPr>
        <w:t>5, regardless of clinical concern, will have a</w:t>
      </w:r>
      <w:r>
        <w:rPr>
          <w:rFonts w:cs="Calibri"/>
        </w:rPr>
        <w:t>n MRI guided biopsy (MRIGB)</w:t>
      </w:r>
      <w:r w:rsidRPr="004820FB">
        <w:rPr>
          <w:rFonts w:cs="Calibri"/>
        </w:rPr>
        <w:t xml:space="preserve"> in place of a systematic biopsy under current management. High</w:t>
      </w:r>
      <w:r w:rsidR="003343B8">
        <w:rPr>
          <w:rFonts w:cs="Calibri"/>
        </w:rPr>
        <w:t>-</w:t>
      </w:r>
      <w:r w:rsidRPr="004820FB">
        <w:rPr>
          <w:rFonts w:cs="Calibri"/>
        </w:rPr>
        <w:t xml:space="preserve"> or intermediate</w:t>
      </w:r>
      <w:r w:rsidR="003343B8">
        <w:rPr>
          <w:rFonts w:cs="Calibri"/>
        </w:rPr>
        <w:t>-</w:t>
      </w:r>
      <w:r w:rsidRPr="004820FB">
        <w:rPr>
          <w:rFonts w:cs="Calibri"/>
        </w:rPr>
        <w:t>concern is defined as:</w:t>
      </w:r>
    </w:p>
    <w:p w14:paraId="009B2817" w14:textId="334A55CA" w:rsidR="00F6409C" w:rsidRPr="004820FB" w:rsidRDefault="00E05C5E" w:rsidP="00A3402C">
      <w:pPr>
        <w:pStyle w:val="ListParagraph"/>
        <w:numPr>
          <w:ilvl w:val="0"/>
          <w:numId w:val="43"/>
        </w:numPr>
      </w:pPr>
      <w:r>
        <w:t>Positive family history (includes BRCA gene mutation)</w:t>
      </w:r>
      <w:r w:rsidR="004146D6">
        <w:t>;</w:t>
      </w:r>
      <w:r>
        <w:t xml:space="preserve"> </w:t>
      </w:r>
      <w:r w:rsidR="00F6409C" w:rsidRPr="004820FB">
        <w:t xml:space="preserve">or </w:t>
      </w:r>
    </w:p>
    <w:p w14:paraId="5B5D9AB9" w14:textId="45C9E938" w:rsidR="00F6409C" w:rsidRPr="004820FB" w:rsidRDefault="00F6409C" w:rsidP="00A3402C">
      <w:pPr>
        <w:pStyle w:val="ListParagraph"/>
        <w:numPr>
          <w:ilvl w:val="0"/>
          <w:numId w:val="43"/>
        </w:numPr>
      </w:pPr>
      <w:r w:rsidRPr="004820FB">
        <w:t>Free/</w:t>
      </w:r>
      <w:r w:rsidR="00EB720C">
        <w:t>t</w:t>
      </w:r>
      <w:r w:rsidRPr="004820FB">
        <w:t xml:space="preserve">otal PSA </w:t>
      </w:r>
      <w:r w:rsidR="00371FA1">
        <w:t>r</w:t>
      </w:r>
      <w:r w:rsidRPr="004820FB">
        <w:t xml:space="preserve">atio </w:t>
      </w:r>
      <w:r w:rsidR="00277FA2">
        <w:t>less than</w:t>
      </w:r>
      <w:r w:rsidRPr="004820FB">
        <w:t xml:space="preserve"> 12</w:t>
      </w:r>
      <w:r w:rsidR="00FB18F0">
        <w:t xml:space="preserve"> per cent</w:t>
      </w:r>
      <w:r w:rsidR="004146D6">
        <w:t>;</w:t>
      </w:r>
      <w:r w:rsidRPr="004820FB">
        <w:t xml:space="preserve"> or </w:t>
      </w:r>
    </w:p>
    <w:p w14:paraId="31059708" w14:textId="0EFE4FC4" w:rsidR="00F6409C" w:rsidRPr="004820FB" w:rsidRDefault="00F6409C" w:rsidP="00A3402C">
      <w:pPr>
        <w:pStyle w:val="ListParagraph"/>
        <w:numPr>
          <w:ilvl w:val="0"/>
          <w:numId w:val="43"/>
        </w:numPr>
      </w:pPr>
      <w:r w:rsidRPr="004820FB">
        <w:t xml:space="preserve">PSA density </w:t>
      </w:r>
      <w:r w:rsidR="005F38B9">
        <w:t>(PSA number divided by prostate volume) greater than</w:t>
      </w:r>
      <w:r w:rsidRPr="004820FB">
        <w:t xml:space="preserve"> 0.15. </w:t>
      </w:r>
    </w:p>
    <w:p w14:paraId="3E7FDB75" w14:textId="0D297B81" w:rsidR="00F6409C" w:rsidRPr="004820FB" w:rsidRDefault="00F6409C" w:rsidP="00F6409C">
      <w:pPr>
        <w:rPr>
          <w:rFonts w:cs="Calibri"/>
        </w:rPr>
      </w:pPr>
      <w:r w:rsidRPr="004820FB">
        <w:rPr>
          <w:rFonts w:cs="Calibri"/>
        </w:rPr>
        <w:t>Low</w:t>
      </w:r>
      <w:r w:rsidR="000A6664">
        <w:rPr>
          <w:rFonts w:cs="Calibri"/>
        </w:rPr>
        <w:t>-</w:t>
      </w:r>
      <w:r w:rsidRPr="004820FB">
        <w:rPr>
          <w:rFonts w:cs="Calibri"/>
        </w:rPr>
        <w:t xml:space="preserve">concern is defined as patients who have suspected </w:t>
      </w:r>
      <w:proofErr w:type="spellStart"/>
      <w:r w:rsidR="00B57813">
        <w:t>PCa</w:t>
      </w:r>
      <w:proofErr w:type="spellEnd"/>
      <w:r w:rsidRPr="004820FB">
        <w:rPr>
          <w:rFonts w:cs="Calibri"/>
        </w:rPr>
        <w:t xml:space="preserve"> but do not meet the criteria for high</w:t>
      </w:r>
      <w:r w:rsidR="003343B8">
        <w:rPr>
          <w:rFonts w:cs="Calibri"/>
        </w:rPr>
        <w:t>-</w:t>
      </w:r>
      <w:r w:rsidRPr="004820FB">
        <w:rPr>
          <w:rFonts w:cs="Calibri"/>
        </w:rPr>
        <w:t xml:space="preserve"> or intermediate</w:t>
      </w:r>
      <w:r w:rsidR="003343B8">
        <w:rPr>
          <w:rFonts w:cs="Calibri"/>
        </w:rPr>
        <w:t>-</w:t>
      </w:r>
      <w:r w:rsidRPr="004820FB">
        <w:rPr>
          <w:rFonts w:cs="Calibri"/>
        </w:rPr>
        <w:t>concern.</w:t>
      </w:r>
    </w:p>
    <w:p w14:paraId="4A12F145" w14:textId="15EE8261" w:rsidR="00F6409C" w:rsidRPr="004820FB" w:rsidRDefault="00F6409C" w:rsidP="00F6409C">
      <w:pPr>
        <w:rPr>
          <w:rFonts w:cs="Calibri"/>
        </w:rPr>
      </w:pPr>
      <w:r w:rsidRPr="004820FB">
        <w:rPr>
          <w:rFonts w:cs="Calibri"/>
        </w:rPr>
        <w:t>The impact of the</w:t>
      </w:r>
      <w:r>
        <w:rPr>
          <w:rFonts w:cs="Calibri"/>
        </w:rPr>
        <w:t xml:space="preserve"> change in management from TRUSGB and/or TPUSGB to MRI</w:t>
      </w:r>
      <w:r w:rsidRPr="004820FB">
        <w:rPr>
          <w:rFonts w:cs="Calibri"/>
        </w:rPr>
        <w:t xml:space="preserve">GB is the subject of </w:t>
      </w:r>
      <w:r>
        <w:rPr>
          <w:rFonts w:cs="Calibri"/>
        </w:rPr>
        <w:t>another contracted assessment (</w:t>
      </w:r>
      <w:r w:rsidR="005F38B9">
        <w:rPr>
          <w:rFonts w:cs="Calibri"/>
        </w:rPr>
        <w:t xml:space="preserve">MSAC application number </w:t>
      </w:r>
      <w:r w:rsidR="005F38B9" w:rsidRPr="004820FB">
        <w:rPr>
          <w:rFonts w:cs="Calibri"/>
        </w:rPr>
        <w:t>1424</w:t>
      </w:r>
      <w:r w:rsidR="005F38B9">
        <w:rPr>
          <w:rFonts w:cs="Calibri"/>
        </w:rPr>
        <w:t>[CA 1424]</w:t>
      </w:r>
      <w:r>
        <w:rPr>
          <w:rFonts w:cs="Calibri"/>
        </w:rPr>
        <w:t>)</w:t>
      </w:r>
      <w:r w:rsidRPr="004820FB">
        <w:rPr>
          <w:rFonts w:cs="Calibri"/>
        </w:rPr>
        <w:t>.</w:t>
      </w:r>
    </w:p>
    <w:p w14:paraId="53BEAEC5" w14:textId="77777777" w:rsidR="00F6409C" w:rsidRDefault="00F6409C" w:rsidP="00F6409C">
      <w:pPr>
        <w:rPr>
          <w:rFonts w:cs="Calibri"/>
          <w:b/>
        </w:rPr>
      </w:pPr>
      <w:r w:rsidRPr="004820FB">
        <w:rPr>
          <w:rFonts w:cs="Calibri"/>
          <w:b/>
        </w:rPr>
        <w:t>Population 2</w:t>
      </w:r>
    </w:p>
    <w:p w14:paraId="55439913" w14:textId="3FEF8159" w:rsidR="00F6409C" w:rsidRDefault="00F6409C" w:rsidP="00F6409C">
      <w:r>
        <w:t xml:space="preserve">Men who have a diagnosis of intermediate or low risk cancer may choose to </w:t>
      </w:r>
      <w:r w:rsidR="008D4D07">
        <w:t>undertake</w:t>
      </w:r>
      <w:r>
        <w:t xml:space="preserve"> </w:t>
      </w:r>
      <w:r w:rsidR="00CE60C4">
        <w:t>AS</w:t>
      </w:r>
      <w:r>
        <w:t xml:space="preserve">. During </w:t>
      </w:r>
      <w:r w:rsidR="00CE60C4">
        <w:t>AS</w:t>
      </w:r>
      <w:r>
        <w:t xml:space="preserve">, men undergo annual scheduled testing (PSA, PSA kinetics and DRE) over a period of five years or more. Those on </w:t>
      </w:r>
      <w:r w:rsidR="00CE60C4">
        <w:t>AS</w:t>
      </w:r>
      <w:r>
        <w:t xml:space="preserve"> also have scheduled prostate biopsies at 12 months and then every three years thereafter. </w:t>
      </w:r>
      <w:r w:rsidR="005F38B9">
        <w:t>If</w:t>
      </w:r>
      <w:r>
        <w:t xml:space="preserve"> there is concern about clinical or PSA/DRE changes, men may opt to have an additional prostate biopsy. Based on the results of these biopsies, men will either continue on </w:t>
      </w:r>
      <w:r w:rsidR="00CE60C4">
        <w:t>AS</w:t>
      </w:r>
      <w:r>
        <w:t xml:space="preserve"> or be offered surgery or a radiotherapy/hormone therapy combination for their cancer. The full details of the current </w:t>
      </w:r>
      <w:r w:rsidR="00CE60C4">
        <w:t>AS</w:t>
      </w:r>
      <w:r>
        <w:t xml:space="preserve"> protocol are set out in </w:t>
      </w:r>
      <w:r w:rsidR="00BF1771">
        <w:fldChar w:fldCharType="begin"/>
      </w:r>
      <w:r w:rsidR="00BF1771">
        <w:instrText xml:space="preserve"> REF _Ref456879618 \h </w:instrText>
      </w:r>
      <w:r w:rsidR="00BF1771">
        <w:fldChar w:fldCharType="separate"/>
      </w:r>
      <w:r w:rsidR="0029649D" w:rsidRPr="00747376">
        <w:t xml:space="preserve">Figure </w:t>
      </w:r>
      <w:r w:rsidR="0029649D">
        <w:rPr>
          <w:noProof/>
        </w:rPr>
        <w:t>3</w:t>
      </w:r>
      <w:r w:rsidR="00BF1771">
        <w:fldChar w:fldCharType="end"/>
      </w:r>
      <w:r>
        <w:t>, Section A.</w:t>
      </w:r>
    </w:p>
    <w:p w14:paraId="1D54621E" w14:textId="3F91BFEB" w:rsidR="00F6409C" w:rsidRDefault="00F6409C" w:rsidP="00400811">
      <w:r>
        <w:t xml:space="preserve">If the proposed </w:t>
      </w:r>
      <w:proofErr w:type="spellStart"/>
      <w:r>
        <w:t>mpMRI</w:t>
      </w:r>
      <w:proofErr w:type="spellEnd"/>
      <w:r>
        <w:t xml:space="preserve"> service is added to the </w:t>
      </w:r>
      <w:r w:rsidR="00CE60C4">
        <w:t>AS</w:t>
      </w:r>
      <w:r>
        <w:t xml:space="preserve"> protocol</w:t>
      </w:r>
      <w:r w:rsidR="005F38B9">
        <w:t>,</w:t>
      </w:r>
      <w:r>
        <w:t xml:space="preserve"> it will be used as an additional test prior to prostate biopsy. Men who are due for their scheduled biopsy and men who have concern about clinical or PSA/DRE changes would first have an </w:t>
      </w:r>
      <w:proofErr w:type="spellStart"/>
      <w:r>
        <w:t>mpMRI</w:t>
      </w:r>
      <w:proofErr w:type="spellEnd"/>
      <w:r>
        <w:t xml:space="preserve"> scan. The criteria for concern are the same as for Population 1 (PSA </w:t>
      </w:r>
      <w:r w:rsidR="005F38B9">
        <w:rPr>
          <w:rFonts w:cs="Calibri"/>
        </w:rPr>
        <w:t>greater than</w:t>
      </w:r>
      <w:r>
        <w:t xml:space="preserve"> 3</w:t>
      </w:r>
      <w:r w:rsidR="001D697C" w:rsidRPr="001D697C">
        <w:rPr>
          <w:rFonts w:asciiTheme="minorHAnsi" w:hAnsiTheme="minorHAnsi"/>
        </w:rPr>
        <w:t>ng/ml</w:t>
      </w:r>
      <w:r>
        <w:t xml:space="preserve"> or lower level if </w:t>
      </w:r>
      <w:r w:rsidR="00277FA2">
        <w:t>less than</w:t>
      </w:r>
      <w:r>
        <w:t xml:space="preserve"> 50 years of age, positive family history or free/total PSA ratio </w:t>
      </w:r>
      <w:r w:rsidR="00277FA2">
        <w:t>less than</w:t>
      </w:r>
      <w:r>
        <w:t xml:space="preserve"> 25%). Men with PI-RADS scores 1, 2, and 3 with low</w:t>
      </w:r>
      <w:r w:rsidR="009834E3">
        <w:t>-concern</w:t>
      </w:r>
      <w:r w:rsidR="00E05C5E">
        <w:t xml:space="preserve"> </w:t>
      </w:r>
      <w:r>
        <w:t xml:space="preserve">will return to </w:t>
      </w:r>
      <w:r w:rsidR="00CE60C4">
        <w:t>AS</w:t>
      </w:r>
      <w:r>
        <w:t xml:space="preserve"> and avoid biopsy under the proposed algorithm. Men with intermediate/high</w:t>
      </w:r>
      <w:r w:rsidR="00EB720C">
        <w:t>-</w:t>
      </w:r>
      <w:r w:rsidR="00C43054">
        <w:t xml:space="preserve">concern </w:t>
      </w:r>
      <w:r>
        <w:t>and men with low</w:t>
      </w:r>
      <w:r w:rsidR="00EB720C">
        <w:t>-</w:t>
      </w:r>
      <w:r w:rsidR="00C43054">
        <w:t xml:space="preserve">concern </w:t>
      </w:r>
      <w:r>
        <w:t>and a PI-RADS score of 4-5 will continue with a re-biopsy. Patients with a PI-RADS score of 4-5 would have an MRIGB, while patients with a PI-</w:t>
      </w:r>
      <w:r>
        <w:lastRenderedPageBreak/>
        <w:t>RADS score of 1-3 (high</w:t>
      </w:r>
      <w:r w:rsidR="00EB720C">
        <w:t>-</w:t>
      </w:r>
      <w:r w:rsidR="003343B8">
        <w:t xml:space="preserve"> or intermediate-</w:t>
      </w:r>
      <w:r w:rsidR="00A9704F">
        <w:t>concern</w:t>
      </w:r>
      <w:r>
        <w:t xml:space="preserve">) would have a systematic biopsy. Based on the results of these biopsies, men will either continue on </w:t>
      </w:r>
      <w:r w:rsidR="00CE60C4">
        <w:t>AS</w:t>
      </w:r>
      <w:r>
        <w:t xml:space="preserve"> or be offered surgery or a radiotherapy/hormone therapy combination for their cancer. The details of the proposed protocol for </w:t>
      </w:r>
      <w:r w:rsidR="00CE60C4">
        <w:t>AS</w:t>
      </w:r>
      <w:r>
        <w:t xml:space="preserve"> are presented in</w:t>
      </w:r>
      <w:r w:rsidR="00EB720C">
        <w:t xml:space="preserve"> </w:t>
      </w:r>
      <w:r w:rsidR="00400811">
        <w:fldChar w:fldCharType="begin"/>
      </w:r>
      <w:r w:rsidR="00400811">
        <w:instrText xml:space="preserve"> REF _Ref458429699 \h </w:instrText>
      </w:r>
      <w:r w:rsidR="00400811">
        <w:fldChar w:fldCharType="separate"/>
      </w:r>
      <w:r w:rsidR="0029649D" w:rsidRPr="00922135">
        <w:t xml:space="preserve">Figure </w:t>
      </w:r>
      <w:r w:rsidR="0029649D">
        <w:rPr>
          <w:noProof/>
        </w:rPr>
        <w:t>4</w:t>
      </w:r>
      <w:r w:rsidR="00400811">
        <w:fldChar w:fldCharType="end"/>
      </w:r>
      <w:r>
        <w:t xml:space="preserve">, Section A. </w:t>
      </w:r>
    </w:p>
    <w:p w14:paraId="4944E82C" w14:textId="261BFF6F" w:rsidR="00F6409C" w:rsidRDefault="00F6409C" w:rsidP="00F6409C">
      <w:r>
        <w:t>The impact of the change in management from TRUSGB to MRIGB is the subject of another contracted assessment (</w:t>
      </w:r>
      <w:r w:rsidR="00066802">
        <w:t>C</w:t>
      </w:r>
      <w:r>
        <w:t>A</w:t>
      </w:r>
      <w:r w:rsidR="00462D15">
        <w:t xml:space="preserve"> </w:t>
      </w:r>
      <w:r>
        <w:t>1424).</w:t>
      </w:r>
    </w:p>
    <w:p w14:paraId="738BC090" w14:textId="77777777" w:rsidR="00F6409C" w:rsidRPr="00183E4D" w:rsidRDefault="00F6409C" w:rsidP="00F6409C">
      <w:pPr>
        <w:pStyle w:val="ESNumberedSectionHeading"/>
        <w:ind w:left="0" w:firstLine="0"/>
      </w:pPr>
      <w:bookmarkStart w:id="69" w:name="_Toc395200746"/>
      <w:bookmarkStart w:id="70" w:name="_Toc456276087"/>
      <w:bookmarkStart w:id="71" w:name="_Toc460513877"/>
      <w:bookmarkStart w:id="72" w:name="_Toc379118058"/>
      <w:bookmarkStart w:id="73" w:name="_Toc379118250"/>
      <w:bookmarkStart w:id="74" w:name="_Toc381796434"/>
      <w:r w:rsidRPr="00183E4D">
        <w:t>Key Differences in the Delivery of the Proposed Medical Service and the Main Comparator</w:t>
      </w:r>
      <w:bookmarkEnd w:id="69"/>
      <w:bookmarkEnd w:id="70"/>
      <w:bookmarkEnd w:id="71"/>
      <w:r w:rsidRPr="00183E4D">
        <w:t xml:space="preserve"> </w:t>
      </w:r>
    </w:p>
    <w:p w14:paraId="536759AF" w14:textId="65698073" w:rsidR="00F6409C" w:rsidRDefault="00F6409C" w:rsidP="00F6409C">
      <w:r>
        <w:t xml:space="preserve">Indications for both </w:t>
      </w:r>
      <w:proofErr w:type="spellStart"/>
      <w:r>
        <w:t>mpMRI</w:t>
      </w:r>
      <w:proofErr w:type="spellEnd"/>
      <w:r>
        <w:t xml:space="preserve"> scan of prostate and biopsy of prostate </w:t>
      </w:r>
      <w:r w:rsidR="00EB720C">
        <w:t xml:space="preserve">include </w:t>
      </w:r>
      <w:r>
        <w:t>men with suspicious findings on PSA</w:t>
      </w:r>
      <w:r w:rsidR="001E1FD1">
        <w:t>/DRE</w:t>
      </w:r>
      <w:r>
        <w:t xml:space="preserve"> test with </w:t>
      </w:r>
      <w:r>
        <w:rPr>
          <w:rFonts w:cs="Arial"/>
        </w:rPr>
        <w:t xml:space="preserve">suspected </w:t>
      </w:r>
      <w:proofErr w:type="spellStart"/>
      <w:r w:rsidR="00B57813">
        <w:t>PCa</w:t>
      </w:r>
      <w:proofErr w:type="spellEnd"/>
      <w:r>
        <w:rPr>
          <w:rFonts w:cs="Arial"/>
        </w:rPr>
        <w:t xml:space="preserve"> or men diagnosed with low or intermediate risk </w:t>
      </w:r>
      <w:proofErr w:type="spellStart"/>
      <w:r w:rsidR="00B57813">
        <w:t>PCa</w:t>
      </w:r>
      <w:proofErr w:type="spellEnd"/>
      <w:r>
        <w:rPr>
          <w:rFonts w:cs="Arial"/>
        </w:rPr>
        <w:t xml:space="preserve"> undertaking </w:t>
      </w:r>
      <w:r w:rsidR="00CE60C4">
        <w:rPr>
          <w:rFonts w:cs="Arial"/>
        </w:rPr>
        <w:t>AS</w:t>
      </w:r>
      <w:r>
        <w:rPr>
          <w:rFonts w:cs="Arial"/>
        </w:rPr>
        <w:t xml:space="preserve">. There are no differences in the patient indications for the index and comparator tests. </w:t>
      </w:r>
    </w:p>
    <w:p w14:paraId="21840CC2" w14:textId="06EA7DBA" w:rsidR="00EB720C" w:rsidRPr="008209DA" w:rsidRDefault="00EB720C" w:rsidP="00F6409C">
      <w:pPr>
        <w:rPr>
          <w:rFonts w:cs="Arial"/>
        </w:rPr>
      </w:pPr>
      <w:r>
        <w:rPr>
          <w:rFonts w:cs="Arial"/>
        </w:rPr>
        <w:t xml:space="preserve">The risk profiles for </w:t>
      </w:r>
      <w:proofErr w:type="spellStart"/>
      <w:r>
        <w:rPr>
          <w:rFonts w:cs="Arial"/>
        </w:rPr>
        <w:t>mpMRI</w:t>
      </w:r>
      <w:proofErr w:type="spellEnd"/>
      <w:r>
        <w:rPr>
          <w:rFonts w:cs="Arial"/>
        </w:rPr>
        <w:t xml:space="preserve"> and biopsy (any type) differ due to the nature of the techniques as </w:t>
      </w:r>
      <w:proofErr w:type="spellStart"/>
      <w:r>
        <w:rPr>
          <w:rFonts w:cs="Arial"/>
        </w:rPr>
        <w:t>mpMRI</w:t>
      </w:r>
      <w:proofErr w:type="spellEnd"/>
      <w:r>
        <w:rPr>
          <w:rFonts w:cs="Arial"/>
        </w:rPr>
        <w:t xml:space="preserve"> is non-invasive imaging technique and biopsy is an invasive procedure.</w:t>
      </w:r>
    </w:p>
    <w:p w14:paraId="76D1E6F8" w14:textId="77777777" w:rsidR="00F6409C" w:rsidRDefault="00F6409C" w:rsidP="00F6409C">
      <w:pPr>
        <w:rPr>
          <w:rFonts w:cs="Arial"/>
        </w:rPr>
      </w:pPr>
      <w:r w:rsidRPr="008209DA">
        <w:rPr>
          <w:rFonts w:cs="Arial"/>
        </w:rPr>
        <w:t xml:space="preserve">MRI is an established technique, the likelihood of adverse events is very low, the severity of adverse events is generally low, and MRI is considered safe for almost all patients. </w:t>
      </w:r>
    </w:p>
    <w:p w14:paraId="74E24AB7" w14:textId="642E32E3" w:rsidR="00C55AB1" w:rsidRPr="008209DA" w:rsidRDefault="00C55AB1" w:rsidP="00C55AB1">
      <w:pPr>
        <w:rPr>
          <w:rFonts w:cs="Arial"/>
        </w:rPr>
      </w:pPr>
      <w:bookmarkStart w:id="75" w:name="_Toc395200747"/>
      <w:bookmarkStart w:id="76" w:name="_Toc456276088"/>
      <w:r w:rsidRPr="008209DA">
        <w:rPr>
          <w:rFonts w:cs="Arial"/>
        </w:rPr>
        <w:t>Different biopsy techniques may have different risk profiles. For any trans</w:t>
      </w:r>
      <w:r w:rsidR="00EB720C">
        <w:rPr>
          <w:rFonts w:cs="Arial"/>
        </w:rPr>
        <w:t>-</w:t>
      </w:r>
      <w:r w:rsidRPr="008209DA">
        <w:rPr>
          <w:rFonts w:cs="Arial"/>
        </w:rPr>
        <w:t xml:space="preserve">rectal biopsy, the main risk is infection due to the insertion of needles through the rectum, which is </w:t>
      </w:r>
      <w:r>
        <w:rPr>
          <w:rFonts w:cs="Arial"/>
        </w:rPr>
        <w:t xml:space="preserve">a </w:t>
      </w:r>
      <w:r w:rsidRPr="008209DA">
        <w:rPr>
          <w:rFonts w:cs="Arial"/>
        </w:rPr>
        <w:t>non-sterile</w:t>
      </w:r>
      <w:r>
        <w:rPr>
          <w:rFonts w:cs="Arial"/>
        </w:rPr>
        <w:t xml:space="preserve"> environment</w:t>
      </w:r>
      <w:r w:rsidRPr="008209DA">
        <w:rPr>
          <w:rFonts w:cs="Arial"/>
        </w:rPr>
        <w:t>. At its most severe, infection may cause sepsis and death although this i</w:t>
      </w:r>
      <w:r>
        <w:rPr>
          <w:rFonts w:cs="Arial"/>
        </w:rPr>
        <w:t>s very rare. A</w:t>
      </w:r>
      <w:r w:rsidRPr="008209DA">
        <w:rPr>
          <w:rFonts w:cs="Arial"/>
        </w:rPr>
        <w:t>ntibiotic prophylaxis and pre</w:t>
      </w:r>
      <w:r w:rsidR="00EB720C">
        <w:rPr>
          <w:rFonts w:cs="Arial"/>
        </w:rPr>
        <w:t>-</w:t>
      </w:r>
      <w:r w:rsidRPr="008209DA">
        <w:rPr>
          <w:rFonts w:cs="Arial"/>
        </w:rPr>
        <w:t>biopsy workup including enema</w:t>
      </w:r>
      <w:r>
        <w:rPr>
          <w:rFonts w:cs="Arial"/>
        </w:rPr>
        <w:t xml:space="preserve"> may reduce the risk of infection. </w:t>
      </w:r>
      <w:r w:rsidRPr="008209DA">
        <w:rPr>
          <w:rFonts w:cs="Arial"/>
        </w:rPr>
        <w:t>Other complications of prostate biopsy include bleeding (</w:t>
      </w:r>
      <w:r w:rsidR="000B0260">
        <w:rPr>
          <w:rFonts w:cs="Arial"/>
        </w:rPr>
        <w:t>haematuria</w:t>
      </w:r>
      <w:r w:rsidRPr="008209DA">
        <w:rPr>
          <w:rFonts w:cs="Arial"/>
        </w:rPr>
        <w:t xml:space="preserve">, </w:t>
      </w:r>
      <w:proofErr w:type="spellStart"/>
      <w:proofErr w:type="gramStart"/>
      <w:r w:rsidR="00E8315C">
        <w:rPr>
          <w:rFonts w:cs="Arial"/>
        </w:rPr>
        <w:t>haematospermia</w:t>
      </w:r>
      <w:proofErr w:type="spellEnd"/>
      <w:r w:rsidR="00E8315C">
        <w:rPr>
          <w:rFonts w:cs="Arial"/>
        </w:rPr>
        <w:t xml:space="preserve"> </w:t>
      </w:r>
      <w:r w:rsidRPr="008209DA">
        <w:rPr>
          <w:rFonts w:cs="Arial"/>
        </w:rPr>
        <w:t>,</w:t>
      </w:r>
      <w:proofErr w:type="gramEnd"/>
      <w:r w:rsidRPr="008209DA">
        <w:rPr>
          <w:rFonts w:cs="Arial"/>
        </w:rPr>
        <w:t xml:space="preserve"> and </w:t>
      </w:r>
      <w:r w:rsidR="000B0260">
        <w:rPr>
          <w:rFonts w:cs="Arial"/>
        </w:rPr>
        <w:t>hematochezia</w:t>
      </w:r>
      <w:r w:rsidRPr="008209DA">
        <w:rPr>
          <w:rFonts w:cs="Arial"/>
        </w:rPr>
        <w:t>), urinary tract infection (UTI), and urinary obstruction. In trans</w:t>
      </w:r>
      <w:r w:rsidR="00EB720C">
        <w:rPr>
          <w:rFonts w:cs="Arial"/>
        </w:rPr>
        <w:t>-</w:t>
      </w:r>
      <w:r w:rsidRPr="008209DA">
        <w:rPr>
          <w:rFonts w:cs="Arial"/>
        </w:rPr>
        <w:t xml:space="preserve">perineal biopsy, risk of infection is lower due to the </w:t>
      </w:r>
      <w:r>
        <w:rPr>
          <w:rFonts w:cs="Arial"/>
        </w:rPr>
        <w:t>needles being inserted in the perineum, which is a sterile environment.</w:t>
      </w:r>
      <w:r w:rsidRPr="008209DA">
        <w:rPr>
          <w:rFonts w:cs="Arial"/>
        </w:rPr>
        <w:t xml:space="preserve"> Trans</w:t>
      </w:r>
      <w:r w:rsidR="00EB720C">
        <w:rPr>
          <w:rFonts w:cs="Arial"/>
        </w:rPr>
        <w:t>-</w:t>
      </w:r>
      <w:r w:rsidRPr="008209DA">
        <w:rPr>
          <w:rFonts w:cs="Arial"/>
        </w:rPr>
        <w:t xml:space="preserve">perineal </w:t>
      </w:r>
      <w:r>
        <w:rPr>
          <w:rFonts w:cs="Arial"/>
        </w:rPr>
        <w:t xml:space="preserve">biopsy </w:t>
      </w:r>
      <w:r w:rsidRPr="008209DA">
        <w:rPr>
          <w:rFonts w:cs="Arial"/>
        </w:rPr>
        <w:t xml:space="preserve">also </w:t>
      </w:r>
      <w:r>
        <w:rPr>
          <w:rFonts w:cs="Arial"/>
        </w:rPr>
        <w:t>results in less rectal bleeding</w:t>
      </w:r>
      <w:r w:rsidRPr="008209DA">
        <w:rPr>
          <w:rFonts w:cs="Arial"/>
        </w:rPr>
        <w:t xml:space="preserve"> </w:t>
      </w:r>
      <w:r>
        <w:rPr>
          <w:rFonts w:cs="Arial"/>
        </w:rPr>
        <w:t xml:space="preserve">while the incidence of other adverse events </w:t>
      </w:r>
      <w:r w:rsidR="00EB720C">
        <w:rPr>
          <w:rFonts w:cs="Arial"/>
        </w:rPr>
        <w:t xml:space="preserve">is consistent with </w:t>
      </w:r>
      <w:r>
        <w:rPr>
          <w:rFonts w:cs="Arial"/>
        </w:rPr>
        <w:t>TRUSGB.</w:t>
      </w:r>
    </w:p>
    <w:p w14:paraId="468B7700" w14:textId="77777777" w:rsidR="00F6409C" w:rsidRPr="00183E4D" w:rsidRDefault="00F6409C" w:rsidP="00F6409C">
      <w:pPr>
        <w:pStyle w:val="ESNumberedSectionHeading"/>
        <w:ind w:left="0" w:firstLine="0"/>
      </w:pPr>
      <w:bookmarkStart w:id="77" w:name="_Toc460513878"/>
      <w:r w:rsidRPr="00183E4D">
        <w:t>Clinical Claim</w:t>
      </w:r>
      <w:bookmarkEnd w:id="75"/>
      <w:bookmarkEnd w:id="76"/>
      <w:bookmarkEnd w:id="77"/>
    </w:p>
    <w:p w14:paraId="6F610BB2" w14:textId="77777777" w:rsidR="00F6409C" w:rsidRDefault="00F6409C" w:rsidP="00F6409C">
      <w:pPr>
        <w:spacing w:before="120" w:after="120" w:line="276" w:lineRule="auto"/>
      </w:pPr>
      <w:r>
        <w:t xml:space="preserve">The clinical claim is that </w:t>
      </w:r>
      <w:proofErr w:type="spellStart"/>
      <w:r>
        <w:t>mpMRI</w:t>
      </w:r>
      <w:proofErr w:type="spellEnd"/>
      <w:r>
        <w:t xml:space="preserve"> scans of the prostate have better diagnostic accuracy (hence, are more effective) and are safer than the current approach. In the event that claims of superior efficacy and safety are supported by the literature, a cost-utility analysis would be appropriate. </w:t>
      </w:r>
    </w:p>
    <w:p w14:paraId="790A9D8D" w14:textId="77777777" w:rsidR="00F6409C" w:rsidRPr="0089428C" w:rsidRDefault="00F6409C" w:rsidP="0089428C">
      <w:pPr>
        <w:pStyle w:val="Heading3"/>
      </w:pPr>
      <w:bookmarkStart w:id="78" w:name="_Toc395200748"/>
      <w:bookmarkStart w:id="79" w:name="_Toc456276089"/>
      <w:bookmarkStart w:id="80" w:name="_Toc460513879"/>
      <w:r w:rsidRPr="0089428C">
        <w:rPr>
          <w:rStyle w:val="Heading3Char"/>
          <w:b/>
          <w:smallCaps/>
        </w:rPr>
        <w:t>Approach T</w:t>
      </w:r>
      <w:r w:rsidRPr="0089428C">
        <w:t xml:space="preserve">aken to the </w:t>
      </w:r>
      <w:r w:rsidRPr="0089428C">
        <w:rPr>
          <w:rStyle w:val="Heading3Char"/>
          <w:b/>
          <w:smallCaps/>
        </w:rPr>
        <w:t>E</w:t>
      </w:r>
      <w:r w:rsidRPr="0089428C">
        <w:t xml:space="preserve">vidence </w:t>
      </w:r>
      <w:r w:rsidRPr="0089428C">
        <w:rPr>
          <w:rStyle w:val="Heading3Char"/>
          <w:b/>
          <w:smallCaps/>
        </w:rPr>
        <w:t>A</w:t>
      </w:r>
      <w:r w:rsidRPr="0089428C">
        <w:t>ssessment</w:t>
      </w:r>
      <w:bookmarkEnd w:id="78"/>
      <w:bookmarkEnd w:id="79"/>
      <w:bookmarkEnd w:id="80"/>
    </w:p>
    <w:p w14:paraId="41298403" w14:textId="0E7C69B5" w:rsidR="002A26C5" w:rsidRDefault="002A26C5" w:rsidP="002A26C5">
      <w:bookmarkStart w:id="81" w:name="_Toc395200749"/>
      <w:bookmarkStart w:id="82" w:name="_Toc456276090"/>
      <w:r w:rsidRPr="00B6746E">
        <w:t xml:space="preserve">The medical literature was searched on 20 May 2016 to identify relevant studies. The search was not date limited. </w:t>
      </w:r>
      <w:r>
        <w:t xml:space="preserve">Databases searched </w:t>
      </w:r>
      <w:r w:rsidR="00EB720C">
        <w:t xml:space="preserve">include </w:t>
      </w:r>
      <w:r>
        <w:t xml:space="preserve">EMBASE, PubMed, Cochrane Database of Systematic Reviews and York CRD. </w:t>
      </w:r>
      <w:r w:rsidR="00013DF3">
        <w:t>A linked evidence approach was taken to the analysis (</w:t>
      </w:r>
      <w:r w:rsidR="00E54571">
        <w:fldChar w:fldCharType="begin"/>
      </w:r>
      <w:r w:rsidR="00E54571">
        <w:instrText xml:space="preserve"> REF _Ref457379578 \h </w:instrText>
      </w:r>
      <w:r w:rsidR="00E54571">
        <w:fldChar w:fldCharType="separate"/>
      </w:r>
      <w:r w:rsidR="0029649D" w:rsidRPr="00952A67">
        <w:t xml:space="preserve">Table </w:t>
      </w:r>
      <w:r w:rsidR="0029649D">
        <w:rPr>
          <w:noProof/>
        </w:rPr>
        <w:t>2</w:t>
      </w:r>
      <w:r w:rsidR="00E54571">
        <w:fldChar w:fldCharType="end"/>
      </w:r>
      <w:r w:rsidR="00013DF3">
        <w:t>).</w:t>
      </w:r>
    </w:p>
    <w:p w14:paraId="7436AB5A" w14:textId="70BA3E01" w:rsidR="00F6409C" w:rsidRPr="00183E4D" w:rsidRDefault="00F6409C" w:rsidP="002A26C5">
      <w:bookmarkStart w:id="83" w:name="_Toc460513880"/>
      <w:r w:rsidRPr="00183E4D">
        <w:rPr>
          <w:rStyle w:val="Heading3Char"/>
        </w:rPr>
        <w:t>Characteristics of the Evidence Base</w:t>
      </w:r>
      <w:bookmarkEnd w:id="72"/>
      <w:bookmarkEnd w:id="73"/>
      <w:bookmarkEnd w:id="74"/>
      <w:bookmarkEnd w:id="81"/>
      <w:bookmarkEnd w:id="82"/>
      <w:bookmarkEnd w:id="83"/>
    </w:p>
    <w:p w14:paraId="0DFDAACC" w14:textId="37A738A4" w:rsidR="00F6409C" w:rsidRDefault="00070CF4" w:rsidP="00F6409C">
      <w:r>
        <w:lastRenderedPageBreak/>
        <w:t>A total of 33 primary st</w:t>
      </w:r>
      <w:r w:rsidR="00E54571">
        <w:t>udies, including 6,606 patients,</w:t>
      </w:r>
      <w:r>
        <w:t xml:space="preserve"> </w:t>
      </w:r>
      <w:r w:rsidR="00E54571" w:rsidRPr="00C728D5">
        <w:t>that</w:t>
      </w:r>
      <w:r>
        <w:t xml:space="preserve"> assessed the diagnostic accuracy of </w:t>
      </w:r>
      <w:proofErr w:type="spellStart"/>
      <w:r>
        <w:t>mpMRI</w:t>
      </w:r>
      <w:proofErr w:type="spellEnd"/>
      <w:r>
        <w:t xml:space="preserve"> against prostate biopsy in patients with a concerning PSA or DRE result were identified</w:t>
      </w:r>
      <w:r w:rsidR="00DC2889">
        <w:t>.</w:t>
      </w:r>
      <w:r>
        <w:t xml:space="preserve"> </w:t>
      </w:r>
      <w:r w:rsidR="00DC2889">
        <w:t>Sixteen</w:t>
      </w:r>
      <w:r w:rsidR="00DC2889" w:rsidRPr="00C728D5">
        <w:t xml:space="preserve"> primary studies</w:t>
      </w:r>
      <w:r w:rsidR="00E54571">
        <w:t>,</w:t>
      </w:r>
      <w:r w:rsidR="00DC2889" w:rsidRPr="00C728D5">
        <w:t xml:space="preserve"> including 1,367 </w:t>
      </w:r>
      <w:proofErr w:type="gramStart"/>
      <w:r w:rsidR="00DC2889" w:rsidRPr="00C728D5">
        <w:t>patients</w:t>
      </w:r>
      <w:r w:rsidR="004158A2">
        <w:t>,</w:t>
      </w:r>
      <w:r w:rsidR="00DC2889" w:rsidRPr="00C728D5">
        <w:t xml:space="preserve"> that</w:t>
      </w:r>
      <w:proofErr w:type="gramEnd"/>
      <w:r w:rsidR="00DC2889" w:rsidRPr="00C728D5">
        <w:t xml:space="preserve"> assessed the diagnostic accuracy of </w:t>
      </w:r>
      <w:proofErr w:type="spellStart"/>
      <w:r w:rsidR="00DC2889" w:rsidRPr="00C728D5">
        <w:t>mpMRI</w:t>
      </w:r>
      <w:proofErr w:type="spellEnd"/>
      <w:r w:rsidR="00DC2889" w:rsidRPr="00C728D5">
        <w:t xml:space="preserve"> against prostate biopsy in patients eligible for </w:t>
      </w:r>
      <w:r w:rsidR="00CE60C4">
        <w:t>AS</w:t>
      </w:r>
      <w:r w:rsidR="00DC2889" w:rsidRPr="00C728D5">
        <w:t xml:space="preserve"> programs were identified</w:t>
      </w:r>
      <w:r w:rsidR="00DC2889">
        <w:t xml:space="preserve">. </w:t>
      </w:r>
    </w:p>
    <w:p w14:paraId="255CBC53" w14:textId="77777777" w:rsidR="00C55AB1" w:rsidRPr="005E4BBA" w:rsidRDefault="00C55AB1" w:rsidP="00C55AB1">
      <w:pPr>
        <w:pStyle w:val="Caption"/>
      </w:pPr>
      <w:bookmarkStart w:id="84" w:name="_Ref457379578"/>
      <w:bookmarkStart w:id="85" w:name="_Toc456276201"/>
      <w:bookmarkStart w:id="86" w:name="_Toc460514502"/>
      <w:bookmarkStart w:id="87" w:name="_Toc456962270"/>
      <w:bookmarkStart w:id="88" w:name="_Toc457207106"/>
      <w:r w:rsidRPr="00952A67">
        <w:t xml:space="preserve">Table </w:t>
      </w:r>
      <w:fldSimple w:instr=" SEQ Table \* ARABIC ">
        <w:r w:rsidR="0029649D">
          <w:rPr>
            <w:noProof/>
          </w:rPr>
          <w:t>2</w:t>
        </w:r>
      </w:fldSimple>
      <w:bookmarkEnd w:id="84"/>
      <w:r w:rsidRPr="005E4BBA">
        <w:tab/>
      </w:r>
      <w:r w:rsidRPr="005E4BBA">
        <w:tab/>
        <w:t>Key features of the included linked evidence</w:t>
      </w:r>
      <w:bookmarkEnd w:id="85"/>
      <w:bookmarkEnd w:id="86"/>
      <w:r w:rsidRPr="005E4BBA">
        <w:t xml:space="preserve"> </w:t>
      </w:r>
      <w:bookmarkEnd w:id="87"/>
      <w:bookmarkEnd w:id="88"/>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882"/>
        <w:gridCol w:w="5278"/>
        <w:gridCol w:w="1952"/>
      </w:tblGrid>
      <w:tr w:rsidR="00C55AB1" w:rsidRPr="00F93474" w14:paraId="796BB506" w14:textId="77777777" w:rsidTr="00035200">
        <w:trPr>
          <w:trHeight w:val="397"/>
        </w:trPr>
        <w:tc>
          <w:tcPr>
            <w:tcW w:w="1033" w:type="pct"/>
            <w:shd w:val="clear" w:color="auto" w:fill="auto"/>
          </w:tcPr>
          <w:p w14:paraId="71B17CAA" w14:textId="77777777" w:rsidR="00C55AB1" w:rsidRPr="00F93474" w:rsidRDefault="00C55AB1" w:rsidP="00F93474">
            <w:pPr>
              <w:pStyle w:val="TableText0"/>
              <w:rPr>
                <w:b/>
                <w:snapToGrid w:val="0"/>
              </w:rPr>
            </w:pPr>
            <w:r w:rsidRPr="00F93474">
              <w:rPr>
                <w:b/>
                <w:snapToGrid w:val="0"/>
              </w:rPr>
              <w:t>Type of evidence</w:t>
            </w:r>
          </w:p>
        </w:tc>
        <w:tc>
          <w:tcPr>
            <w:tcW w:w="2896" w:type="pct"/>
            <w:shd w:val="clear" w:color="auto" w:fill="auto"/>
          </w:tcPr>
          <w:p w14:paraId="41086EA8" w14:textId="77777777" w:rsidR="00C55AB1" w:rsidRPr="00F93474" w:rsidRDefault="00C55AB1" w:rsidP="00F93474">
            <w:pPr>
              <w:pStyle w:val="TableText0"/>
              <w:rPr>
                <w:b/>
                <w:snapToGrid w:val="0"/>
              </w:rPr>
            </w:pPr>
            <w:r w:rsidRPr="00F93474">
              <w:rPr>
                <w:b/>
                <w:snapToGrid w:val="0"/>
              </w:rPr>
              <w:t>Description</w:t>
            </w:r>
          </w:p>
        </w:tc>
        <w:tc>
          <w:tcPr>
            <w:tcW w:w="1071" w:type="pct"/>
            <w:shd w:val="clear" w:color="auto" w:fill="auto"/>
          </w:tcPr>
          <w:p w14:paraId="7B8A0842" w14:textId="052287CF" w:rsidR="00C55AB1" w:rsidRPr="008335D9" w:rsidRDefault="00C55AB1" w:rsidP="00F93474">
            <w:pPr>
              <w:pStyle w:val="TableText0"/>
              <w:rPr>
                <w:b/>
                <w:snapToGrid w:val="0"/>
                <w:vertAlign w:val="superscript"/>
              </w:rPr>
            </w:pPr>
            <w:proofErr w:type="spellStart"/>
            <w:r w:rsidRPr="00F93474">
              <w:rPr>
                <w:b/>
                <w:snapToGrid w:val="0"/>
              </w:rPr>
              <w:t>Number</w:t>
            </w:r>
            <w:r w:rsidR="008335D9">
              <w:rPr>
                <w:b/>
                <w:snapToGrid w:val="0"/>
                <w:vertAlign w:val="superscript"/>
              </w:rPr>
              <w:t>b</w:t>
            </w:r>
            <w:proofErr w:type="spellEnd"/>
          </w:p>
        </w:tc>
      </w:tr>
      <w:tr w:rsidR="00C55AB1" w:rsidRPr="00183E4D" w14:paraId="27DB4571" w14:textId="77777777" w:rsidTr="00035200">
        <w:trPr>
          <w:trHeight w:val="397"/>
        </w:trPr>
        <w:tc>
          <w:tcPr>
            <w:tcW w:w="1033" w:type="pct"/>
            <w:shd w:val="clear" w:color="auto" w:fill="auto"/>
          </w:tcPr>
          <w:p w14:paraId="340C9A58" w14:textId="36D72EAA" w:rsidR="00C55AB1" w:rsidRPr="00183E4D" w:rsidRDefault="00C55AB1" w:rsidP="009746CA">
            <w:pPr>
              <w:pStyle w:val="Tabletext1"/>
              <w:rPr>
                <w:snapToGrid w:val="0"/>
                <w:highlight w:val="cyan"/>
              </w:rPr>
            </w:pPr>
            <w:r w:rsidRPr="00F1384F">
              <w:rPr>
                <w:snapToGrid w:val="0"/>
              </w:rPr>
              <w:t xml:space="preserve">Comparative diagnostic </w:t>
            </w:r>
            <w:proofErr w:type="spellStart"/>
            <w:r w:rsidRPr="00F1384F">
              <w:rPr>
                <w:snapToGrid w:val="0"/>
              </w:rPr>
              <w:t>performance</w:t>
            </w:r>
            <w:r w:rsidR="00820FC4" w:rsidRPr="00C55AB1">
              <w:rPr>
                <w:snapToGrid w:val="0"/>
                <w:vertAlign w:val="superscript"/>
              </w:rPr>
              <w:t>a</w:t>
            </w:r>
            <w:proofErr w:type="spellEnd"/>
          </w:p>
        </w:tc>
        <w:tc>
          <w:tcPr>
            <w:tcW w:w="2896" w:type="pct"/>
            <w:shd w:val="clear" w:color="auto" w:fill="auto"/>
          </w:tcPr>
          <w:p w14:paraId="628A02D9" w14:textId="76518490" w:rsidR="00C55AB1" w:rsidRPr="00393ACD" w:rsidRDefault="00C55AB1" w:rsidP="009746CA">
            <w:pPr>
              <w:pStyle w:val="Tabletext1"/>
              <w:rPr>
                <w:snapToGrid w:val="0"/>
              </w:rPr>
            </w:pPr>
            <w:r w:rsidRPr="00157C98">
              <w:rPr>
                <w:snapToGrid w:val="0"/>
              </w:rPr>
              <w:t>Diagnostic studies of test accuracy</w:t>
            </w:r>
            <w:r w:rsidR="00E46D68">
              <w:rPr>
                <w:snapToGrid w:val="0"/>
              </w:rPr>
              <w:t xml:space="preserve"> and</w:t>
            </w:r>
            <w:r w:rsidRPr="00157C98">
              <w:rPr>
                <w:snapToGrid w:val="0"/>
              </w:rPr>
              <w:t xml:space="preserve"> studies comparing </w:t>
            </w:r>
            <w:proofErr w:type="spellStart"/>
            <w:r w:rsidRPr="00157C98">
              <w:rPr>
                <w:snapToGrid w:val="0"/>
              </w:rPr>
              <w:t>mpMRI</w:t>
            </w:r>
            <w:proofErr w:type="spellEnd"/>
            <w:r w:rsidRPr="00157C98">
              <w:rPr>
                <w:snapToGrid w:val="0"/>
              </w:rPr>
              <w:t xml:space="preserve"> to TRUSGB or TPUSGB (reference standard) in the same group of patients were identified for both populations. No </w:t>
            </w:r>
            <w:r w:rsidR="00E46D68">
              <w:rPr>
                <w:snapToGrid w:val="0"/>
              </w:rPr>
              <w:t>d</w:t>
            </w:r>
            <w:r w:rsidRPr="00157C98">
              <w:rPr>
                <w:snapToGrid w:val="0"/>
              </w:rPr>
              <w:t xml:space="preserve">iagnostic case control or diagnostic yield studies were included. </w:t>
            </w:r>
          </w:p>
          <w:p w14:paraId="639C39B6" w14:textId="77777777" w:rsidR="00C55AB1" w:rsidRPr="00183E4D" w:rsidRDefault="00C55AB1" w:rsidP="009746CA">
            <w:pPr>
              <w:pStyle w:val="Tabletext1"/>
              <w:rPr>
                <w:snapToGrid w:val="0"/>
                <w:highlight w:val="cyan"/>
              </w:rPr>
            </w:pPr>
          </w:p>
        </w:tc>
        <w:tc>
          <w:tcPr>
            <w:tcW w:w="1071" w:type="pct"/>
            <w:shd w:val="clear" w:color="auto" w:fill="auto"/>
          </w:tcPr>
          <w:p w14:paraId="7B5EF71F" w14:textId="77777777" w:rsidR="00C55AB1" w:rsidRPr="00952A67" w:rsidRDefault="00C55AB1" w:rsidP="009746CA">
            <w:pPr>
              <w:pStyle w:val="Tabletext1"/>
            </w:pPr>
            <w:r w:rsidRPr="00952A67">
              <w:t>Population 1:</w:t>
            </w:r>
          </w:p>
          <w:p w14:paraId="053B51B5" w14:textId="55733DAC" w:rsidR="00C55AB1" w:rsidRPr="00952A67" w:rsidRDefault="00E05C5E" w:rsidP="009746CA">
            <w:pPr>
              <w:pStyle w:val="Tabletext1"/>
            </w:pPr>
            <w:r>
              <w:t>k</w:t>
            </w:r>
            <w:r w:rsidR="00C55AB1" w:rsidRPr="00952A67">
              <w:t>=</w:t>
            </w:r>
            <w:r w:rsidR="00C55AB1" w:rsidRPr="00F1384F">
              <w:rPr>
                <w:snapToGrid w:val="0"/>
              </w:rPr>
              <w:t>10</w:t>
            </w:r>
          </w:p>
          <w:p w14:paraId="4FBA4061" w14:textId="6481AE82" w:rsidR="00C55AB1" w:rsidRPr="00952A67" w:rsidRDefault="00E05C5E" w:rsidP="009746CA">
            <w:pPr>
              <w:pStyle w:val="Tabletext1"/>
            </w:pPr>
            <w:r>
              <w:t>n</w:t>
            </w:r>
            <w:r w:rsidR="00C55AB1" w:rsidRPr="00952A67">
              <w:t>=</w:t>
            </w:r>
            <w:r w:rsidR="00C55AB1" w:rsidRPr="00F1384F">
              <w:rPr>
                <w:snapToGrid w:val="0"/>
              </w:rPr>
              <w:t>2</w:t>
            </w:r>
            <w:r w:rsidR="00CE49E6">
              <w:rPr>
                <w:snapToGrid w:val="0"/>
              </w:rPr>
              <w:t>,</w:t>
            </w:r>
            <w:r w:rsidR="00C55AB1" w:rsidRPr="00F1384F">
              <w:rPr>
                <w:snapToGrid w:val="0"/>
              </w:rPr>
              <w:t>062</w:t>
            </w:r>
          </w:p>
          <w:p w14:paraId="3744A8D9" w14:textId="77777777" w:rsidR="00C55AB1" w:rsidRPr="00952A67" w:rsidRDefault="00C55AB1" w:rsidP="009746CA">
            <w:pPr>
              <w:pStyle w:val="Tabletext1"/>
            </w:pPr>
            <w:r w:rsidRPr="00952A67">
              <w:t>Population 2:</w:t>
            </w:r>
          </w:p>
          <w:p w14:paraId="600E5DFA" w14:textId="4042E857" w:rsidR="00C55AB1" w:rsidRPr="00952A67" w:rsidRDefault="00E05C5E" w:rsidP="009746CA">
            <w:pPr>
              <w:pStyle w:val="Tabletext1"/>
            </w:pPr>
            <w:r>
              <w:t>k</w:t>
            </w:r>
            <w:r w:rsidR="00C55AB1" w:rsidRPr="00952A67">
              <w:t>=</w:t>
            </w:r>
            <w:r w:rsidR="00C55AB1" w:rsidRPr="00F1384F">
              <w:rPr>
                <w:snapToGrid w:val="0"/>
              </w:rPr>
              <w:t>6</w:t>
            </w:r>
          </w:p>
          <w:p w14:paraId="615C2A9A" w14:textId="3F2F6D41" w:rsidR="00C55AB1" w:rsidRPr="00183E4D" w:rsidRDefault="00E05C5E" w:rsidP="009746CA">
            <w:pPr>
              <w:pStyle w:val="Tabletext1"/>
              <w:rPr>
                <w:snapToGrid w:val="0"/>
                <w:highlight w:val="cyan"/>
              </w:rPr>
            </w:pPr>
            <w:r>
              <w:t>n</w:t>
            </w:r>
            <w:r w:rsidR="00C55AB1" w:rsidRPr="00952A67">
              <w:t>=</w:t>
            </w:r>
            <w:r w:rsidR="00C55AB1" w:rsidRPr="00F1384F">
              <w:rPr>
                <w:snapToGrid w:val="0"/>
              </w:rPr>
              <w:t>820</w:t>
            </w:r>
          </w:p>
        </w:tc>
      </w:tr>
      <w:tr w:rsidR="00C55AB1" w:rsidRPr="00183E4D" w14:paraId="796E560B" w14:textId="77777777" w:rsidTr="00035200">
        <w:trPr>
          <w:trHeight w:val="397"/>
        </w:trPr>
        <w:tc>
          <w:tcPr>
            <w:tcW w:w="1033" w:type="pct"/>
            <w:shd w:val="clear" w:color="auto" w:fill="auto"/>
          </w:tcPr>
          <w:p w14:paraId="2203BE51" w14:textId="096540C9" w:rsidR="00C55AB1" w:rsidRDefault="00C55AB1" w:rsidP="009746CA">
            <w:pPr>
              <w:pStyle w:val="Tabletext1"/>
              <w:rPr>
                <w:snapToGrid w:val="0"/>
                <w:highlight w:val="cyan"/>
              </w:rPr>
            </w:pPr>
            <w:r w:rsidRPr="00F1384F">
              <w:rPr>
                <w:snapToGrid w:val="0"/>
              </w:rPr>
              <w:t>Therapeutic efficacy</w:t>
            </w:r>
          </w:p>
        </w:tc>
        <w:tc>
          <w:tcPr>
            <w:tcW w:w="2896" w:type="pct"/>
            <w:shd w:val="clear" w:color="auto" w:fill="auto"/>
          </w:tcPr>
          <w:p w14:paraId="04A90119" w14:textId="29733DD2" w:rsidR="00C55AB1" w:rsidRDefault="00C55AB1" w:rsidP="009746CA">
            <w:pPr>
              <w:pStyle w:val="Tabletext1"/>
              <w:rPr>
                <w:snapToGrid w:val="0"/>
                <w:highlight w:val="cyan"/>
              </w:rPr>
            </w:pPr>
            <w:r w:rsidRPr="00157C98">
              <w:rPr>
                <w:snapToGrid w:val="0"/>
              </w:rPr>
              <w:t xml:space="preserve">No studies were identified that assessed change in management associated with </w:t>
            </w:r>
            <w:proofErr w:type="spellStart"/>
            <w:r w:rsidRPr="00157C98">
              <w:rPr>
                <w:snapToGrid w:val="0"/>
              </w:rPr>
              <w:t>mpMRI</w:t>
            </w:r>
            <w:proofErr w:type="spellEnd"/>
            <w:r w:rsidRPr="00157C98">
              <w:rPr>
                <w:snapToGrid w:val="0"/>
              </w:rPr>
              <w:t>. Change in management for low</w:t>
            </w:r>
            <w:r w:rsidR="00E46D68">
              <w:rPr>
                <w:snapToGrid w:val="0"/>
              </w:rPr>
              <w:t>-</w:t>
            </w:r>
            <w:r w:rsidR="00A9704F">
              <w:rPr>
                <w:snapToGrid w:val="0"/>
              </w:rPr>
              <w:t>concern</w:t>
            </w:r>
            <w:r w:rsidR="00A9704F" w:rsidRPr="00157C98">
              <w:rPr>
                <w:snapToGrid w:val="0"/>
              </w:rPr>
              <w:t xml:space="preserve"> </w:t>
            </w:r>
            <w:r w:rsidRPr="00157C98">
              <w:rPr>
                <w:snapToGrid w:val="0"/>
              </w:rPr>
              <w:t xml:space="preserve">patients with a negative </w:t>
            </w:r>
            <w:proofErr w:type="spellStart"/>
            <w:r w:rsidRPr="00157C98">
              <w:rPr>
                <w:snapToGrid w:val="0"/>
              </w:rPr>
              <w:t>mpMRI</w:t>
            </w:r>
            <w:proofErr w:type="spellEnd"/>
            <w:r w:rsidRPr="00157C98">
              <w:rPr>
                <w:snapToGrid w:val="0"/>
              </w:rPr>
              <w:t xml:space="preserve"> is dictated by the clinical algorithm – these patients will avoid biopsy. Low</w:t>
            </w:r>
            <w:r w:rsidR="00E46D68">
              <w:rPr>
                <w:snapToGrid w:val="0"/>
              </w:rPr>
              <w:t>-</w:t>
            </w:r>
            <w:r w:rsidR="00A9704F">
              <w:rPr>
                <w:snapToGrid w:val="0"/>
              </w:rPr>
              <w:t>concern</w:t>
            </w:r>
            <w:r w:rsidR="00A9704F" w:rsidRPr="00157C98">
              <w:rPr>
                <w:snapToGrid w:val="0"/>
              </w:rPr>
              <w:t xml:space="preserve"> </w:t>
            </w:r>
            <w:r w:rsidRPr="00157C98">
              <w:rPr>
                <w:snapToGrid w:val="0"/>
              </w:rPr>
              <w:t>patients with a positive</w:t>
            </w:r>
            <w:r w:rsidRPr="00393ACD">
              <w:rPr>
                <w:snapToGrid w:val="0"/>
              </w:rPr>
              <w:t xml:space="preserve"> </w:t>
            </w:r>
            <w:proofErr w:type="spellStart"/>
            <w:r w:rsidRPr="00393ACD">
              <w:rPr>
                <w:snapToGrid w:val="0"/>
              </w:rPr>
              <w:t>mpMRI</w:t>
            </w:r>
            <w:proofErr w:type="spellEnd"/>
            <w:r w:rsidRPr="00393ACD">
              <w:rPr>
                <w:snapToGrid w:val="0"/>
              </w:rPr>
              <w:t xml:space="preserve"> and all high-</w:t>
            </w:r>
            <w:r w:rsidR="00A9704F">
              <w:rPr>
                <w:snapToGrid w:val="0"/>
              </w:rPr>
              <w:t>concern</w:t>
            </w:r>
            <w:r w:rsidR="00A9704F" w:rsidRPr="00393ACD">
              <w:rPr>
                <w:snapToGrid w:val="0"/>
              </w:rPr>
              <w:t xml:space="preserve"> </w:t>
            </w:r>
            <w:r w:rsidRPr="00393ACD">
              <w:rPr>
                <w:snapToGrid w:val="0"/>
              </w:rPr>
              <w:t xml:space="preserve">patients will undergo biopsy – results from biopsy inform management decisions. An assessment of prostate biopsy is being undertaken in </w:t>
            </w:r>
            <w:r>
              <w:rPr>
                <w:snapToGrid w:val="0"/>
              </w:rPr>
              <w:t xml:space="preserve">MSAC </w:t>
            </w:r>
            <w:r w:rsidRPr="00393ACD">
              <w:rPr>
                <w:snapToGrid w:val="0"/>
              </w:rPr>
              <w:t xml:space="preserve">Application </w:t>
            </w:r>
            <w:r w:rsidR="00462D15">
              <w:rPr>
                <w:snapToGrid w:val="0"/>
              </w:rPr>
              <w:t xml:space="preserve">CA </w:t>
            </w:r>
            <w:r w:rsidRPr="00393ACD">
              <w:rPr>
                <w:snapToGrid w:val="0"/>
              </w:rPr>
              <w:t xml:space="preserve">1424; the Assessment Group for that application has advised no change in management studies were identified. </w:t>
            </w:r>
          </w:p>
        </w:tc>
        <w:tc>
          <w:tcPr>
            <w:tcW w:w="1071" w:type="pct"/>
            <w:shd w:val="clear" w:color="auto" w:fill="auto"/>
          </w:tcPr>
          <w:p w14:paraId="629BBD20" w14:textId="41894BC2" w:rsidR="00C55AB1" w:rsidRPr="00952A67" w:rsidRDefault="00E05C5E" w:rsidP="009746CA">
            <w:pPr>
              <w:pStyle w:val="Tabletext1"/>
            </w:pPr>
            <w:r>
              <w:t>k</w:t>
            </w:r>
            <w:r w:rsidR="00C55AB1" w:rsidRPr="00952A67">
              <w:t>=0</w:t>
            </w:r>
          </w:p>
          <w:p w14:paraId="0BB35270" w14:textId="78921394" w:rsidR="00C55AB1" w:rsidRDefault="00E05C5E" w:rsidP="009746CA">
            <w:pPr>
              <w:pStyle w:val="Tabletext1"/>
              <w:rPr>
                <w:snapToGrid w:val="0"/>
                <w:highlight w:val="cyan"/>
              </w:rPr>
            </w:pPr>
            <w:r>
              <w:t>n</w:t>
            </w:r>
            <w:r w:rsidR="00C55AB1" w:rsidRPr="00952A67">
              <w:t>=0</w:t>
            </w:r>
          </w:p>
        </w:tc>
      </w:tr>
      <w:tr w:rsidR="00C55AB1" w:rsidRPr="00183E4D" w14:paraId="21F2DBF9" w14:textId="77777777" w:rsidTr="00035200">
        <w:trPr>
          <w:trHeight w:val="397"/>
        </w:trPr>
        <w:tc>
          <w:tcPr>
            <w:tcW w:w="1033" w:type="pct"/>
            <w:shd w:val="clear" w:color="auto" w:fill="auto"/>
          </w:tcPr>
          <w:p w14:paraId="18E7EF84" w14:textId="77777777" w:rsidR="00C55AB1" w:rsidRDefault="00C55AB1" w:rsidP="009746CA">
            <w:pPr>
              <w:pStyle w:val="Tabletext1"/>
              <w:rPr>
                <w:snapToGrid w:val="0"/>
                <w:highlight w:val="cyan"/>
              </w:rPr>
            </w:pPr>
            <w:r w:rsidRPr="00952A67">
              <w:t>Therapeutic effectiveness</w:t>
            </w:r>
          </w:p>
        </w:tc>
        <w:tc>
          <w:tcPr>
            <w:tcW w:w="2896" w:type="pct"/>
            <w:shd w:val="clear" w:color="auto" w:fill="auto"/>
          </w:tcPr>
          <w:p w14:paraId="14DC56AD" w14:textId="4174BFB9" w:rsidR="00C55AB1" w:rsidRDefault="00C55AB1" w:rsidP="009746CA">
            <w:pPr>
              <w:pStyle w:val="Tabletext1"/>
              <w:rPr>
                <w:snapToGrid w:val="0"/>
                <w:highlight w:val="cyan"/>
              </w:rPr>
            </w:pPr>
            <w:r w:rsidRPr="00952A67">
              <w:t xml:space="preserve">Retrospective cohort studies were identified that assessed the impact of delayed treatment in patients with diagnosed </w:t>
            </w:r>
            <w:proofErr w:type="spellStart"/>
            <w:r w:rsidR="00B57813">
              <w:t>PCa</w:t>
            </w:r>
            <w:proofErr w:type="spellEnd"/>
            <w:r w:rsidRPr="00952A67">
              <w:t xml:space="preserve"> were used to inform therapeutic effectiveness.</w:t>
            </w:r>
          </w:p>
        </w:tc>
        <w:tc>
          <w:tcPr>
            <w:tcW w:w="1071" w:type="pct"/>
            <w:shd w:val="clear" w:color="auto" w:fill="auto"/>
          </w:tcPr>
          <w:p w14:paraId="63F5D568" w14:textId="77777777" w:rsidR="00C55AB1" w:rsidRPr="00F1384F" w:rsidRDefault="00C55AB1" w:rsidP="009746CA">
            <w:pPr>
              <w:pStyle w:val="Tabletext1"/>
              <w:rPr>
                <w:snapToGrid w:val="0"/>
              </w:rPr>
            </w:pPr>
            <w:r w:rsidRPr="00F1384F">
              <w:rPr>
                <w:snapToGrid w:val="0"/>
              </w:rPr>
              <w:t>Systematic reviews:</w:t>
            </w:r>
          </w:p>
          <w:p w14:paraId="6908D736" w14:textId="5CD59D11" w:rsidR="00C55AB1" w:rsidRPr="00952A67" w:rsidRDefault="00E05C5E" w:rsidP="009746CA">
            <w:pPr>
              <w:pStyle w:val="Tabletext1"/>
            </w:pPr>
            <w:r>
              <w:t>k</w:t>
            </w:r>
            <w:r w:rsidR="00C55AB1" w:rsidRPr="00952A67">
              <w:t>=</w:t>
            </w:r>
            <w:r w:rsidR="00C55AB1" w:rsidRPr="00F1384F">
              <w:rPr>
                <w:snapToGrid w:val="0"/>
              </w:rPr>
              <w:t>1</w:t>
            </w:r>
          </w:p>
          <w:p w14:paraId="13352A0E" w14:textId="76FD0082" w:rsidR="00C55AB1" w:rsidRPr="00F1384F" w:rsidRDefault="00C55AB1" w:rsidP="009746CA">
            <w:pPr>
              <w:pStyle w:val="Tabletext1"/>
              <w:rPr>
                <w:snapToGrid w:val="0"/>
              </w:rPr>
            </w:pPr>
            <w:r w:rsidRPr="00952A67">
              <w:t>n=</w:t>
            </w:r>
            <w:r w:rsidRPr="00F1384F">
              <w:rPr>
                <w:snapToGrid w:val="0"/>
              </w:rPr>
              <w:t>34,517</w:t>
            </w:r>
          </w:p>
          <w:p w14:paraId="799B2317" w14:textId="77777777" w:rsidR="00C55AB1" w:rsidRPr="00F1384F" w:rsidRDefault="00C55AB1" w:rsidP="009746CA">
            <w:pPr>
              <w:pStyle w:val="Tabletext1"/>
              <w:rPr>
                <w:snapToGrid w:val="0"/>
              </w:rPr>
            </w:pPr>
            <w:r w:rsidRPr="00F1384F">
              <w:rPr>
                <w:snapToGrid w:val="0"/>
              </w:rPr>
              <w:t>Primary studies</w:t>
            </w:r>
          </w:p>
          <w:p w14:paraId="4F9E188C" w14:textId="7A4D451C" w:rsidR="00C55AB1" w:rsidRPr="00F1384F" w:rsidRDefault="008D20D9" w:rsidP="009746CA">
            <w:pPr>
              <w:pStyle w:val="Tabletext1"/>
              <w:rPr>
                <w:snapToGrid w:val="0"/>
              </w:rPr>
            </w:pPr>
            <w:r>
              <w:rPr>
                <w:snapToGrid w:val="0"/>
              </w:rPr>
              <w:t>k</w:t>
            </w:r>
            <w:r w:rsidR="00C55AB1" w:rsidRPr="00F1384F">
              <w:rPr>
                <w:snapToGrid w:val="0"/>
              </w:rPr>
              <w:t>=6</w:t>
            </w:r>
          </w:p>
          <w:p w14:paraId="7F20A1F9" w14:textId="09268549" w:rsidR="00C55AB1" w:rsidRDefault="00E05C5E" w:rsidP="009746CA">
            <w:pPr>
              <w:pStyle w:val="Tabletext1"/>
              <w:rPr>
                <w:snapToGrid w:val="0"/>
                <w:highlight w:val="cyan"/>
              </w:rPr>
            </w:pPr>
            <w:r>
              <w:rPr>
                <w:snapToGrid w:val="0"/>
              </w:rPr>
              <w:t>n</w:t>
            </w:r>
            <w:r w:rsidR="00C55AB1" w:rsidRPr="00F1384F">
              <w:rPr>
                <w:snapToGrid w:val="0"/>
              </w:rPr>
              <w:t>=32,504</w:t>
            </w:r>
          </w:p>
        </w:tc>
      </w:tr>
    </w:tbl>
    <w:p w14:paraId="72996084" w14:textId="300428CC" w:rsidR="00F93474" w:rsidRDefault="00C55AB1" w:rsidP="00BB0BBC">
      <w:pPr>
        <w:pStyle w:val="TableNotes"/>
      </w:pPr>
      <w:proofErr w:type="gramStart"/>
      <w:r>
        <w:rPr>
          <w:vertAlign w:val="superscript"/>
        </w:rPr>
        <w:t>a</w:t>
      </w:r>
      <w:proofErr w:type="gramEnd"/>
      <w:r w:rsidR="00F93474" w:rsidRPr="00F93474">
        <w:t>:</w:t>
      </w:r>
      <w:r>
        <w:rPr>
          <w:vertAlign w:val="superscript"/>
        </w:rPr>
        <w:t xml:space="preserve"> </w:t>
      </w:r>
      <w:r w:rsidR="00035200">
        <w:t>R</w:t>
      </w:r>
      <w:r>
        <w:t>eference standard available</w:t>
      </w:r>
      <w:r w:rsidR="00820FC4">
        <w:t>.</w:t>
      </w:r>
      <w:r w:rsidR="008335D9">
        <w:t xml:space="preserve"> </w:t>
      </w:r>
      <w:proofErr w:type="gramStart"/>
      <w:r w:rsidR="008335D9">
        <w:rPr>
          <w:vertAlign w:val="superscript"/>
        </w:rPr>
        <w:t>b</w:t>
      </w:r>
      <w:proofErr w:type="gramEnd"/>
      <w:r w:rsidR="008335D9">
        <w:t xml:space="preserve"> k refers to the number of studies,</w:t>
      </w:r>
      <w:r w:rsidR="00201A92">
        <w:t xml:space="preserve"> n refers to the number of pati</w:t>
      </w:r>
      <w:r w:rsidR="008335D9">
        <w:t>e</w:t>
      </w:r>
      <w:r w:rsidR="00201A92">
        <w:t>n</w:t>
      </w:r>
      <w:r w:rsidR="008335D9">
        <w:t>ts.</w:t>
      </w:r>
      <w:r w:rsidR="00820FC4">
        <w:t xml:space="preserve"> </w:t>
      </w:r>
    </w:p>
    <w:p w14:paraId="578E0749" w14:textId="279393C0" w:rsidR="00F6409C" w:rsidRPr="005E4BBA" w:rsidRDefault="00820FC4" w:rsidP="00BB0BBC">
      <w:pPr>
        <w:pStyle w:val="TableNotes"/>
      </w:pPr>
      <w:proofErr w:type="spellStart"/>
      <w:r>
        <w:t>PCa</w:t>
      </w:r>
      <w:proofErr w:type="spellEnd"/>
      <w:r>
        <w:t xml:space="preserve"> = prostate cancer, CA = contracted assessment, </w:t>
      </w:r>
      <w:proofErr w:type="spellStart"/>
      <w:r>
        <w:t>mpMRI</w:t>
      </w:r>
      <w:proofErr w:type="spellEnd"/>
      <w:r>
        <w:t xml:space="preserve"> = </w:t>
      </w:r>
      <w:proofErr w:type="spellStart"/>
      <w:r>
        <w:t>multiparametric</w:t>
      </w:r>
      <w:proofErr w:type="spellEnd"/>
      <w:r>
        <w:t xml:space="preserve"> MRI, MRI = magnetic resonance imaging, TRUSGB = trans</w:t>
      </w:r>
      <w:r w:rsidR="0058672B">
        <w:t>-</w:t>
      </w:r>
      <w:r>
        <w:t>rectal ultrasound</w:t>
      </w:r>
      <w:r w:rsidR="00F93474">
        <w:t xml:space="preserve"> </w:t>
      </w:r>
      <w:r>
        <w:t>guided biopsy, TPUSGB = trans</w:t>
      </w:r>
      <w:r w:rsidR="0058672B">
        <w:t>-</w:t>
      </w:r>
      <w:r>
        <w:t>perineal ultrasound guided biopsy</w:t>
      </w:r>
      <w:r w:rsidR="00BB0BBC">
        <w:t>.</w:t>
      </w:r>
    </w:p>
    <w:p w14:paraId="073EA183" w14:textId="2DE5350C" w:rsidR="006F4984" w:rsidRDefault="006F4984" w:rsidP="006F4984">
      <w:r>
        <w:t>For the meta-analyses on diagnostic accuracy</w:t>
      </w:r>
      <w:r w:rsidR="000B0260">
        <w:t>,</w:t>
      </w:r>
      <w:r>
        <w:t xml:space="preserve"> only studies that were applicable to the proposed usage of </w:t>
      </w:r>
      <w:proofErr w:type="spellStart"/>
      <w:r>
        <w:t>mpMRI</w:t>
      </w:r>
      <w:proofErr w:type="spellEnd"/>
      <w:r>
        <w:t xml:space="preserve"> in Australia were included. Results from this subgroup of key studies were used to inform the therapeutic effectiveness and economic models. No gaps in the literature were identified. </w:t>
      </w:r>
    </w:p>
    <w:p w14:paraId="5F0E51D4" w14:textId="77777777" w:rsidR="00F6409C" w:rsidRPr="00183E4D" w:rsidRDefault="00F6409C" w:rsidP="00F6409C">
      <w:pPr>
        <w:pStyle w:val="Heading3"/>
      </w:pPr>
      <w:bookmarkStart w:id="89" w:name="_Toc395200750"/>
      <w:bookmarkStart w:id="90" w:name="_Toc456276091"/>
      <w:bookmarkStart w:id="91" w:name="_Toc460513881"/>
      <w:r w:rsidRPr="00183E4D">
        <w:t>Results</w:t>
      </w:r>
      <w:bookmarkEnd w:id="89"/>
      <w:bookmarkEnd w:id="90"/>
      <w:bookmarkEnd w:id="91"/>
    </w:p>
    <w:p w14:paraId="4366082F" w14:textId="77777777" w:rsidR="00F6409C" w:rsidRDefault="00F6409C" w:rsidP="00F6409C">
      <w:pPr>
        <w:pStyle w:val="Heading4"/>
      </w:pPr>
      <w:r w:rsidRPr="00183E4D">
        <w:t xml:space="preserve">Safety </w:t>
      </w:r>
    </w:p>
    <w:p w14:paraId="3C54C891" w14:textId="77777777" w:rsidR="00F6409C" w:rsidRDefault="00F6409C" w:rsidP="00F6409C">
      <w:pPr>
        <w:pStyle w:val="Heading5"/>
      </w:pPr>
      <w:r>
        <w:t>Test adverse events</w:t>
      </w:r>
    </w:p>
    <w:p w14:paraId="1B9F462F" w14:textId="40C2F252" w:rsidR="00F6409C" w:rsidRPr="00142742" w:rsidRDefault="00F6409C" w:rsidP="00F6409C">
      <w:r>
        <w:t xml:space="preserve">No adverse </w:t>
      </w:r>
      <w:r w:rsidR="006F4984">
        <w:t xml:space="preserve">event associated with </w:t>
      </w:r>
      <w:proofErr w:type="spellStart"/>
      <w:r w:rsidR="006F4984">
        <w:t>mpMRI</w:t>
      </w:r>
      <w:proofErr w:type="spellEnd"/>
      <w:r w:rsidR="006F4984">
        <w:t xml:space="preserve"> was</w:t>
      </w:r>
      <w:r>
        <w:t xml:space="preserve"> identified in the literature.</w:t>
      </w:r>
    </w:p>
    <w:p w14:paraId="485434F1" w14:textId="77777777" w:rsidR="00F6409C" w:rsidRDefault="00F6409C" w:rsidP="00F6409C">
      <w:pPr>
        <w:pStyle w:val="Heading5"/>
      </w:pPr>
      <w:r>
        <w:t>Comparator adverse events</w:t>
      </w:r>
    </w:p>
    <w:p w14:paraId="617FE069" w14:textId="76095216" w:rsidR="00F6409C" w:rsidRDefault="00F6409C" w:rsidP="00F6409C">
      <w:pPr>
        <w:rPr>
          <w:b/>
        </w:rPr>
      </w:pPr>
      <w:r>
        <w:rPr>
          <w:b/>
        </w:rPr>
        <w:t>Trans</w:t>
      </w:r>
      <w:r w:rsidR="000B0260">
        <w:rPr>
          <w:b/>
        </w:rPr>
        <w:t>-</w:t>
      </w:r>
      <w:r>
        <w:rPr>
          <w:b/>
        </w:rPr>
        <w:t>rectal Biopsy</w:t>
      </w:r>
    </w:p>
    <w:p w14:paraId="01D0F457" w14:textId="147D17DF" w:rsidR="00F6409C" w:rsidRDefault="00F6409C" w:rsidP="00F6409C">
      <w:r>
        <w:lastRenderedPageBreak/>
        <w:t>The evidence base for assessing the safety of trans</w:t>
      </w:r>
      <w:r w:rsidR="000B0260">
        <w:t>-</w:t>
      </w:r>
      <w:r>
        <w:t>rectal prostate biopsy consists of nine case series (Level IV studies), six comparative studies with controls (Level III-2), one comparative study with historical control (Level III-3), two randomised controlled trials</w:t>
      </w:r>
      <w:r w:rsidR="000B0260">
        <w:t>,</w:t>
      </w:r>
      <w:r>
        <w:t xml:space="preserve"> and one systematic review. </w:t>
      </w:r>
    </w:p>
    <w:p w14:paraId="483A5910" w14:textId="04D480E3" w:rsidR="00F6409C" w:rsidRDefault="00F6409C" w:rsidP="00F6409C">
      <w:r>
        <w:t xml:space="preserve">Nine studies </w:t>
      </w:r>
      <w:r w:rsidR="00935B72">
        <w:t xml:space="preserve">reported patient </w:t>
      </w:r>
      <w:r>
        <w:t>re-hospitalisation ranges from 0.4 to 5.5 per cent</w:t>
      </w:r>
      <w:r w:rsidR="00935B72">
        <w:t>.</w:t>
      </w:r>
      <w:r>
        <w:t xml:space="preserve"> Eight studies </w:t>
      </w:r>
      <w:r w:rsidR="00935B72">
        <w:t xml:space="preserve">reported </w:t>
      </w:r>
      <w:r>
        <w:t xml:space="preserve">major </w:t>
      </w:r>
      <w:r w:rsidR="00935B72">
        <w:t xml:space="preserve">patient </w:t>
      </w:r>
      <w:r>
        <w:t>infection ranges from 0.2 to 2.4 per cent</w:t>
      </w:r>
      <w:r w:rsidR="00935B72">
        <w:t>.</w:t>
      </w:r>
      <w:r>
        <w:t xml:space="preserve"> Nine studies </w:t>
      </w:r>
      <w:r w:rsidR="00935B72">
        <w:t xml:space="preserve">reported </w:t>
      </w:r>
      <w:r>
        <w:t xml:space="preserve">minor </w:t>
      </w:r>
      <w:r w:rsidR="00935B72">
        <w:t xml:space="preserve">patient </w:t>
      </w:r>
      <w:r>
        <w:t>infection ranges from 0.7 to 6.9 per cent</w:t>
      </w:r>
      <w:r w:rsidR="00935B72">
        <w:t>.</w:t>
      </w:r>
      <w:r>
        <w:t xml:space="preserve"> Thirteen studies </w:t>
      </w:r>
      <w:r w:rsidR="00935B72">
        <w:t xml:space="preserve">reported that the patient </w:t>
      </w:r>
      <w:r>
        <w:t xml:space="preserve">incidence of bleeding related events (haematuria, </w:t>
      </w:r>
      <w:r w:rsidR="000B0260">
        <w:t>hematochezia</w:t>
      </w:r>
      <w:r>
        <w:t xml:space="preserve">, or </w:t>
      </w:r>
      <w:proofErr w:type="spellStart"/>
      <w:proofErr w:type="gramStart"/>
      <w:r w:rsidR="00E8315C">
        <w:t>haematospermia</w:t>
      </w:r>
      <w:proofErr w:type="spellEnd"/>
      <w:r w:rsidR="00E8315C">
        <w:t xml:space="preserve"> </w:t>
      </w:r>
      <w:r>
        <w:t>)</w:t>
      </w:r>
      <w:proofErr w:type="gramEnd"/>
      <w:r>
        <w:t xml:space="preserve"> ranges from 0.8 to 88.0 per cent</w:t>
      </w:r>
      <w:r w:rsidR="00935B72">
        <w:t>.</w:t>
      </w:r>
      <w:r>
        <w:t xml:space="preserve"> Twelve studies </w:t>
      </w:r>
      <w:r w:rsidR="00935B72">
        <w:t xml:space="preserve">reported patient </w:t>
      </w:r>
      <w:r>
        <w:t>urinary obstruction or difficulty voiding ranges from 0.8 to 21.0 per cent</w:t>
      </w:r>
      <w:r w:rsidR="00935B72">
        <w:t>.</w:t>
      </w:r>
    </w:p>
    <w:p w14:paraId="0177A225" w14:textId="4427AEE8" w:rsidR="00F6409C" w:rsidRPr="00EA53D2" w:rsidRDefault="00CE49E6" w:rsidP="00F6409C">
      <w:r>
        <w:rPr>
          <w:color w:val="000000" w:themeColor="text1"/>
        </w:rPr>
        <w:t>Although uncommon</w:t>
      </w:r>
      <w:r w:rsidR="00935B72">
        <w:rPr>
          <w:color w:val="000000" w:themeColor="text1"/>
        </w:rPr>
        <w:t>,</w:t>
      </w:r>
      <w:r w:rsidDel="00CE49E6">
        <w:rPr>
          <w:color w:val="000000" w:themeColor="text1"/>
        </w:rPr>
        <w:t xml:space="preserve"> </w:t>
      </w:r>
      <w:r w:rsidR="00F6409C">
        <w:rPr>
          <w:color w:val="000000" w:themeColor="text1"/>
        </w:rPr>
        <w:t xml:space="preserve">two deaths reported in the literature </w:t>
      </w:r>
      <w:r w:rsidR="00935B72">
        <w:rPr>
          <w:color w:val="000000" w:themeColor="text1"/>
        </w:rPr>
        <w:t xml:space="preserve">due to </w:t>
      </w:r>
      <w:r w:rsidR="00F6409C">
        <w:rPr>
          <w:color w:val="000000" w:themeColor="text1"/>
        </w:rPr>
        <w:t>sepsis resulting from a trans</w:t>
      </w:r>
      <w:r w:rsidR="000B0260">
        <w:rPr>
          <w:color w:val="000000" w:themeColor="text1"/>
        </w:rPr>
        <w:t>-</w:t>
      </w:r>
      <w:r w:rsidR="00F6409C">
        <w:rPr>
          <w:color w:val="000000" w:themeColor="text1"/>
        </w:rPr>
        <w:t xml:space="preserve">rectal biopsy-related infection. </w:t>
      </w:r>
    </w:p>
    <w:p w14:paraId="65941C10" w14:textId="79658768" w:rsidR="00F6409C" w:rsidRPr="003015ED" w:rsidRDefault="00F6409C" w:rsidP="00F6409C">
      <w:pPr>
        <w:rPr>
          <w:b/>
        </w:rPr>
      </w:pPr>
      <w:r w:rsidRPr="003015ED">
        <w:rPr>
          <w:b/>
        </w:rPr>
        <w:t>Trans</w:t>
      </w:r>
      <w:r w:rsidR="000B0260">
        <w:rPr>
          <w:b/>
        </w:rPr>
        <w:t>-</w:t>
      </w:r>
      <w:r w:rsidRPr="003015ED">
        <w:rPr>
          <w:b/>
        </w:rPr>
        <w:t>perineal Biopsy</w:t>
      </w:r>
    </w:p>
    <w:p w14:paraId="7E057B9C" w14:textId="5F65FFC7" w:rsidR="00F6409C" w:rsidRDefault="00F6409C" w:rsidP="00F6409C">
      <w:r>
        <w:t>Three studies were identified that assessed the safety of trans</w:t>
      </w:r>
      <w:r w:rsidR="004B7CC8">
        <w:t>-</w:t>
      </w:r>
      <w:r>
        <w:t xml:space="preserve">perineal biopsies, one large case series and two systematic reviews. </w:t>
      </w:r>
    </w:p>
    <w:p w14:paraId="33640742" w14:textId="16AEF59B" w:rsidR="00F6409C" w:rsidRDefault="00F6409C" w:rsidP="00F6409C">
      <w:pPr>
        <w:rPr>
          <w:color w:val="000000" w:themeColor="text1"/>
        </w:rPr>
      </w:pPr>
      <w:r>
        <w:t>Hospitalisation after TPUSGB ranged from 0.7 to 2.1 per cent in the literature. In the case series</w:t>
      </w:r>
      <w:r w:rsidR="00417060">
        <w:t xml:space="preserve"> study</w:t>
      </w:r>
      <w:r>
        <w:rPr>
          <w:color w:val="000000" w:themeColor="text1"/>
        </w:rPr>
        <w:t xml:space="preserve"> 3,007 patients underwent trans</w:t>
      </w:r>
      <w:r w:rsidR="00CE49E6">
        <w:rPr>
          <w:color w:val="000000" w:themeColor="text1"/>
        </w:rPr>
        <w:t>-</w:t>
      </w:r>
      <w:r>
        <w:rPr>
          <w:color w:val="000000" w:themeColor="text1"/>
        </w:rPr>
        <w:t>perineal prostate biopsy in a single centre from 2003 to 2013, total rates of complications, including those not requiring hospitalisation, were major infection 0.03</w:t>
      </w:r>
      <w:r w:rsidR="00CE49E6">
        <w:rPr>
          <w:color w:val="000000" w:themeColor="text1"/>
        </w:rPr>
        <w:t xml:space="preserve"> per cent</w:t>
      </w:r>
      <w:r>
        <w:rPr>
          <w:color w:val="000000" w:themeColor="text1"/>
        </w:rPr>
        <w:t>, acute urinary obstruction 1.9</w:t>
      </w:r>
      <w:r w:rsidR="004146D6">
        <w:rPr>
          <w:color w:val="000000" w:themeColor="text1"/>
        </w:rPr>
        <w:t xml:space="preserve"> </w:t>
      </w:r>
      <w:r w:rsidR="00CE49E6">
        <w:rPr>
          <w:color w:val="000000" w:themeColor="text1"/>
        </w:rPr>
        <w:t>per cent</w:t>
      </w:r>
      <w:r>
        <w:rPr>
          <w:color w:val="000000" w:themeColor="text1"/>
        </w:rPr>
        <w:t>, urethral bleeding 0.1</w:t>
      </w:r>
      <w:r w:rsidR="004146D6">
        <w:rPr>
          <w:color w:val="000000" w:themeColor="text1"/>
        </w:rPr>
        <w:t xml:space="preserve"> </w:t>
      </w:r>
      <w:r w:rsidR="00CE49E6">
        <w:rPr>
          <w:color w:val="000000" w:themeColor="text1"/>
        </w:rPr>
        <w:t>per cent</w:t>
      </w:r>
      <w:r>
        <w:rPr>
          <w:color w:val="000000" w:themeColor="text1"/>
        </w:rPr>
        <w:t>, haematuria 47</w:t>
      </w:r>
      <w:r w:rsidR="00CE49E6">
        <w:rPr>
          <w:color w:val="000000" w:themeColor="text1"/>
        </w:rPr>
        <w:t>.0</w:t>
      </w:r>
      <w:r w:rsidR="004146D6">
        <w:rPr>
          <w:color w:val="000000" w:themeColor="text1"/>
        </w:rPr>
        <w:t xml:space="preserve"> </w:t>
      </w:r>
      <w:r w:rsidR="00CE49E6">
        <w:rPr>
          <w:color w:val="000000" w:themeColor="text1"/>
        </w:rPr>
        <w:t>per cent</w:t>
      </w:r>
      <w:r>
        <w:rPr>
          <w:color w:val="000000" w:themeColor="text1"/>
        </w:rPr>
        <w:t xml:space="preserve">, </w:t>
      </w:r>
      <w:proofErr w:type="spellStart"/>
      <w:r w:rsidR="00E8315C">
        <w:rPr>
          <w:color w:val="000000" w:themeColor="text1"/>
        </w:rPr>
        <w:t>haematospermia</w:t>
      </w:r>
      <w:proofErr w:type="spellEnd"/>
      <w:r w:rsidR="00E8315C">
        <w:rPr>
          <w:color w:val="000000" w:themeColor="text1"/>
        </w:rPr>
        <w:t xml:space="preserve"> </w:t>
      </w:r>
      <w:r>
        <w:rPr>
          <w:color w:val="000000" w:themeColor="text1"/>
        </w:rPr>
        <w:t xml:space="preserve"> 6.1</w:t>
      </w:r>
      <w:r w:rsidR="004146D6">
        <w:rPr>
          <w:color w:val="000000" w:themeColor="text1"/>
        </w:rPr>
        <w:t xml:space="preserve"> </w:t>
      </w:r>
      <w:r w:rsidR="00CE49E6">
        <w:rPr>
          <w:color w:val="000000" w:themeColor="text1"/>
        </w:rPr>
        <w:t>per cent</w:t>
      </w:r>
      <w:r>
        <w:rPr>
          <w:color w:val="000000" w:themeColor="text1"/>
        </w:rPr>
        <w:t>, and perineal haematoma 0.5</w:t>
      </w:r>
      <w:r w:rsidR="00CE49E6">
        <w:rPr>
          <w:color w:val="000000" w:themeColor="text1"/>
        </w:rPr>
        <w:t>per cent</w:t>
      </w:r>
      <w:r>
        <w:rPr>
          <w:color w:val="000000" w:themeColor="text1"/>
        </w:rPr>
        <w:t>.</w:t>
      </w:r>
    </w:p>
    <w:p w14:paraId="1F7744EC" w14:textId="35032914" w:rsidR="00F6409C" w:rsidRDefault="00F6409C" w:rsidP="00F6409C">
      <w:pPr>
        <w:rPr>
          <w:color w:val="000000" w:themeColor="text1"/>
        </w:rPr>
      </w:pPr>
      <w:r>
        <w:rPr>
          <w:color w:val="000000" w:themeColor="text1"/>
        </w:rPr>
        <w:t>In the studies reported in two systematic reviews, urinary obstruction ranged from 0.5</w:t>
      </w:r>
      <w:r w:rsidR="00CE49E6">
        <w:rPr>
          <w:color w:val="000000" w:themeColor="text1"/>
        </w:rPr>
        <w:t xml:space="preserve"> to</w:t>
      </w:r>
      <w:r w:rsidR="008D20D9">
        <w:rPr>
          <w:color w:val="000000" w:themeColor="text1"/>
        </w:rPr>
        <w:t xml:space="preserve"> </w:t>
      </w:r>
      <w:r>
        <w:rPr>
          <w:color w:val="000000" w:themeColor="text1"/>
        </w:rPr>
        <w:t>20.6</w:t>
      </w:r>
      <w:r w:rsidR="00CE49E6">
        <w:rPr>
          <w:color w:val="000000" w:themeColor="text1"/>
        </w:rPr>
        <w:t xml:space="preserve"> per cent</w:t>
      </w:r>
      <w:r>
        <w:rPr>
          <w:color w:val="000000" w:themeColor="text1"/>
        </w:rPr>
        <w:t>, significant haematuria 0.3</w:t>
      </w:r>
      <w:r w:rsidR="00CE49E6">
        <w:rPr>
          <w:color w:val="000000" w:themeColor="text1"/>
        </w:rPr>
        <w:t xml:space="preserve"> to </w:t>
      </w:r>
      <w:r>
        <w:rPr>
          <w:color w:val="000000" w:themeColor="text1"/>
        </w:rPr>
        <w:t>57.0</w:t>
      </w:r>
      <w:r w:rsidR="00CE49E6">
        <w:rPr>
          <w:color w:val="000000" w:themeColor="text1"/>
        </w:rPr>
        <w:t xml:space="preserve"> per cent</w:t>
      </w:r>
      <w:r>
        <w:rPr>
          <w:color w:val="000000" w:themeColor="text1"/>
        </w:rPr>
        <w:t>, mild/transient haematuria 3.7</w:t>
      </w:r>
      <w:r w:rsidR="00CE49E6">
        <w:rPr>
          <w:color w:val="000000" w:themeColor="text1"/>
        </w:rPr>
        <w:t xml:space="preserve"> to </w:t>
      </w:r>
      <w:r>
        <w:rPr>
          <w:color w:val="000000" w:themeColor="text1"/>
        </w:rPr>
        <w:t>45.3</w:t>
      </w:r>
      <w:r w:rsidR="00CE49E6">
        <w:rPr>
          <w:color w:val="000000" w:themeColor="text1"/>
        </w:rPr>
        <w:t xml:space="preserve"> per cent</w:t>
      </w:r>
      <w:r>
        <w:rPr>
          <w:color w:val="000000" w:themeColor="text1"/>
        </w:rPr>
        <w:t>, UTI 1.1</w:t>
      </w:r>
      <w:r w:rsidR="00CE49E6">
        <w:rPr>
          <w:color w:val="000000" w:themeColor="text1"/>
        </w:rPr>
        <w:t xml:space="preserve"> to </w:t>
      </w:r>
      <w:r>
        <w:rPr>
          <w:color w:val="000000" w:themeColor="text1"/>
        </w:rPr>
        <w:t>8.9</w:t>
      </w:r>
      <w:r w:rsidR="00CE49E6">
        <w:rPr>
          <w:color w:val="000000" w:themeColor="text1"/>
        </w:rPr>
        <w:t xml:space="preserve"> per cent</w:t>
      </w:r>
      <w:r>
        <w:rPr>
          <w:color w:val="000000" w:themeColor="text1"/>
        </w:rPr>
        <w:t>, and fever 0.5</w:t>
      </w:r>
      <w:r w:rsidR="00CE49E6">
        <w:rPr>
          <w:color w:val="000000" w:themeColor="text1"/>
        </w:rPr>
        <w:t xml:space="preserve"> to </w:t>
      </w:r>
      <w:r>
        <w:rPr>
          <w:color w:val="000000" w:themeColor="text1"/>
        </w:rPr>
        <w:t>5.3 per cent of patients. The majority of studies reported that no infection occurred.</w:t>
      </w:r>
    </w:p>
    <w:p w14:paraId="3D9BD253" w14:textId="25DD9506" w:rsidR="00F6409C" w:rsidRDefault="00F6409C" w:rsidP="00F6409C">
      <w:r>
        <w:t>There is no evidence in the literature of deaths related to trans</w:t>
      </w:r>
      <w:r w:rsidR="00CE49E6">
        <w:t>-</w:t>
      </w:r>
      <w:r>
        <w:t>perineal prostate biopsy.</w:t>
      </w:r>
    </w:p>
    <w:p w14:paraId="1DE083A9" w14:textId="77777777" w:rsidR="00F6409C" w:rsidRPr="0071212A" w:rsidRDefault="00F6409C" w:rsidP="00F6409C">
      <w:pPr>
        <w:pStyle w:val="Heading5"/>
      </w:pPr>
      <w:r>
        <w:t>Adverse events from change in management</w:t>
      </w:r>
    </w:p>
    <w:p w14:paraId="4927A523" w14:textId="50566197" w:rsidR="00F6409C" w:rsidRPr="00ED37F4" w:rsidRDefault="00F6409C" w:rsidP="00F6409C">
      <w:r>
        <w:t xml:space="preserve">The only identified change in management associated with the proposed clinical algorithm is an avoidance of biopsy with a negative </w:t>
      </w:r>
      <w:proofErr w:type="spellStart"/>
      <w:r>
        <w:t>mpMRI</w:t>
      </w:r>
      <w:proofErr w:type="spellEnd"/>
      <w:r>
        <w:t xml:space="preserve"> result. Therefore</w:t>
      </w:r>
      <w:r w:rsidR="00C55AB1">
        <w:t>,</w:t>
      </w:r>
      <w:r>
        <w:t xml:space="preserve"> change in management is associated with the avoidance of the adverse events for biopsy described above. </w:t>
      </w:r>
    </w:p>
    <w:p w14:paraId="10F71924" w14:textId="77777777" w:rsidR="00F6409C" w:rsidRPr="00183E4D" w:rsidRDefault="00F6409C" w:rsidP="00F6409C">
      <w:pPr>
        <w:pStyle w:val="Heading4"/>
      </w:pPr>
      <w:r w:rsidRPr="00183E4D">
        <w:t xml:space="preserve">Effectiveness </w:t>
      </w:r>
    </w:p>
    <w:p w14:paraId="728C435B" w14:textId="77777777" w:rsidR="00F6409C" w:rsidRPr="000A77C8" w:rsidRDefault="00F6409C" w:rsidP="00F6409C">
      <w:pPr>
        <w:pStyle w:val="Heading5"/>
      </w:pPr>
      <w:r>
        <w:t>Direct effectiveness</w:t>
      </w:r>
    </w:p>
    <w:p w14:paraId="0A00ECA1" w14:textId="77777777" w:rsidR="00F6409C" w:rsidRDefault="00F6409C" w:rsidP="00F6409C">
      <w:r>
        <w:t xml:space="preserve">No studies were identified that assessed the direct evidence of </w:t>
      </w:r>
      <w:proofErr w:type="spellStart"/>
      <w:r>
        <w:t>mpMRI</w:t>
      </w:r>
      <w:proofErr w:type="spellEnd"/>
      <w:r>
        <w:t xml:space="preserve"> in either population. </w:t>
      </w:r>
    </w:p>
    <w:p w14:paraId="6082859F" w14:textId="77777777" w:rsidR="00F6409C" w:rsidRDefault="00F6409C" w:rsidP="00F6409C">
      <w:pPr>
        <w:pStyle w:val="Heading5"/>
      </w:pPr>
      <w:r>
        <w:lastRenderedPageBreak/>
        <w:t>Effectiveness from linked evidence</w:t>
      </w:r>
    </w:p>
    <w:p w14:paraId="0A4D1A41" w14:textId="77777777" w:rsidR="00F6409C" w:rsidRPr="00214F43" w:rsidRDefault="00F6409C" w:rsidP="00F87EE4">
      <w:pPr>
        <w:pStyle w:val="Heading6"/>
        <w:numPr>
          <w:ilvl w:val="0"/>
          <w:numId w:val="9"/>
        </w:numPr>
      </w:pPr>
      <w:r>
        <w:t>Accuracy</w:t>
      </w:r>
    </w:p>
    <w:p w14:paraId="4AF4DBE5" w14:textId="1A6BC0AF" w:rsidR="00F6409C" w:rsidRDefault="00F6409C" w:rsidP="00F6409C">
      <w:r w:rsidRPr="002167BE">
        <w:t>Ten studies, including 2,062 patients, were</w:t>
      </w:r>
      <w:r w:rsidR="0094056C">
        <w:t xml:space="preserve"> identified that reported a per-</w:t>
      </w:r>
      <w:r w:rsidRPr="002167BE">
        <w:t xml:space="preserve">patient analysis of the diagnostic accuracy of </w:t>
      </w:r>
      <w:proofErr w:type="spellStart"/>
      <w:r w:rsidRPr="002167BE">
        <w:t>mpMRI</w:t>
      </w:r>
      <w:proofErr w:type="spellEnd"/>
      <w:r w:rsidRPr="002167BE">
        <w:t xml:space="preserve"> in patients suspected of having </w:t>
      </w:r>
      <w:proofErr w:type="spellStart"/>
      <w:r w:rsidR="00B57813">
        <w:t>PCa</w:t>
      </w:r>
      <w:proofErr w:type="spellEnd"/>
      <w:r w:rsidRPr="002167BE">
        <w:t xml:space="preserve"> </w:t>
      </w:r>
      <w:r w:rsidR="00C55AB1">
        <w:t>because</w:t>
      </w:r>
      <w:r w:rsidRPr="002167BE">
        <w:t xml:space="preserve"> of concerning PSA or DRE results. Pathology of samples obtained by biopsy was the reference standard in all studies. There were no applicability issues identified between the included key studies and the proposed population in the Protocol. Only studies using a consistent threshold for PI-RADS scoring as stated in the Protocol (≥ PI-RADS 4 for a positive result) were included in this analysis.</w:t>
      </w:r>
    </w:p>
    <w:p w14:paraId="2EA4C772" w14:textId="4ED3CE31" w:rsidR="00F6409C" w:rsidRDefault="00F6409C" w:rsidP="008F1E5E">
      <w:pPr>
        <w:tabs>
          <w:tab w:val="left" w:pos="284"/>
        </w:tabs>
      </w:pPr>
      <w:r>
        <w:t>The reference standard used in the diagnostic accuracy studies was biopsy (TRUSGB, TPUSGB or cognitive MRIGB with TRUSGB). It is recognised that biopsy is not a perfect reference standard; however</w:t>
      </w:r>
      <w:r w:rsidR="00E46B01">
        <w:t>,</w:t>
      </w:r>
      <w:r>
        <w:t xml:space="preserve"> this was used in all of the </w:t>
      </w:r>
      <w:r w:rsidR="008D20D9">
        <w:t xml:space="preserve">included </w:t>
      </w:r>
      <w:r w:rsidR="00E46B01">
        <w:t>studies</w:t>
      </w:r>
      <w:r>
        <w:t xml:space="preserve">. Two systematic reviews, </w:t>
      </w:r>
      <w:proofErr w:type="spellStart"/>
      <w:r>
        <w:t>Schoots</w:t>
      </w:r>
      <w:proofErr w:type="spellEnd"/>
      <w:r>
        <w:t xml:space="preserve"> et al. (2015) and Shen et al. (2012) reported that the diagnostic accuracy of TRUSGB, TPUSGB and MRIGB are statistically equivalent. </w:t>
      </w:r>
      <w:r w:rsidR="00707A72">
        <w:t xml:space="preserve">Summary statistics for Population 1 and Population 2 </w:t>
      </w:r>
      <w:r w:rsidR="00890144">
        <w:t xml:space="preserve">are </w:t>
      </w:r>
      <w:r w:rsidR="00707A72">
        <w:t xml:space="preserve">provided in </w:t>
      </w:r>
      <w:r w:rsidR="00B53901">
        <w:fldChar w:fldCharType="begin"/>
      </w:r>
      <w:r w:rsidR="00B53901">
        <w:instrText xml:space="preserve"> REF _Ref458432919 \h </w:instrText>
      </w:r>
      <w:r w:rsidR="00B53901">
        <w:fldChar w:fldCharType="separate"/>
      </w:r>
      <w:r w:rsidR="0029649D" w:rsidRPr="004B0EBA">
        <w:t xml:space="preserve">Table </w:t>
      </w:r>
      <w:r w:rsidR="0029649D">
        <w:rPr>
          <w:noProof/>
        </w:rPr>
        <w:t>3</w:t>
      </w:r>
      <w:r w:rsidR="00B53901">
        <w:fldChar w:fldCharType="end"/>
      </w:r>
      <w:r w:rsidR="00B53901">
        <w:t xml:space="preserve"> and </w:t>
      </w:r>
      <w:r w:rsidR="00B53901">
        <w:fldChar w:fldCharType="begin"/>
      </w:r>
      <w:r w:rsidR="00B53901">
        <w:instrText xml:space="preserve"> REF _Ref458432927 \h </w:instrText>
      </w:r>
      <w:r w:rsidR="00B53901">
        <w:fldChar w:fldCharType="separate"/>
      </w:r>
      <w:r w:rsidR="0029649D" w:rsidRPr="00466B3D">
        <w:t xml:space="preserve">Table </w:t>
      </w:r>
      <w:r w:rsidR="0029649D">
        <w:rPr>
          <w:noProof/>
        </w:rPr>
        <w:t>4</w:t>
      </w:r>
      <w:r w:rsidR="00B53901">
        <w:fldChar w:fldCharType="end"/>
      </w:r>
      <w:r w:rsidR="00707A72">
        <w:t>.</w:t>
      </w:r>
    </w:p>
    <w:p w14:paraId="02841F6F" w14:textId="105527D1" w:rsidR="00F6409C" w:rsidRPr="004B0EBA" w:rsidRDefault="00F6409C" w:rsidP="00035200">
      <w:pPr>
        <w:pStyle w:val="Caption"/>
        <w:ind w:left="1134" w:hanging="1134"/>
      </w:pPr>
      <w:bookmarkStart w:id="92" w:name="_Ref458432919"/>
      <w:bookmarkStart w:id="93" w:name="_Toc456276203"/>
      <w:bookmarkStart w:id="94" w:name="_Toc460514503"/>
      <w:r w:rsidRPr="004B0EBA">
        <w:t xml:space="preserve">Table </w:t>
      </w:r>
      <w:fldSimple w:instr=" SEQ Table \* ARABIC ">
        <w:r w:rsidR="0029649D">
          <w:rPr>
            <w:noProof/>
          </w:rPr>
          <w:t>3</w:t>
        </w:r>
      </w:fldSimple>
      <w:bookmarkEnd w:id="92"/>
      <w:r w:rsidRPr="004B0EBA">
        <w:tab/>
        <w:t xml:space="preserve">Summary statistics for </w:t>
      </w:r>
      <w:proofErr w:type="spellStart"/>
      <w:r w:rsidRPr="004B0EBA">
        <w:t>mpMRI</w:t>
      </w:r>
      <w:proofErr w:type="spellEnd"/>
      <w:r w:rsidRPr="004B0EBA">
        <w:t xml:space="preserve"> against </w:t>
      </w:r>
      <w:bookmarkEnd w:id="93"/>
      <w:r w:rsidRPr="004B0EBA">
        <w:t>biopsy (TRU</w:t>
      </w:r>
      <w:r w:rsidR="0058672B">
        <w:t>S</w:t>
      </w:r>
      <w:r w:rsidRPr="004B0EBA">
        <w:t>GB, TPUSGB or cognitive MRIGB) in Population 1</w:t>
      </w:r>
      <w:r w:rsidR="00C55AB1" w:rsidRPr="004B0EBA">
        <w:t xml:space="preserve"> </w:t>
      </w:r>
      <w:r w:rsidRPr="004B0EBA">
        <w:t>(assumed disease prevalence of 35% for low</w:t>
      </w:r>
      <w:r w:rsidR="003343B8">
        <w:t>-</w:t>
      </w:r>
      <w:r w:rsidR="00A9704F">
        <w:t>concern</w:t>
      </w:r>
      <w:r w:rsidR="00A9704F" w:rsidRPr="004B0EBA">
        <w:t xml:space="preserve"> </w:t>
      </w:r>
      <w:r w:rsidRPr="004B0EBA">
        <w:t>patients and 50% for high</w:t>
      </w:r>
      <w:r w:rsidR="003343B8">
        <w:t>-</w:t>
      </w:r>
      <w:r w:rsidR="00A9704F">
        <w:t>concern</w:t>
      </w:r>
      <w:r w:rsidR="00A9704F" w:rsidRPr="004B0EBA">
        <w:t xml:space="preserve"> </w:t>
      </w:r>
      <w:r w:rsidRPr="004B0EBA">
        <w:t>patients)</w:t>
      </w:r>
      <w:bookmarkEnd w:id="94"/>
    </w:p>
    <w:tbl>
      <w:tblPr>
        <w:tblW w:w="8909"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1"/>
        <w:gridCol w:w="2776"/>
        <w:gridCol w:w="2552"/>
      </w:tblGrid>
      <w:tr w:rsidR="00404E5E" w:rsidRPr="00F93474" w14:paraId="620E1EDB" w14:textId="77777777" w:rsidTr="009E3D6F">
        <w:trPr>
          <w:trHeight w:val="469"/>
        </w:trPr>
        <w:tc>
          <w:tcPr>
            <w:tcW w:w="2010" w:type="pct"/>
          </w:tcPr>
          <w:p w14:paraId="675E88A6" w14:textId="418955D5" w:rsidR="00404E5E" w:rsidRPr="00F93474" w:rsidRDefault="00404E5E" w:rsidP="009746CA">
            <w:pPr>
              <w:pStyle w:val="Tableheading1"/>
              <w:rPr>
                <w:rFonts w:cs="Arial"/>
                <w:color w:val="1F497D"/>
              </w:rPr>
            </w:pPr>
            <w:r w:rsidRPr="00F93474">
              <w:t>Accuracy</w:t>
            </w:r>
          </w:p>
        </w:tc>
        <w:tc>
          <w:tcPr>
            <w:tcW w:w="1558" w:type="pct"/>
          </w:tcPr>
          <w:p w14:paraId="30AD30C2" w14:textId="77777777" w:rsidR="00404E5E" w:rsidRPr="00F93474" w:rsidRDefault="00404E5E" w:rsidP="009746CA">
            <w:pPr>
              <w:pStyle w:val="Tableheading1"/>
            </w:pPr>
            <w:proofErr w:type="spellStart"/>
            <w:r w:rsidRPr="00F93474">
              <w:t>mpMRI</w:t>
            </w:r>
            <w:proofErr w:type="spellEnd"/>
            <w:r w:rsidRPr="00F93474">
              <w:t xml:space="preserve"> – all cancer</w:t>
            </w:r>
          </w:p>
          <w:p w14:paraId="7F343DE4" w14:textId="4A95A57A" w:rsidR="00404E5E" w:rsidRPr="00F93474" w:rsidRDefault="00404E5E" w:rsidP="009746CA">
            <w:pPr>
              <w:pStyle w:val="Tableheading1"/>
            </w:pPr>
            <w:r w:rsidRPr="00F93474">
              <w:t>(n=2,062</w:t>
            </w:r>
            <w:r w:rsidR="002C1F68" w:rsidRPr="00F93474">
              <w:t>, k=10</w:t>
            </w:r>
            <w:r w:rsidRPr="00F93474">
              <w:t>)</w:t>
            </w:r>
          </w:p>
        </w:tc>
        <w:tc>
          <w:tcPr>
            <w:tcW w:w="1432" w:type="pct"/>
          </w:tcPr>
          <w:p w14:paraId="1237559B" w14:textId="77777777" w:rsidR="00404E5E" w:rsidRPr="00F93474" w:rsidRDefault="00404E5E" w:rsidP="009746CA">
            <w:pPr>
              <w:pStyle w:val="Tableheading1"/>
            </w:pPr>
            <w:r w:rsidRPr="00F93474">
              <w:t>Clinically significant cancer</w:t>
            </w:r>
          </w:p>
          <w:p w14:paraId="6FDBE5DC" w14:textId="755B4C93" w:rsidR="00404E5E" w:rsidRPr="00F93474" w:rsidRDefault="002C1F68" w:rsidP="009746CA">
            <w:pPr>
              <w:pStyle w:val="Tableheading1"/>
            </w:pPr>
            <w:r w:rsidRPr="00F93474">
              <w:t>(n</w:t>
            </w:r>
            <w:r w:rsidR="00404E5E" w:rsidRPr="00F93474">
              <w:t>=</w:t>
            </w:r>
            <w:r w:rsidRPr="00F93474">
              <w:t>1,229, k=</w:t>
            </w:r>
            <w:r w:rsidR="00404E5E" w:rsidRPr="00F93474">
              <w:t>6)</w:t>
            </w:r>
          </w:p>
        </w:tc>
      </w:tr>
      <w:tr w:rsidR="00404E5E" w:rsidRPr="005673C2" w14:paraId="085C8046" w14:textId="77777777" w:rsidTr="009E3D6F">
        <w:trPr>
          <w:trHeight w:val="397"/>
        </w:trPr>
        <w:tc>
          <w:tcPr>
            <w:tcW w:w="2010" w:type="pct"/>
          </w:tcPr>
          <w:p w14:paraId="52C2B403" w14:textId="77777777" w:rsidR="00404E5E" w:rsidRPr="00890144" w:rsidRDefault="00404E5E" w:rsidP="009746CA">
            <w:pPr>
              <w:pStyle w:val="Tabletext1"/>
            </w:pPr>
            <w:r w:rsidRPr="00890144">
              <w:t>Sensitivity, % [95% CI]</w:t>
            </w:r>
          </w:p>
        </w:tc>
        <w:tc>
          <w:tcPr>
            <w:tcW w:w="1558" w:type="pct"/>
          </w:tcPr>
          <w:p w14:paraId="1280CBFB" w14:textId="77777777" w:rsidR="00404E5E" w:rsidRPr="00890144" w:rsidRDefault="00404E5E" w:rsidP="009746CA">
            <w:pPr>
              <w:pStyle w:val="Tabletext1"/>
            </w:pPr>
            <w:r w:rsidRPr="00890144">
              <w:t>73.4 [57.0, 85.1]</w:t>
            </w:r>
          </w:p>
        </w:tc>
        <w:tc>
          <w:tcPr>
            <w:tcW w:w="1432" w:type="pct"/>
          </w:tcPr>
          <w:p w14:paraId="721E1D72" w14:textId="77777777" w:rsidR="00404E5E" w:rsidRPr="00890144" w:rsidRDefault="00404E5E" w:rsidP="009746CA">
            <w:pPr>
              <w:pStyle w:val="Tabletext1"/>
            </w:pPr>
            <w:r w:rsidRPr="00890144">
              <w:t>76.3 [58.6, 88.0]</w:t>
            </w:r>
          </w:p>
        </w:tc>
      </w:tr>
      <w:tr w:rsidR="00404E5E" w:rsidRPr="005673C2" w14:paraId="2E0EA740" w14:textId="77777777" w:rsidTr="009E3D6F">
        <w:trPr>
          <w:trHeight w:val="397"/>
        </w:trPr>
        <w:tc>
          <w:tcPr>
            <w:tcW w:w="2010" w:type="pct"/>
          </w:tcPr>
          <w:p w14:paraId="5FB1B972" w14:textId="77777777" w:rsidR="00404E5E" w:rsidRPr="005673C2" w:rsidRDefault="00404E5E" w:rsidP="009746CA">
            <w:pPr>
              <w:pStyle w:val="Tabletext1"/>
            </w:pPr>
            <w:r w:rsidRPr="005673C2">
              <w:t>Specificity, % [95% CI]</w:t>
            </w:r>
          </w:p>
        </w:tc>
        <w:tc>
          <w:tcPr>
            <w:tcW w:w="1558" w:type="pct"/>
          </w:tcPr>
          <w:p w14:paraId="40243736" w14:textId="77777777" w:rsidR="00404E5E" w:rsidRPr="005673C2" w:rsidRDefault="00404E5E" w:rsidP="009746CA">
            <w:pPr>
              <w:pStyle w:val="Tabletext1"/>
            </w:pPr>
            <w:r w:rsidRPr="005673C2">
              <w:t>77.1 [63.5, 86.7]</w:t>
            </w:r>
          </w:p>
        </w:tc>
        <w:tc>
          <w:tcPr>
            <w:tcW w:w="1432" w:type="pct"/>
          </w:tcPr>
          <w:p w14:paraId="4866E291" w14:textId="77777777" w:rsidR="00404E5E" w:rsidRPr="005673C2" w:rsidRDefault="00404E5E" w:rsidP="009746CA">
            <w:pPr>
              <w:pStyle w:val="Tabletext1"/>
            </w:pPr>
            <w:r w:rsidRPr="005673C2">
              <w:t>82.9 [71.5, 90.4]</w:t>
            </w:r>
          </w:p>
        </w:tc>
      </w:tr>
      <w:tr w:rsidR="00404E5E" w:rsidRPr="005673C2" w14:paraId="121660AD" w14:textId="77777777" w:rsidTr="009E3D6F">
        <w:trPr>
          <w:trHeight w:val="397"/>
        </w:trPr>
        <w:tc>
          <w:tcPr>
            <w:tcW w:w="2010" w:type="pct"/>
          </w:tcPr>
          <w:p w14:paraId="0332FC2C" w14:textId="77777777" w:rsidR="00404E5E" w:rsidRPr="005673C2" w:rsidRDefault="00404E5E" w:rsidP="009746CA">
            <w:pPr>
              <w:pStyle w:val="Tabletext1"/>
            </w:pPr>
            <w:r w:rsidRPr="005673C2">
              <w:t>PPV, % [95% CI]</w:t>
            </w:r>
          </w:p>
        </w:tc>
        <w:tc>
          <w:tcPr>
            <w:tcW w:w="1558" w:type="pct"/>
          </w:tcPr>
          <w:p w14:paraId="5600E71E" w14:textId="77777777" w:rsidR="00404E5E" w:rsidRPr="005673C2" w:rsidRDefault="00404E5E" w:rsidP="009746CA">
            <w:pPr>
              <w:pStyle w:val="Tabletext1"/>
            </w:pPr>
            <w:r w:rsidRPr="005673C2">
              <w:t>77.2 [63.4, 86.8]</w:t>
            </w:r>
          </w:p>
        </w:tc>
        <w:tc>
          <w:tcPr>
            <w:tcW w:w="1432" w:type="pct"/>
          </w:tcPr>
          <w:p w14:paraId="7BAF6082" w14:textId="77777777" w:rsidR="00404E5E" w:rsidRPr="005673C2" w:rsidRDefault="00404E5E" w:rsidP="009746CA">
            <w:pPr>
              <w:pStyle w:val="Tabletext1"/>
            </w:pPr>
            <w:r w:rsidRPr="005673C2">
              <w:t>74.7 [69.4, 79.3]</w:t>
            </w:r>
          </w:p>
        </w:tc>
      </w:tr>
      <w:tr w:rsidR="00404E5E" w:rsidRPr="005673C2" w14:paraId="2B656989" w14:textId="77777777" w:rsidTr="009E3D6F">
        <w:trPr>
          <w:trHeight w:val="397"/>
        </w:trPr>
        <w:tc>
          <w:tcPr>
            <w:tcW w:w="2010" w:type="pct"/>
          </w:tcPr>
          <w:p w14:paraId="7F8793A7" w14:textId="77777777" w:rsidR="00404E5E" w:rsidRPr="005673C2" w:rsidRDefault="00404E5E" w:rsidP="009746CA">
            <w:pPr>
              <w:pStyle w:val="Tabletext1"/>
            </w:pPr>
            <w:r w:rsidRPr="005673C2">
              <w:t>NPV, % [95% CI]</w:t>
            </w:r>
          </w:p>
        </w:tc>
        <w:tc>
          <w:tcPr>
            <w:tcW w:w="1558" w:type="pct"/>
          </w:tcPr>
          <w:p w14:paraId="0F386076" w14:textId="77777777" w:rsidR="00404E5E" w:rsidRPr="005673C2" w:rsidRDefault="00404E5E" w:rsidP="009746CA">
            <w:pPr>
              <w:pStyle w:val="Tabletext1"/>
            </w:pPr>
            <w:r w:rsidRPr="005673C2">
              <w:t>72.8 [57.2, 84.2]</w:t>
            </w:r>
          </w:p>
        </w:tc>
        <w:tc>
          <w:tcPr>
            <w:tcW w:w="1432" w:type="pct"/>
          </w:tcPr>
          <w:p w14:paraId="00D94CD6" w14:textId="77777777" w:rsidR="00404E5E" w:rsidRPr="002048E2" w:rsidRDefault="00404E5E" w:rsidP="009746CA">
            <w:pPr>
              <w:pStyle w:val="Tabletext1"/>
            </w:pPr>
            <w:r w:rsidRPr="005673C2">
              <w:t>83.5</w:t>
            </w:r>
            <w:r w:rsidRPr="002048E2">
              <w:t xml:space="preserve"> [78.8, 87.4]</w:t>
            </w:r>
          </w:p>
        </w:tc>
      </w:tr>
    </w:tbl>
    <w:p w14:paraId="2E5D7749" w14:textId="0B2156F4" w:rsidR="00F6409C" w:rsidRDefault="00F6409C" w:rsidP="00890144">
      <w:pPr>
        <w:pStyle w:val="TableNotes"/>
      </w:pPr>
      <w:r>
        <w:t>PPV = positive predictive value, NPV = negative predictive value</w:t>
      </w:r>
      <w:r w:rsidR="00820FC4">
        <w:t xml:space="preserve">, </w:t>
      </w:r>
      <w:proofErr w:type="spellStart"/>
      <w:r w:rsidR="00820FC4">
        <w:t>mpMRI</w:t>
      </w:r>
      <w:proofErr w:type="spellEnd"/>
      <w:r w:rsidR="00820FC4">
        <w:t xml:space="preserve"> = </w:t>
      </w:r>
      <w:proofErr w:type="spellStart"/>
      <w:r w:rsidR="00820FC4">
        <w:t>multiparametric</w:t>
      </w:r>
      <w:proofErr w:type="spellEnd"/>
      <w:r w:rsidR="00820FC4">
        <w:t xml:space="preserve"> MRI, MRI = magnetic resonance im</w:t>
      </w:r>
      <w:r w:rsidR="00870191">
        <w:t xml:space="preserve">aging, CI = confidence interval. </w:t>
      </w:r>
    </w:p>
    <w:p w14:paraId="52B5EC2F" w14:textId="14DC50C1" w:rsidR="00F6409C" w:rsidRDefault="00F65317" w:rsidP="00F6409C">
      <w:r>
        <w:t>Identified evidence does not show</w:t>
      </w:r>
      <w:r w:rsidR="00F6409C">
        <w:t xml:space="preserve"> that the diagnostic accuracy of </w:t>
      </w:r>
      <w:proofErr w:type="spellStart"/>
      <w:r w:rsidR="00F6409C">
        <w:t>mpMRI</w:t>
      </w:r>
      <w:proofErr w:type="spellEnd"/>
      <w:r w:rsidR="00F6409C">
        <w:t xml:space="preserve"> differs in the detection of any type of </w:t>
      </w:r>
      <w:proofErr w:type="spellStart"/>
      <w:r w:rsidR="00B57813">
        <w:t>PCa</w:t>
      </w:r>
      <w:proofErr w:type="spellEnd"/>
      <w:r w:rsidR="00F6409C">
        <w:t xml:space="preserve"> compared to the detection of clinically significant cancer. Therefore, results for the detection of any cancer have been used to inform the therapeutic effectiveness and economics sections of this report.</w:t>
      </w:r>
    </w:p>
    <w:p w14:paraId="2832978D" w14:textId="5822EB56" w:rsidR="00F6409C" w:rsidRDefault="00F6409C" w:rsidP="00F6409C">
      <w:r w:rsidRPr="002167BE">
        <w:t>The point estimates for sensitivity and specificity are associated with wide confidence intervals reflecting uncertainty in the results. Heterogeneity in the evidence base is high, particularly for studies reporting the diagnosis of any cancer</w:t>
      </w:r>
      <w:r w:rsidR="00454F96">
        <w:t xml:space="preserve">; and </w:t>
      </w:r>
      <w:r w:rsidR="00065374">
        <w:t>unable to</w:t>
      </w:r>
      <w:r w:rsidRPr="002167BE">
        <w:t xml:space="preserve"> be explained through subgroup analysis of clinical features.</w:t>
      </w:r>
    </w:p>
    <w:p w14:paraId="37ECB2D9" w14:textId="26C6CF7C" w:rsidR="00F6409C" w:rsidRDefault="00F6409C" w:rsidP="00F6409C">
      <w:r>
        <w:t xml:space="preserve">An assessment of the reliability of </w:t>
      </w:r>
      <w:proofErr w:type="spellStart"/>
      <w:r>
        <w:t>mpMRI</w:t>
      </w:r>
      <w:proofErr w:type="spellEnd"/>
      <w:r>
        <w:t xml:space="preserve"> found</w:t>
      </w:r>
      <w:r w:rsidRPr="002167BE">
        <w:t xml:space="preserve"> </w:t>
      </w:r>
      <w:r w:rsidR="00454F96">
        <w:t>K</w:t>
      </w:r>
      <w:r w:rsidRPr="002167BE">
        <w:t>appa values</w:t>
      </w:r>
      <w:r>
        <w:t xml:space="preserve"> for inter-reader agreement ranged</w:t>
      </w:r>
      <w:r w:rsidRPr="002167BE">
        <w:t xml:space="preserve"> from 0.34 to 0.81. Results from key diagnostic accuracy studies were consistent with results from studies seeking to measure the inter-reader reliability </w:t>
      </w:r>
      <w:r w:rsidR="00A77FE4">
        <w:t>o</w:t>
      </w:r>
      <w:r w:rsidRPr="002167BE">
        <w:t xml:space="preserve">f </w:t>
      </w:r>
      <w:proofErr w:type="spellStart"/>
      <w:r w:rsidRPr="002167BE">
        <w:t>mpMRI</w:t>
      </w:r>
      <w:proofErr w:type="spellEnd"/>
      <w:r w:rsidRPr="002167BE">
        <w:t xml:space="preserve"> using PI-RADS. The results suggest </w:t>
      </w:r>
      <w:r w:rsidRPr="002167BE">
        <w:lastRenderedPageBreak/>
        <w:t xml:space="preserve">reliability may be an issue </w:t>
      </w:r>
      <w:r w:rsidR="00A77FE4">
        <w:t>with</w:t>
      </w:r>
      <w:r w:rsidRPr="002167BE">
        <w:t xml:space="preserve"> </w:t>
      </w:r>
      <w:proofErr w:type="spellStart"/>
      <w:r w:rsidRPr="002167BE">
        <w:t>mpMRI</w:t>
      </w:r>
      <w:proofErr w:type="spellEnd"/>
      <w:r w:rsidRPr="002167BE">
        <w:t xml:space="preserve"> and this may therefore explain the observed heterogeneity in the estimates of sensitivity and specificity</w:t>
      </w:r>
      <w:r>
        <w:t>.</w:t>
      </w:r>
    </w:p>
    <w:p w14:paraId="0E95F245" w14:textId="135F5CF3" w:rsidR="00F6409C" w:rsidRDefault="00F6409C" w:rsidP="00F6409C">
      <w:r w:rsidRPr="002167BE">
        <w:t xml:space="preserve">The quality for the diagnostic accuracy outcomes was rated </w:t>
      </w:r>
      <w:r w:rsidR="00753128">
        <w:t>as ‘</w:t>
      </w:r>
      <w:r w:rsidRPr="002167BE">
        <w:t>poor</w:t>
      </w:r>
      <w:r w:rsidR="00753128">
        <w:t>’</w:t>
      </w:r>
      <w:r w:rsidRPr="002167BE">
        <w:t xml:space="preserve"> using the GRADE tool. This reflects the serious issues with </w:t>
      </w:r>
      <w:r w:rsidR="009B74DC">
        <w:t>im</w:t>
      </w:r>
      <w:r w:rsidRPr="002167BE">
        <w:t xml:space="preserve">precision and </w:t>
      </w:r>
      <w:r w:rsidR="009B74DC">
        <w:t>in</w:t>
      </w:r>
      <w:r w:rsidRPr="002167BE">
        <w:t>consistency in the evidence base</w:t>
      </w:r>
      <w:r w:rsidR="006C55B7">
        <w:t>.</w:t>
      </w:r>
    </w:p>
    <w:p w14:paraId="297C06D4" w14:textId="4D30E912" w:rsidR="00F6409C" w:rsidRPr="00466B3D" w:rsidRDefault="00F6409C" w:rsidP="00035200">
      <w:pPr>
        <w:pStyle w:val="Caption"/>
        <w:ind w:left="1134" w:hanging="1134"/>
      </w:pPr>
      <w:bookmarkStart w:id="95" w:name="_Ref458432927"/>
      <w:bookmarkStart w:id="96" w:name="_Toc460514504"/>
      <w:r w:rsidRPr="00466B3D">
        <w:t xml:space="preserve">Table </w:t>
      </w:r>
      <w:fldSimple w:instr=" SEQ Table \* ARABIC ">
        <w:r w:rsidR="0029649D">
          <w:rPr>
            <w:noProof/>
          </w:rPr>
          <w:t>4</w:t>
        </w:r>
      </w:fldSimple>
      <w:bookmarkEnd w:id="95"/>
      <w:r w:rsidRPr="00466B3D">
        <w:tab/>
        <w:t xml:space="preserve">Summary statistics for </w:t>
      </w:r>
      <w:proofErr w:type="spellStart"/>
      <w:r w:rsidRPr="00466B3D">
        <w:t>mpMRI</w:t>
      </w:r>
      <w:proofErr w:type="spellEnd"/>
      <w:r w:rsidRPr="00466B3D">
        <w:t xml:space="preserve"> against biopsy (TRUGB, TPUSGB or cognitive MRIGB) in Population 2 (prevalence of disease upgrade of 30%)</w:t>
      </w:r>
      <w:bookmarkEnd w:id="96"/>
    </w:p>
    <w:tbl>
      <w:tblPr>
        <w:tblW w:w="911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77"/>
        <w:gridCol w:w="3935"/>
      </w:tblGrid>
      <w:tr w:rsidR="00F6409C" w:rsidRPr="00035200" w14:paraId="0E182737" w14:textId="77777777" w:rsidTr="00035200">
        <w:trPr>
          <w:trHeight w:val="397"/>
        </w:trPr>
        <w:tc>
          <w:tcPr>
            <w:tcW w:w="2841" w:type="pct"/>
          </w:tcPr>
          <w:p w14:paraId="161EAA9E" w14:textId="64F27931" w:rsidR="00F6409C" w:rsidRPr="00035200" w:rsidRDefault="00F6409C" w:rsidP="00056E1F">
            <w:pPr>
              <w:pStyle w:val="Tableheading1"/>
              <w:rPr>
                <w:rFonts w:cs="Arial"/>
                <w:color w:val="1F497D"/>
              </w:rPr>
            </w:pPr>
            <w:r w:rsidRPr="00035200">
              <w:t xml:space="preserve">Accuracy </w:t>
            </w:r>
          </w:p>
        </w:tc>
        <w:tc>
          <w:tcPr>
            <w:tcW w:w="2159" w:type="pct"/>
          </w:tcPr>
          <w:p w14:paraId="31841A55" w14:textId="6984FA53" w:rsidR="00F6409C" w:rsidRPr="00035200" w:rsidRDefault="00820FC4" w:rsidP="00056E1F">
            <w:pPr>
              <w:pStyle w:val="Tableheading1"/>
            </w:pPr>
            <w:proofErr w:type="spellStart"/>
            <w:r w:rsidRPr="00035200">
              <w:t>mpMRI</w:t>
            </w:r>
            <w:proofErr w:type="spellEnd"/>
          </w:p>
          <w:p w14:paraId="33F30BCB" w14:textId="7C607856" w:rsidR="00F6409C" w:rsidRPr="00035200" w:rsidRDefault="00F6409C" w:rsidP="00870191">
            <w:pPr>
              <w:pStyle w:val="Tableheading1"/>
            </w:pPr>
            <w:r w:rsidRPr="00035200">
              <w:t>(n=820</w:t>
            </w:r>
            <w:r w:rsidR="00B53901" w:rsidRPr="00035200">
              <w:t>, k=6</w:t>
            </w:r>
            <w:r w:rsidRPr="00035200">
              <w:t>)</w:t>
            </w:r>
          </w:p>
        </w:tc>
      </w:tr>
      <w:tr w:rsidR="00F6409C" w:rsidRPr="00E2560B" w14:paraId="1502F30C" w14:textId="77777777" w:rsidTr="00035200">
        <w:trPr>
          <w:trHeight w:val="397"/>
        </w:trPr>
        <w:tc>
          <w:tcPr>
            <w:tcW w:w="2841" w:type="pct"/>
          </w:tcPr>
          <w:p w14:paraId="4FA532DC" w14:textId="77777777" w:rsidR="00F6409C" w:rsidRPr="003C6B79" w:rsidRDefault="00F6409C" w:rsidP="00056E1F">
            <w:pPr>
              <w:pStyle w:val="Tabletext1"/>
            </w:pPr>
            <w:r w:rsidRPr="003C6B79">
              <w:t>Sensitivity, % [95% CI]</w:t>
            </w:r>
          </w:p>
        </w:tc>
        <w:tc>
          <w:tcPr>
            <w:tcW w:w="2159" w:type="pct"/>
          </w:tcPr>
          <w:p w14:paraId="0F9CFF83" w14:textId="44FB39DA" w:rsidR="00F6409C" w:rsidRPr="00CC54C6" w:rsidRDefault="00F6409C" w:rsidP="00056E1F">
            <w:pPr>
              <w:pStyle w:val="Tabletext1"/>
            </w:pPr>
            <w:r>
              <w:t>79.3 [74.6, 83.3]</w:t>
            </w:r>
          </w:p>
        </w:tc>
      </w:tr>
      <w:tr w:rsidR="00F6409C" w:rsidRPr="00E2560B" w14:paraId="76135E58" w14:textId="77777777" w:rsidTr="00035200">
        <w:trPr>
          <w:trHeight w:val="397"/>
        </w:trPr>
        <w:tc>
          <w:tcPr>
            <w:tcW w:w="2841" w:type="pct"/>
          </w:tcPr>
          <w:p w14:paraId="2D32DE84" w14:textId="77777777" w:rsidR="00F6409C" w:rsidRPr="00CC54C6" w:rsidRDefault="00F6409C" w:rsidP="00056E1F">
            <w:pPr>
              <w:pStyle w:val="Tabletext1"/>
            </w:pPr>
            <w:r w:rsidRPr="00CC54C6">
              <w:t>Specificity, % [95% CI]</w:t>
            </w:r>
          </w:p>
        </w:tc>
        <w:tc>
          <w:tcPr>
            <w:tcW w:w="2159" w:type="pct"/>
          </w:tcPr>
          <w:p w14:paraId="138F288D" w14:textId="74E742B9" w:rsidR="00F6409C" w:rsidRPr="00A435D3" w:rsidRDefault="00F6409C" w:rsidP="00056E1F">
            <w:pPr>
              <w:pStyle w:val="Tabletext1"/>
            </w:pPr>
            <w:r>
              <w:t>55.1 [50.4, 59.8]</w:t>
            </w:r>
          </w:p>
        </w:tc>
      </w:tr>
      <w:tr w:rsidR="00F6409C" w:rsidRPr="00E2560B" w14:paraId="5911C78E" w14:textId="77777777" w:rsidTr="00035200">
        <w:trPr>
          <w:trHeight w:val="397"/>
        </w:trPr>
        <w:tc>
          <w:tcPr>
            <w:tcW w:w="2841" w:type="pct"/>
          </w:tcPr>
          <w:p w14:paraId="60174DDA" w14:textId="77777777" w:rsidR="00F6409C" w:rsidRPr="00CC54C6" w:rsidRDefault="00F6409C" w:rsidP="00056E1F">
            <w:pPr>
              <w:pStyle w:val="Tabletext1"/>
            </w:pPr>
            <w:r>
              <w:t>PPV</w:t>
            </w:r>
          </w:p>
        </w:tc>
        <w:tc>
          <w:tcPr>
            <w:tcW w:w="2159" w:type="pct"/>
          </w:tcPr>
          <w:p w14:paraId="79129602" w14:textId="66F7ADF0" w:rsidR="00F6409C" w:rsidRDefault="00F6409C" w:rsidP="00056E1F">
            <w:pPr>
              <w:pStyle w:val="Tabletext1"/>
            </w:pPr>
            <w:r>
              <w:t>59.4 [53.5, 65.0]</w:t>
            </w:r>
          </w:p>
        </w:tc>
      </w:tr>
      <w:tr w:rsidR="00F6409C" w:rsidRPr="00E2560B" w14:paraId="4FD00920" w14:textId="77777777" w:rsidTr="00035200">
        <w:trPr>
          <w:trHeight w:val="397"/>
        </w:trPr>
        <w:tc>
          <w:tcPr>
            <w:tcW w:w="2841" w:type="pct"/>
          </w:tcPr>
          <w:p w14:paraId="1A2183F4" w14:textId="77777777" w:rsidR="00F6409C" w:rsidRDefault="00F6409C" w:rsidP="00056E1F">
            <w:pPr>
              <w:pStyle w:val="Tabletext1"/>
            </w:pPr>
            <w:r>
              <w:t>NPV</w:t>
            </w:r>
          </w:p>
        </w:tc>
        <w:tc>
          <w:tcPr>
            <w:tcW w:w="2159" w:type="pct"/>
          </w:tcPr>
          <w:p w14:paraId="12CFFAAA" w14:textId="46D8BE42" w:rsidR="00F6409C" w:rsidRDefault="00F6409C" w:rsidP="00056E1F">
            <w:pPr>
              <w:pStyle w:val="Tabletext1"/>
            </w:pPr>
            <w:r>
              <w:t>76.2 [70.1, 81.4]</w:t>
            </w:r>
          </w:p>
        </w:tc>
      </w:tr>
    </w:tbl>
    <w:p w14:paraId="7AFAE165" w14:textId="0407BD4D" w:rsidR="00F6409C" w:rsidRDefault="00F6409C" w:rsidP="00DF78F8">
      <w:pPr>
        <w:pStyle w:val="TableNotes"/>
      </w:pPr>
      <w:r>
        <w:t>PPV = positive predictive value, NPV = negative predictive value</w:t>
      </w:r>
      <w:r w:rsidR="00820FC4">
        <w:t xml:space="preserve">, </w:t>
      </w:r>
      <w:proofErr w:type="spellStart"/>
      <w:r w:rsidR="00820FC4">
        <w:t>mpMRI</w:t>
      </w:r>
      <w:proofErr w:type="spellEnd"/>
      <w:r w:rsidR="00820FC4">
        <w:t xml:space="preserve"> = </w:t>
      </w:r>
      <w:proofErr w:type="spellStart"/>
      <w:r w:rsidR="00820FC4">
        <w:t>multiparametric</w:t>
      </w:r>
      <w:proofErr w:type="spellEnd"/>
      <w:r w:rsidR="00820FC4">
        <w:t xml:space="preserve"> MRI, MRI = magnetic resonance imaging, CI = confidence interval</w:t>
      </w:r>
      <w:r w:rsidR="00DF78F8">
        <w:t>.</w:t>
      </w:r>
    </w:p>
    <w:p w14:paraId="05A5D88E" w14:textId="77777777" w:rsidR="00F6409C" w:rsidRDefault="00F6409C" w:rsidP="00F87EE4">
      <w:pPr>
        <w:pStyle w:val="Heading6"/>
        <w:numPr>
          <w:ilvl w:val="0"/>
          <w:numId w:val="9"/>
        </w:numPr>
      </w:pPr>
      <w:r>
        <w:t>Therapeutic efficacy (change in management)</w:t>
      </w:r>
    </w:p>
    <w:p w14:paraId="4671729D" w14:textId="29A27BE6" w:rsidR="00F6409C" w:rsidRPr="003817D5" w:rsidRDefault="00F6409C" w:rsidP="00F6409C">
      <w:r>
        <w:t>The change in management associated with changing from a T</w:t>
      </w:r>
      <w:r w:rsidR="00AE5191">
        <w:t>R</w:t>
      </w:r>
      <w:r>
        <w:t xml:space="preserve">USGB or TPUSGB to an MRIGB is the subject of </w:t>
      </w:r>
      <w:r w:rsidR="00066802">
        <w:t>CA</w:t>
      </w:r>
      <w:r w:rsidR="00462D15">
        <w:t xml:space="preserve"> </w:t>
      </w:r>
      <w:r>
        <w:t xml:space="preserve">1424. The Assessment group for </w:t>
      </w:r>
      <w:r w:rsidR="00066802">
        <w:t>CA</w:t>
      </w:r>
      <w:r w:rsidR="00462D15">
        <w:t xml:space="preserve"> </w:t>
      </w:r>
      <w:r>
        <w:t xml:space="preserve">1424 advised that no studies have been identified that investigate this change in management. </w:t>
      </w:r>
      <w:r w:rsidR="00C55AB1">
        <w:t>Based on systematic review evidence, there is no difference in diagnostic</w:t>
      </w:r>
      <w:r>
        <w:t xml:space="preserve"> accuracy between the biopsy techniques (this assumption is discussed in Sections B5.1 and B5.2 of the report). Therefore, for both populations, it is assumed </w:t>
      </w:r>
      <w:r w:rsidR="00851C6D">
        <w:t xml:space="preserve">due to the equivalent accuracy that </w:t>
      </w:r>
      <w:r>
        <w:t>there will be no overall change in management associated with change</w:t>
      </w:r>
      <w:r w:rsidR="00851C6D">
        <w:t>s</w:t>
      </w:r>
      <w:r>
        <w:t xml:space="preserve"> to biopsy type.</w:t>
      </w:r>
    </w:p>
    <w:p w14:paraId="0946BF44" w14:textId="77777777" w:rsidR="00F6409C" w:rsidRPr="00430E55" w:rsidRDefault="00F6409C" w:rsidP="00F6409C">
      <w:pPr>
        <w:keepNext/>
        <w:rPr>
          <w:b/>
        </w:rPr>
      </w:pPr>
      <w:bookmarkStart w:id="97" w:name="_Toc318718116"/>
      <w:r w:rsidRPr="00430E55">
        <w:rPr>
          <w:b/>
        </w:rPr>
        <w:t>Population 1</w:t>
      </w:r>
    </w:p>
    <w:p w14:paraId="7A243917" w14:textId="7E502DE4" w:rsidR="00F6409C" w:rsidRDefault="00F6409C" w:rsidP="00F6409C">
      <w:r>
        <w:t xml:space="preserve">The clinical algorithm indicates that patients with </w:t>
      </w:r>
      <w:r w:rsidR="0058672B">
        <w:t>low-concern</w:t>
      </w:r>
      <w:r w:rsidR="00A9704F">
        <w:t xml:space="preserve"> of developing </w:t>
      </w:r>
      <w:proofErr w:type="spellStart"/>
      <w:r w:rsidR="00B57813">
        <w:t>PCa</w:t>
      </w:r>
      <w:proofErr w:type="spellEnd"/>
      <w:r>
        <w:t xml:space="preserve"> will be managed differently to those with </w:t>
      </w:r>
      <w:r w:rsidR="0058672B">
        <w:t>high-concern</w:t>
      </w:r>
      <w:r w:rsidR="00A9704F">
        <w:t xml:space="preserve"> </w:t>
      </w:r>
      <w:r>
        <w:t xml:space="preserve">of </w:t>
      </w:r>
      <w:proofErr w:type="spellStart"/>
      <w:r w:rsidR="00B57813">
        <w:t>PCa</w:t>
      </w:r>
      <w:proofErr w:type="spellEnd"/>
      <w:r>
        <w:t xml:space="preserve"> (</w:t>
      </w:r>
      <w:r w:rsidR="00430489">
        <w:t>s</w:t>
      </w:r>
      <w:r>
        <w:t xml:space="preserve">ee Figures 1-4, Section A). </w:t>
      </w:r>
      <w:r w:rsidR="00430489">
        <w:t>F</w:t>
      </w:r>
      <w:r>
        <w:t xml:space="preserve">ollowing is a summary of the expected change in management </w:t>
      </w:r>
      <w:r w:rsidR="00430489">
        <w:t>resultant from</w:t>
      </w:r>
      <w:r>
        <w:t xml:space="preserve"> the introduction of </w:t>
      </w:r>
      <w:proofErr w:type="spellStart"/>
      <w:r>
        <w:t>mpMRI</w:t>
      </w:r>
      <w:proofErr w:type="spellEnd"/>
    </w:p>
    <w:p w14:paraId="5AAF19B2" w14:textId="4EC70CF5" w:rsidR="00F6409C" w:rsidRPr="00430E55" w:rsidRDefault="00F6409C" w:rsidP="00F6409C">
      <w:pPr>
        <w:rPr>
          <w:i/>
        </w:rPr>
      </w:pPr>
      <w:r w:rsidRPr="00430E55">
        <w:rPr>
          <w:i/>
        </w:rPr>
        <w:t>Low</w:t>
      </w:r>
      <w:r w:rsidR="00AE5191">
        <w:rPr>
          <w:i/>
        </w:rPr>
        <w:t>-</w:t>
      </w:r>
      <w:r w:rsidR="00A9704F">
        <w:rPr>
          <w:i/>
        </w:rPr>
        <w:t>concern</w:t>
      </w:r>
      <w:r w:rsidR="00A9704F" w:rsidRPr="00430E55">
        <w:rPr>
          <w:i/>
        </w:rPr>
        <w:t xml:space="preserve"> </w:t>
      </w:r>
      <w:r w:rsidRPr="00430E55">
        <w:rPr>
          <w:i/>
        </w:rPr>
        <w:t>patients (</w:t>
      </w:r>
      <w:r>
        <w:rPr>
          <w:i/>
        </w:rPr>
        <w:t>estimate</w:t>
      </w:r>
      <w:r w:rsidR="005E4BBA">
        <w:rPr>
          <w:i/>
        </w:rPr>
        <w:t>d</w:t>
      </w:r>
      <w:r>
        <w:rPr>
          <w:i/>
        </w:rPr>
        <w:t xml:space="preserve"> to be </w:t>
      </w:r>
      <w:r w:rsidRPr="00430E55">
        <w:rPr>
          <w:i/>
        </w:rPr>
        <w:t>50% of patient</w:t>
      </w:r>
      <w:r>
        <w:rPr>
          <w:i/>
        </w:rPr>
        <w:t>s</w:t>
      </w:r>
      <w:r w:rsidRPr="00430E55">
        <w:rPr>
          <w:i/>
        </w:rPr>
        <w:t xml:space="preserve"> in Population 1)</w:t>
      </w:r>
    </w:p>
    <w:p w14:paraId="0A79A28D" w14:textId="77777777" w:rsidR="00F6409C" w:rsidRPr="00430E55" w:rsidRDefault="00F6409C" w:rsidP="00F6409C">
      <w:proofErr w:type="spellStart"/>
      <w:proofErr w:type="gramStart"/>
      <w:r>
        <w:t>m</w:t>
      </w:r>
      <w:r w:rsidRPr="00430E55">
        <w:t>pMRI</w:t>
      </w:r>
      <w:proofErr w:type="spellEnd"/>
      <w:proofErr w:type="gramEnd"/>
      <w:r w:rsidRPr="00430E55">
        <w:t xml:space="preserve"> True positive: </w:t>
      </w:r>
      <w:r>
        <w:t xml:space="preserve">Change from TRUSGB or TPUSGB to MRIGB. </w:t>
      </w:r>
      <w:r w:rsidRPr="00430E55">
        <w:t>No evidence that patients with a true positive will experience any change in management or change to health outcomes was identified.</w:t>
      </w:r>
    </w:p>
    <w:p w14:paraId="775DA960" w14:textId="4CD89A45" w:rsidR="00F6409C" w:rsidRPr="00430E55" w:rsidRDefault="00F6409C" w:rsidP="00F6409C">
      <w:proofErr w:type="spellStart"/>
      <w:proofErr w:type="gramStart"/>
      <w:r>
        <w:t>m</w:t>
      </w:r>
      <w:r w:rsidRPr="00430E55">
        <w:t>pMRI</w:t>
      </w:r>
      <w:proofErr w:type="spellEnd"/>
      <w:proofErr w:type="gramEnd"/>
      <w:r w:rsidRPr="00430E55">
        <w:t xml:space="preserve"> False positive: </w:t>
      </w:r>
      <w:r>
        <w:t>Change from TRUSGB or TPUSGB to MRIGB</w:t>
      </w:r>
      <w:r w:rsidR="00C55AB1">
        <w:t>.</w:t>
      </w:r>
      <w:r w:rsidRPr="00430E55">
        <w:t xml:space="preserve"> No evidence that patients with a false positive will experience any change in management or change to health outcomes was identified.</w:t>
      </w:r>
    </w:p>
    <w:p w14:paraId="5F37C3E1" w14:textId="33CF6728" w:rsidR="00F6409C" w:rsidRPr="00430E55" w:rsidRDefault="00F6409C" w:rsidP="00F6409C">
      <w:proofErr w:type="spellStart"/>
      <w:proofErr w:type="gramStart"/>
      <w:r>
        <w:lastRenderedPageBreak/>
        <w:t>m</w:t>
      </w:r>
      <w:r w:rsidRPr="00430E55">
        <w:t>pMRI</w:t>
      </w:r>
      <w:proofErr w:type="spellEnd"/>
      <w:proofErr w:type="gramEnd"/>
      <w:r w:rsidRPr="00430E55">
        <w:t xml:space="preserve"> True negative: </w:t>
      </w:r>
      <w:r>
        <w:t xml:space="preserve">Change from TRUSGB or TPUSGB to no biopsy. </w:t>
      </w:r>
      <w:r w:rsidRPr="00430E55">
        <w:t xml:space="preserve">These patients will avoid having a biopsy and therefore avoid </w:t>
      </w:r>
      <w:r w:rsidR="00454F96">
        <w:t>any potential biopsy-related</w:t>
      </w:r>
      <w:r w:rsidR="00454F96" w:rsidRPr="00430E55">
        <w:t xml:space="preserve"> </w:t>
      </w:r>
      <w:r w:rsidRPr="00430E55">
        <w:t>adverse events</w:t>
      </w:r>
      <w:r w:rsidR="00AD0652">
        <w:t xml:space="preserve"> as</w:t>
      </w:r>
      <w:r w:rsidR="00C55AB1">
        <w:t xml:space="preserve"> discussed </w:t>
      </w:r>
      <w:r>
        <w:t xml:space="preserve">above in the </w:t>
      </w:r>
      <w:r w:rsidR="00AD0652">
        <w:t>‘</w:t>
      </w:r>
      <w:r>
        <w:t>Safety</w:t>
      </w:r>
      <w:r w:rsidR="00AD0652">
        <w:t>’</w:t>
      </w:r>
      <w:r>
        <w:t xml:space="preserve"> section</w:t>
      </w:r>
      <w:r w:rsidRPr="00430E55">
        <w:t xml:space="preserve">. </w:t>
      </w:r>
    </w:p>
    <w:p w14:paraId="79628040" w14:textId="7D74F654" w:rsidR="00F6409C" w:rsidRPr="00430E55" w:rsidRDefault="00F6409C" w:rsidP="00F6409C">
      <w:proofErr w:type="spellStart"/>
      <w:proofErr w:type="gramStart"/>
      <w:r>
        <w:t>m</w:t>
      </w:r>
      <w:r w:rsidRPr="00430E55">
        <w:t>pMRI</w:t>
      </w:r>
      <w:proofErr w:type="spellEnd"/>
      <w:proofErr w:type="gramEnd"/>
      <w:r w:rsidRPr="00430E55">
        <w:t xml:space="preserve"> False negative: </w:t>
      </w:r>
      <w:r>
        <w:t>Change from TRUSGB or TPUSGB to no biopsy.</w:t>
      </w:r>
      <w:r w:rsidRPr="00430E55">
        <w:t xml:space="preserve"> </w:t>
      </w:r>
      <w:r w:rsidR="009B74DC" w:rsidRPr="00430E55">
        <w:t xml:space="preserve">These patients will avoid having a biopsy and therefore avoid </w:t>
      </w:r>
      <w:r w:rsidR="009B74DC">
        <w:t>any potential biopsy-related</w:t>
      </w:r>
      <w:r w:rsidR="009B74DC" w:rsidRPr="00430E55">
        <w:t xml:space="preserve"> adverse events</w:t>
      </w:r>
      <w:r w:rsidR="009B74DC">
        <w:t xml:space="preserve"> as discussed above in the ‘Safety’ section</w:t>
      </w:r>
      <w:r w:rsidR="009B74DC" w:rsidRPr="00430E55">
        <w:t>.</w:t>
      </w:r>
      <w:r w:rsidRPr="00430E55">
        <w:t xml:space="preserve"> However, the patients will be subject to a delay in the diagnosis of their disease. </w:t>
      </w:r>
      <w:r>
        <w:t>The impact of delayed treatment is discussed below (</w:t>
      </w:r>
      <w:r w:rsidR="00AD0652">
        <w:t>‘</w:t>
      </w:r>
      <w:r>
        <w:t xml:space="preserve">Therapeutic </w:t>
      </w:r>
      <w:r w:rsidR="00EA0AD3">
        <w:t>effectiveness</w:t>
      </w:r>
      <w:r w:rsidR="00AD0652">
        <w:t>’</w:t>
      </w:r>
      <w:r>
        <w:t xml:space="preserve"> section)</w:t>
      </w:r>
      <w:r w:rsidRPr="00430E55">
        <w:t>.</w:t>
      </w:r>
    </w:p>
    <w:p w14:paraId="52DF1E92" w14:textId="0035BC0F" w:rsidR="00F6409C" w:rsidRPr="00430E55" w:rsidRDefault="00F6409C" w:rsidP="00F6409C">
      <w:pPr>
        <w:rPr>
          <w:i/>
        </w:rPr>
      </w:pPr>
      <w:r w:rsidRPr="00430E55">
        <w:rPr>
          <w:i/>
        </w:rPr>
        <w:t>High</w:t>
      </w:r>
      <w:r w:rsidR="00A745BD">
        <w:rPr>
          <w:i/>
        </w:rPr>
        <w:t>-</w:t>
      </w:r>
      <w:r w:rsidR="00A9704F">
        <w:rPr>
          <w:i/>
        </w:rPr>
        <w:t>concern</w:t>
      </w:r>
      <w:r w:rsidR="00A9704F" w:rsidRPr="00430E55">
        <w:rPr>
          <w:i/>
        </w:rPr>
        <w:t xml:space="preserve"> </w:t>
      </w:r>
      <w:r w:rsidRPr="00430E55">
        <w:rPr>
          <w:i/>
        </w:rPr>
        <w:t>patients (</w:t>
      </w:r>
      <w:r>
        <w:rPr>
          <w:i/>
        </w:rPr>
        <w:t>estimate</w:t>
      </w:r>
      <w:r w:rsidR="005E4BBA">
        <w:rPr>
          <w:i/>
        </w:rPr>
        <w:t>d</w:t>
      </w:r>
      <w:r>
        <w:rPr>
          <w:i/>
        </w:rPr>
        <w:t xml:space="preserve"> to be </w:t>
      </w:r>
      <w:r w:rsidRPr="00430E55">
        <w:rPr>
          <w:i/>
        </w:rPr>
        <w:t>50% of patient</w:t>
      </w:r>
      <w:r>
        <w:rPr>
          <w:i/>
        </w:rPr>
        <w:t>s</w:t>
      </w:r>
      <w:r w:rsidRPr="00430E55">
        <w:rPr>
          <w:i/>
        </w:rPr>
        <w:t xml:space="preserve"> in Population 1)</w:t>
      </w:r>
    </w:p>
    <w:p w14:paraId="54A4A287" w14:textId="287C4AD7" w:rsidR="00F6409C" w:rsidRDefault="00F6409C" w:rsidP="00F6409C">
      <w:r w:rsidRPr="00430E55">
        <w:t>All high</w:t>
      </w:r>
      <w:r w:rsidR="00A745BD">
        <w:t>-</w:t>
      </w:r>
      <w:r w:rsidR="00A9704F">
        <w:t>concern</w:t>
      </w:r>
      <w:r w:rsidR="00A9704F" w:rsidRPr="00430E55">
        <w:t xml:space="preserve"> </w:t>
      </w:r>
      <w:r w:rsidRPr="00430E55">
        <w:t>patients will undergo a biopsy</w:t>
      </w:r>
      <w:r>
        <w:t xml:space="preserve"> (change from TRUSGB or TPUSGB to MRIGB)</w:t>
      </w:r>
      <w:r w:rsidRPr="00430E55">
        <w:t>. No evidence that patients who undergo a biopsy of any type will experience any change in management or change to health outcomes was identified.</w:t>
      </w:r>
    </w:p>
    <w:p w14:paraId="4AFBE691" w14:textId="77777777" w:rsidR="00F6409C" w:rsidRDefault="00F6409C" w:rsidP="00F6409C">
      <w:pPr>
        <w:rPr>
          <w:b/>
        </w:rPr>
      </w:pPr>
      <w:r>
        <w:rPr>
          <w:b/>
        </w:rPr>
        <w:t>Population 2</w:t>
      </w:r>
    </w:p>
    <w:p w14:paraId="3CC91421" w14:textId="434FE735" w:rsidR="00F6409C" w:rsidRPr="00523DBC" w:rsidRDefault="00F6409C" w:rsidP="00F6409C">
      <w:pPr>
        <w:rPr>
          <w:i/>
        </w:rPr>
      </w:pPr>
      <w:r w:rsidRPr="00523DBC">
        <w:rPr>
          <w:i/>
        </w:rPr>
        <w:t>Low</w:t>
      </w:r>
      <w:r w:rsidR="00A745BD">
        <w:rPr>
          <w:i/>
        </w:rPr>
        <w:t>-</w:t>
      </w:r>
      <w:r w:rsidR="00A9704F">
        <w:rPr>
          <w:i/>
        </w:rPr>
        <w:t>concern</w:t>
      </w:r>
      <w:r w:rsidR="00A9704F" w:rsidRPr="00523DBC">
        <w:rPr>
          <w:i/>
        </w:rPr>
        <w:t xml:space="preserve"> </w:t>
      </w:r>
      <w:r w:rsidRPr="00523DBC">
        <w:rPr>
          <w:i/>
        </w:rPr>
        <w:t xml:space="preserve">patients (estimated to be 85% of </w:t>
      </w:r>
      <w:r w:rsidRPr="00430E55">
        <w:rPr>
          <w:i/>
        </w:rPr>
        <w:t>patient</w:t>
      </w:r>
      <w:r>
        <w:rPr>
          <w:i/>
        </w:rPr>
        <w:t>s</w:t>
      </w:r>
      <w:r w:rsidRPr="00430E55">
        <w:rPr>
          <w:i/>
        </w:rPr>
        <w:t xml:space="preserve"> in</w:t>
      </w:r>
      <w:r w:rsidRPr="00523DBC">
        <w:rPr>
          <w:i/>
        </w:rPr>
        <w:t xml:space="preserve"> Population 2)</w:t>
      </w:r>
    </w:p>
    <w:p w14:paraId="09160C76" w14:textId="6E6DF692" w:rsidR="00F6409C" w:rsidRPr="003817D5" w:rsidRDefault="00E7473C" w:rsidP="00F6409C">
      <w:proofErr w:type="spellStart"/>
      <w:proofErr w:type="gramStart"/>
      <w:r>
        <w:t>mpMRI</w:t>
      </w:r>
      <w:proofErr w:type="spellEnd"/>
      <w:proofErr w:type="gramEnd"/>
      <w:r w:rsidR="00F6409C" w:rsidRPr="003817D5">
        <w:t xml:space="preserve"> True positive:</w:t>
      </w:r>
      <w:r w:rsidR="00F6409C" w:rsidRPr="00DC78C9">
        <w:t xml:space="preserve"> </w:t>
      </w:r>
      <w:r w:rsidR="00F6409C">
        <w:t xml:space="preserve">Change from TRUSGB or TPUSGB to MRIGB. </w:t>
      </w:r>
      <w:r w:rsidR="00F6409C" w:rsidRPr="003817D5">
        <w:t>No evidence that patients with a true positive will experience any change in management or change to health outcomes was identified.</w:t>
      </w:r>
    </w:p>
    <w:p w14:paraId="2DE8AF82" w14:textId="0F0DF6DD" w:rsidR="00F6409C" w:rsidRPr="003817D5" w:rsidRDefault="00E7473C" w:rsidP="00F6409C">
      <w:proofErr w:type="spellStart"/>
      <w:proofErr w:type="gramStart"/>
      <w:r>
        <w:t>mpMRI</w:t>
      </w:r>
      <w:proofErr w:type="spellEnd"/>
      <w:proofErr w:type="gramEnd"/>
      <w:r w:rsidR="00F6409C" w:rsidRPr="003817D5">
        <w:t xml:space="preserve"> False positive: </w:t>
      </w:r>
      <w:r w:rsidR="00F6409C">
        <w:t xml:space="preserve">Change from TRUSGB or TPUSGB to MRIGB. </w:t>
      </w:r>
      <w:r w:rsidR="00F6409C" w:rsidRPr="003817D5">
        <w:t>No evidence that patients with a false positive will experience any change in management or change to health outcomes was identified.</w:t>
      </w:r>
    </w:p>
    <w:p w14:paraId="52A1E13F" w14:textId="20F3A9CE" w:rsidR="00F6409C" w:rsidRPr="003817D5" w:rsidRDefault="00E7473C" w:rsidP="00F6409C">
      <w:proofErr w:type="spellStart"/>
      <w:proofErr w:type="gramStart"/>
      <w:r>
        <w:t>mpMRI</w:t>
      </w:r>
      <w:proofErr w:type="spellEnd"/>
      <w:proofErr w:type="gramEnd"/>
      <w:r w:rsidR="00F6409C" w:rsidRPr="003817D5">
        <w:t xml:space="preserve"> True negative: </w:t>
      </w:r>
      <w:r w:rsidR="00F6409C">
        <w:t>Change from TRUSGB or TPUSGB to no biopsy.</w:t>
      </w:r>
      <w:r w:rsidR="009B74DC">
        <w:t xml:space="preserve"> </w:t>
      </w:r>
      <w:r w:rsidR="009B74DC" w:rsidRPr="00430E55">
        <w:t xml:space="preserve">These patients will avoid having a biopsy and therefore avoid </w:t>
      </w:r>
      <w:r w:rsidR="009B74DC">
        <w:t>any potential biopsy-related</w:t>
      </w:r>
      <w:r w:rsidR="009B74DC" w:rsidRPr="00430E55">
        <w:t xml:space="preserve"> adverse events</w:t>
      </w:r>
      <w:r w:rsidR="009B74DC">
        <w:t xml:space="preserve"> as discussed above in the ‘Safety’ section</w:t>
      </w:r>
      <w:r w:rsidR="009B74DC" w:rsidRPr="00430E55">
        <w:t>.</w:t>
      </w:r>
      <w:r w:rsidR="00F6409C" w:rsidRPr="003817D5">
        <w:t xml:space="preserve"> </w:t>
      </w:r>
    </w:p>
    <w:p w14:paraId="274B119E" w14:textId="0910F706" w:rsidR="00F6409C" w:rsidRPr="003817D5" w:rsidRDefault="00E7473C" w:rsidP="00F6409C">
      <w:proofErr w:type="spellStart"/>
      <w:proofErr w:type="gramStart"/>
      <w:r>
        <w:t>mpMRI</w:t>
      </w:r>
      <w:proofErr w:type="spellEnd"/>
      <w:proofErr w:type="gramEnd"/>
      <w:r w:rsidR="00F6409C" w:rsidRPr="003817D5">
        <w:t xml:space="preserve"> False negative: </w:t>
      </w:r>
      <w:r w:rsidR="00F6409C">
        <w:t>Change from TRUSGB or TPUSGB to no biopsy.</w:t>
      </w:r>
      <w:r w:rsidR="009B74DC">
        <w:t xml:space="preserve"> </w:t>
      </w:r>
      <w:r w:rsidR="009B74DC" w:rsidRPr="00430E55">
        <w:t xml:space="preserve">These patients will avoid having a biopsy and therefore avoid </w:t>
      </w:r>
      <w:r w:rsidR="009B74DC">
        <w:t>any potential biopsy-related</w:t>
      </w:r>
      <w:r w:rsidR="009B74DC" w:rsidRPr="00430E55">
        <w:t xml:space="preserve"> adverse events</w:t>
      </w:r>
      <w:r w:rsidR="009B74DC">
        <w:t xml:space="preserve"> as discussed above in the ‘Safety’ section</w:t>
      </w:r>
      <w:r w:rsidR="009B74DC" w:rsidRPr="00430E55">
        <w:t>.</w:t>
      </w:r>
      <w:r w:rsidR="00F6409C">
        <w:t xml:space="preserve"> </w:t>
      </w:r>
      <w:r w:rsidR="00F6409C" w:rsidRPr="00430E55">
        <w:t xml:space="preserve">However, the patients will be subject to a delay in the </w:t>
      </w:r>
      <w:r w:rsidR="00F24803">
        <w:t>upgrading</w:t>
      </w:r>
      <w:r w:rsidR="00F6409C" w:rsidRPr="00430E55">
        <w:t xml:space="preserve"> of their disease. </w:t>
      </w:r>
      <w:r w:rsidR="00F6409C">
        <w:t xml:space="preserve">The impact of delayed treatment is discussed below (Therapeutic </w:t>
      </w:r>
      <w:r w:rsidR="00EA0AD3">
        <w:t>effectiveness</w:t>
      </w:r>
      <w:r w:rsidR="00F6409C">
        <w:t xml:space="preserve"> section)</w:t>
      </w:r>
      <w:r w:rsidR="00F6409C" w:rsidRPr="00430E55">
        <w:t>.</w:t>
      </w:r>
    </w:p>
    <w:p w14:paraId="05EFAB2D" w14:textId="21B15AEE" w:rsidR="00F6409C" w:rsidRPr="003817D5" w:rsidRDefault="00F6409C" w:rsidP="00F6409C">
      <w:pPr>
        <w:rPr>
          <w:i/>
        </w:rPr>
      </w:pPr>
      <w:r w:rsidRPr="003817D5">
        <w:rPr>
          <w:i/>
        </w:rPr>
        <w:t>High</w:t>
      </w:r>
      <w:r w:rsidR="005B35EC">
        <w:rPr>
          <w:i/>
        </w:rPr>
        <w:t>-</w:t>
      </w:r>
      <w:r w:rsidR="00A9704F">
        <w:rPr>
          <w:i/>
        </w:rPr>
        <w:t>concern</w:t>
      </w:r>
      <w:r w:rsidR="00A9704F" w:rsidRPr="003817D5">
        <w:rPr>
          <w:i/>
        </w:rPr>
        <w:t xml:space="preserve"> </w:t>
      </w:r>
      <w:r w:rsidRPr="003817D5">
        <w:rPr>
          <w:i/>
        </w:rPr>
        <w:t>patients</w:t>
      </w:r>
      <w:r>
        <w:rPr>
          <w:i/>
        </w:rPr>
        <w:t xml:space="preserve"> (estimate</w:t>
      </w:r>
      <w:r w:rsidR="005E4BBA">
        <w:rPr>
          <w:i/>
        </w:rPr>
        <w:t>d</w:t>
      </w:r>
      <w:r>
        <w:rPr>
          <w:i/>
        </w:rPr>
        <w:t xml:space="preserve"> to be 15% of </w:t>
      </w:r>
      <w:r w:rsidRPr="00430E55">
        <w:rPr>
          <w:i/>
        </w:rPr>
        <w:t>patient</w:t>
      </w:r>
      <w:r>
        <w:rPr>
          <w:i/>
        </w:rPr>
        <w:t>s</w:t>
      </w:r>
      <w:r w:rsidRPr="00430E55">
        <w:rPr>
          <w:i/>
        </w:rPr>
        <w:t xml:space="preserve"> in</w:t>
      </w:r>
      <w:r>
        <w:rPr>
          <w:i/>
        </w:rPr>
        <w:t xml:space="preserve"> Population 2)</w:t>
      </w:r>
      <w:r w:rsidRPr="003817D5">
        <w:rPr>
          <w:i/>
        </w:rPr>
        <w:t xml:space="preserve"> </w:t>
      </w:r>
    </w:p>
    <w:p w14:paraId="5686897B" w14:textId="2BFA2F1C" w:rsidR="00F6409C" w:rsidRPr="003817D5" w:rsidRDefault="00F6409C" w:rsidP="00F6409C">
      <w:r w:rsidRPr="003817D5">
        <w:t>All high</w:t>
      </w:r>
      <w:r w:rsidR="005B35EC">
        <w:t>-</w:t>
      </w:r>
      <w:r w:rsidR="00A9704F">
        <w:t>concern</w:t>
      </w:r>
      <w:r w:rsidR="00A9704F" w:rsidRPr="003817D5">
        <w:t xml:space="preserve"> </w:t>
      </w:r>
      <w:r w:rsidRPr="003817D5">
        <w:t>patients will undergo a biopsy. No evidence that patients who undergo a biopsy of any type will experience any change in management or change to health outcomes was identified.</w:t>
      </w:r>
    </w:p>
    <w:bookmarkEnd w:id="97"/>
    <w:p w14:paraId="02550D01" w14:textId="77777777" w:rsidR="00F6409C" w:rsidRDefault="00F6409C" w:rsidP="00F87EE4">
      <w:pPr>
        <w:pStyle w:val="Heading6"/>
        <w:numPr>
          <w:ilvl w:val="0"/>
          <w:numId w:val="9"/>
        </w:numPr>
      </w:pPr>
      <w:r>
        <w:t>Therapeutic effectiveness (health benefit from change in management)</w:t>
      </w:r>
    </w:p>
    <w:p w14:paraId="13E08043" w14:textId="77777777" w:rsidR="00F6409C" w:rsidRPr="005C10F8" w:rsidRDefault="00F6409C" w:rsidP="00F6409C">
      <w:pPr>
        <w:rPr>
          <w:b/>
        </w:rPr>
      </w:pPr>
      <w:r>
        <w:rPr>
          <w:b/>
        </w:rPr>
        <w:t>Population 1</w:t>
      </w:r>
    </w:p>
    <w:p w14:paraId="26A533DB" w14:textId="6F7F9C7B" w:rsidR="00F6409C" w:rsidRDefault="00F6409C" w:rsidP="00F6409C">
      <w:r>
        <w:lastRenderedPageBreak/>
        <w:t xml:space="preserve">The health outcomes associated with delayed treatment due to a false negative </w:t>
      </w:r>
      <w:proofErr w:type="spellStart"/>
      <w:r>
        <w:t>mpMRI</w:t>
      </w:r>
      <w:proofErr w:type="spellEnd"/>
      <w:r>
        <w:t xml:space="preserve"> result in Population 1 are summarised in </w:t>
      </w:r>
      <w:r w:rsidR="006C55B7">
        <w:fldChar w:fldCharType="begin"/>
      </w:r>
      <w:r w:rsidR="006C55B7">
        <w:instrText xml:space="preserve"> REF _Ref457290151 \h </w:instrText>
      </w:r>
      <w:r w:rsidR="006C55B7">
        <w:fldChar w:fldCharType="separate"/>
      </w:r>
      <w:r w:rsidR="0029649D" w:rsidRPr="00593CC5">
        <w:t xml:space="preserve">Table </w:t>
      </w:r>
      <w:r w:rsidR="0029649D">
        <w:rPr>
          <w:noProof/>
        </w:rPr>
        <w:t>5</w:t>
      </w:r>
      <w:r w:rsidR="006C55B7">
        <w:fldChar w:fldCharType="end"/>
      </w:r>
      <w:r>
        <w:t xml:space="preserve">. </w:t>
      </w:r>
    </w:p>
    <w:p w14:paraId="2AC314CD" w14:textId="6CE19CDF" w:rsidR="00F6409C" w:rsidRPr="00593CC5" w:rsidRDefault="00F6409C" w:rsidP="00035200">
      <w:pPr>
        <w:pStyle w:val="Caption"/>
        <w:ind w:left="1134" w:hanging="1134"/>
      </w:pPr>
      <w:bookmarkStart w:id="98" w:name="_Ref457290151"/>
      <w:bookmarkStart w:id="99" w:name="_Toc456775908"/>
      <w:bookmarkStart w:id="100" w:name="_Toc460514505"/>
      <w:r w:rsidRPr="00593CC5">
        <w:t xml:space="preserve">Table </w:t>
      </w:r>
      <w:fldSimple w:instr=" SEQ Table \* ARABIC ">
        <w:r w:rsidR="0029649D">
          <w:rPr>
            <w:noProof/>
          </w:rPr>
          <w:t>5</w:t>
        </w:r>
      </w:fldSimple>
      <w:bookmarkEnd w:id="98"/>
      <w:r w:rsidRPr="00593CC5">
        <w:tab/>
      </w:r>
      <w:r w:rsidR="001C1655">
        <w:t xml:space="preserve">Population 1: </w:t>
      </w:r>
      <w:r w:rsidRPr="00593CC5">
        <w:t xml:space="preserve">Summary of findings for the linked evidence comparison of </w:t>
      </w:r>
      <w:proofErr w:type="spellStart"/>
      <w:r w:rsidRPr="00593CC5">
        <w:t>mpMRI</w:t>
      </w:r>
      <w:proofErr w:type="spellEnd"/>
      <w:r w:rsidRPr="00593CC5">
        <w:t xml:space="preserve">, relative to TRUSGB or TPUSGB, in patients at </w:t>
      </w:r>
      <w:r w:rsidR="0058672B">
        <w:t>low-concern</w:t>
      </w:r>
      <w:r w:rsidR="00A9704F" w:rsidRPr="00593CC5">
        <w:t xml:space="preserve"> </w:t>
      </w:r>
      <w:r w:rsidRPr="00593CC5">
        <w:t>with suspected prostate cancer with assumed pre-test probability (prevalence) of 35%</w:t>
      </w:r>
      <w:bookmarkEnd w:id="99"/>
      <w:bookmarkEnd w:id="100"/>
      <w:r w:rsidRPr="00593CC5">
        <w:t xml:space="preserve"> </w:t>
      </w:r>
    </w:p>
    <w:tbl>
      <w:tblPr>
        <w:tblStyle w:val="TableGrid"/>
        <w:tblW w:w="9112" w:type="dxa"/>
        <w:tblInd w:w="130" w:type="dxa"/>
        <w:tblLook w:val="04A0" w:firstRow="1" w:lastRow="0" w:firstColumn="1" w:lastColumn="0" w:noHBand="0" w:noVBand="1"/>
        <w:tblDescription w:val="Summary of findings table"/>
      </w:tblPr>
      <w:tblGrid>
        <w:gridCol w:w="1370"/>
        <w:gridCol w:w="1265"/>
        <w:gridCol w:w="1028"/>
        <w:gridCol w:w="1296"/>
        <w:gridCol w:w="1217"/>
        <w:gridCol w:w="1135"/>
        <w:gridCol w:w="1801"/>
      </w:tblGrid>
      <w:tr w:rsidR="00F85F7F" w:rsidRPr="00035200" w14:paraId="766D580E" w14:textId="77777777" w:rsidTr="00116DD5">
        <w:trPr>
          <w:trHeight w:val="397"/>
          <w:tblHeader/>
        </w:trPr>
        <w:tc>
          <w:tcPr>
            <w:tcW w:w="752" w:type="pct"/>
          </w:tcPr>
          <w:p w14:paraId="120874F7" w14:textId="77777777" w:rsidR="00F85F7F" w:rsidRPr="00035200" w:rsidRDefault="00F85F7F" w:rsidP="00690358">
            <w:pPr>
              <w:pStyle w:val="Tableheading1"/>
            </w:pPr>
            <w:r w:rsidRPr="00035200">
              <w:t>Outcomes</w:t>
            </w:r>
          </w:p>
        </w:tc>
        <w:tc>
          <w:tcPr>
            <w:tcW w:w="694" w:type="pct"/>
          </w:tcPr>
          <w:p w14:paraId="697BD416" w14:textId="6C7E33E8" w:rsidR="00F85F7F" w:rsidRPr="00035200" w:rsidRDefault="009B42A0" w:rsidP="00690358">
            <w:pPr>
              <w:pStyle w:val="Tableheading1"/>
            </w:pPr>
            <w:r w:rsidRPr="00035200">
              <w:t>Patients/</w:t>
            </w:r>
          </w:p>
          <w:p w14:paraId="4E843E36" w14:textId="77777777" w:rsidR="00F85F7F" w:rsidRPr="00035200" w:rsidRDefault="00F85F7F" w:rsidP="00690358">
            <w:pPr>
              <w:pStyle w:val="Tableheading1"/>
            </w:pPr>
            <w:r w:rsidRPr="00035200">
              <w:t>Studies</w:t>
            </w:r>
          </w:p>
        </w:tc>
        <w:tc>
          <w:tcPr>
            <w:tcW w:w="564" w:type="pct"/>
          </w:tcPr>
          <w:p w14:paraId="42537EE0" w14:textId="77777777" w:rsidR="00F85F7F" w:rsidRPr="00035200" w:rsidRDefault="00F85F7F" w:rsidP="00690358">
            <w:pPr>
              <w:pStyle w:val="Tableheading1"/>
            </w:pPr>
            <w:r w:rsidRPr="00035200">
              <w:t xml:space="preserve">Quality of </w:t>
            </w:r>
            <w:proofErr w:type="spellStart"/>
            <w:r w:rsidRPr="00035200">
              <w:t>evidence</w:t>
            </w:r>
            <w:r w:rsidRPr="00035200">
              <w:rPr>
                <w:vertAlign w:val="superscript"/>
              </w:rPr>
              <w:t>a</w:t>
            </w:r>
            <w:proofErr w:type="spellEnd"/>
          </w:p>
        </w:tc>
        <w:tc>
          <w:tcPr>
            <w:tcW w:w="711" w:type="pct"/>
          </w:tcPr>
          <w:p w14:paraId="18372860" w14:textId="77777777" w:rsidR="00F85F7F" w:rsidRPr="00035200" w:rsidRDefault="00F85F7F" w:rsidP="00690358">
            <w:pPr>
              <w:pStyle w:val="Tableheading1"/>
            </w:pPr>
            <w:r w:rsidRPr="00035200">
              <w:t>No. per 100 patients with intervention [95% CI]</w:t>
            </w:r>
            <w:r w:rsidRPr="00035200">
              <w:rPr>
                <w:vertAlign w:val="superscript"/>
              </w:rPr>
              <w:t>b</w:t>
            </w:r>
          </w:p>
        </w:tc>
        <w:tc>
          <w:tcPr>
            <w:tcW w:w="668" w:type="pct"/>
          </w:tcPr>
          <w:p w14:paraId="1714ABEA" w14:textId="77777777" w:rsidR="00F85F7F" w:rsidRPr="00035200" w:rsidRDefault="00F85F7F" w:rsidP="00690358">
            <w:pPr>
              <w:pStyle w:val="Tableheading1"/>
            </w:pPr>
            <w:r w:rsidRPr="00035200">
              <w:t xml:space="preserve">No. per 100 patients with </w:t>
            </w:r>
            <w:proofErr w:type="spellStart"/>
            <w:r w:rsidRPr="00035200">
              <w:t>comparator</w:t>
            </w:r>
            <w:r w:rsidRPr="00035200">
              <w:rPr>
                <w:vertAlign w:val="superscript"/>
              </w:rPr>
              <w:t>c</w:t>
            </w:r>
            <w:proofErr w:type="spellEnd"/>
            <w:r w:rsidRPr="00035200">
              <w:t xml:space="preserve"> [95% CI]</w:t>
            </w:r>
          </w:p>
        </w:tc>
        <w:tc>
          <w:tcPr>
            <w:tcW w:w="623" w:type="pct"/>
          </w:tcPr>
          <w:p w14:paraId="0F13FCF6" w14:textId="77777777" w:rsidR="00F85F7F" w:rsidRPr="00035200" w:rsidRDefault="00F85F7F" w:rsidP="00690358">
            <w:pPr>
              <w:pStyle w:val="Tableheading1"/>
            </w:pPr>
            <w:r w:rsidRPr="00035200">
              <w:t>Importance</w:t>
            </w:r>
          </w:p>
        </w:tc>
        <w:tc>
          <w:tcPr>
            <w:tcW w:w="988" w:type="pct"/>
          </w:tcPr>
          <w:p w14:paraId="0CDC31C0" w14:textId="77777777" w:rsidR="00F85F7F" w:rsidRPr="00035200" w:rsidRDefault="00F85F7F" w:rsidP="00690358">
            <w:pPr>
              <w:pStyle w:val="Tableheading1"/>
            </w:pPr>
            <w:r w:rsidRPr="00035200">
              <w:t>Comments</w:t>
            </w:r>
          </w:p>
        </w:tc>
      </w:tr>
      <w:tr w:rsidR="00203C89" w:rsidRPr="002048E2" w14:paraId="53822838" w14:textId="77777777" w:rsidTr="00116DD5">
        <w:trPr>
          <w:trHeight w:val="397"/>
        </w:trPr>
        <w:tc>
          <w:tcPr>
            <w:tcW w:w="752" w:type="pct"/>
          </w:tcPr>
          <w:p w14:paraId="5BD811F6" w14:textId="3D1FC5AB" w:rsidR="00203C89" w:rsidRPr="002048E2" w:rsidRDefault="00203C89" w:rsidP="00AE7386">
            <w:pPr>
              <w:pStyle w:val="Tabletext1"/>
            </w:pPr>
            <w:r w:rsidRPr="002048E2">
              <w:t xml:space="preserve">True </w:t>
            </w:r>
            <w:r w:rsidR="00AE7386">
              <w:br/>
            </w:r>
            <w:r w:rsidRPr="002048E2">
              <w:t>positives</w:t>
            </w:r>
          </w:p>
        </w:tc>
        <w:tc>
          <w:tcPr>
            <w:tcW w:w="694" w:type="pct"/>
          </w:tcPr>
          <w:p w14:paraId="0B35F465" w14:textId="1382EF74" w:rsidR="00203C89" w:rsidRPr="00955C58" w:rsidRDefault="00203C89" w:rsidP="00690358">
            <w:pPr>
              <w:pStyle w:val="Tabletext1"/>
            </w:pPr>
            <w:r w:rsidRPr="00955C58">
              <w:t>2</w:t>
            </w:r>
            <w:r w:rsidR="00463658">
              <w:t>,</w:t>
            </w:r>
            <w:r w:rsidRPr="00955C58">
              <w:t>062 patients</w:t>
            </w:r>
          </w:p>
          <w:p w14:paraId="2FED7AFE" w14:textId="3752D91E" w:rsidR="00203C89" w:rsidRPr="002048E2" w:rsidRDefault="00203C89" w:rsidP="00690358">
            <w:pPr>
              <w:pStyle w:val="Tabletext1"/>
            </w:pPr>
            <w:r w:rsidRPr="00955C58">
              <w:t>(10 studies</w:t>
            </w:r>
            <w:r w:rsidRPr="00DF78F8">
              <w:t>)</w:t>
            </w:r>
            <w:r w:rsidR="009B42A0">
              <w:t>.</w:t>
            </w:r>
          </w:p>
        </w:tc>
        <w:tc>
          <w:tcPr>
            <w:tcW w:w="564" w:type="pct"/>
          </w:tcPr>
          <w:p w14:paraId="449433DF" w14:textId="77777777" w:rsidR="00203C89" w:rsidRPr="002048E2" w:rsidRDefault="00203C89" w:rsidP="00690358">
            <w:pPr>
              <w:pStyle w:val="Tabletext1"/>
              <w:rPr>
                <w:rFonts w:cs="Arial"/>
              </w:rPr>
            </w:pPr>
            <w:r w:rsidRPr="00DF78F8">
              <w:rPr>
                <w:rFonts w:ascii="Cambria Math" w:hAnsi="Cambria Math" w:cs="Cambria Math"/>
                <w:color w:val="00B050"/>
              </w:rPr>
              <w:t>⨁⨁</w:t>
            </w:r>
            <w:r w:rsidRPr="00DF78F8">
              <w:rPr>
                <w:rFonts w:ascii="Cambria Math" w:hAnsi="Cambria Math" w:cs="Cambria Math"/>
                <w:color w:val="C00000"/>
              </w:rPr>
              <w:t>⨀⨀</w:t>
            </w:r>
          </w:p>
        </w:tc>
        <w:tc>
          <w:tcPr>
            <w:tcW w:w="711" w:type="pct"/>
          </w:tcPr>
          <w:p w14:paraId="0496C470" w14:textId="24216912" w:rsidR="00203C89" w:rsidRPr="002048E2" w:rsidRDefault="00203C89" w:rsidP="00690358">
            <w:pPr>
              <w:pStyle w:val="Tabletext1"/>
            </w:pPr>
            <w:r w:rsidRPr="00DF78F8">
              <w:t>26 [20,</w:t>
            </w:r>
            <w:r w:rsidR="003C22EA">
              <w:t xml:space="preserve"> </w:t>
            </w:r>
            <w:r w:rsidRPr="00DF78F8">
              <w:t>30]</w:t>
            </w:r>
          </w:p>
        </w:tc>
        <w:tc>
          <w:tcPr>
            <w:tcW w:w="668" w:type="pct"/>
          </w:tcPr>
          <w:p w14:paraId="26FAA8AC" w14:textId="77777777" w:rsidR="00203C89" w:rsidRPr="002048E2" w:rsidRDefault="00203C89" w:rsidP="00690358">
            <w:pPr>
              <w:pStyle w:val="Tabletext1"/>
            </w:pPr>
            <w:r w:rsidRPr="00DF78F8">
              <w:t>28 [25, 31]</w:t>
            </w:r>
          </w:p>
        </w:tc>
        <w:tc>
          <w:tcPr>
            <w:tcW w:w="623" w:type="pct"/>
          </w:tcPr>
          <w:p w14:paraId="792599DC" w14:textId="77777777" w:rsidR="00203C89" w:rsidRPr="002048E2" w:rsidRDefault="00203C89" w:rsidP="00690358">
            <w:pPr>
              <w:pStyle w:val="Tabletext1"/>
            </w:pPr>
            <w:r w:rsidRPr="002048E2">
              <w:t>Critical</w:t>
            </w:r>
          </w:p>
        </w:tc>
        <w:tc>
          <w:tcPr>
            <w:tcW w:w="988" w:type="pct"/>
          </w:tcPr>
          <w:p w14:paraId="328C82C9" w14:textId="134149BC" w:rsidR="00203C89" w:rsidRPr="002048E2" w:rsidRDefault="00203C89" w:rsidP="00690358">
            <w:pPr>
              <w:pStyle w:val="Tabletext1"/>
            </w:pPr>
            <w:r w:rsidRPr="002048E2">
              <w:t>Will undergo biopsy as under current management.</w:t>
            </w:r>
          </w:p>
        </w:tc>
      </w:tr>
      <w:tr w:rsidR="00116DD5" w:rsidRPr="002048E2" w14:paraId="5EE9A462" w14:textId="77777777" w:rsidTr="00116DD5">
        <w:trPr>
          <w:trHeight w:val="397"/>
        </w:trPr>
        <w:tc>
          <w:tcPr>
            <w:tcW w:w="752" w:type="pct"/>
          </w:tcPr>
          <w:p w14:paraId="2DA0913C" w14:textId="77777777" w:rsidR="00116DD5" w:rsidRPr="002048E2" w:rsidRDefault="00116DD5" w:rsidP="00201E80">
            <w:pPr>
              <w:pStyle w:val="Tabletext1"/>
            </w:pPr>
            <w:r w:rsidRPr="002048E2">
              <w:t>False positives</w:t>
            </w:r>
          </w:p>
        </w:tc>
        <w:tc>
          <w:tcPr>
            <w:tcW w:w="694" w:type="pct"/>
          </w:tcPr>
          <w:p w14:paraId="03F06AB7" w14:textId="77777777" w:rsidR="00116DD5" w:rsidRPr="00955C58" w:rsidRDefault="00116DD5" w:rsidP="00201E80">
            <w:pPr>
              <w:pStyle w:val="Tabletext1"/>
            </w:pPr>
            <w:r w:rsidRPr="00955C58">
              <w:t>2</w:t>
            </w:r>
            <w:r>
              <w:t>,</w:t>
            </w:r>
            <w:r w:rsidRPr="00955C58">
              <w:t>062 patients</w:t>
            </w:r>
          </w:p>
          <w:p w14:paraId="393A9FA2" w14:textId="77777777" w:rsidR="00116DD5" w:rsidRPr="002048E2" w:rsidRDefault="00116DD5" w:rsidP="00201E80">
            <w:pPr>
              <w:pStyle w:val="Tabletext1"/>
            </w:pPr>
            <w:r w:rsidRPr="00955C58">
              <w:t>(10 studies</w:t>
            </w:r>
            <w:r w:rsidRPr="002048E2">
              <w:t>)</w:t>
            </w:r>
            <w:r>
              <w:t>.</w:t>
            </w:r>
          </w:p>
        </w:tc>
        <w:tc>
          <w:tcPr>
            <w:tcW w:w="564" w:type="pct"/>
          </w:tcPr>
          <w:p w14:paraId="190AE9B0" w14:textId="77777777" w:rsidR="00116DD5" w:rsidRPr="002048E2" w:rsidRDefault="00116DD5" w:rsidP="00201E80">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52B3C4A0" w14:textId="77777777" w:rsidR="00116DD5" w:rsidRPr="002048E2" w:rsidRDefault="00116DD5" w:rsidP="00201E80">
            <w:pPr>
              <w:pStyle w:val="Tabletext1"/>
            </w:pPr>
            <w:r w:rsidRPr="002048E2">
              <w:t>15 [9, 24]</w:t>
            </w:r>
          </w:p>
        </w:tc>
        <w:tc>
          <w:tcPr>
            <w:tcW w:w="668" w:type="pct"/>
          </w:tcPr>
          <w:p w14:paraId="558B1719" w14:textId="77777777" w:rsidR="00116DD5" w:rsidRPr="002048E2" w:rsidRDefault="00116DD5" w:rsidP="00201E80">
            <w:pPr>
              <w:pStyle w:val="Tabletext1"/>
            </w:pPr>
            <w:r w:rsidRPr="002048E2">
              <w:t>0 [0, 0]</w:t>
            </w:r>
          </w:p>
        </w:tc>
        <w:tc>
          <w:tcPr>
            <w:tcW w:w="623" w:type="pct"/>
          </w:tcPr>
          <w:p w14:paraId="54020647" w14:textId="77777777" w:rsidR="00116DD5" w:rsidRPr="002048E2" w:rsidRDefault="00116DD5" w:rsidP="00201E80">
            <w:pPr>
              <w:pStyle w:val="Tabletext1"/>
            </w:pPr>
            <w:r w:rsidRPr="002048E2">
              <w:t>Critical</w:t>
            </w:r>
          </w:p>
        </w:tc>
        <w:tc>
          <w:tcPr>
            <w:tcW w:w="988" w:type="pct"/>
          </w:tcPr>
          <w:p w14:paraId="6CB7B6B8" w14:textId="77777777" w:rsidR="00116DD5" w:rsidRPr="002048E2" w:rsidRDefault="00116DD5" w:rsidP="00201E80">
            <w:pPr>
              <w:pStyle w:val="Tabletext1"/>
              <w:rPr>
                <w:highlight w:val="yellow"/>
              </w:rPr>
            </w:pPr>
            <w:r w:rsidRPr="002048E2">
              <w:t>Will undergo biopsy as under current management.</w:t>
            </w:r>
          </w:p>
        </w:tc>
      </w:tr>
      <w:tr w:rsidR="00116DD5" w:rsidRPr="002048E2" w14:paraId="2F45703B" w14:textId="77777777" w:rsidTr="00201E80">
        <w:trPr>
          <w:trHeight w:val="397"/>
        </w:trPr>
        <w:tc>
          <w:tcPr>
            <w:tcW w:w="752" w:type="pct"/>
          </w:tcPr>
          <w:p w14:paraId="457CE3C4" w14:textId="77777777" w:rsidR="00116DD5" w:rsidRPr="003F1AF9" w:rsidRDefault="00116DD5" w:rsidP="00201E80">
            <w:pPr>
              <w:pStyle w:val="Tabletext1"/>
            </w:pPr>
            <w:r w:rsidRPr="002048E2">
              <w:t>Tr</w:t>
            </w:r>
            <w:r w:rsidRPr="003F1AF9">
              <w:t>ue negatives</w:t>
            </w:r>
          </w:p>
        </w:tc>
        <w:tc>
          <w:tcPr>
            <w:tcW w:w="694" w:type="pct"/>
          </w:tcPr>
          <w:p w14:paraId="633AA853" w14:textId="77777777" w:rsidR="00116DD5" w:rsidRPr="00955C58" w:rsidRDefault="00116DD5" w:rsidP="00201E80">
            <w:pPr>
              <w:pStyle w:val="Tabletext1"/>
            </w:pPr>
            <w:r w:rsidRPr="00955C58">
              <w:t>2</w:t>
            </w:r>
            <w:r>
              <w:t>,</w:t>
            </w:r>
            <w:r w:rsidRPr="00955C58">
              <w:t>062 patients</w:t>
            </w:r>
          </w:p>
          <w:p w14:paraId="5C5854FD" w14:textId="77777777" w:rsidR="00116DD5" w:rsidRPr="002048E2" w:rsidRDefault="00116DD5" w:rsidP="00201E80">
            <w:pPr>
              <w:pStyle w:val="Tabletext1"/>
            </w:pPr>
            <w:r w:rsidRPr="00955C58">
              <w:t>(10 studies</w:t>
            </w:r>
            <w:r w:rsidRPr="002048E2">
              <w:t>)</w:t>
            </w:r>
            <w:r>
              <w:t>.</w:t>
            </w:r>
          </w:p>
        </w:tc>
        <w:tc>
          <w:tcPr>
            <w:tcW w:w="564" w:type="pct"/>
          </w:tcPr>
          <w:p w14:paraId="43C149C6" w14:textId="77777777" w:rsidR="00116DD5" w:rsidRPr="002048E2" w:rsidRDefault="00116DD5" w:rsidP="00201E80">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6937FEEE" w14:textId="77777777" w:rsidR="00116DD5" w:rsidRPr="002048E2" w:rsidRDefault="00116DD5" w:rsidP="00201E80">
            <w:pPr>
              <w:pStyle w:val="Tabletext1"/>
            </w:pPr>
            <w:r w:rsidRPr="002048E2">
              <w:t>50 [41, 56]</w:t>
            </w:r>
          </w:p>
        </w:tc>
        <w:tc>
          <w:tcPr>
            <w:tcW w:w="668" w:type="pct"/>
          </w:tcPr>
          <w:p w14:paraId="243BCDAC" w14:textId="77777777" w:rsidR="00116DD5" w:rsidRPr="002048E2" w:rsidRDefault="00116DD5" w:rsidP="00201E80">
            <w:pPr>
              <w:pStyle w:val="Tabletext1"/>
            </w:pPr>
            <w:r w:rsidRPr="002048E2">
              <w:t>65 [65, 65]</w:t>
            </w:r>
          </w:p>
        </w:tc>
        <w:tc>
          <w:tcPr>
            <w:tcW w:w="623" w:type="pct"/>
          </w:tcPr>
          <w:p w14:paraId="254E17D4" w14:textId="77777777" w:rsidR="00116DD5" w:rsidRPr="002048E2" w:rsidRDefault="00116DD5" w:rsidP="00201E80">
            <w:pPr>
              <w:pStyle w:val="Tabletext1"/>
            </w:pPr>
            <w:r w:rsidRPr="002048E2">
              <w:t>Critical</w:t>
            </w:r>
          </w:p>
        </w:tc>
        <w:tc>
          <w:tcPr>
            <w:tcW w:w="988" w:type="pct"/>
          </w:tcPr>
          <w:p w14:paraId="3FF4D969" w14:textId="77777777" w:rsidR="00116DD5" w:rsidRPr="002048E2" w:rsidRDefault="00116DD5" w:rsidP="00201E80">
            <w:pPr>
              <w:pStyle w:val="Tabletext1"/>
              <w:rPr>
                <w:highlight w:val="yellow"/>
              </w:rPr>
            </w:pPr>
            <w:r w:rsidRPr="002048E2">
              <w:t xml:space="preserve">Will avoid </w:t>
            </w:r>
            <w:r>
              <w:t xml:space="preserve">the potential adverse events resultant from </w:t>
            </w:r>
            <w:r w:rsidRPr="002048E2">
              <w:t>biopsy.</w:t>
            </w:r>
          </w:p>
        </w:tc>
      </w:tr>
      <w:tr w:rsidR="00203C89" w:rsidRPr="002048E2" w14:paraId="2F6C5E97" w14:textId="77777777" w:rsidTr="00116DD5">
        <w:trPr>
          <w:trHeight w:val="397"/>
        </w:trPr>
        <w:tc>
          <w:tcPr>
            <w:tcW w:w="752" w:type="pct"/>
          </w:tcPr>
          <w:p w14:paraId="434DC5F5" w14:textId="77777777" w:rsidR="00203C89" w:rsidRPr="002048E2" w:rsidRDefault="00203C89" w:rsidP="00690358">
            <w:pPr>
              <w:pStyle w:val="Tabletext1"/>
            </w:pPr>
            <w:r w:rsidRPr="002048E2">
              <w:t xml:space="preserve">False negatives </w:t>
            </w:r>
          </w:p>
        </w:tc>
        <w:tc>
          <w:tcPr>
            <w:tcW w:w="694" w:type="pct"/>
          </w:tcPr>
          <w:p w14:paraId="19B02B23" w14:textId="2128F8F4" w:rsidR="00203C89" w:rsidRPr="00955C58" w:rsidRDefault="00203C89" w:rsidP="00690358">
            <w:pPr>
              <w:pStyle w:val="Tabletext1"/>
            </w:pPr>
            <w:r w:rsidRPr="00955C58">
              <w:t>2</w:t>
            </w:r>
            <w:r w:rsidR="00463658">
              <w:t>,</w:t>
            </w:r>
            <w:r w:rsidRPr="00955C58">
              <w:t>062 patients</w:t>
            </w:r>
          </w:p>
          <w:p w14:paraId="16739D1B" w14:textId="479CD6F9" w:rsidR="00203C89" w:rsidRPr="002048E2" w:rsidRDefault="00203C89" w:rsidP="00690358">
            <w:pPr>
              <w:pStyle w:val="Tabletext1"/>
            </w:pPr>
            <w:r w:rsidRPr="00955C58">
              <w:t>(10 studies</w:t>
            </w:r>
            <w:r w:rsidRPr="002048E2">
              <w:t>)</w:t>
            </w:r>
            <w:r w:rsidR="009B42A0">
              <w:t>.</w:t>
            </w:r>
          </w:p>
        </w:tc>
        <w:tc>
          <w:tcPr>
            <w:tcW w:w="564" w:type="pct"/>
          </w:tcPr>
          <w:p w14:paraId="6C5EE1E8" w14:textId="77777777" w:rsidR="00203C89" w:rsidRPr="002048E2" w:rsidRDefault="00203C89"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0F0D7DF7" w14:textId="30C8914F" w:rsidR="00203C89" w:rsidRPr="002048E2" w:rsidRDefault="00203C89" w:rsidP="00690358">
            <w:pPr>
              <w:pStyle w:val="Tabletext1"/>
            </w:pPr>
            <w:r w:rsidRPr="002048E2">
              <w:t>9 [5,</w:t>
            </w:r>
            <w:r w:rsidR="003C22EA">
              <w:t xml:space="preserve"> </w:t>
            </w:r>
            <w:r w:rsidRPr="002048E2">
              <w:t>15]</w:t>
            </w:r>
          </w:p>
        </w:tc>
        <w:tc>
          <w:tcPr>
            <w:tcW w:w="668" w:type="pct"/>
          </w:tcPr>
          <w:p w14:paraId="13A629CD" w14:textId="77777777" w:rsidR="00203C89" w:rsidRPr="002048E2" w:rsidRDefault="00203C89" w:rsidP="00690358">
            <w:pPr>
              <w:pStyle w:val="Tabletext1"/>
            </w:pPr>
            <w:r w:rsidRPr="002048E2">
              <w:t>7 [4, 11]</w:t>
            </w:r>
          </w:p>
        </w:tc>
        <w:tc>
          <w:tcPr>
            <w:tcW w:w="623" w:type="pct"/>
          </w:tcPr>
          <w:p w14:paraId="689E525F" w14:textId="77777777" w:rsidR="00203C89" w:rsidRPr="002048E2" w:rsidRDefault="00203C89" w:rsidP="00690358">
            <w:pPr>
              <w:pStyle w:val="Tabletext1"/>
            </w:pPr>
            <w:r w:rsidRPr="002048E2">
              <w:t>Critical</w:t>
            </w:r>
          </w:p>
        </w:tc>
        <w:tc>
          <w:tcPr>
            <w:tcW w:w="988" w:type="pct"/>
          </w:tcPr>
          <w:p w14:paraId="1CCAE97F" w14:textId="37EE0610" w:rsidR="00203C89" w:rsidRPr="002048E2" w:rsidRDefault="00203C89" w:rsidP="00690358">
            <w:pPr>
              <w:pStyle w:val="Tabletext1"/>
            </w:pPr>
            <w:r w:rsidRPr="002048E2">
              <w:t xml:space="preserve">Will avoid the </w:t>
            </w:r>
            <w:r w:rsidR="00463658">
              <w:t xml:space="preserve">potential </w:t>
            </w:r>
            <w:r w:rsidRPr="002048E2">
              <w:t xml:space="preserve">adverse events </w:t>
            </w:r>
            <w:r w:rsidR="00463658">
              <w:t>resultant from</w:t>
            </w:r>
            <w:r w:rsidR="00463658" w:rsidRPr="002048E2">
              <w:t xml:space="preserve"> </w:t>
            </w:r>
            <w:r w:rsidRPr="002048E2">
              <w:t>biopsy but possible detriment due to delayed treatment.</w:t>
            </w:r>
          </w:p>
        </w:tc>
      </w:tr>
      <w:tr w:rsidR="00F85F7F" w:rsidRPr="002048E2" w14:paraId="66D7504C" w14:textId="77777777" w:rsidTr="00116DD5">
        <w:trPr>
          <w:trHeight w:val="397"/>
        </w:trPr>
        <w:tc>
          <w:tcPr>
            <w:tcW w:w="752" w:type="pct"/>
          </w:tcPr>
          <w:p w14:paraId="2A31E313" w14:textId="77777777" w:rsidR="00F85F7F" w:rsidRPr="00955C58" w:rsidRDefault="00F85F7F" w:rsidP="00690358">
            <w:pPr>
              <w:pStyle w:val="Tabletext1"/>
              <w:rPr>
                <w:rFonts w:cs="Arial"/>
              </w:rPr>
            </w:pPr>
            <w:r w:rsidRPr="002048E2">
              <w:rPr>
                <w:rStyle w:val="label"/>
              </w:rPr>
              <w:t>Major Infection</w:t>
            </w:r>
          </w:p>
        </w:tc>
        <w:tc>
          <w:tcPr>
            <w:tcW w:w="694" w:type="pct"/>
          </w:tcPr>
          <w:p w14:paraId="3C1FB9A0" w14:textId="77777777" w:rsidR="009B42A0" w:rsidRDefault="00F85F7F" w:rsidP="00690358">
            <w:pPr>
              <w:pStyle w:val="Tabletext1"/>
            </w:pPr>
            <w:r w:rsidRPr="00955C58">
              <w:t xml:space="preserve">45,492 patients </w:t>
            </w:r>
          </w:p>
          <w:p w14:paraId="56E12A6A" w14:textId="18425DDE" w:rsidR="00F85F7F" w:rsidRPr="002048E2" w:rsidRDefault="00463658" w:rsidP="00690358">
            <w:pPr>
              <w:pStyle w:val="Tabletext1"/>
              <w:rPr>
                <w:rFonts w:cs="Arial"/>
              </w:rPr>
            </w:pPr>
            <w:r>
              <w:t>(</w:t>
            </w:r>
            <w:r w:rsidR="00F85F7F" w:rsidRPr="00955C58">
              <w:t>8 studies</w:t>
            </w:r>
            <w:r>
              <w:t>)</w:t>
            </w:r>
            <w:r w:rsidR="00035200">
              <w:t>.</w:t>
            </w:r>
          </w:p>
        </w:tc>
        <w:tc>
          <w:tcPr>
            <w:tcW w:w="564" w:type="pct"/>
          </w:tcPr>
          <w:p w14:paraId="17250E89" w14:textId="77777777" w:rsidR="00F85F7F" w:rsidRPr="002048E2" w:rsidRDefault="00F85F7F"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03AB5213" w14:textId="77777777" w:rsidR="00F85F7F" w:rsidRPr="002048E2" w:rsidRDefault="00F85F7F" w:rsidP="00690358">
            <w:pPr>
              <w:pStyle w:val="Tabletext1"/>
            </w:pPr>
            <w:r w:rsidRPr="002048E2">
              <w:t>0</w:t>
            </w:r>
          </w:p>
        </w:tc>
        <w:tc>
          <w:tcPr>
            <w:tcW w:w="668" w:type="pct"/>
          </w:tcPr>
          <w:p w14:paraId="5E784E22" w14:textId="77777777" w:rsidR="00F85F7F" w:rsidRPr="00847AF1" w:rsidRDefault="00F85F7F" w:rsidP="00690358">
            <w:pPr>
              <w:pStyle w:val="Tabletext1"/>
            </w:pPr>
            <w:r w:rsidRPr="00847AF1">
              <w:t>TRUSGB: Range 0-2</w:t>
            </w:r>
          </w:p>
          <w:p w14:paraId="485A6723" w14:textId="77777777" w:rsidR="00F85F7F" w:rsidRPr="00847AF1" w:rsidRDefault="00F85F7F" w:rsidP="00690358">
            <w:pPr>
              <w:pStyle w:val="Tabletext1"/>
            </w:pPr>
            <w:r w:rsidRPr="00847AF1">
              <w:t>TPUSGB: 0</w:t>
            </w:r>
          </w:p>
        </w:tc>
        <w:tc>
          <w:tcPr>
            <w:tcW w:w="623" w:type="pct"/>
          </w:tcPr>
          <w:p w14:paraId="4F337C0F" w14:textId="77777777" w:rsidR="00F85F7F" w:rsidRPr="002048E2" w:rsidRDefault="00F85F7F" w:rsidP="00690358">
            <w:pPr>
              <w:pStyle w:val="Tabletext1"/>
            </w:pPr>
            <w:r w:rsidRPr="002048E2">
              <w:t>Critical</w:t>
            </w:r>
          </w:p>
        </w:tc>
        <w:tc>
          <w:tcPr>
            <w:tcW w:w="988" w:type="pct"/>
            <w:shd w:val="clear" w:color="auto" w:fill="auto"/>
          </w:tcPr>
          <w:p w14:paraId="052B3D32" w14:textId="161B4A0F" w:rsidR="00F85F7F" w:rsidRPr="002048E2" w:rsidRDefault="00203C89" w:rsidP="00690358">
            <w:pPr>
              <w:pStyle w:val="Tabletext1"/>
            </w:pPr>
            <w:r w:rsidRPr="002048E2">
              <w:t>-</w:t>
            </w:r>
          </w:p>
        </w:tc>
      </w:tr>
      <w:tr w:rsidR="00F85F7F" w:rsidRPr="002048E2" w14:paraId="1621C036" w14:textId="77777777" w:rsidTr="00116DD5">
        <w:trPr>
          <w:trHeight w:val="397"/>
        </w:trPr>
        <w:tc>
          <w:tcPr>
            <w:tcW w:w="752" w:type="pct"/>
          </w:tcPr>
          <w:p w14:paraId="6D306918" w14:textId="77777777" w:rsidR="00F85F7F" w:rsidRPr="00955C58" w:rsidRDefault="00F85F7F" w:rsidP="00690358">
            <w:pPr>
              <w:pStyle w:val="Tabletext1"/>
              <w:rPr>
                <w:rFonts w:cs="Arial"/>
              </w:rPr>
            </w:pPr>
            <w:r w:rsidRPr="002048E2">
              <w:rPr>
                <w:rStyle w:val="label"/>
              </w:rPr>
              <w:t>Minor infection</w:t>
            </w:r>
          </w:p>
        </w:tc>
        <w:tc>
          <w:tcPr>
            <w:tcW w:w="694" w:type="pct"/>
          </w:tcPr>
          <w:p w14:paraId="140338B1" w14:textId="77777777" w:rsidR="009B42A0" w:rsidRDefault="00F85F7F" w:rsidP="00690358">
            <w:pPr>
              <w:pStyle w:val="Tabletext1"/>
            </w:pPr>
            <w:r w:rsidRPr="00955C58">
              <w:t>132,239 patients</w:t>
            </w:r>
            <w:r w:rsidRPr="002048E2">
              <w:t xml:space="preserve"> </w:t>
            </w:r>
          </w:p>
          <w:p w14:paraId="753CB6BA" w14:textId="4517DC9F" w:rsidR="00F85F7F" w:rsidRPr="002048E2" w:rsidRDefault="00463658" w:rsidP="00690358">
            <w:pPr>
              <w:pStyle w:val="Tabletext1"/>
              <w:rPr>
                <w:rFonts w:cs="Arial"/>
              </w:rPr>
            </w:pPr>
            <w:r>
              <w:t>(</w:t>
            </w:r>
            <w:r w:rsidR="00F85F7F" w:rsidRPr="002048E2">
              <w:t>9 studies</w:t>
            </w:r>
            <w:r>
              <w:t>)</w:t>
            </w:r>
            <w:r w:rsidR="00035200">
              <w:t>.</w:t>
            </w:r>
          </w:p>
        </w:tc>
        <w:tc>
          <w:tcPr>
            <w:tcW w:w="564" w:type="pct"/>
          </w:tcPr>
          <w:p w14:paraId="353AE4E6" w14:textId="77777777" w:rsidR="00F85F7F" w:rsidRPr="002048E2" w:rsidRDefault="00F85F7F"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2F6C119D" w14:textId="77777777" w:rsidR="00F85F7F" w:rsidRPr="002048E2" w:rsidRDefault="00F85F7F" w:rsidP="00690358">
            <w:pPr>
              <w:pStyle w:val="Tabletext1"/>
            </w:pPr>
            <w:r w:rsidRPr="002048E2">
              <w:t>0</w:t>
            </w:r>
          </w:p>
        </w:tc>
        <w:tc>
          <w:tcPr>
            <w:tcW w:w="668" w:type="pct"/>
          </w:tcPr>
          <w:p w14:paraId="5FEC8781" w14:textId="77777777" w:rsidR="00F85F7F" w:rsidRPr="002048E2" w:rsidRDefault="00F85F7F" w:rsidP="00690358">
            <w:pPr>
              <w:pStyle w:val="Tabletext1"/>
            </w:pPr>
            <w:r w:rsidRPr="002048E2">
              <w:t>TRUSGB: Range 0-7</w:t>
            </w:r>
          </w:p>
          <w:p w14:paraId="1017470B" w14:textId="77777777" w:rsidR="00F85F7F" w:rsidRPr="002048E2" w:rsidRDefault="00F85F7F" w:rsidP="00690358">
            <w:pPr>
              <w:pStyle w:val="Tabletext1"/>
            </w:pPr>
            <w:r w:rsidRPr="002048E2">
              <w:t>TPUSGB: Range 0-1</w:t>
            </w:r>
          </w:p>
        </w:tc>
        <w:tc>
          <w:tcPr>
            <w:tcW w:w="623" w:type="pct"/>
          </w:tcPr>
          <w:p w14:paraId="680D290A" w14:textId="77777777" w:rsidR="00F85F7F" w:rsidRPr="002048E2" w:rsidRDefault="00F85F7F" w:rsidP="00690358">
            <w:pPr>
              <w:pStyle w:val="Tabletext1"/>
            </w:pPr>
            <w:r w:rsidRPr="002048E2">
              <w:t>Critical</w:t>
            </w:r>
          </w:p>
        </w:tc>
        <w:tc>
          <w:tcPr>
            <w:tcW w:w="988" w:type="pct"/>
            <w:shd w:val="clear" w:color="auto" w:fill="auto"/>
          </w:tcPr>
          <w:p w14:paraId="5BEC5FBD" w14:textId="2FF4DD3E" w:rsidR="00F85F7F" w:rsidRPr="002048E2" w:rsidRDefault="00203C89" w:rsidP="00690358">
            <w:pPr>
              <w:pStyle w:val="Tabletext1"/>
            </w:pPr>
            <w:r w:rsidRPr="002048E2">
              <w:t>-</w:t>
            </w:r>
          </w:p>
        </w:tc>
      </w:tr>
      <w:tr w:rsidR="00F85F7F" w:rsidRPr="002048E2" w14:paraId="63BC2431" w14:textId="77777777" w:rsidTr="00116DD5">
        <w:trPr>
          <w:trHeight w:val="397"/>
        </w:trPr>
        <w:tc>
          <w:tcPr>
            <w:tcW w:w="752" w:type="pct"/>
          </w:tcPr>
          <w:p w14:paraId="27D79655" w14:textId="77777777" w:rsidR="00F85F7F" w:rsidRPr="00955C58" w:rsidRDefault="00F85F7F" w:rsidP="00690358">
            <w:pPr>
              <w:pStyle w:val="Tabletext1"/>
              <w:rPr>
                <w:rFonts w:cs="Arial"/>
              </w:rPr>
            </w:pPr>
            <w:r w:rsidRPr="002048E2">
              <w:rPr>
                <w:rStyle w:val="label"/>
              </w:rPr>
              <w:t>Re-hospitalisation</w:t>
            </w:r>
          </w:p>
        </w:tc>
        <w:tc>
          <w:tcPr>
            <w:tcW w:w="694" w:type="pct"/>
          </w:tcPr>
          <w:p w14:paraId="58655941" w14:textId="77777777" w:rsidR="009B42A0" w:rsidRDefault="00F85F7F" w:rsidP="00690358">
            <w:pPr>
              <w:pStyle w:val="Tabletext1"/>
            </w:pPr>
            <w:r w:rsidRPr="00955C58">
              <w:t>292,956 patients</w:t>
            </w:r>
            <w:r w:rsidRPr="002048E2">
              <w:t xml:space="preserve"> </w:t>
            </w:r>
          </w:p>
          <w:p w14:paraId="14AF15FF" w14:textId="007338EA" w:rsidR="00F85F7F" w:rsidRPr="002048E2" w:rsidRDefault="00463658" w:rsidP="00690358">
            <w:pPr>
              <w:pStyle w:val="Tabletext1"/>
              <w:rPr>
                <w:rFonts w:cs="Arial"/>
              </w:rPr>
            </w:pPr>
            <w:r>
              <w:t>(</w:t>
            </w:r>
            <w:r w:rsidR="00F85F7F" w:rsidRPr="002048E2">
              <w:t>9 studies</w:t>
            </w:r>
            <w:r>
              <w:t>)</w:t>
            </w:r>
            <w:r w:rsidR="00035200">
              <w:t>.</w:t>
            </w:r>
          </w:p>
        </w:tc>
        <w:tc>
          <w:tcPr>
            <w:tcW w:w="564" w:type="pct"/>
          </w:tcPr>
          <w:p w14:paraId="1BEB8652" w14:textId="77777777" w:rsidR="00F85F7F" w:rsidRPr="002048E2" w:rsidRDefault="00F85F7F"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358CB17C" w14:textId="77777777" w:rsidR="00F85F7F" w:rsidRPr="002048E2" w:rsidRDefault="00F85F7F" w:rsidP="00690358">
            <w:pPr>
              <w:pStyle w:val="Tabletext1"/>
            </w:pPr>
            <w:r w:rsidRPr="002048E2">
              <w:t>0</w:t>
            </w:r>
          </w:p>
        </w:tc>
        <w:tc>
          <w:tcPr>
            <w:tcW w:w="668" w:type="pct"/>
          </w:tcPr>
          <w:p w14:paraId="7181B6A3" w14:textId="77777777" w:rsidR="00F85F7F" w:rsidRPr="002048E2" w:rsidRDefault="00F85F7F" w:rsidP="00690358">
            <w:pPr>
              <w:pStyle w:val="Tabletext1"/>
            </w:pPr>
            <w:r w:rsidRPr="002048E2">
              <w:t>TRUSGB: Range 0-6</w:t>
            </w:r>
          </w:p>
          <w:p w14:paraId="18488E31" w14:textId="77777777" w:rsidR="00F85F7F" w:rsidRPr="002048E2" w:rsidRDefault="00F85F7F" w:rsidP="00690358">
            <w:pPr>
              <w:pStyle w:val="Tabletext1"/>
            </w:pPr>
            <w:r w:rsidRPr="002048E2">
              <w:t>TPUSGB: Range 1-2</w:t>
            </w:r>
          </w:p>
        </w:tc>
        <w:tc>
          <w:tcPr>
            <w:tcW w:w="623" w:type="pct"/>
          </w:tcPr>
          <w:p w14:paraId="3283B4C2" w14:textId="77777777" w:rsidR="00F85F7F" w:rsidRPr="002048E2" w:rsidRDefault="00F85F7F" w:rsidP="00690358">
            <w:pPr>
              <w:pStyle w:val="Tabletext1"/>
            </w:pPr>
            <w:r w:rsidRPr="002048E2">
              <w:t>Critical</w:t>
            </w:r>
          </w:p>
        </w:tc>
        <w:tc>
          <w:tcPr>
            <w:tcW w:w="988" w:type="pct"/>
            <w:shd w:val="clear" w:color="auto" w:fill="auto"/>
          </w:tcPr>
          <w:p w14:paraId="01BA50D8" w14:textId="5FD86B6A" w:rsidR="00F85F7F" w:rsidRPr="002048E2" w:rsidRDefault="00203C89" w:rsidP="00690358">
            <w:pPr>
              <w:pStyle w:val="Tabletext1"/>
            </w:pPr>
            <w:r w:rsidRPr="002048E2">
              <w:t>-</w:t>
            </w:r>
          </w:p>
        </w:tc>
      </w:tr>
      <w:tr w:rsidR="00F85F7F" w:rsidRPr="002048E2" w14:paraId="1996ED7F" w14:textId="77777777" w:rsidTr="00116DD5">
        <w:trPr>
          <w:trHeight w:val="397"/>
        </w:trPr>
        <w:tc>
          <w:tcPr>
            <w:tcW w:w="752" w:type="pct"/>
          </w:tcPr>
          <w:p w14:paraId="43C54EB5" w14:textId="77777777" w:rsidR="00F85F7F" w:rsidRPr="002048E2" w:rsidRDefault="00F85F7F" w:rsidP="00690358">
            <w:pPr>
              <w:pStyle w:val="Tabletext1"/>
              <w:rPr>
                <w:rStyle w:val="label"/>
              </w:rPr>
            </w:pPr>
            <w:r w:rsidRPr="002048E2">
              <w:rPr>
                <w:rStyle w:val="label"/>
              </w:rPr>
              <w:t>Bleeding</w:t>
            </w:r>
          </w:p>
        </w:tc>
        <w:tc>
          <w:tcPr>
            <w:tcW w:w="694" w:type="pct"/>
          </w:tcPr>
          <w:p w14:paraId="705DB4C8" w14:textId="77777777" w:rsidR="009B42A0" w:rsidRDefault="00F85F7F" w:rsidP="00690358">
            <w:pPr>
              <w:pStyle w:val="Tabletext1"/>
            </w:pPr>
            <w:r w:rsidRPr="00955C58">
              <w:t xml:space="preserve">334,688 patients </w:t>
            </w:r>
          </w:p>
          <w:p w14:paraId="03695D9C" w14:textId="5F5B07A7" w:rsidR="00F85F7F" w:rsidRPr="002048E2" w:rsidRDefault="00463658" w:rsidP="00690358">
            <w:pPr>
              <w:pStyle w:val="Tabletext1"/>
              <w:rPr>
                <w:rFonts w:cs="Arial"/>
              </w:rPr>
            </w:pPr>
            <w:r>
              <w:t>(</w:t>
            </w:r>
            <w:r w:rsidR="00F85F7F" w:rsidRPr="00955C58">
              <w:t>13 studies</w:t>
            </w:r>
            <w:r>
              <w:t>)</w:t>
            </w:r>
            <w:r w:rsidR="00035200">
              <w:t>.</w:t>
            </w:r>
          </w:p>
        </w:tc>
        <w:tc>
          <w:tcPr>
            <w:tcW w:w="564" w:type="pct"/>
          </w:tcPr>
          <w:p w14:paraId="7C38D3B4" w14:textId="77777777" w:rsidR="00F85F7F" w:rsidRPr="002048E2" w:rsidRDefault="00F85F7F"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2B1E9CC6" w14:textId="77777777" w:rsidR="00F85F7F" w:rsidRPr="002048E2" w:rsidRDefault="00F85F7F" w:rsidP="00690358">
            <w:pPr>
              <w:pStyle w:val="Tabletext1"/>
            </w:pPr>
            <w:r w:rsidRPr="002048E2">
              <w:t>0</w:t>
            </w:r>
          </w:p>
        </w:tc>
        <w:tc>
          <w:tcPr>
            <w:tcW w:w="668" w:type="pct"/>
          </w:tcPr>
          <w:p w14:paraId="50711F7C" w14:textId="77777777" w:rsidR="00F85F7F" w:rsidRPr="002048E2" w:rsidRDefault="00F85F7F" w:rsidP="00690358">
            <w:pPr>
              <w:pStyle w:val="Tabletext1"/>
            </w:pPr>
            <w:r w:rsidRPr="002048E2">
              <w:t>TRUSGB: Range 1-88</w:t>
            </w:r>
          </w:p>
          <w:p w14:paraId="1ED1C3CC" w14:textId="77777777" w:rsidR="00F85F7F" w:rsidRPr="002048E2" w:rsidRDefault="00F85F7F" w:rsidP="00690358">
            <w:pPr>
              <w:pStyle w:val="Tabletext1"/>
            </w:pPr>
            <w:r w:rsidRPr="002048E2">
              <w:t>TPUSGB: Range 1-6</w:t>
            </w:r>
          </w:p>
        </w:tc>
        <w:tc>
          <w:tcPr>
            <w:tcW w:w="623" w:type="pct"/>
          </w:tcPr>
          <w:p w14:paraId="7051243A" w14:textId="77777777" w:rsidR="00F85F7F" w:rsidRPr="002048E2" w:rsidRDefault="00F85F7F" w:rsidP="00690358">
            <w:pPr>
              <w:pStyle w:val="Tabletext1"/>
            </w:pPr>
            <w:r w:rsidRPr="002048E2">
              <w:t>Important</w:t>
            </w:r>
          </w:p>
        </w:tc>
        <w:tc>
          <w:tcPr>
            <w:tcW w:w="988" w:type="pct"/>
            <w:shd w:val="clear" w:color="auto" w:fill="auto"/>
          </w:tcPr>
          <w:p w14:paraId="73E7AAF8" w14:textId="0C9D9DD3" w:rsidR="00F85F7F" w:rsidRPr="002048E2" w:rsidRDefault="00203C89" w:rsidP="00690358">
            <w:pPr>
              <w:pStyle w:val="Tabletext1"/>
            </w:pPr>
            <w:r w:rsidRPr="002048E2">
              <w:t>-</w:t>
            </w:r>
          </w:p>
        </w:tc>
      </w:tr>
      <w:tr w:rsidR="00F85F7F" w:rsidRPr="002048E2" w14:paraId="6EC6D364" w14:textId="77777777" w:rsidTr="00116DD5">
        <w:trPr>
          <w:trHeight w:val="397"/>
        </w:trPr>
        <w:tc>
          <w:tcPr>
            <w:tcW w:w="752" w:type="pct"/>
          </w:tcPr>
          <w:p w14:paraId="4E21EF49" w14:textId="77777777" w:rsidR="00F85F7F" w:rsidRPr="002048E2" w:rsidRDefault="00F85F7F" w:rsidP="00690358">
            <w:pPr>
              <w:pStyle w:val="Tabletext1"/>
              <w:rPr>
                <w:rStyle w:val="label"/>
              </w:rPr>
            </w:pPr>
            <w:r w:rsidRPr="002048E2">
              <w:rPr>
                <w:rStyle w:val="label"/>
              </w:rPr>
              <w:t>Urinary obstruction</w:t>
            </w:r>
          </w:p>
        </w:tc>
        <w:tc>
          <w:tcPr>
            <w:tcW w:w="694" w:type="pct"/>
          </w:tcPr>
          <w:p w14:paraId="20CED0E7" w14:textId="77777777" w:rsidR="009B42A0" w:rsidRDefault="00F85F7F" w:rsidP="00690358">
            <w:pPr>
              <w:pStyle w:val="Tabletext1"/>
            </w:pPr>
            <w:r w:rsidRPr="00955C58">
              <w:t xml:space="preserve">132,020 patients </w:t>
            </w:r>
          </w:p>
          <w:p w14:paraId="06E5AEAC" w14:textId="39310091" w:rsidR="00F85F7F" w:rsidRPr="002048E2" w:rsidRDefault="00463658" w:rsidP="00690358">
            <w:pPr>
              <w:pStyle w:val="Tabletext1"/>
              <w:rPr>
                <w:rFonts w:cs="Arial"/>
              </w:rPr>
            </w:pPr>
            <w:r>
              <w:t>(</w:t>
            </w:r>
            <w:r w:rsidR="00F85F7F" w:rsidRPr="00955C58">
              <w:t>12 studies</w:t>
            </w:r>
            <w:r>
              <w:t>)</w:t>
            </w:r>
            <w:r w:rsidR="009B42A0">
              <w:t>.</w:t>
            </w:r>
          </w:p>
        </w:tc>
        <w:tc>
          <w:tcPr>
            <w:tcW w:w="564" w:type="pct"/>
          </w:tcPr>
          <w:p w14:paraId="346AA638" w14:textId="77777777" w:rsidR="00F85F7F" w:rsidRPr="002048E2" w:rsidRDefault="00F85F7F"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7A7792D9" w14:textId="77777777" w:rsidR="00F85F7F" w:rsidRPr="002048E2" w:rsidRDefault="00F85F7F" w:rsidP="00690358">
            <w:pPr>
              <w:pStyle w:val="Tabletext1"/>
            </w:pPr>
            <w:r w:rsidRPr="002048E2">
              <w:t>0</w:t>
            </w:r>
          </w:p>
        </w:tc>
        <w:tc>
          <w:tcPr>
            <w:tcW w:w="668" w:type="pct"/>
          </w:tcPr>
          <w:p w14:paraId="58498D3C" w14:textId="77777777" w:rsidR="00F85F7F" w:rsidRPr="002048E2" w:rsidRDefault="00F85F7F" w:rsidP="00690358">
            <w:pPr>
              <w:pStyle w:val="Tabletext1"/>
            </w:pPr>
            <w:r w:rsidRPr="002048E2">
              <w:t>TRUSGB: Range 1-21</w:t>
            </w:r>
          </w:p>
          <w:p w14:paraId="18BC211F" w14:textId="77777777" w:rsidR="00F85F7F" w:rsidRPr="002048E2" w:rsidRDefault="00F85F7F" w:rsidP="00690358">
            <w:pPr>
              <w:pStyle w:val="Tabletext1"/>
            </w:pPr>
            <w:r w:rsidRPr="002048E2">
              <w:t>TPUSGB: Range 0-38</w:t>
            </w:r>
          </w:p>
        </w:tc>
        <w:tc>
          <w:tcPr>
            <w:tcW w:w="623" w:type="pct"/>
          </w:tcPr>
          <w:p w14:paraId="044F7270" w14:textId="77777777" w:rsidR="00F85F7F" w:rsidRPr="002048E2" w:rsidRDefault="00F85F7F" w:rsidP="00690358">
            <w:pPr>
              <w:pStyle w:val="Tabletext1"/>
            </w:pPr>
            <w:r w:rsidRPr="002048E2">
              <w:t>Important</w:t>
            </w:r>
          </w:p>
        </w:tc>
        <w:tc>
          <w:tcPr>
            <w:tcW w:w="988" w:type="pct"/>
            <w:shd w:val="clear" w:color="auto" w:fill="auto"/>
          </w:tcPr>
          <w:p w14:paraId="76E5F3CC" w14:textId="15BC52BD" w:rsidR="00F85F7F" w:rsidRPr="002048E2" w:rsidRDefault="00203C89" w:rsidP="00690358">
            <w:pPr>
              <w:pStyle w:val="Tabletext1"/>
            </w:pPr>
            <w:r w:rsidRPr="002048E2">
              <w:t>-</w:t>
            </w:r>
          </w:p>
        </w:tc>
      </w:tr>
      <w:tr w:rsidR="00F85F7F" w:rsidRPr="002048E2" w14:paraId="13AEC5DE" w14:textId="77777777" w:rsidTr="00116DD5">
        <w:trPr>
          <w:trHeight w:val="397"/>
        </w:trPr>
        <w:tc>
          <w:tcPr>
            <w:tcW w:w="752" w:type="pct"/>
          </w:tcPr>
          <w:p w14:paraId="5CA88DF3" w14:textId="77777777" w:rsidR="00F85F7F" w:rsidRPr="002048E2" w:rsidRDefault="00F85F7F" w:rsidP="00690358">
            <w:pPr>
              <w:pStyle w:val="Tabletext1"/>
            </w:pPr>
            <w:r w:rsidRPr="002048E2">
              <w:t>Overall survival</w:t>
            </w:r>
          </w:p>
        </w:tc>
        <w:tc>
          <w:tcPr>
            <w:tcW w:w="694" w:type="pct"/>
          </w:tcPr>
          <w:p w14:paraId="77D08280" w14:textId="77777777" w:rsidR="00DB7455" w:rsidRDefault="00F85F7F" w:rsidP="00690358">
            <w:pPr>
              <w:pStyle w:val="Tabletext1"/>
            </w:pPr>
            <w:r w:rsidRPr="00955C58">
              <w:t>41</w:t>
            </w:r>
            <w:r w:rsidR="00463658">
              <w:t>,</w:t>
            </w:r>
            <w:r w:rsidRPr="00955C58">
              <w:t>146</w:t>
            </w:r>
            <w:r w:rsidR="009B42A0">
              <w:t xml:space="preserve"> </w:t>
            </w:r>
            <w:r w:rsidR="009B42A0" w:rsidRPr="00955C58">
              <w:t>patients</w:t>
            </w:r>
          </w:p>
          <w:p w14:paraId="495A8F66" w14:textId="424176AC" w:rsidR="00F85F7F" w:rsidRPr="00955C58" w:rsidRDefault="00F85F7F" w:rsidP="00690358">
            <w:pPr>
              <w:pStyle w:val="Tabletext1"/>
              <w:rPr>
                <w:rFonts w:cs="Arial"/>
              </w:rPr>
            </w:pPr>
            <w:r w:rsidRPr="00955C58">
              <w:t>(5 studies)</w:t>
            </w:r>
            <w:r w:rsidR="00035200">
              <w:t>.</w:t>
            </w:r>
          </w:p>
        </w:tc>
        <w:tc>
          <w:tcPr>
            <w:tcW w:w="564" w:type="pct"/>
          </w:tcPr>
          <w:p w14:paraId="323C1A04" w14:textId="77777777" w:rsidR="00F85F7F" w:rsidRPr="002048E2" w:rsidRDefault="00F85F7F"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46BEDCC0" w14:textId="77777777" w:rsidR="00F85F7F" w:rsidRPr="00847AF1" w:rsidRDefault="00F85F7F" w:rsidP="00690358">
            <w:pPr>
              <w:pStyle w:val="Tabletext1"/>
            </w:pPr>
            <w:r w:rsidRPr="00847AF1">
              <w:t>NA</w:t>
            </w:r>
          </w:p>
        </w:tc>
        <w:tc>
          <w:tcPr>
            <w:tcW w:w="668" w:type="pct"/>
          </w:tcPr>
          <w:p w14:paraId="23278EAA" w14:textId="77777777" w:rsidR="00F85F7F" w:rsidRPr="002048E2" w:rsidRDefault="00F85F7F" w:rsidP="00690358">
            <w:pPr>
              <w:pStyle w:val="Tabletext1"/>
            </w:pPr>
            <w:r w:rsidRPr="002048E2">
              <w:t>NA</w:t>
            </w:r>
          </w:p>
        </w:tc>
        <w:tc>
          <w:tcPr>
            <w:tcW w:w="623" w:type="pct"/>
          </w:tcPr>
          <w:p w14:paraId="3F98CC3A" w14:textId="77777777" w:rsidR="00F85F7F" w:rsidRPr="002048E2" w:rsidRDefault="00F85F7F" w:rsidP="00690358">
            <w:pPr>
              <w:pStyle w:val="Tabletext1"/>
            </w:pPr>
            <w:r w:rsidRPr="002048E2">
              <w:t>Critical</w:t>
            </w:r>
          </w:p>
        </w:tc>
        <w:tc>
          <w:tcPr>
            <w:tcW w:w="988" w:type="pct"/>
          </w:tcPr>
          <w:p w14:paraId="63DF96F3" w14:textId="1EA3C980" w:rsidR="00F85F7F" w:rsidRPr="002048E2" w:rsidRDefault="00F85F7F" w:rsidP="00690358">
            <w:pPr>
              <w:pStyle w:val="Tabletext1"/>
            </w:pPr>
            <w:r w:rsidRPr="002048E2">
              <w:t xml:space="preserve">Delay did not impact overall survival (results from </w:t>
            </w:r>
            <w:r w:rsidR="00463658">
              <w:t>5</w:t>
            </w:r>
            <w:r w:rsidR="00463658" w:rsidRPr="002048E2">
              <w:t xml:space="preserve"> </w:t>
            </w:r>
            <w:r w:rsidRPr="002048E2">
              <w:t>studies)</w:t>
            </w:r>
            <w:r w:rsidR="004146D6">
              <w:t>.</w:t>
            </w:r>
            <w:r w:rsidRPr="002048E2">
              <w:t xml:space="preserve"> </w:t>
            </w:r>
          </w:p>
        </w:tc>
      </w:tr>
      <w:tr w:rsidR="00F85F7F" w:rsidRPr="002048E2" w14:paraId="234F0B2F" w14:textId="77777777" w:rsidTr="00116DD5">
        <w:trPr>
          <w:trHeight w:val="397"/>
        </w:trPr>
        <w:tc>
          <w:tcPr>
            <w:tcW w:w="752" w:type="pct"/>
          </w:tcPr>
          <w:p w14:paraId="32E9841B" w14:textId="77777777" w:rsidR="00F85F7F" w:rsidRPr="002048E2" w:rsidRDefault="00F85F7F" w:rsidP="00690358">
            <w:pPr>
              <w:pStyle w:val="Tabletext1"/>
            </w:pPr>
            <w:r w:rsidRPr="002048E2">
              <w:lastRenderedPageBreak/>
              <w:t>Cancer-free survival</w:t>
            </w:r>
          </w:p>
        </w:tc>
        <w:tc>
          <w:tcPr>
            <w:tcW w:w="694" w:type="pct"/>
          </w:tcPr>
          <w:p w14:paraId="437DCAF6" w14:textId="64728417" w:rsidR="00F85F7F" w:rsidRPr="00955C58" w:rsidRDefault="00F85F7F" w:rsidP="00690358">
            <w:pPr>
              <w:pStyle w:val="Tabletext1"/>
              <w:rPr>
                <w:rFonts w:cs="Arial"/>
              </w:rPr>
            </w:pPr>
            <w:r w:rsidRPr="00955C58">
              <w:t>8</w:t>
            </w:r>
            <w:r w:rsidR="00463658">
              <w:t>,</w:t>
            </w:r>
            <w:r w:rsidRPr="00955C58">
              <w:t>916</w:t>
            </w:r>
            <w:r w:rsidR="009B42A0">
              <w:t xml:space="preserve"> </w:t>
            </w:r>
            <w:proofErr w:type="gramStart"/>
            <w:r w:rsidR="009B42A0" w:rsidRPr="00955C58">
              <w:t>patients</w:t>
            </w:r>
            <w:proofErr w:type="gramEnd"/>
            <w:r w:rsidRPr="00955C58">
              <w:br/>
              <w:t>(2 studies)</w:t>
            </w:r>
            <w:r w:rsidR="00035200">
              <w:t>.</w:t>
            </w:r>
          </w:p>
        </w:tc>
        <w:tc>
          <w:tcPr>
            <w:tcW w:w="564" w:type="pct"/>
          </w:tcPr>
          <w:p w14:paraId="4BE02053" w14:textId="77777777" w:rsidR="00F85F7F" w:rsidRPr="002048E2" w:rsidRDefault="00F85F7F" w:rsidP="00690358">
            <w:pPr>
              <w:pStyle w:val="Tabletext1"/>
              <w:rPr>
                <w:rFonts w:cs="Arial"/>
              </w:rPr>
            </w:pPr>
            <w:r w:rsidRPr="00955C58">
              <w:rPr>
                <w:rFonts w:ascii="Cambria Math" w:hAnsi="Cambria Math" w:cs="Cambria Math"/>
                <w:color w:val="00B050"/>
              </w:rPr>
              <w:t>⨁</w:t>
            </w:r>
            <w:r w:rsidRPr="002048E2">
              <w:rPr>
                <w:rFonts w:ascii="Cambria Math" w:hAnsi="Cambria Math" w:cs="Cambria Math"/>
                <w:color w:val="C00000"/>
              </w:rPr>
              <w:t>⨀⨀⨀</w:t>
            </w:r>
          </w:p>
        </w:tc>
        <w:tc>
          <w:tcPr>
            <w:tcW w:w="711" w:type="pct"/>
          </w:tcPr>
          <w:p w14:paraId="7044EBA3" w14:textId="77777777" w:rsidR="00F85F7F" w:rsidRPr="002048E2" w:rsidRDefault="00F85F7F" w:rsidP="00690358">
            <w:pPr>
              <w:pStyle w:val="Tabletext1"/>
            </w:pPr>
            <w:r w:rsidRPr="002048E2">
              <w:t>NA</w:t>
            </w:r>
          </w:p>
        </w:tc>
        <w:tc>
          <w:tcPr>
            <w:tcW w:w="668" w:type="pct"/>
          </w:tcPr>
          <w:p w14:paraId="1F10C41A" w14:textId="77777777" w:rsidR="00F85F7F" w:rsidRPr="002048E2" w:rsidRDefault="00F85F7F" w:rsidP="00690358">
            <w:pPr>
              <w:pStyle w:val="Tabletext1"/>
            </w:pPr>
            <w:r w:rsidRPr="002048E2">
              <w:t>NA</w:t>
            </w:r>
          </w:p>
        </w:tc>
        <w:tc>
          <w:tcPr>
            <w:tcW w:w="623" w:type="pct"/>
          </w:tcPr>
          <w:p w14:paraId="613FE4E5" w14:textId="77777777" w:rsidR="00F85F7F" w:rsidRPr="002048E2" w:rsidRDefault="00F85F7F" w:rsidP="00690358">
            <w:pPr>
              <w:pStyle w:val="Tabletext1"/>
            </w:pPr>
            <w:r w:rsidRPr="002048E2">
              <w:t>Critical</w:t>
            </w:r>
          </w:p>
        </w:tc>
        <w:tc>
          <w:tcPr>
            <w:tcW w:w="988" w:type="pct"/>
          </w:tcPr>
          <w:p w14:paraId="6B3D2205" w14:textId="2C85A4E1" w:rsidR="00F85F7F" w:rsidRPr="002048E2" w:rsidRDefault="00F85F7F" w:rsidP="00690358">
            <w:pPr>
              <w:pStyle w:val="Tabletext1"/>
            </w:pPr>
            <w:r w:rsidRPr="002048E2">
              <w:t xml:space="preserve">Delay did not impact cancer free survival (results from </w:t>
            </w:r>
            <w:r w:rsidR="00463658">
              <w:t>2</w:t>
            </w:r>
            <w:r w:rsidR="00463658" w:rsidRPr="002048E2">
              <w:t xml:space="preserve"> </w:t>
            </w:r>
            <w:r w:rsidRPr="002048E2">
              <w:t>studies)</w:t>
            </w:r>
            <w:r w:rsidR="00221CFF">
              <w:t>.</w:t>
            </w:r>
            <w:r w:rsidRPr="002048E2">
              <w:t xml:space="preserve"> </w:t>
            </w:r>
          </w:p>
        </w:tc>
      </w:tr>
      <w:tr w:rsidR="00F85F7F" w:rsidRPr="002048E2" w14:paraId="7AB14A98" w14:textId="77777777" w:rsidTr="00116DD5">
        <w:trPr>
          <w:trHeight w:val="397"/>
        </w:trPr>
        <w:tc>
          <w:tcPr>
            <w:tcW w:w="752" w:type="pct"/>
          </w:tcPr>
          <w:p w14:paraId="2A6CDD2C" w14:textId="77777777" w:rsidR="00F85F7F" w:rsidRPr="00955C58" w:rsidRDefault="00F85F7F" w:rsidP="00690358">
            <w:pPr>
              <w:pStyle w:val="Tabletext1"/>
            </w:pPr>
            <w:r w:rsidRPr="002048E2">
              <w:t>Rate of metastas</w:t>
            </w:r>
            <w:r w:rsidRPr="00955C58">
              <w:t>es formation</w:t>
            </w:r>
          </w:p>
        </w:tc>
        <w:tc>
          <w:tcPr>
            <w:tcW w:w="694" w:type="pct"/>
          </w:tcPr>
          <w:p w14:paraId="2D6DA552" w14:textId="192D7877" w:rsidR="00F85F7F" w:rsidRPr="00955C58" w:rsidRDefault="00F85F7F" w:rsidP="00690358">
            <w:pPr>
              <w:pStyle w:val="Tabletext1"/>
              <w:rPr>
                <w:rFonts w:cs="Arial"/>
              </w:rPr>
            </w:pPr>
            <w:r w:rsidRPr="00955C58">
              <w:t>6</w:t>
            </w:r>
            <w:r w:rsidR="00463658">
              <w:t>,</w:t>
            </w:r>
            <w:r w:rsidRPr="00955C58">
              <w:t>681</w:t>
            </w:r>
            <w:r w:rsidR="009B42A0">
              <w:t xml:space="preserve"> </w:t>
            </w:r>
            <w:proofErr w:type="gramStart"/>
            <w:r w:rsidR="009B42A0" w:rsidRPr="00955C58">
              <w:t>patients</w:t>
            </w:r>
            <w:proofErr w:type="gramEnd"/>
            <w:r w:rsidRPr="00955C58">
              <w:br/>
              <w:t>(4 studies)</w:t>
            </w:r>
            <w:r w:rsidR="00035200">
              <w:t>.</w:t>
            </w:r>
          </w:p>
        </w:tc>
        <w:tc>
          <w:tcPr>
            <w:tcW w:w="564" w:type="pct"/>
          </w:tcPr>
          <w:p w14:paraId="626C0770" w14:textId="77777777" w:rsidR="00F85F7F" w:rsidRPr="002048E2" w:rsidRDefault="00F85F7F"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65664CEB" w14:textId="77777777" w:rsidR="00F85F7F" w:rsidRPr="002048E2" w:rsidRDefault="00F85F7F" w:rsidP="00690358">
            <w:pPr>
              <w:pStyle w:val="Tabletext1"/>
            </w:pPr>
            <w:r w:rsidRPr="002048E2">
              <w:t>NA</w:t>
            </w:r>
          </w:p>
        </w:tc>
        <w:tc>
          <w:tcPr>
            <w:tcW w:w="668" w:type="pct"/>
          </w:tcPr>
          <w:p w14:paraId="20A1CF88" w14:textId="77777777" w:rsidR="00F85F7F" w:rsidRPr="002048E2" w:rsidRDefault="00F85F7F" w:rsidP="00690358">
            <w:pPr>
              <w:pStyle w:val="Tabletext1"/>
            </w:pPr>
            <w:r w:rsidRPr="002048E2">
              <w:t>NA</w:t>
            </w:r>
          </w:p>
        </w:tc>
        <w:tc>
          <w:tcPr>
            <w:tcW w:w="623" w:type="pct"/>
          </w:tcPr>
          <w:p w14:paraId="7AA3470E" w14:textId="77777777" w:rsidR="00F85F7F" w:rsidRPr="002048E2" w:rsidRDefault="00F85F7F" w:rsidP="00690358">
            <w:pPr>
              <w:pStyle w:val="Tabletext1"/>
            </w:pPr>
            <w:r w:rsidRPr="002048E2">
              <w:t>Critical</w:t>
            </w:r>
          </w:p>
        </w:tc>
        <w:tc>
          <w:tcPr>
            <w:tcW w:w="988" w:type="pct"/>
          </w:tcPr>
          <w:p w14:paraId="64E9DC32" w14:textId="0C75EE66" w:rsidR="00F85F7F" w:rsidRPr="002048E2" w:rsidRDefault="00F85F7F" w:rsidP="00690358">
            <w:pPr>
              <w:pStyle w:val="Tabletext1"/>
            </w:pPr>
            <w:r w:rsidRPr="002048E2">
              <w:t>Delay did not impact rate of metastases formation (results from 4 studies)</w:t>
            </w:r>
            <w:r w:rsidR="004146D6">
              <w:t>.</w:t>
            </w:r>
            <w:r w:rsidRPr="002048E2">
              <w:t xml:space="preserve"> </w:t>
            </w:r>
          </w:p>
        </w:tc>
      </w:tr>
      <w:tr w:rsidR="00F85F7F" w:rsidRPr="002048E2" w14:paraId="02DEEBEF" w14:textId="77777777" w:rsidTr="00116DD5">
        <w:trPr>
          <w:trHeight w:val="397"/>
        </w:trPr>
        <w:tc>
          <w:tcPr>
            <w:tcW w:w="752" w:type="pct"/>
          </w:tcPr>
          <w:p w14:paraId="7E87A0A7" w14:textId="77777777" w:rsidR="00F85F7F" w:rsidRPr="002048E2" w:rsidRDefault="00F85F7F" w:rsidP="00690358">
            <w:pPr>
              <w:pStyle w:val="Tabletext1"/>
            </w:pPr>
            <w:r w:rsidRPr="002048E2">
              <w:t>Rate of biochemical recurrence</w:t>
            </w:r>
          </w:p>
        </w:tc>
        <w:tc>
          <w:tcPr>
            <w:tcW w:w="694" w:type="pct"/>
          </w:tcPr>
          <w:p w14:paraId="342B150A" w14:textId="2BACA472" w:rsidR="00F85F7F" w:rsidRPr="00955C58" w:rsidRDefault="00F85F7F" w:rsidP="00690358">
            <w:pPr>
              <w:pStyle w:val="Tabletext1"/>
              <w:rPr>
                <w:rFonts w:cs="Arial"/>
              </w:rPr>
            </w:pPr>
            <w:r w:rsidRPr="00955C58">
              <w:t>19</w:t>
            </w:r>
            <w:r w:rsidR="00463658">
              <w:t>,</w:t>
            </w:r>
            <w:r w:rsidRPr="00955C58">
              <w:t>768</w:t>
            </w:r>
            <w:r w:rsidR="009B42A0" w:rsidRPr="00955C58">
              <w:t xml:space="preserve"> </w:t>
            </w:r>
            <w:proofErr w:type="gramStart"/>
            <w:r w:rsidR="009B42A0" w:rsidRPr="00955C58">
              <w:t>patients</w:t>
            </w:r>
            <w:proofErr w:type="gramEnd"/>
            <w:r w:rsidRPr="00955C58">
              <w:br/>
              <w:t>(14 studies)</w:t>
            </w:r>
            <w:r w:rsidR="00035200">
              <w:t>.</w:t>
            </w:r>
          </w:p>
        </w:tc>
        <w:tc>
          <w:tcPr>
            <w:tcW w:w="564" w:type="pct"/>
          </w:tcPr>
          <w:p w14:paraId="73D2E989" w14:textId="77777777" w:rsidR="00F85F7F" w:rsidRPr="002048E2" w:rsidRDefault="00F85F7F" w:rsidP="00690358">
            <w:pPr>
              <w:pStyle w:val="Tabletext1"/>
              <w:rPr>
                <w:rFonts w:cs="Arial"/>
              </w:rPr>
            </w:pPr>
            <w:r w:rsidRPr="00955C58">
              <w:rPr>
                <w:rFonts w:ascii="Cambria Math" w:hAnsi="Cambria Math" w:cs="Cambria Math"/>
                <w:color w:val="00B050"/>
              </w:rPr>
              <w:t>⨁</w:t>
            </w:r>
            <w:r w:rsidRPr="002048E2">
              <w:rPr>
                <w:rFonts w:ascii="Cambria Math" w:hAnsi="Cambria Math" w:cs="Cambria Math"/>
                <w:color w:val="C00000"/>
              </w:rPr>
              <w:t>⨀⨀⨀</w:t>
            </w:r>
          </w:p>
        </w:tc>
        <w:tc>
          <w:tcPr>
            <w:tcW w:w="711" w:type="pct"/>
          </w:tcPr>
          <w:p w14:paraId="7D5622DA" w14:textId="77777777" w:rsidR="00F85F7F" w:rsidRPr="002048E2" w:rsidRDefault="00F85F7F" w:rsidP="00690358">
            <w:pPr>
              <w:pStyle w:val="Tabletext1"/>
            </w:pPr>
            <w:r w:rsidRPr="002048E2">
              <w:t>NA</w:t>
            </w:r>
          </w:p>
        </w:tc>
        <w:tc>
          <w:tcPr>
            <w:tcW w:w="668" w:type="pct"/>
          </w:tcPr>
          <w:p w14:paraId="6C840F96" w14:textId="77777777" w:rsidR="00F85F7F" w:rsidRPr="002048E2" w:rsidRDefault="00F85F7F" w:rsidP="00690358">
            <w:pPr>
              <w:pStyle w:val="Tabletext1"/>
            </w:pPr>
            <w:r w:rsidRPr="002048E2">
              <w:t>NA</w:t>
            </w:r>
          </w:p>
        </w:tc>
        <w:tc>
          <w:tcPr>
            <w:tcW w:w="623" w:type="pct"/>
          </w:tcPr>
          <w:p w14:paraId="2156DA37" w14:textId="77777777" w:rsidR="00F85F7F" w:rsidRPr="002048E2" w:rsidRDefault="00F85F7F" w:rsidP="00690358">
            <w:pPr>
              <w:pStyle w:val="Tabletext1"/>
            </w:pPr>
            <w:r w:rsidRPr="002048E2">
              <w:t>Critical</w:t>
            </w:r>
          </w:p>
        </w:tc>
        <w:tc>
          <w:tcPr>
            <w:tcW w:w="988" w:type="pct"/>
          </w:tcPr>
          <w:p w14:paraId="1BFE390A" w14:textId="2C8A9027" w:rsidR="00F85F7F" w:rsidRPr="002048E2" w:rsidRDefault="00F85F7F" w:rsidP="00690358">
            <w:pPr>
              <w:pStyle w:val="Tabletext1"/>
            </w:pPr>
            <w:r w:rsidRPr="002048E2">
              <w:t xml:space="preserve">3 studies reported recurrence was associated with delayed treatment, 11 studies reported no impact. </w:t>
            </w:r>
          </w:p>
        </w:tc>
      </w:tr>
      <w:tr w:rsidR="00F85F7F" w:rsidRPr="002048E2" w14:paraId="12F26201" w14:textId="77777777" w:rsidTr="00116DD5">
        <w:trPr>
          <w:trHeight w:val="397"/>
        </w:trPr>
        <w:tc>
          <w:tcPr>
            <w:tcW w:w="752" w:type="pct"/>
          </w:tcPr>
          <w:p w14:paraId="3D0DE540" w14:textId="77777777" w:rsidR="00F85F7F" w:rsidRPr="002048E2" w:rsidRDefault="00F85F7F" w:rsidP="00690358">
            <w:pPr>
              <w:pStyle w:val="Tabletext1"/>
            </w:pPr>
            <w:r w:rsidRPr="002048E2">
              <w:t>Rate of extra capsular extension</w:t>
            </w:r>
          </w:p>
        </w:tc>
        <w:tc>
          <w:tcPr>
            <w:tcW w:w="694" w:type="pct"/>
          </w:tcPr>
          <w:p w14:paraId="59208F48" w14:textId="5F53C4AA" w:rsidR="00F85F7F" w:rsidRPr="00955C58" w:rsidRDefault="00F85F7F" w:rsidP="00690358">
            <w:pPr>
              <w:pStyle w:val="Tabletext1"/>
              <w:rPr>
                <w:rFonts w:cs="Arial"/>
              </w:rPr>
            </w:pPr>
            <w:r w:rsidRPr="00955C58">
              <w:t>16</w:t>
            </w:r>
            <w:r w:rsidR="00463658">
              <w:t>,</w:t>
            </w:r>
            <w:r w:rsidRPr="00955C58">
              <w:t>039</w:t>
            </w:r>
            <w:r w:rsidR="009B42A0">
              <w:t xml:space="preserve"> </w:t>
            </w:r>
            <w:proofErr w:type="gramStart"/>
            <w:r w:rsidR="009B42A0" w:rsidRPr="00955C58">
              <w:t>patients</w:t>
            </w:r>
            <w:proofErr w:type="gramEnd"/>
            <w:r w:rsidRPr="00955C58">
              <w:br/>
              <w:t>(7 studies)</w:t>
            </w:r>
            <w:r w:rsidR="00035200">
              <w:t>.</w:t>
            </w:r>
          </w:p>
        </w:tc>
        <w:tc>
          <w:tcPr>
            <w:tcW w:w="564" w:type="pct"/>
          </w:tcPr>
          <w:p w14:paraId="5125B57E" w14:textId="77777777" w:rsidR="00F85F7F" w:rsidRPr="002048E2" w:rsidRDefault="00F85F7F" w:rsidP="00690358">
            <w:pPr>
              <w:pStyle w:val="Tabletext1"/>
              <w:rPr>
                <w:rFonts w:cs="Arial"/>
              </w:rPr>
            </w:pPr>
            <w:r w:rsidRPr="00955C58">
              <w:rPr>
                <w:rFonts w:ascii="Cambria Math" w:hAnsi="Cambria Math" w:cs="Cambria Math"/>
                <w:color w:val="00B050"/>
              </w:rPr>
              <w:t>⨁</w:t>
            </w:r>
            <w:r w:rsidRPr="002048E2">
              <w:rPr>
                <w:rFonts w:ascii="Cambria Math" w:hAnsi="Cambria Math" w:cs="Cambria Math"/>
                <w:color w:val="C00000"/>
              </w:rPr>
              <w:t>⨀⨀⨀</w:t>
            </w:r>
          </w:p>
        </w:tc>
        <w:tc>
          <w:tcPr>
            <w:tcW w:w="711" w:type="pct"/>
          </w:tcPr>
          <w:p w14:paraId="2EB071AD" w14:textId="77777777" w:rsidR="00F85F7F" w:rsidRPr="002048E2" w:rsidRDefault="00F85F7F" w:rsidP="00690358">
            <w:pPr>
              <w:pStyle w:val="Tabletext1"/>
            </w:pPr>
            <w:r w:rsidRPr="002048E2">
              <w:t>NA</w:t>
            </w:r>
          </w:p>
        </w:tc>
        <w:tc>
          <w:tcPr>
            <w:tcW w:w="668" w:type="pct"/>
          </w:tcPr>
          <w:p w14:paraId="4205B797" w14:textId="77777777" w:rsidR="00F85F7F" w:rsidRPr="002048E2" w:rsidRDefault="00F85F7F" w:rsidP="00690358">
            <w:pPr>
              <w:pStyle w:val="Tabletext1"/>
            </w:pPr>
            <w:r w:rsidRPr="002048E2">
              <w:t>NA</w:t>
            </w:r>
          </w:p>
        </w:tc>
        <w:tc>
          <w:tcPr>
            <w:tcW w:w="623" w:type="pct"/>
          </w:tcPr>
          <w:p w14:paraId="7060E91B" w14:textId="77777777" w:rsidR="00F85F7F" w:rsidRPr="002048E2" w:rsidRDefault="00F85F7F" w:rsidP="00690358">
            <w:pPr>
              <w:pStyle w:val="Tabletext1"/>
            </w:pPr>
            <w:r w:rsidRPr="002048E2">
              <w:t>Important</w:t>
            </w:r>
          </w:p>
        </w:tc>
        <w:tc>
          <w:tcPr>
            <w:tcW w:w="988" w:type="pct"/>
          </w:tcPr>
          <w:p w14:paraId="50DB9510" w14:textId="1E1317B8" w:rsidR="00F85F7F" w:rsidRPr="002048E2" w:rsidRDefault="00F85F7F" w:rsidP="00690358">
            <w:pPr>
              <w:pStyle w:val="Tabletext1"/>
            </w:pPr>
            <w:r w:rsidRPr="002048E2">
              <w:t>Delay did not impact rate of extra-capsular extension (results from 7 studies)</w:t>
            </w:r>
            <w:r w:rsidR="00221CFF">
              <w:t>.</w:t>
            </w:r>
            <w:r w:rsidRPr="002048E2">
              <w:t xml:space="preserve"> </w:t>
            </w:r>
          </w:p>
        </w:tc>
      </w:tr>
      <w:tr w:rsidR="00F85F7F" w:rsidRPr="002048E2" w14:paraId="2C03E0B8" w14:textId="77777777" w:rsidTr="00116DD5">
        <w:trPr>
          <w:trHeight w:val="397"/>
        </w:trPr>
        <w:tc>
          <w:tcPr>
            <w:tcW w:w="752" w:type="pct"/>
          </w:tcPr>
          <w:p w14:paraId="77A67602" w14:textId="77777777" w:rsidR="00F85F7F" w:rsidRPr="00955C58" w:rsidRDefault="00F85F7F" w:rsidP="00690358">
            <w:pPr>
              <w:pStyle w:val="Tabletext1"/>
            </w:pPr>
            <w:r w:rsidRPr="002048E2">
              <w:t>Rate of lymph node</w:t>
            </w:r>
            <w:r w:rsidRPr="00955C58">
              <w:t xml:space="preserve"> involvement</w:t>
            </w:r>
          </w:p>
        </w:tc>
        <w:tc>
          <w:tcPr>
            <w:tcW w:w="694" w:type="pct"/>
          </w:tcPr>
          <w:p w14:paraId="480A2D07" w14:textId="37F8D017" w:rsidR="00F85F7F" w:rsidRPr="00955C58" w:rsidRDefault="00F85F7F" w:rsidP="00690358">
            <w:pPr>
              <w:pStyle w:val="Tabletext1"/>
              <w:rPr>
                <w:rFonts w:cs="Arial"/>
              </w:rPr>
            </w:pPr>
            <w:r w:rsidRPr="00955C58">
              <w:t>3</w:t>
            </w:r>
            <w:r w:rsidR="00463658">
              <w:t>,</w:t>
            </w:r>
            <w:r w:rsidRPr="00955C58">
              <w:t>605</w:t>
            </w:r>
            <w:r w:rsidR="009B42A0" w:rsidRPr="00955C58">
              <w:t xml:space="preserve"> </w:t>
            </w:r>
            <w:proofErr w:type="gramStart"/>
            <w:r w:rsidR="009B42A0" w:rsidRPr="00955C58">
              <w:t>patients</w:t>
            </w:r>
            <w:proofErr w:type="gramEnd"/>
            <w:r w:rsidRPr="00955C58">
              <w:br/>
              <w:t>(3 studies)</w:t>
            </w:r>
            <w:r w:rsidR="00035200">
              <w:t>.</w:t>
            </w:r>
          </w:p>
        </w:tc>
        <w:tc>
          <w:tcPr>
            <w:tcW w:w="564" w:type="pct"/>
          </w:tcPr>
          <w:p w14:paraId="496E3A96" w14:textId="77777777" w:rsidR="00F85F7F" w:rsidRPr="002048E2" w:rsidRDefault="00F85F7F" w:rsidP="00690358">
            <w:pPr>
              <w:pStyle w:val="Tabletext1"/>
              <w:rPr>
                <w:rFonts w:cs="Arial"/>
              </w:rPr>
            </w:pPr>
            <w:r w:rsidRPr="00F61D8D">
              <w:rPr>
                <w:rFonts w:ascii="Cambria Math" w:hAnsi="Cambria Math" w:cs="Cambria Math"/>
                <w:color w:val="00B050"/>
              </w:rPr>
              <w:t>⨁</w:t>
            </w:r>
            <w:r w:rsidRPr="002048E2">
              <w:rPr>
                <w:rFonts w:ascii="Cambria Math" w:hAnsi="Cambria Math" w:cs="Cambria Math"/>
                <w:color w:val="C00000"/>
              </w:rPr>
              <w:t>⨀⨀⨀</w:t>
            </w:r>
          </w:p>
        </w:tc>
        <w:tc>
          <w:tcPr>
            <w:tcW w:w="711" w:type="pct"/>
          </w:tcPr>
          <w:p w14:paraId="24CA6C8D" w14:textId="77777777" w:rsidR="00F85F7F" w:rsidRPr="002048E2" w:rsidRDefault="00F85F7F" w:rsidP="00690358">
            <w:pPr>
              <w:pStyle w:val="Tabletext1"/>
            </w:pPr>
            <w:r w:rsidRPr="002048E2">
              <w:t>NA</w:t>
            </w:r>
          </w:p>
        </w:tc>
        <w:tc>
          <w:tcPr>
            <w:tcW w:w="668" w:type="pct"/>
          </w:tcPr>
          <w:p w14:paraId="04B331D2" w14:textId="77777777" w:rsidR="00F85F7F" w:rsidRPr="002048E2" w:rsidRDefault="00F85F7F" w:rsidP="00690358">
            <w:pPr>
              <w:pStyle w:val="Tabletext1"/>
            </w:pPr>
            <w:r w:rsidRPr="002048E2">
              <w:t>NA</w:t>
            </w:r>
          </w:p>
        </w:tc>
        <w:tc>
          <w:tcPr>
            <w:tcW w:w="623" w:type="pct"/>
          </w:tcPr>
          <w:p w14:paraId="698AFB89" w14:textId="77777777" w:rsidR="00F85F7F" w:rsidRPr="002048E2" w:rsidRDefault="00F85F7F" w:rsidP="00690358">
            <w:pPr>
              <w:pStyle w:val="Tabletext1"/>
            </w:pPr>
            <w:r w:rsidRPr="002048E2">
              <w:t>Important</w:t>
            </w:r>
          </w:p>
        </w:tc>
        <w:tc>
          <w:tcPr>
            <w:tcW w:w="988" w:type="pct"/>
          </w:tcPr>
          <w:p w14:paraId="13E0A418" w14:textId="234769B1" w:rsidR="00F85F7F" w:rsidRPr="002048E2" w:rsidRDefault="00F85F7F" w:rsidP="00690358">
            <w:pPr>
              <w:pStyle w:val="Tabletext1"/>
            </w:pPr>
            <w:r w:rsidRPr="002048E2">
              <w:t>Delay did not impact rates of lymph node involvement (results from 3 studies)</w:t>
            </w:r>
            <w:r w:rsidR="004146D6">
              <w:t>.</w:t>
            </w:r>
            <w:r w:rsidRPr="002048E2">
              <w:t xml:space="preserve"> </w:t>
            </w:r>
          </w:p>
        </w:tc>
      </w:tr>
      <w:tr w:rsidR="00F85F7F" w:rsidRPr="002048E2" w14:paraId="0B913C75" w14:textId="77777777" w:rsidTr="00116DD5">
        <w:trPr>
          <w:trHeight w:val="397"/>
        </w:trPr>
        <w:tc>
          <w:tcPr>
            <w:tcW w:w="752" w:type="pct"/>
          </w:tcPr>
          <w:p w14:paraId="2BD0CEEF" w14:textId="77777777" w:rsidR="00F85F7F" w:rsidRPr="002048E2" w:rsidRDefault="00F85F7F" w:rsidP="00690358">
            <w:pPr>
              <w:pStyle w:val="Tabletext1"/>
            </w:pPr>
            <w:r w:rsidRPr="002048E2">
              <w:t>Rate of positive surgical margins</w:t>
            </w:r>
          </w:p>
        </w:tc>
        <w:tc>
          <w:tcPr>
            <w:tcW w:w="694" w:type="pct"/>
          </w:tcPr>
          <w:p w14:paraId="049F635F" w14:textId="6711FBE1" w:rsidR="00F85F7F" w:rsidRPr="00955C58" w:rsidRDefault="00F85F7F" w:rsidP="00690358">
            <w:pPr>
              <w:pStyle w:val="Tabletext1"/>
              <w:rPr>
                <w:rFonts w:cs="Arial"/>
              </w:rPr>
            </w:pPr>
            <w:r w:rsidRPr="00955C58">
              <w:t>14</w:t>
            </w:r>
            <w:r w:rsidR="00463658">
              <w:t>,</w:t>
            </w:r>
            <w:r w:rsidRPr="00955C58">
              <w:t>413</w:t>
            </w:r>
            <w:r w:rsidR="009B42A0" w:rsidRPr="00955C58">
              <w:t xml:space="preserve"> </w:t>
            </w:r>
            <w:proofErr w:type="gramStart"/>
            <w:r w:rsidR="009B42A0" w:rsidRPr="00955C58">
              <w:t>patients</w:t>
            </w:r>
            <w:proofErr w:type="gramEnd"/>
            <w:r w:rsidRPr="00955C58">
              <w:br/>
              <w:t>(6 studies)</w:t>
            </w:r>
            <w:r w:rsidR="00035200">
              <w:t>.</w:t>
            </w:r>
          </w:p>
        </w:tc>
        <w:tc>
          <w:tcPr>
            <w:tcW w:w="564" w:type="pct"/>
          </w:tcPr>
          <w:p w14:paraId="71B3DDFE" w14:textId="77777777" w:rsidR="00F85F7F" w:rsidRPr="002048E2" w:rsidRDefault="00F85F7F" w:rsidP="00690358">
            <w:pPr>
              <w:pStyle w:val="Tabletext1"/>
              <w:rPr>
                <w:rFonts w:cs="Arial"/>
              </w:rPr>
            </w:pPr>
            <w:r w:rsidRPr="00955C58">
              <w:rPr>
                <w:rFonts w:ascii="Cambria Math" w:hAnsi="Cambria Math" w:cs="Cambria Math"/>
                <w:color w:val="00B050"/>
              </w:rPr>
              <w:t>⨁</w:t>
            </w:r>
            <w:r w:rsidRPr="002048E2">
              <w:rPr>
                <w:rFonts w:ascii="Cambria Math" w:hAnsi="Cambria Math" w:cs="Cambria Math"/>
                <w:color w:val="C00000"/>
              </w:rPr>
              <w:t>⨀⨀⨀</w:t>
            </w:r>
          </w:p>
        </w:tc>
        <w:tc>
          <w:tcPr>
            <w:tcW w:w="711" w:type="pct"/>
          </w:tcPr>
          <w:p w14:paraId="1C58591B" w14:textId="77777777" w:rsidR="00F85F7F" w:rsidRPr="002048E2" w:rsidRDefault="00F85F7F" w:rsidP="00690358">
            <w:pPr>
              <w:pStyle w:val="Tabletext1"/>
            </w:pPr>
            <w:r w:rsidRPr="002048E2">
              <w:t>NA</w:t>
            </w:r>
          </w:p>
        </w:tc>
        <w:tc>
          <w:tcPr>
            <w:tcW w:w="668" w:type="pct"/>
          </w:tcPr>
          <w:p w14:paraId="045F0FA5" w14:textId="77777777" w:rsidR="00F85F7F" w:rsidRPr="002048E2" w:rsidRDefault="00F85F7F" w:rsidP="00690358">
            <w:pPr>
              <w:pStyle w:val="Tabletext1"/>
            </w:pPr>
            <w:r w:rsidRPr="002048E2">
              <w:t>NA</w:t>
            </w:r>
          </w:p>
        </w:tc>
        <w:tc>
          <w:tcPr>
            <w:tcW w:w="623" w:type="pct"/>
          </w:tcPr>
          <w:p w14:paraId="4DE7CE36" w14:textId="77777777" w:rsidR="00F85F7F" w:rsidRPr="002048E2" w:rsidRDefault="00F85F7F" w:rsidP="00690358">
            <w:pPr>
              <w:pStyle w:val="Tabletext1"/>
            </w:pPr>
            <w:r w:rsidRPr="002048E2">
              <w:t>Important</w:t>
            </w:r>
          </w:p>
        </w:tc>
        <w:tc>
          <w:tcPr>
            <w:tcW w:w="988" w:type="pct"/>
          </w:tcPr>
          <w:p w14:paraId="50DEB9F8" w14:textId="4657EE02" w:rsidR="00F85F7F" w:rsidRPr="002048E2" w:rsidRDefault="00081342" w:rsidP="00690358">
            <w:pPr>
              <w:pStyle w:val="Tabletext1"/>
            </w:pPr>
            <w:r>
              <w:t>1</w:t>
            </w:r>
            <w:r w:rsidRPr="002048E2">
              <w:t xml:space="preserve"> </w:t>
            </w:r>
            <w:r w:rsidR="00F85F7F" w:rsidRPr="002048E2">
              <w:t xml:space="preserve">study reported a delay &gt;9 months was associated with increase in rate of positive surgical margins (intermediate risk disease only). </w:t>
            </w:r>
            <w:r w:rsidR="00432F6D">
              <w:t>5</w:t>
            </w:r>
            <w:r w:rsidR="00F85F7F" w:rsidRPr="002048E2">
              <w:t xml:space="preserve"> studies reported no impact from delay. </w:t>
            </w:r>
          </w:p>
        </w:tc>
      </w:tr>
    </w:tbl>
    <w:p w14:paraId="0CF6BDEF" w14:textId="7FC629EE" w:rsidR="00AF6417" w:rsidRDefault="00F6409C" w:rsidP="00DF78F8">
      <w:pPr>
        <w:pStyle w:val="TableNotes"/>
      </w:pPr>
      <w:r w:rsidRPr="00E10B76">
        <w:rPr>
          <w:vertAlign w:val="superscript"/>
        </w:rPr>
        <w:t>a</w:t>
      </w:r>
      <w:r w:rsidR="00847AF1">
        <w:t xml:space="preserve">: </w:t>
      </w:r>
      <w:r w:rsidRPr="00E10B76">
        <w:rPr>
          <w:vertAlign w:val="superscript"/>
        </w:rPr>
        <w:t xml:space="preserve"> </w:t>
      </w:r>
      <w:r w:rsidRPr="00E10B76">
        <w:t>GRADE Working Group grades of evidence</w:t>
      </w:r>
      <w:r>
        <w:t xml:space="preserve"> </w:t>
      </w:r>
      <w:r w:rsidR="008E0B00">
        <w:fldChar w:fldCharType="begin"/>
      </w:r>
      <w:r w:rsidR="008E0B00">
        <w:instrText xml:space="preserve"> ADDIN EN.CITE &lt;EndNote&gt;&lt;Cite&gt;&lt;Author&gt;Guyatt&lt;/Author&gt;&lt;Year&gt;2013&lt;/Year&gt;&lt;RecNum&gt;1&lt;/RecNum&gt;&lt;DisplayText&gt;(Guyatt et al. 2013)&lt;/DisplayText&gt;&lt;record&gt;&lt;rec-number&gt;1&lt;/rec-number&gt;&lt;foreign-keys&gt;&lt;key app="EN" db-id="2p9terxr22fx91epzebpfdwuzrwtw2a2ep2t" timestamp="1472684599"&gt;1&lt;/key&gt;&lt;/foreign-keys&gt;&lt;ref-type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Pr="00E10B76">
        <w:br/>
      </w:r>
      <w:r w:rsidRPr="00D4733A">
        <w:rPr>
          <w:rFonts w:ascii="Cambria Math" w:hAnsi="Cambria Math"/>
          <w:color w:val="00B050"/>
        </w:rPr>
        <w:t>⨁⨁⨁⨁</w:t>
      </w:r>
      <w:r>
        <w:rPr>
          <w:rFonts w:ascii="Cambria Math" w:hAnsi="Cambria Math"/>
          <w:color w:val="00B050"/>
        </w:rPr>
        <w:t xml:space="preserve"> </w:t>
      </w:r>
      <w:r w:rsidRPr="00E10B76">
        <w:rPr>
          <w:b/>
          <w:bCs/>
        </w:rPr>
        <w:t>High quality:</w:t>
      </w:r>
      <w:r w:rsidRPr="00E10B76">
        <w:t xml:space="preserve"> </w:t>
      </w:r>
      <w:r>
        <w:t>We are very confident that the true effect lies close to that of the estimate of effect.</w:t>
      </w:r>
      <w:r w:rsidRPr="00E10B76">
        <w:t xml:space="preserve"> </w:t>
      </w:r>
      <w:r w:rsidRPr="00E10B76">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br/>
      </w:r>
      <w:r>
        <w:rPr>
          <w:vertAlign w:val="superscript"/>
        </w:rPr>
        <w:t>b</w:t>
      </w:r>
      <w:r w:rsidR="00847AF1">
        <w:t xml:space="preserve">: A </w:t>
      </w:r>
      <w:r>
        <w:t xml:space="preserve">prevalence of </w:t>
      </w:r>
      <w:proofErr w:type="spellStart"/>
      <w:r w:rsidR="00B57813">
        <w:t>PCa</w:t>
      </w:r>
      <w:proofErr w:type="spellEnd"/>
      <w:r>
        <w:t xml:space="preserve"> in low-</w:t>
      </w:r>
      <w:r w:rsidR="00A9704F">
        <w:t>concern</w:t>
      </w:r>
      <w:r>
        <w:t xml:space="preserve"> patients of 30-40% was provided by the Applicant</w:t>
      </w:r>
      <w:r w:rsidR="00B7542E">
        <w:t xml:space="preserve"> </w:t>
      </w:r>
      <w:r w:rsidR="008E0B00">
        <w:fldChar w:fldCharType="begin"/>
      </w:r>
      <w:r w:rsidR="008E0B00">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fldChar w:fldCharType="separate"/>
      </w:r>
      <w:r w:rsidR="008E0B00">
        <w:rPr>
          <w:noProof/>
        </w:rPr>
        <w:t>(</w:t>
      </w:r>
      <w:hyperlink w:anchor="_ENREF_9" w:tooltip="Applicant, 2016 #9" w:history="1">
        <w:r w:rsidR="008E0B00">
          <w:rPr>
            <w:noProof/>
          </w:rPr>
          <w:t>Applicant 2016</w:t>
        </w:r>
      </w:hyperlink>
      <w:r w:rsidR="008E0B00">
        <w:rPr>
          <w:noProof/>
        </w:rPr>
        <w:t>)</w:t>
      </w:r>
      <w:r w:rsidR="008E0B00">
        <w:fldChar w:fldCharType="end"/>
      </w:r>
      <w:r>
        <w:t>. The midpoint of this range has been used to in</w:t>
      </w:r>
      <w:r w:rsidR="003343B8">
        <w:t>form these estimates. Only low-</w:t>
      </w:r>
      <w:r w:rsidR="00A9704F">
        <w:t xml:space="preserve">concern </w:t>
      </w:r>
      <w:r>
        <w:t xml:space="preserve">patients have been included in this assessment as there is no change in management for patients at </w:t>
      </w:r>
      <w:r w:rsidR="0058672B">
        <w:t>high-concern</w:t>
      </w:r>
      <w:r>
        <w:t xml:space="preserve">, regardless of </w:t>
      </w:r>
      <w:proofErr w:type="spellStart"/>
      <w:r>
        <w:t>mpMRI</w:t>
      </w:r>
      <w:proofErr w:type="spellEnd"/>
      <w:r>
        <w:t xml:space="preserve"> results. </w:t>
      </w:r>
      <w:r>
        <w:br/>
      </w:r>
      <w:proofErr w:type="gramStart"/>
      <w:r>
        <w:rPr>
          <w:b/>
          <w:vertAlign w:val="superscript"/>
        </w:rPr>
        <w:t>c</w:t>
      </w:r>
      <w:proofErr w:type="gramEnd"/>
      <w:r w:rsidR="00847AF1">
        <w:t>: C</w:t>
      </w:r>
      <w:r>
        <w:t>alculated using the reported sensitivity of TRUSGB biopsy of 0.81 (95% CI [0.70, 0.88] and assuming TRUSGB had a specificity of 100%</w:t>
      </w:r>
      <w:r w:rsidR="00AD722C">
        <w:t>.</w:t>
      </w:r>
    </w:p>
    <w:p w14:paraId="0FC40748" w14:textId="49EBDE4A" w:rsidR="00847AF1" w:rsidRDefault="00847AF1" w:rsidP="00DF78F8">
      <w:pPr>
        <w:pStyle w:val="TableNotes"/>
      </w:pPr>
      <w:r>
        <w:t>NA = not applicable, CI = confidence interval, TRUSGB = trans-rectal ultrasound guided biopsy, TPUSGB = trans-perineal ultrasound guided biopsy</w:t>
      </w:r>
      <w:r w:rsidR="00E41A0B">
        <w:t>.</w:t>
      </w:r>
    </w:p>
    <w:p w14:paraId="505D7F9B" w14:textId="3652A8B4" w:rsidR="00F6409C" w:rsidRDefault="00F6409C" w:rsidP="00F6409C">
      <w:r>
        <w:lastRenderedPageBreak/>
        <w:t>Low</w:t>
      </w:r>
      <w:r w:rsidR="00463658">
        <w:t>-</w:t>
      </w:r>
      <w:r w:rsidR="00A9704F">
        <w:t xml:space="preserve">concern </w:t>
      </w:r>
      <w:r>
        <w:t xml:space="preserve">patients who receive a false negative </w:t>
      </w:r>
      <w:proofErr w:type="spellStart"/>
      <w:r>
        <w:t>mpMRI</w:t>
      </w:r>
      <w:proofErr w:type="spellEnd"/>
      <w:r>
        <w:t xml:space="preserve"> will experience a delay to treatment; it is not clear that this delay is associated with any adverse outcomes for patients, particularly </w:t>
      </w:r>
      <w:r w:rsidR="00463658">
        <w:t xml:space="preserve">for </w:t>
      </w:r>
      <w:r>
        <w:t xml:space="preserve">patients with low risk disease. However, the evidence base to inform patient outcomes following delayed treatment is considered very low quality and is based on observational </w:t>
      </w:r>
      <w:r w:rsidR="002A2E63">
        <w:t>studies</w:t>
      </w:r>
      <w:r>
        <w:t>.</w:t>
      </w:r>
    </w:p>
    <w:p w14:paraId="2DF54F6D" w14:textId="68068A02" w:rsidR="00F6409C" w:rsidRDefault="00F6409C" w:rsidP="00F6409C">
      <w:r>
        <w:t xml:space="preserve">While it is possible </w:t>
      </w:r>
      <w:proofErr w:type="spellStart"/>
      <w:r>
        <w:t>mpMRI</w:t>
      </w:r>
      <w:proofErr w:type="spellEnd"/>
      <w:r>
        <w:t xml:space="preserve"> has inferior diagnostic accuracy compared to TRUSGB/TPUSGB, there is </w:t>
      </w:r>
      <w:r w:rsidRPr="006955B9">
        <w:t xml:space="preserve">evidence that this </w:t>
      </w:r>
      <w:r w:rsidR="00463658">
        <w:t>may</w:t>
      </w:r>
      <w:r w:rsidR="00463658" w:rsidRPr="006955B9">
        <w:t xml:space="preserve"> </w:t>
      </w:r>
      <w:r w:rsidRPr="006955B9">
        <w:t xml:space="preserve">not adversely affect patients’ outcomes. On the </w:t>
      </w:r>
      <w:r>
        <w:t>basis of the evidence profile (</w:t>
      </w:r>
      <w:r w:rsidR="002A2E63">
        <w:fldChar w:fldCharType="begin"/>
      </w:r>
      <w:r w:rsidR="002A2E63">
        <w:instrText xml:space="preserve"> REF _Ref457290151 \h </w:instrText>
      </w:r>
      <w:r w:rsidR="002A2E63">
        <w:fldChar w:fldCharType="separate"/>
      </w:r>
      <w:r w:rsidR="0029649D" w:rsidRPr="00593CC5">
        <w:t xml:space="preserve">Table </w:t>
      </w:r>
      <w:r w:rsidR="0029649D">
        <w:rPr>
          <w:noProof/>
        </w:rPr>
        <w:t>5</w:t>
      </w:r>
      <w:r w:rsidR="002A2E63">
        <w:fldChar w:fldCharType="end"/>
      </w:r>
      <w:r w:rsidRPr="006955B9">
        <w:t xml:space="preserve">), it is suggested that, relative to TRUSGB or TPUSGB, </w:t>
      </w:r>
      <w:r w:rsidR="00463658">
        <w:t xml:space="preserve">that </w:t>
      </w:r>
      <w:proofErr w:type="spellStart"/>
      <w:r w:rsidRPr="006955B9">
        <w:t>mpMRI</w:t>
      </w:r>
      <w:proofErr w:type="spellEnd"/>
      <w:r w:rsidRPr="006955B9">
        <w:t xml:space="preserve"> imaging</w:t>
      </w:r>
      <w:r w:rsidRPr="00324623">
        <w:t xml:space="preserve"> </w:t>
      </w:r>
      <w:r>
        <w:t>has non-inferior effectiveness. However</w:t>
      </w:r>
      <w:r w:rsidR="002A2E63">
        <w:t>,</w:t>
      </w:r>
      <w:r>
        <w:t xml:space="preserve"> the uncertainty associated with the diagnostic accuracy of </w:t>
      </w:r>
      <w:proofErr w:type="spellStart"/>
      <w:r>
        <w:t>mpMRI</w:t>
      </w:r>
      <w:proofErr w:type="spellEnd"/>
      <w:r>
        <w:t xml:space="preserve"> should be taken into account. </w:t>
      </w:r>
    </w:p>
    <w:p w14:paraId="1A8D242E" w14:textId="77777777" w:rsidR="002A2E63" w:rsidRDefault="002A2E63" w:rsidP="002A2E63">
      <w:r>
        <w:t xml:space="preserve">Based on avoidance of harms associated with biopsy under the proposed algorithms, it is suggested </w:t>
      </w:r>
      <w:proofErr w:type="spellStart"/>
      <w:r>
        <w:t>mpMRI</w:t>
      </w:r>
      <w:proofErr w:type="spellEnd"/>
      <w:r>
        <w:t xml:space="preserve"> has superior safety to TRUSGB; however, the adverse events associated with biopsy are generally minor and occur in a small proportion of patients.</w:t>
      </w:r>
    </w:p>
    <w:p w14:paraId="698BEC48" w14:textId="77777777" w:rsidR="00F6409C" w:rsidRDefault="00F6409C" w:rsidP="00F6409C">
      <w:pPr>
        <w:rPr>
          <w:b/>
        </w:rPr>
      </w:pPr>
      <w:r>
        <w:rPr>
          <w:b/>
        </w:rPr>
        <w:t>Population 2</w:t>
      </w:r>
    </w:p>
    <w:p w14:paraId="37F4810A" w14:textId="3A6B266F" w:rsidR="00F6409C" w:rsidRPr="00CA3E2A" w:rsidRDefault="00F6409C" w:rsidP="00F6409C">
      <w:r>
        <w:t xml:space="preserve">The health outcomes associated with delayed treatment due to a false negative </w:t>
      </w:r>
      <w:proofErr w:type="spellStart"/>
      <w:r>
        <w:t>mpMRI</w:t>
      </w:r>
      <w:proofErr w:type="spellEnd"/>
      <w:r>
        <w:t xml:space="preserve"> result in Population 2 are summarised in</w:t>
      </w:r>
      <w:r w:rsidR="006C55B7">
        <w:t xml:space="preserve"> </w:t>
      </w:r>
      <w:r w:rsidR="006C55B7">
        <w:fldChar w:fldCharType="begin"/>
      </w:r>
      <w:r w:rsidR="006C55B7">
        <w:instrText xml:space="preserve"> REF _Ref457290198 \h </w:instrText>
      </w:r>
      <w:r w:rsidR="006C55B7">
        <w:fldChar w:fldCharType="separate"/>
      </w:r>
      <w:r w:rsidR="0029649D" w:rsidRPr="00466B3D">
        <w:t xml:space="preserve">Table </w:t>
      </w:r>
      <w:r w:rsidR="0029649D">
        <w:rPr>
          <w:noProof/>
        </w:rPr>
        <w:t>6</w:t>
      </w:r>
      <w:r w:rsidR="006C55B7">
        <w:fldChar w:fldCharType="end"/>
      </w:r>
      <w:r>
        <w:t>.</w:t>
      </w:r>
    </w:p>
    <w:p w14:paraId="3A073247" w14:textId="3F77AAD6" w:rsidR="00F6409C" w:rsidRPr="00466B3D" w:rsidRDefault="00F6409C" w:rsidP="00035200">
      <w:pPr>
        <w:pStyle w:val="Caption"/>
        <w:ind w:left="1134" w:hanging="1134"/>
      </w:pPr>
      <w:bookmarkStart w:id="101" w:name="_Ref457290198"/>
      <w:bookmarkStart w:id="102" w:name="_Toc456775909"/>
      <w:bookmarkStart w:id="103" w:name="_Toc460514506"/>
      <w:r w:rsidRPr="00466B3D">
        <w:t xml:space="preserve">Table </w:t>
      </w:r>
      <w:fldSimple w:instr=" SEQ Table \* ARABIC ">
        <w:r w:rsidR="0029649D">
          <w:rPr>
            <w:noProof/>
          </w:rPr>
          <w:t>6</w:t>
        </w:r>
      </w:fldSimple>
      <w:bookmarkEnd w:id="101"/>
      <w:r w:rsidRPr="00466B3D">
        <w:tab/>
      </w:r>
      <w:r w:rsidR="001C1655">
        <w:t xml:space="preserve">Population 2: </w:t>
      </w:r>
      <w:r w:rsidRPr="00466B3D">
        <w:t xml:space="preserve">Summary of findings for the linked evidence comparison of </w:t>
      </w:r>
      <w:proofErr w:type="spellStart"/>
      <w:r w:rsidRPr="00466B3D">
        <w:t>mpMRI</w:t>
      </w:r>
      <w:proofErr w:type="spellEnd"/>
      <w:r w:rsidRPr="00466B3D">
        <w:t>, relative to TRUSGB or TPUSGB, in patients on active surveillance with assumed pre-test probability (prevalence) for upgraded disease of 30%</w:t>
      </w:r>
      <w:bookmarkEnd w:id="102"/>
      <w:bookmarkEnd w:id="103"/>
      <w:r w:rsidRPr="00466B3D">
        <w:t xml:space="preserve"> </w:t>
      </w:r>
    </w:p>
    <w:tbl>
      <w:tblPr>
        <w:tblStyle w:val="TableGrid"/>
        <w:tblW w:w="0" w:type="auto"/>
        <w:tblLook w:val="04A0" w:firstRow="1" w:lastRow="0" w:firstColumn="1" w:lastColumn="0" w:noHBand="0" w:noVBand="1"/>
        <w:tblDescription w:val="Summary of findings table"/>
      </w:tblPr>
      <w:tblGrid>
        <w:gridCol w:w="1261"/>
        <w:gridCol w:w="1391"/>
        <w:gridCol w:w="1216"/>
        <w:gridCol w:w="1304"/>
        <w:gridCol w:w="1334"/>
        <w:gridCol w:w="1158"/>
        <w:gridCol w:w="1578"/>
      </w:tblGrid>
      <w:tr w:rsidR="002A2E63" w:rsidRPr="00035200" w14:paraId="227239A9" w14:textId="77777777" w:rsidTr="006F5EC6">
        <w:trPr>
          <w:cantSplit/>
          <w:tblHeader/>
        </w:trPr>
        <w:tc>
          <w:tcPr>
            <w:tcW w:w="1261" w:type="dxa"/>
          </w:tcPr>
          <w:p w14:paraId="71839955" w14:textId="77777777" w:rsidR="002A2E63" w:rsidRPr="00035200" w:rsidRDefault="002A2E63" w:rsidP="00D84DF2">
            <w:pPr>
              <w:pStyle w:val="Tableheading1"/>
            </w:pPr>
            <w:r w:rsidRPr="00035200">
              <w:t>Outcomes</w:t>
            </w:r>
          </w:p>
        </w:tc>
        <w:tc>
          <w:tcPr>
            <w:tcW w:w="1391" w:type="dxa"/>
          </w:tcPr>
          <w:p w14:paraId="609E3455" w14:textId="3D7671E6" w:rsidR="002A2E63" w:rsidRPr="00035200" w:rsidRDefault="009B42A0" w:rsidP="00D84DF2">
            <w:pPr>
              <w:pStyle w:val="Tableheading1"/>
            </w:pPr>
            <w:r w:rsidRPr="00035200">
              <w:t>Patients/</w:t>
            </w:r>
          </w:p>
          <w:p w14:paraId="304A94A5" w14:textId="77777777" w:rsidR="002A2E63" w:rsidRPr="00035200" w:rsidRDefault="002A2E63" w:rsidP="00D84DF2">
            <w:pPr>
              <w:pStyle w:val="Tableheading1"/>
            </w:pPr>
            <w:r w:rsidRPr="00035200">
              <w:t>Studies</w:t>
            </w:r>
          </w:p>
        </w:tc>
        <w:tc>
          <w:tcPr>
            <w:tcW w:w="1216" w:type="dxa"/>
          </w:tcPr>
          <w:p w14:paraId="383549C5" w14:textId="77777777" w:rsidR="002A2E63" w:rsidRPr="00035200" w:rsidRDefault="002A2E63" w:rsidP="00D84DF2">
            <w:pPr>
              <w:pStyle w:val="Tableheading1"/>
              <w:rPr>
                <w:vertAlign w:val="superscript"/>
              </w:rPr>
            </w:pPr>
            <w:r w:rsidRPr="00035200">
              <w:t xml:space="preserve">Quality of </w:t>
            </w:r>
            <w:proofErr w:type="spellStart"/>
            <w:r w:rsidRPr="00035200">
              <w:t>evidence</w:t>
            </w:r>
            <w:r w:rsidRPr="00035200">
              <w:rPr>
                <w:vertAlign w:val="superscript"/>
              </w:rPr>
              <w:t>a</w:t>
            </w:r>
            <w:proofErr w:type="spellEnd"/>
          </w:p>
        </w:tc>
        <w:tc>
          <w:tcPr>
            <w:tcW w:w="1304" w:type="dxa"/>
          </w:tcPr>
          <w:p w14:paraId="6F5BDD82" w14:textId="77777777" w:rsidR="002A2E63" w:rsidRPr="00035200" w:rsidRDefault="002A2E63" w:rsidP="00D84DF2">
            <w:pPr>
              <w:pStyle w:val="Tableheading1"/>
              <w:rPr>
                <w:vertAlign w:val="superscript"/>
              </w:rPr>
            </w:pPr>
            <w:r w:rsidRPr="00035200">
              <w:t>No. per 100 patients with intervention [95% CI]</w:t>
            </w:r>
            <w:r w:rsidRPr="00035200">
              <w:rPr>
                <w:vertAlign w:val="superscript"/>
              </w:rPr>
              <w:t>b</w:t>
            </w:r>
          </w:p>
        </w:tc>
        <w:tc>
          <w:tcPr>
            <w:tcW w:w="1334" w:type="dxa"/>
          </w:tcPr>
          <w:p w14:paraId="324DC75A" w14:textId="77777777" w:rsidR="002A2E63" w:rsidRPr="00035200" w:rsidRDefault="002A2E63" w:rsidP="00D84DF2">
            <w:pPr>
              <w:pStyle w:val="Tableheading1"/>
              <w:rPr>
                <w:vertAlign w:val="superscript"/>
              </w:rPr>
            </w:pPr>
            <w:r w:rsidRPr="00035200">
              <w:t>No. per 100 patients with comparator [95% CI]</w:t>
            </w:r>
            <w:r w:rsidRPr="00035200">
              <w:rPr>
                <w:vertAlign w:val="superscript"/>
              </w:rPr>
              <w:t>c</w:t>
            </w:r>
          </w:p>
        </w:tc>
        <w:tc>
          <w:tcPr>
            <w:tcW w:w="1158" w:type="dxa"/>
          </w:tcPr>
          <w:p w14:paraId="6CE59C96" w14:textId="77777777" w:rsidR="002A2E63" w:rsidRPr="00035200" w:rsidRDefault="002A2E63" w:rsidP="00D84DF2">
            <w:pPr>
              <w:pStyle w:val="Tableheading1"/>
            </w:pPr>
            <w:r w:rsidRPr="00035200">
              <w:t>Importance</w:t>
            </w:r>
          </w:p>
        </w:tc>
        <w:tc>
          <w:tcPr>
            <w:tcW w:w="1578" w:type="dxa"/>
          </w:tcPr>
          <w:p w14:paraId="3FB51EFA" w14:textId="77777777" w:rsidR="002A2E63" w:rsidRPr="00035200" w:rsidRDefault="002A2E63" w:rsidP="00D84DF2">
            <w:pPr>
              <w:pStyle w:val="Tableheading1"/>
            </w:pPr>
            <w:r w:rsidRPr="00035200">
              <w:t>Comments</w:t>
            </w:r>
          </w:p>
        </w:tc>
      </w:tr>
      <w:tr w:rsidR="006F5EC6" w:rsidRPr="002048E2" w14:paraId="656B8C5C" w14:textId="77777777" w:rsidTr="006F5EC6">
        <w:trPr>
          <w:cantSplit/>
        </w:trPr>
        <w:tc>
          <w:tcPr>
            <w:tcW w:w="1261" w:type="dxa"/>
          </w:tcPr>
          <w:p w14:paraId="131ABDE5" w14:textId="77777777" w:rsidR="006F5EC6" w:rsidRPr="002048E2" w:rsidRDefault="006F5EC6" w:rsidP="00D84DF2">
            <w:pPr>
              <w:pStyle w:val="Tabletext1"/>
            </w:pPr>
            <w:r w:rsidRPr="002048E2">
              <w:t>True positives</w:t>
            </w:r>
          </w:p>
        </w:tc>
        <w:tc>
          <w:tcPr>
            <w:tcW w:w="1391" w:type="dxa"/>
          </w:tcPr>
          <w:p w14:paraId="03F3C832" w14:textId="77777777" w:rsidR="006F5EC6" w:rsidRPr="00955C58" w:rsidRDefault="006F5EC6" w:rsidP="00D84DF2">
            <w:pPr>
              <w:pStyle w:val="Tabletext1"/>
            </w:pPr>
            <w:r w:rsidRPr="00955C58">
              <w:t>820 patients</w:t>
            </w:r>
          </w:p>
          <w:p w14:paraId="3A53DD03" w14:textId="07B9081F" w:rsidR="006F5EC6" w:rsidRPr="00955C58" w:rsidRDefault="00B72E7F" w:rsidP="00D84DF2">
            <w:pPr>
              <w:pStyle w:val="Tabletext1"/>
            </w:pPr>
            <w:r>
              <w:t>(</w:t>
            </w:r>
            <w:r w:rsidR="006F5EC6" w:rsidRPr="00955C58">
              <w:t>6 studies</w:t>
            </w:r>
            <w:r>
              <w:t>)</w:t>
            </w:r>
            <w:r w:rsidR="009B42A0">
              <w:t>.</w:t>
            </w:r>
          </w:p>
        </w:tc>
        <w:tc>
          <w:tcPr>
            <w:tcW w:w="1216" w:type="dxa"/>
          </w:tcPr>
          <w:p w14:paraId="3E52946E" w14:textId="77777777" w:rsidR="006F5EC6" w:rsidRPr="002048E2" w:rsidRDefault="006F5EC6" w:rsidP="00D84DF2">
            <w:pPr>
              <w:pStyle w:val="Tabletext1"/>
            </w:pPr>
            <w:r w:rsidRPr="00955C58">
              <w:rPr>
                <w:rFonts w:ascii="Cambria Math" w:hAnsi="Cambria Math" w:cs="Cambria Math"/>
                <w:color w:val="00B050"/>
              </w:rPr>
              <w:t>⨁⨁⨁⨁</w:t>
            </w:r>
          </w:p>
        </w:tc>
        <w:tc>
          <w:tcPr>
            <w:tcW w:w="1304" w:type="dxa"/>
          </w:tcPr>
          <w:p w14:paraId="01151FB9" w14:textId="3DA94A10" w:rsidR="006F5EC6" w:rsidRPr="002048E2" w:rsidRDefault="006F5EC6" w:rsidP="00D84DF2">
            <w:pPr>
              <w:pStyle w:val="Tabletext1"/>
            </w:pPr>
            <w:r w:rsidRPr="00DF78F8">
              <w:t>24 [22,</w:t>
            </w:r>
            <w:r w:rsidR="009071F6">
              <w:t xml:space="preserve"> </w:t>
            </w:r>
            <w:r w:rsidRPr="00DF78F8">
              <w:t>35]</w:t>
            </w:r>
          </w:p>
        </w:tc>
        <w:tc>
          <w:tcPr>
            <w:tcW w:w="1334" w:type="dxa"/>
          </w:tcPr>
          <w:p w14:paraId="226EB4EE" w14:textId="77777777" w:rsidR="006F5EC6" w:rsidRPr="002048E2" w:rsidRDefault="006F5EC6" w:rsidP="00D84DF2">
            <w:pPr>
              <w:pStyle w:val="Tabletext1"/>
            </w:pPr>
            <w:r w:rsidRPr="00DF78F8">
              <w:t>28 [25, 31]</w:t>
            </w:r>
          </w:p>
        </w:tc>
        <w:tc>
          <w:tcPr>
            <w:tcW w:w="1158" w:type="dxa"/>
          </w:tcPr>
          <w:p w14:paraId="0C1FD533" w14:textId="77777777" w:rsidR="006F5EC6" w:rsidRPr="002048E2" w:rsidRDefault="006F5EC6" w:rsidP="00D84DF2">
            <w:pPr>
              <w:pStyle w:val="Tabletext1"/>
            </w:pPr>
            <w:r w:rsidRPr="00DF78F8">
              <w:t>Critical</w:t>
            </w:r>
          </w:p>
        </w:tc>
        <w:tc>
          <w:tcPr>
            <w:tcW w:w="1578" w:type="dxa"/>
          </w:tcPr>
          <w:p w14:paraId="3C42B020" w14:textId="43D26B1E" w:rsidR="006F5EC6" w:rsidRPr="002048E2" w:rsidRDefault="006F5EC6" w:rsidP="00D84DF2">
            <w:pPr>
              <w:pStyle w:val="Tabletext1"/>
            </w:pPr>
            <w:r w:rsidRPr="00DF78F8">
              <w:t>Will undergo biopsy as under current management.</w:t>
            </w:r>
          </w:p>
        </w:tc>
      </w:tr>
      <w:tr w:rsidR="00760653" w:rsidRPr="002048E2" w14:paraId="652413DF" w14:textId="77777777" w:rsidTr="00201E80">
        <w:trPr>
          <w:cantSplit/>
        </w:trPr>
        <w:tc>
          <w:tcPr>
            <w:tcW w:w="1261" w:type="dxa"/>
          </w:tcPr>
          <w:p w14:paraId="6099FEC5" w14:textId="77777777" w:rsidR="00760653" w:rsidRPr="002048E2" w:rsidRDefault="00760653" w:rsidP="00201E80">
            <w:pPr>
              <w:pStyle w:val="Tabletext1"/>
            </w:pPr>
            <w:r w:rsidRPr="002048E2">
              <w:t>False positives</w:t>
            </w:r>
          </w:p>
        </w:tc>
        <w:tc>
          <w:tcPr>
            <w:tcW w:w="1391" w:type="dxa"/>
          </w:tcPr>
          <w:p w14:paraId="0ECFC69A" w14:textId="77777777" w:rsidR="00760653" w:rsidRPr="00955C58" w:rsidRDefault="00760653" w:rsidP="00201E80">
            <w:pPr>
              <w:pStyle w:val="Tabletext1"/>
            </w:pPr>
            <w:r w:rsidRPr="00955C58">
              <w:t>820 patients</w:t>
            </w:r>
          </w:p>
          <w:p w14:paraId="5402BF29" w14:textId="77777777" w:rsidR="00760653" w:rsidRPr="00955C58" w:rsidRDefault="00760653" w:rsidP="00201E80">
            <w:pPr>
              <w:pStyle w:val="Tabletext1"/>
            </w:pPr>
            <w:r>
              <w:t>(</w:t>
            </w:r>
            <w:r w:rsidRPr="00955C58">
              <w:t>6 studies</w:t>
            </w:r>
            <w:r>
              <w:t>).</w:t>
            </w:r>
          </w:p>
        </w:tc>
        <w:tc>
          <w:tcPr>
            <w:tcW w:w="1216" w:type="dxa"/>
          </w:tcPr>
          <w:p w14:paraId="086C7119" w14:textId="77777777" w:rsidR="00760653" w:rsidRPr="002048E2" w:rsidRDefault="00760653" w:rsidP="00201E80">
            <w:pPr>
              <w:pStyle w:val="Tabletext1"/>
            </w:pPr>
            <w:r w:rsidRPr="00955C58">
              <w:rPr>
                <w:rFonts w:ascii="Cambria Math" w:hAnsi="Cambria Math" w:cs="Cambria Math"/>
                <w:color w:val="00B050"/>
              </w:rPr>
              <w:t>⨁⨁⨁⨁</w:t>
            </w:r>
          </w:p>
        </w:tc>
        <w:tc>
          <w:tcPr>
            <w:tcW w:w="1304" w:type="dxa"/>
          </w:tcPr>
          <w:p w14:paraId="433B8075" w14:textId="77777777" w:rsidR="00760653" w:rsidRPr="002048E2" w:rsidRDefault="00760653" w:rsidP="00201E80">
            <w:pPr>
              <w:pStyle w:val="Tabletext1"/>
            </w:pPr>
            <w:r w:rsidRPr="00DF78F8">
              <w:t>31 [28, 37]</w:t>
            </w:r>
          </w:p>
        </w:tc>
        <w:tc>
          <w:tcPr>
            <w:tcW w:w="1334" w:type="dxa"/>
          </w:tcPr>
          <w:p w14:paraId="5CBBE111" w14:textId="77777777" w:rsidR="00760653" w:rsidRPr="002048E2" w:rsidRDefault="00760653" w:rsidP="00201E80">
            <w:pPr>
              <w:pStyle w:val="Tabletext1"/>
            </w:pPr>
            <w:r w:rsidRPr="00DF78F8">
              <w:t>0 [0, 0]</w:t>
            </w:r>
          </w:p>
        </w:tc>
        <w:tc>
          <w:tcPr>
            <w:tcW w:w="1158" w:type="dxa"/>
          </w:tcPr>
          <w:p w14:paraId="2EB63DD7" w14:textId="77777777" w:rsidR="00760653" w:rsidRPr="002048E2" w:rsidRDefault="00760653" w:rsidP="00201E80">
            <w:pPr>
              <w:pStyle w:val="Tabletext1"/>
            </w:pPr>
            <w:r w:rsidRPr="00DF78F8">
              <w:t>Critical</w:t>
            </w:r>
          </w:p>
        </w:tc>
        <w:tc>
          <w:tcPr>
            <w:tcW w:w="1578" w:type="dxa"/>
          </w:tcPr>
          <w:p w14:paraId="206F33D4" w14:textId="77777777" w:rsidR="00760653" w:rsidRPr="002048E2" w:rsidRDefault="00760653" w:rsidP="00201E80">
            <w:pPr>
              <w:pStyle w:val="Tabletext1"/>
              <w:rPr>
                <w:highlight w:val="yellow"/>
              </w:rPr>
            </w:pPr>
            <w:r w:rsidRPr="00DF78F8">
              <w:t>Will undergo biopsy as under current management.</w:t>
            </w:r>
          </w:p>
        </w:tc>
      </w:tr>
      <w:tr w:rsidR="00760653" w:rsidRPr="002048E2" w14:paraId="58B40A9B" w14:textId="77777777" w:rsidTr="00201E80">
        <w:trPr>
          <w:cantSplit/>
        </w:trPr>
        <w:tc>
          <w:tcPr>
            <w:tcW w:w="1261" w:type="dxa"/>
          </w:tcPr>
          <w:p w14:paraId="46333C19" w14:textId="77777777" w:rsidR="00760653" w:rsidRPr="002048E2" w:rsidRDefault="00760653" w:rsidP="00201E80">
            <w:pPr>
              <w:pStyle w:val="Tabletext1"/>
            </w:pPr>
            <w:r w:rsidRPr="002048E2">
              <w:t>True negatives</w:t>
            </w:r>
          </w:p>
        </w:tc>
        <w:tc>
          <w:tcPr>
            <w:tcW w:w="1391" w:type="dxa"/>
          </w:tcPr>
          <w:p w14:paraId="36955A5B" w14:textId="77777777" w:rsidR="00760653" w:rsidRPr="00955C58" w:rsidRDefault="00760653" w:rsidP="00201E80">
            <w:pPr>
              <w:pStyle w:val="Tabletext1"/>
            </w:pPr>
            <w:r w:rsidRPr="00955C58">
              <w:t>820 patients</w:t>
            </w:r>
          </w:p>
          <w:p w14:paraId="1AB835A5" w14:textId="77777777" w:rsidR="00760653" w:rsidRPr="00955C58" w:rsidRDefault="00760653" w:rsidP="00201E80">
            <w:pPr>
              <w:pStyle w:val="Tabletext1"/>
            </w:pPr>
            <w:r>
              <w:t>(</w:t>
            </w:r>
            <w:r w:rsidRPr="00955C58">
              <w:t>6 studies</w:t>
            </w:r>
            <w:r>
              <w:t>).</w:t>
            </w:r>
          </w:p>
        </w:tc>
        <w:tc>
          <w:tcPr>
            <w:tcW w:w="1216" w:type="dxa"/>
          </w:tcPr>
          <w:p w14:paraId="27EEB397" w14:textId="77777777" w:rsidR="00760653" w:rsidRPr="002048E2" w:rsidRDefault="00760653" w:rsidP="00201E80">
            <w:pPr>
              <w:pStyle w:val="Tabletext1"/>
            </w:pPr>
            <w:r w:rsidRPr="00DF78F8">
              <w:rPr>
                <w:rFonts w:ascii="Cambria Math" w:hAnsi="Cambria Math" w:cs="Cambria Math"/>
                <w:color w:val="00B050"/>
              </w:rPr>
              <w:t>⨁⨁⨁⨁</w:t>
            </w:r>
          </w:p>
        </w:tc>
        <w:tc>
          <w:tcPr>
            <w:tcW w:w="1304" w:type="dxa"/>
          </w:tcPr>
          <w:p w14:paraId="0B6C679F" w14:textId="77777777" w:rsidR="00760653" w:rsidRPr="002048E2" w:rsidRDefault="00760653" w:rsidP="00201E80">
            <w:pPr>
              <w:pStyle w:val="Tabletext1"/>
            </w:pPr>
            <w:r w:rsidRPr="00DF78F8">
              <w:t>39 [35, 42]</w:t>
            </w:r>
          </w:p>
        </w:tc>
        <w:tc>
          <w:tcPr>
            <w:tcW w:w="1334" w:type="dxa"/>
          </w:tcPr>
          <w:p w14:paraId="58D00857" w14:textId="77777777" w:rsidR="00760653" w:rsidRPr="002048E2" w:rsidRDefault="00760653" w:rsidP="00201E80">
            <w:pPr>
              <w:pStyle w:val="Tabletext1"/>
            </w:pPr>
            <w:r w:rsidRPr="00DF78F8">
              <w:t>65 [65, 65]</w:t>
            </w:r>
          </w:p>
        </w:tc>
        <w:tc>
          <w:tcPr>
            <w:tcW w:w="1158" w:type="dxa"/>
          </w:tcPr>
          <w:p w14:paraId="3FDCD9AE" w14:textId="77777777" w:rsidR="00760653" w:rsidRPr="002048E2" w:rsidRDefault="00760653" w:rsidP="00201E80">
            <w:pPr>
              <w:pStyle w:val="Tabletext1"/>
            </w:pPr>
            <w:r w:rsidRPr="00DF78F8">
              <w:t>Critical</w:t>
            </w:r>
          </w:p>
        </w:tc>
        <w:tc>
          <w:tcPr>
            <w:tcW w:w="1578" w:type="dxa"/>
          </w:tcPr>
          <w:p w14:paraId="1697CD84" w14:textId="77777777" w:rsidR="00760653" w:rsidRPr="002048E2" w:rsidRDefault="00760653" w:rsidP="00201E80">
            <w:pPr>
              <w:pStyle w:val="Tabletext1"/>
              <w:rPr>
                <w:highlight w:val="yellow"/>
              </w:rPr>
            </w:pPr>
            <w:r w:rsidRPr="002048E2">
              <w:t xml:space="preserve">Will avoid </w:t>
            </w:r>
            <w:r>
              <w:t xml:space="preserve">the potential adverse events resultant from </w:t>
            </w:r>
            <w:r w:rsidRPr="002048E2">
              <w:t>biopsy.</w:t>
            </w:r>
          </w:p>
        </w:tc>
      </w:tr>
      <w:tr w:rsidR="0093592F" w:rsidRPr="002048E2" w14:paraId="601EDEEB" w14:textId="77777777" w:rsidTr="006F5EC6">
        <w:trPr>
          <w:cantSplit/>
        </w:trPr>
        <w:tc>
          <w:tcPr>
            <w:tcW w:w="1261" w:type="dxa"/>
          </w:tcPr>
          <w:p w14:paraId="69F487A7" w14:textId="77777777" w:rsidR="0093592F" w:rsidRPr="002048E2" w:rsidRDefault="0093592F" w:rsidP="00D84DF2">
            <w:pPr>
              <w:pStyle w:val="Tabletext1"/>
            </w:pPr>
            <w:r w:rsidRPr="002048E2">
              <w:lastRenderedPageBreak/>
              <w:t xml:space="preserve">False negatives </w:t>
            </w:r>
          </w:p>
        </w:tc>
        <w:tc>
          <w:tcPr>
            <w:tcW w:w="1391" w:type="dxa"/>
          </w:tcPr>
          <w:p w14:paraId="6504F086" w14:textId="77777777" w:rsidR="0093592F" w:rsidRPr="00955C58" w:rsidRDefault="0093592F" w:rsidP="00D84DF2">
            <w:pPr>
              <w:pStyle w:val="Tabletext1"/>
            </w:pPr>
            <w:r w:rsidRPr="00955C58">
              <w:t>820 patients</w:t>
            </w:r>
          </w:p>
          <w:p w14:paraId="098C433D" w14:textId="60795138" w:rsidR="0093592F" w:rsidRPr="00955C58" w:rsidRDefault="0093592F" w:rsidP="00D84DF2">
            <w:pPr>
              <w:pStyle w:val="Tabletext1"/>
            </w:pPr>
            <w:r>
              <w:t>(</w:t>
            </w:r>
            <w:r w:rsidRPr="00955C58">
              <w:t>6 studies</w:t>
            </w:r>
            <w:r>
              <w:t>)</w:t>
            </w:r>
            <w:r w:rsidR="009B42A0">
              <w:t>.</w:t>
            </w:r>
          </w:p>
        </w:tc>
        <w:tc>
          <w:tcPr>
            <w:tcW w:w="1216" w:type="dxa"/>
          </w:tcPr>
          <w:p w14:paraId="64FC269E" w14:textId="77777777" w:rsidR="0093592F" w:rsidRPr="002048E2" w:rsidRDefault="0093592F" w:rsidP="00D84DF2">
            <w:pPr>
              <w:pStyle w:val="Tabletext1"/>
            </w:pPr>
            <w:r w:rsidRPr="00955C58">
              <w:rPr>
                <w:rFonts w:ascii="Cambria Math" w:hAnsi="Cambria Math" w:cs="Cambria Math"/>
                <w:color w:val="00B050"/>
              </w:rPr>
              <w:t>⨁⨁⨁⨁</w:t>
            </w:r>
          </w:p>
        </w:tc>
        <w:tc>
          <w:tcPr>
            <w:tcW w:w="1304" w:type="dxa"/>
          </w:tcPr>
          <w:p w14:paraId="386262BA" w14:textId="228B294C" w:rsidR="0093592F" w:rsidRPr="002048E2" w:rsidRDefault="0093592F" w:rsidP="00D84DF2">
            <w:pPr>
              <w:pStyle w:val="Tabletext1"/>
            </w:pPr>
            <w:r w:rsidRPr="00DF78F8">
              <w:t>6 [5,</w:t>
            </w:r>
            <w:r>
              <w:t xml:space="preserve"> </w:t>
            </w:r>
            <w:r w:rsidRPr="00DF78F8">
              <w:t>8]</w:t>
            </w:r>
          </w:p>
        </w:tc>
        <w:tc>
          <w:tcPr>
            <w:tcW w:w="1334" w:type="dxa"/>
          </w:tcPr>
          <w:p w14:paraId="31723F8E" w14:textId="77777777" w:rsidR="0093592F" w:rsidRPr="002048E2" w:rsidRDefault="0093592F" w:rsidP="00D84DF2">
            <w:pPr>
              <w:pStyle w:val="Tabletext1"/>
            </w:pPr>
            <w:r w:rsidRPr="00DF78F8">
              <w:t>7 [4, 11]</w:t>
            </w:r>
          </w:p>
        </w:tc>
        <w:tc>
          <w:tcPr>
            <w:tcW w:w="1158" w:type="dxa"/>
          </w:tcPr>
          <w:p w14:paraId="06FCF717" w14:textId="77777777" w:rsidR="0093592F" w:rsidRPr="002048E2" w:rsidRDefault="0093592F" w:rsidP="00D84DF2">
            <w:pPr>
              <w:pStyle w:val="Tabletext1"/>
            </w:pPr>
            <w:r w:rsidRPr="00DF78F8">
              <w:t>Critical</w:t>
            </w:r>
          </w:p>
        </w:tc>
        <w:tc>
          <w:tcPr>
            <w:tcW w:w="1578" w:type="dxa"/>
          </w:tcPr>
          <w:p w14:paraId="319FF24A" w14:textId="5B2CC1DA" w:rsidR="0093592F" w:rsidRPr="002048E2" w:rsidRDefault="0093592F" w:rsidP="00D84DF2">
            <w:pPr>
              <w:pStyle w:val="Tabletext1"/>
              <w:rPr>
                <w:highlight w:val="yellow"/>
              </w:rPr>
            </w:pPr>
            <w:r w:rsidRPr="002048E2">
              <w:t xml:space="preserve">Will avoid the </w:t>
            </w:r>
            <w:r>
              <w:t xml:space="preserve">potential </w:t>
            </w:r>
            <w:r w:rsidRPr="002048E2">
              <w:t xml:space="preserve">adverse events </w:t>
            </w:r>
            <w:r>
              <w:t>resultant from</w:t>
            </w:r>
            <w:r w:rsidRPr="002048E2">
              <w:t xml:space="preserve"> biopsy but possible detriment due to delayed treatment.</w:t>
            </w:r>
          </w:p>
        </w:tc>
      </w:tr>
      <w:tr w:rsidR="006F5EC6" w:rsidRPr="002048E2" w14:paraId="321A0CEA" w14:textId="77777777" w:rsidTr="003D41FD">
        <w:trPr>
          <w:cantSplit/>
        </w:trPr>
        <w:tc>
          <w:tcPr>
            <w:tcW w:w="1261" w:type="dxa"/>
          </w:tcPr>
          <w:p w14:paraId="6F182EAC" w14:textId="77777777" w:rsidR="006F5EC6" w:rsidRPr="002048E2" w:rsidRDefault="006F5EC6" w:rsidP="00D84DF2">
            <w:pPr>
              <w:pStyle w:val="Tabletext1"/>
            </w:pPr>
            <w:r w:rsidRPr="002048E2">
              <w:t>Positive surgical margins</w:t>
            </w:r>
          </w:p>
        </w:tc>
        <w:tc>
          <w:tcPr>
            <w:tcW w:w="1391" w:type="dxa"/>
          </w:tcPr>
          <w:p w14:paraId="0DC36277" w14:textId="77777777" w:rsidR="006F5EC6" w:rsidRPr="00955C58" w:rsidRDefault="006F5EC6" w:rsidP="00D84DF2">
            <w:pPr>
              <w:pStyle w:val="Tabletext1"/>
            </w:pPr>
            <w:r w:rsidRPr="00955C58">
              <w:t>219 patients</w:t>
            </w:r>
          </w:p>
          <w:p w14:paraId="1BA52AF3" w14:textId="007B13E8" w:rsidR="006F5EC6" w:rsidRPr="00955C58" w:rsidRDefault="00B72E7F" w:rsidP="00D84DF2">
            <w:pPr>
              <w:pStyle w:val="Tabletext1"/>
            </w:pPr>
            <w:r>
              <w:t>(</w:t>
            </w:r>
            <w:r w:rsidR="006F5EC6" w:rsidRPr="00955C58">
              <w:t>1 study</w:t>
            </w:r>
            <w:r>
              <w:t>)</w:t>
            </w:r>
            <w:r w:rsidR="009B42A0">
              <w:t>.</w:t>
            </w:r>
          </w:p>
        </w:tc>
        <w:tc>
          <w:tcPr>
            <w:tcW w:w="1216" w:type="dxa"/>
          </w:tcPr>
          <w:p w14:paraId="2A6D7D34" w14:textId="77777777" w:rsidR="006F5EC6" w:rsidRPr="002048E2" w:rsidRDefault="006F5EC6" w:rsidP="00D84DF2">
            <w:pPr>
              <w:pStyle w:val="Tabletext1"/>
            </w:pPr>
            <w:r w:rsidRPr="00DF78F8">
              <w:rPr>
                <w:rFonts w:ascii="Cambria Math" w:hAnsi="Cambria Math" w:cs="Cambria Math"/>
                <w:color w:val="00B050"/>
              </w:rPr>
              <w:t>⨁</w:t>
            </w:r>
            <w:r w:rsidRPr="00DF78F8">
              <w:rPr>
                <w:rFonts w:ascii="Cambria Math" w:hAnsi="Cambria Math" w:cs="Cambria Math"/>
                <w:color w:val="C00000"/>
              </w:rPr>
              <w:t>⨀⨀⨀</w:t>
            </w:r>
          </w:p>
        </w:tc>
        <w:tc>
          <w:tcPr>
            <w:tcW w:w="1304" w:type="dxa"/>
            <w:shd w:val="clear" w:color="auto" w:fill="auto"/>
          </w:tcPr>
          <w:p w14:paraId="4568EDF6" w14:textId="77777777" w:rsidR="006F5EC6" w:rsidRPr="003D41FD" w:rsidRDefault="006F5EC6" w:rsidP="00D84DF2">
            <w:pPr>
              <w:pStyle w:val="Tabletext1"/>
            </w:pPr>
            <w:r w:rsidRPr="003D41FD">
              <w:t>NA</w:t>
            </w:r>
          </w:p>
        </w:tc>
        <w:tc>
          <w:tcPr>
            <w:tcW w:w="1334" w:type="dxa"/>
          </w:tcPr>
          <w:p w14:paraId="657DC770" w14:textId="77777777" w:rsidR="006F5EC6" w:rsidRPr="002048E2" w:rsidRDefault="006F5EC6" w:rsidP="00D84DF2">
            <w:pPr>
              <w:pStyle w:val="Tabletext1"/>
            </w:pPr>
            <w:r w:rsidRPr="00DF78F8">
              <w:t>NA</w:t>
            </w:r>
          </w:p>
        </w:tc>
        <w:tc>
          <w:tcPr>
            <w:tcW w:w="1158" w:type="dxa"/>
          </w:tcPr>
          <w:p w14:paraId="2559020F" w14:textId="77777777" w:rsidR="006F5EC6" w:rsidRPr="002048E2" w:rsidRDefault="006F5EC6" w:rsidP="00D84DF2">
            <w:pPr>
              <w:pStyle w:val="Tabletext1"/>
            </w:pPr>
            <w:r w:rsidRPr="00DF78F8">
              <w:t>Important</w:t>
            </w:r>
          </w:p>
        </w:tc>
        <w:tc>
          <w:tcPr>
            <w:tcW w:w="1578" w:type="dxa"/>
          </w:tcPr>
          <w:p w14:paraId="62B0C247" w14:textId="45433085" w:rsidR="006F5EC6" w:rsidRPr="002048E2" w:rsidRDefault="006F5EC6" w:rsidP="00D84DF2">
            <w:pPr>
              <w:pStyle w:val="Tabletext1"/>
            </w:pPr>
            <w:r w:rsidRPr="00DF78F8">
              <w:t>There is no evidence that delayed treatment increases the rate of positive surgical margins</w:t>
            </w:r>
            <w:r w:rsidR="009071F6">
              <w:t>.</w:t>
            </w:r>
          </w:p>
        </w:tc>
      </w:tr>
    </w:tbl>
    <w:p w14:paraId="2839E6AB" w14:textId="79587018" w:rsidR="00F6409C" w:rsidRDefault="00F6409C" w:rsidP="00DF78F8">
      <w:pPr>
        <w:pStyle w:val="TableNotes"/>
      </w:pPr>
      <w:r w:rsidRPr="000401E7">
        <w:rPr>
          <w:vertAlign w:val="superscript"/>
        </w:rPr>
        <w:t>a</w:t>
      </w:r>
      <w:r w:rsidR="00847AF1">
        <w:t xml:space="preserve">: </w:t>
      </w:r>
      <w:r w:rsidRPr="000401E7">
        <w:t xml:space="preserve">GRADE Working Group grades of evidence </w:t>
      </w:r>
      <w:r w:rsidR="008E0B00">
        <w:fldChar w:fldCharType="begin"/>
      </w:r>
      <w:r w:rsidR="008E0B00">
        <w:instrText xml:space="preserve"> ADDIN EN.CITE &lt;EndNote&gt;&lt;Cite&gt;&lt;Author&gt;Guyatt&lt;/Author&gt;&lt;Year&gt;2013&lt;/Year&gt;&lt;RecNum&gt;1&lt;/RecNum&gt;&lt;DisplayText&gt;(Guyatt et al. 2013)&lt;/DisplayText&gt;&lt;record&gt;&lt;rec-number&gt;1&lt;/rec-number&gt;&lt;foreign-keys&gt;&lt;key app="EN" db-id="2p9terxr22fx91epzebpfdwuzrwtw2a2ep2t" timestamp="1472684599"&gt;1&lt;/key&gt;&lt;/foreign-keys&gt;&lt;ref-type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Pr="000401E7">
        <w:br/>
      </w:r>
      <w:r w:rsidRPr="00D4733A">
        <w:rPr>
          <w:rFonts w:ascii="Cambria Math" w:hAnsi="Cambria Math"/>
          <w:color w:val="00B050"/>
        </w:rPr>
        <w:t>⨁⨁⨁⨁</w:t>
      </w:r>
      <w:r>
        <w:rPr>
          <w:rFonts w:ascii="Cambria Math" w:hAnsi="Cambria Math"/>
          <w:color w:val="00B050"/>
        </w:rPr>
        <w:t xml:space="preserve"> </w:t>
      </w:r>
      <w:r w:rsidRPr="00E10B76">
        <w:rPr>
          <w:b/>
          <w:bCs/>
        </w:rPr>
        <w:t>High quality:</w:t>
      </w:r>
      <w:r w:rsidRPr="00E10B76">
        <w:t xml:space="preserve"> </w:t>
      </w:r>
      <w:r>
        <w:t>We are very confident that the true effect lies close to that of the estimate of effect.</w:t>
      </w:r>
      <w:r w:rsidRPr="00E10B76">
        <w:t xml:space="preserve"> </w:t>
      </w:r>
      <w:r w:rsidRPr="00E10B76">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br/>
      </w:r>
      <w:r w:rsidRPr="00DE757E">
        <w:rPr>
          <w:vertAlign w:val="superscript"/>
        </w:rPr>
        <w:t>b</w:t>
      </w:r>
      <w:r w:rsidR="00847AF1">
        <w:t>: A</w:t>
      </w:r>
      <w:r>
        <w:t xml:space="preserve"> prevalence of </w:t>
      </w:r>
      <w:proofErr w:type="spellStart"/>
      <w:r w:rsidR="00B57813">
        <w:t>PCa</w:t>
      </w:r>
      <w:proofErr w:type="spellEnd"/>
      <w:r>
        <w:t xml:space="preserve"> upgrade in low-</w:t>
      </w:r>
      <w:r w:rsidR="00A9704F">
        <w:t xml:space="preserve">concern </w:t>
      </w:r>
      <w:r>
        <w:t>patients of 30% was provided by the Applicant</w:t>
      </w:r>
      <w:r w:rsidR="00B7542E">
        <w:t xml:space="preserve"> </w:t>
      </w:r>
      <w:r w:rsidR="008E0B00">
        <w:fldChar w:fldCharType="begin"/>
      </w:r>
      <w:r w:rsidR="008E0B00">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fldChar w:fldCharType="separate"/>
      </w:r>
      <w:r w:rsidR="008E0B00">
        <w:rPr>
          <w:noProof/>
        </w:rPr>
        <w:t>(</w:t>
      </w:r>
      <w:hyperlink w:anchor="_ENREF_9" w:tooltip="Applicant, 2016 #9" w:history="1">
        <w:r w:rsidR="008E0B00">
          <w:rPr>
            <w:noProof/>
          </w:rPr>
          <w:t>Applicant 2016</w:t>
        </w:r>
      </w:hyperlink>
      <w:r w:rsidR="008E0B00">
        <w:rPr>
          <w:noProof/>
        </w:rPr>
        <w:t>)</w:t>
      </w:r>
      <w:r w:rsidR="008E0B00">
        <w:fldChar w:fldCharType="end"/>
      </w:r>
      <w:r>
        <w:t>. Only low-</w:t>
      </w:r>
      <w:r w:rsidR="00A9704F">
        <w:t xml:space="preserve">concern </w:t>
      </w:r>
      <w:r>
        <w:t xml:space="preserve">patients have been included in this assessment as there is no change in management for patients at </w:t>
      </w:r>
      <w:r w:rsidR="0058672B">
        <w:t>high-concern</w:t>
      </w:r>
      <w:r>
        <w:t xml:space="preserve">, regardless of </w:t>
      </w:r>
      <w:proofErr w:type="spellStart"/>
      <w:r>
        <w:t>mpMRI</w:t>
      </w:r>
      <w:proofErr w:type="spellEnd"/>
      <w:r>
        <w:t xml:space="preserve"> results.</w:t>
      </w:r>
      <w:r>
        <w:br/>
      </w:r>
      <w:proofErr w:type="gramStart"/>
      <w:r w:rsidRPr="00117220">
        <w:rPr>
          <w:vertAlign w:val="superscript"/>
        </w:rPr>
        <w:t xml:space="preserve">c </w:t>
      </w:r>
      <w:r w:rsidR="00847AF1">
        <w:t>:</w:t>
      </w:r>
      <w:proofErr w:type="gramEnd"/>
      <w:r w:rsidR="00847AF1">
        <w:t xml:space="preserve"> C</w:t>
      </w:r>
      <w:r>
        <w:t>alculated using the reported sensitivity of TRUSGB biopsy of 0.81 (95% CI [0.70, 0.88] and assuming TRUSGB had a specificity of 100%</w:t>
      </w:r>
      <w:r w:rsidR="00AD722C">
        <w:t>.</w:t>
      </w:r>
    </w:p>
    <w:p w14:paraId="0C267E06" w14:textId="3BBD58FD" w:rsidR="00122AAE" w:rsidRDefault="00122AAE" w:rsidP="00DF78F8">
      <w:pPr>
        <w:pStyle w:val="TableNotes"/>
      </w:pPr>
      <w:r>
        <w:t xml:space="preserve">NA = not applicable, </w:t>
      </w:r>
      <w:proofErr w:type="spellStart"/>
      <w:r>
        <w:t>mpMRI</w:t>
      </w:r>
      <w:proofErr w:type="spellEnd"/>
      <w:r>
        <w:t xml:space="preserve"> = </w:t>
      </w:r>
      <w:proofErr w:type="spellStart"/>
      <w:r>
        <w:t>multiparametric</w:t>
      </w:r>
      <w:proofErr w:type="spellEnd"/>
      <w:r>
        <w:t xml:space="preserve"> MRI, CI = Confidence interval.</w:t>
      </w:r>
    </w:p>
    <w:p w14:paraId="5052E39F" w14:textId="02C81EA7" w:rsidR="00F6409C" w:rsidRDefault="00F6409C" w:rsidP="00F6409C">
      <w:r>
        <w:t>O</w:t>
      </w:r>
      <w:r w:rsidRPr="006009CB">
        <w:t xml:space="preserve">nly patients with </w:t>
      </w:r>
      <w:r w:rsidR="0058672B">
        <w:t>low-concern</w:t>
      </w:r>
      <w:r w:rsidR="00AF7A84">
        <w:t xml:space="preserve"> </w:t>
      </w:r>
      <w:r w:rsidRPr="006009CB">
        <w:t xml:space="preserve">who have a negative </w:t>
      </w:r>
      <w:proofErr w:type="spellStart"/>
      <w:r w:rsidRPr="006009CB">
        <w:t>mpMRI</w:t>
      </w:r>
      <w:proofErr w:type="spellEnd"/>
      <w:r w:rsidRPr="006009CB">
        <w:t xml:space="preserve"> will have a change in management under the proposed algorithm. These patients will avoid a biopsy. Advice from the Applicant is that the prevalence of upgraded disease in these patients is 30 per cent.</w:t>
      </w:r>
    </w:p>
    <w:p w14:paraId="16F318C4" w14:textId="1FF223DF" w:rsidR="00F6409C" w:rsidRDefault="00F6409C" w:rsidP="00F6409C">
      <w:r w:rsidRPr="006009CB">
        <w:t xml:space="preserve">Patients who have a false negative </w:t>
      </w:r>
      <w:proofErr w:type="spellStart"/>
      <w:r w:rsidRPr="006009CB">
        <w:t>mpMRI</w:t>
      </w:r>
      <w:proofErr w:type="spellEnd"/>
      <w:r w:rsidRPr="006009CB">
        <w:t xml:space="preserve"> will have their treatment delayed and remain on </w:t>
      </w:r>
      <w:r w:rsidR="00CE60C4">
        <w:t>AS</w:t>
      </w:r>
      <w:r w:rsidRPr="006009CB">
        <w:t xml:space="preserve">. One observational study was identified that assessed the impact of delayed treatment in this population and the quality of evidence was rated very low using the GRADE tool. On this basis, </w:t>
      </w:r>
      <w:proofErr w:type="spellStart"/>
      <w:r w:rsidRPr="006009CB">
        <w:t>mpMRI</w:t>
      </w:r>
      <w:proofErr w:type="spellEnd"/>
      <w:r w:rsidRPr="006009CB">
        <w:t xml:space="preserve"> is considered non-inferior to TRUSGB or TPUSGB.</w:t>
      </w:r>
    </w:p>
    <w:p w14:paraId="0709CE0E" w14:textId="4F94148C" w:rsidR="00F6409C" w:rsidRPr="00CA3E2A" w:rsidRDefault="00F6409C" w:rsidP="00F6409C">
      <w:pPr>
        <w:rPr>
          <w:b/>
        </w:rPr>
      </w:pPr>
      <w:r>
        <w:t>T</w:t>
      </w:r>
      <w:r w:rsidRPr="006009CB">
        <w:t xml:space="preserve">he relative safety of </w:t>
      </w:r>
      <w:proofErr w:type="spellStart"/>
      <w:r w:rsidRPr="006009CB">
        <w:t>mpMRI</w:t>
      </w:r>
      <w:proofErr w:type="spellEnd"/>
      <w:r w:rsidRPr="006009CB">
        <w:t xml:space="preserve"> and biopsy are discussed above for Population 1. There is </w:t>
      </w:r>
      <w:r>
        <w:t>n</w:t>
      </w:r>
      <w:r w:rsidRPr="006009CB">
        <w:t xml:space="preserve">o evidence that the relative harms associated with </w:t>
      </w:r>
      <w:proofErr w:type="spellStart"/>
      <w:r w:rsidRPr="006009CB">
        <w:t>mpMRI</w:t>
      </w:r>
      <w:proofErr w:type="spellEnd"/>
      <w:r w:rsidRPr="006009CB">
        <w:t xml:space="preserve"> and biopsy will be any different in </w:t>
      </w:r>
      <w:r w:rsidR="008073A2">
        <w:t>P</w:t>
      </w:r>
      <w:r w:rsidRPr="006009CB">
        <w:t>opulation 2</w:t>
      </w:r>
      <w:r>
        <w:t xml:space="preserve"> than those described above for Population 1</w:t>
      </w:r>
      <w:r w:rsidR="006F5EC6">
        <w:t>;</w:t>
      </w:r>
      <w:r w:rsidRPr="006009CB">
        <w:t xml:space="preserve"> therefore</w:t>
      </w:r>
      <w:r w:rsidR="006F5EC6">
        <w:t>,</w:t>
      </w:r>
      <w:r w:rsidRPr="006009CB">
        <w:t xml:space="preserve"> </w:t>
      </w:r>
      <w:proofErr w:type="spellStart"/>
      <w:r w:rsidRPr="006009CB">
        <w:t>mpMRI</w:t>
      </w:r>
      <w:proofErr w:type="spellEnd"/>
      <w:r w:rsidRPr="006009CB">
        <w:t xml:space="preserve"> is </w:t>
      </w:r>
      <w:r w:rsidR="006F5EC6" w:rsidRPr="006009CB">
        <w:t>advised</w:t>
      </w:r>
      <w:r w:rsidRPr="006009CB">
        <w:t xml:space="preserve"> to have superior safety.</w:t>
      </w:r>
    </w:p>
    <w:p w14:paraId="3B0466F9" w14:textId="77777777" w:rsidR="002064C3" w:rsidRPr="00183E4D" w:rsidRDefault="002064C3" w:rsidP="002064C3">
      <w:pPr>
        <w:pStyle w:val="Heading3"/>
      </w:pPr>
      <w:bookmarkStart w:id="104" w:name="_Toc456878994"/>
      <w:bookmarkStart w:id="105" w:name="_Toc459987843"/>
      <w:bookmarkStart w:id="106" w:name="_Toc460513882"/>
      <w:bookmarkStart w:id="107" w:name="_Toc395200752"/>
      <w:bookmarkStart w:id="108" w:name="_Toc456878995"/>
      <w:bookmarkStart w:id="109" w:name="_Toc379118060"/>
      <w:bookmarkStart w:id="110" w:name="_Toc379118252"/>
      <w:bookmarkEnd w:id="39"/>
      <w:bookmarkEnd w:id="40"/>
      <w:bookmarkEnd w:id="41"/>
      <w:bookmarkEnd w:id="42"/>
      <w:r w:rsidRPr="00183E4D">
        <w:t>Translation Issues</w:t>
      </w:r>
      <w:bookmarkEnd w:id="104"/>
      <w:bookmarkEnd w:id="105"/>
      <w:bookmarkEnd w:id="106"/>
    </w:p>
    <w:p w14:paraId="32EF318E" w14:textId="77777777" w:rsidR="002064C3" w:rsidRDefault="002064C3" w:rsidP="002064C3">
      <w:r>
        <w:rPr>
          <w:b/>
        </w:rPr>
        <w:t>Applicability issues</w:t>
      </w:r>
    </w:p>
    <w:p w14:paraId="1D4CD8EC" w14:textId="77777777" w:rsidR="002064C3" w:rsidRDefault="002064C3" w:rsidP="002064C3">
      <w:pPr>
        <w:rPr>
          <w:rFonts w:cs="AdvGulliv-R"/>
          <w:color w:val="000000"/>
        </w:rPr>
      </w:pPr>
      <w:r>
        <w:lastRenderedPageBreak/>
        <w:t xml:space="preserve">Comparison </w:t>
      </w:r>
      <w:r w:rsidRPr="00ED6E90">
        <w:t xml:space="preserve">of population </w:t>
      </w:r>
      <w:r>
        <w:t xml:space="preserve">and intervention </w:t>
      </w:r>
      <w:r w:rsidRPr="00ED6E90">
        <w:t xml:space="preserve">characteristics between the key clinical studies and Australian registry data did not identify overt applicability issues. </w:t>
      </w:r>
      <w:r>
        <w:rPr>
          <w:rFonts w:cs="AdvGulliv-R"/>
          <w:color w:val="000000"/>
        </w:rPr>
        <w:t xml:space="preserve">To ensure applicability of the test accuracy results to the intended MBS population, only studies using PI-RADS </w:t>
      </w:r>
      <w:r>
        <w:rPr>
          <w:rFonts w:cs="Calibri"/>
          <w:color w:val="000000"/>
        </w:rPr>
        <w:t>≥</w:t>
      </w:r>
      <w:r>
        <w:rPr>
          <w:rFonts w:cs="AdvGulliv-R"/>
          <w:color w:val="000000"/>
        </w:rPr>
        <w:t xml:space="preserve">4 as a cut-off were included. </w:t>
      </w:r>
    </w:p>
    <w:p w14:paraId="282AA263" w14:textId="55911A14" w:rsidR="002064C3" w:rsidRDefault="002064C3" w:rsidP="002064C3">
      <w:r>
        <w:rPr>
          <w:rFonts w:cs="AdvGulliv-R"/>
          <w:color w:val="000000"/>
        </w:rPr>
        <w:t>In Population 1, d</w:t>
      </w:r>
      <w:r w:rsidRPr="00ED6E90">
        <w:t xml:space="preserve">ifferences in patient pre-selection for </w:t>
      </w:r>
      <w:proofErr w:type="spellStart"/>
      <w:r w:rsidRPr="00ED6E90">
        <w:t>mpMRI</w:t>
      </w:r>
      <w:proofErr w:type="spellEnd"/>
      <w:r w:rsidRPr="00ED6E90">
        <w:t xml:space="preserve"> may impact </w:t>
      </w:r>
      <w:r>
        <w:t xml:space="preserve">tumour characteristics and therefore </w:t>
      </w:r>
      <w:r w:rsidRPr="00ED6E90">
        <w:t>test accuracy.</w:t>
      </w:r>
      <w:r>
        <w:t xml:space="preserve"> </w:t>
      </w:r>
      <w:r w:rsidRPr="00ED6E90">
        <w:t>According to the proposed clinical algorithm</w:t>
      </w:r>
      <w:r w:rsidR="007F498C">
        <w:t xml:space="preserve"> in the P</w:t>
      </w:r>
      <w:r>
        <w:t>rotocol</w:t>
      </w:r>
      <w:r w:rsidRPr="00ED6E90">
        <w:t>, the expected MBS population will be pre</w:t>
      </w:r>
      <w:r w:rsidR="000E4FC7">
        <w:t>-</w:t>
      </w:r>
      <w:r w:rsidRPr="00ED6E90">
        <w:t>select</w:t>
      </w:r>
      <w:r>
        <w:t>ed</w:t>
      </w:r>
      <w:r w:rsidR="000E4FC7">
        <w:t xml:space="preserve"> before undergoing </w:t>
      </w:r>
      <w:proofErr w:type="spellStart"/>
      <w:r w:rsidR="000E4FC7">
        <w:t>mpMRI</w:t>
      </w:r>
      <w:proofErr w:type="spellEnd"/>
      <w:r w:rsidR="000E4FC7">
        <w:t xml:space="preserve"> (PSA &gt;</w:t>
      </w:r>
      <w:r w:rsidR="001D697C">
        <w:t>3ng/ml</w:t>
      </w:r>
      <w:r w:rsidRPr="00ED6E90">
        <w:t xml:space="preserve"> or lower level if &lt;50 years of age, or positive family history, or free/total ratio &lt;25%). From most of the key clinical studies it was not clear </w:t>
      </w:r>
      <w:r>
        <w:t>whether</w:t>
      </w:r>
      <w:r w:rsidRPr="00ED6E90">
        <w:t xml:space="preserve"> the study populations would meet these criteria</w:t>
      </w:r>
      <w:r>
        <w:t xml:space="preserve">. </w:t>
      </w:r>
      <w:r w:rsidR="000E4FC7">
        <w:t>To address this uncertainty</w:t>
      </w:r>
      <w:r>
        <w:t xml:space="preserve">, sensitivity analyses were performed to evaluate the impact of </w:t>
      </w:r>
      <w:r w:rsidR="000E4FC7">
        <w:t xml:space="preserve">the </w:t>
      </w:r>
      <w:r>
        <w:t>reduced</w:t>
      </w:r>
      <w:r w:rsidR="000E4FC7">
        <w:t xml:space="preserve"> and </w:t>
      </w:r>
      <w:r>
        <w:t xml:space="preserve">increased test accuracy on the cost-effectiveness of </w:t>
      </w:r>
      <w:proofErr w:type="spellStart"/>
      <w:r>
        <w:t>mpMRI</w:t>
      </w:r>
      <w:proofErr w:type="spellEnd"/>
      <w:r>
        <w:t xml:space="preserve">. Sensitivity analyses were also performed </w:t>
      </w:r>
      <w:r w:rsidR="000E4FC7">
        <w:t>to evaluate</w:t>
      </w:r>
      <w:r>
        <w:t xml:space="preserve"> the sub selection of Australian studies only.</w:t>
      </w:r>
    </w:p>
    <w:p w14:paraId="06A482D7" w14:textId="5C47AC1F" w:rsidR="002064C3" w:rsidRDefault="002064C3" w:rsidP="002064C3">
      <w:pPr>
        <w:rPr>
          <w:rFonts w:cs="AdvGulliv-R"/>
          <w:color w:val="000000"/>
        </w:rPr>
      </w:pPr>
      <w:r>
        <w:t>In Population 2, t</w:t>
      </w:r>
      <w:r w:rsidRPr="00ED6E90">
        <w:t xml:space="preserve">he </w:t>
      </w:r>
      <w:r>
        <w:t xml:space="preserve">patient characteristics in </w:t>
      </w:r>
      <w:r w:rsidRPr="00ED6E90">
        <w:t xml:space="preserve">key clinical studies </w:t>
      </w:r>
      <w:r>
        <w:t xml:space="preserve">are similar to the expected </w:t>
      </w:r>
      <w:r>
        <w:rPr>
          <w:rFonts w:cs="AdvGulliv-R"/>
          <w:color w:val="000000"/>
        </w:rPr>
        <w:t xml:space="preserve">MBS population with low to intermediate risk cancer, based on Australian registry data. However, the Australian active surveillance population has a higher proportion of men with intermediate and high risk cancer. Given their different characteristics, the </w:t>
      </w:r>
      <w:proofErr w:type="spellStart"/>
      <w:r>
        <w:rPr>
          <w:rFonts w:cs="AdvGulliv-R"/>
          <w:color w:val="000000"/>
        </w:rPr>
        <w:t>mpMRI</w:t>
      </w:r>
      <w:proofErr w:type="spellEnd"/>
      <w:r>
        <w:rPr>
          <w:rFonts w:cs="AdvGulliv-R"/>
          <w:color w:val="000000"/>
        </w:rPr>
        <w:t xml:space="preserve"> accuracy results may not be applicable to this population at higher risk of cancer progression. It should be noted that high risk men are not eligible for active surveillan</w:t>
      </w:r>
      <w:r w:rsidR="007F498C">
        <w:rPr>
          <w:rFonts w:cs="AdvGulliv-R"/>
          <w:color w:val="000000"/>
        </w:rPr>
        <w:t xml:space="preserve">ce with </w:t>
      </w:r>
      <w:proofErr w:type="spellStart"/>
      <w:r w:rsidR="007F498C">
        <w:rPr>
          <w:rFonts w:cs="AdvGulliv-R"/>
          <w:color w:val="000000"/>
        </w:rPr>
        <w:t>mpMRI</w:t>
      </w:r>
      <w:proofErr w:type="spellEnd"/>
      <w:r w:rsidR="007F498C">
        <w:rPr>
          <w:rFonts w:cs="AdvGulliv-R"/>
          <w:color w:val="000000"/>
        </w:rPr>
        <w:t xml:space="preserve"> according to the P</w:t>
      </w:r>
      <w:r>
        <w:rPr>
          <w:rFonts w:cs="AdvGulliv-R"/>
          <w:color w:val="000000"/>
        </w:rPr>
        <w:t>rotocol.</w:t>
      </w:r>
    </w:p>
    <w:p w14:paraId="13974DFC" w14:textId="0EAF6E5F" w:rsidR="000E4FC7" w:rsidRDefault="002064C3" w:rsidP="002064C3">
      <w:r>
        <w:rPr>
          <w:rFonts w:cs="AdvGulliv-R"/>
          <w:color w:val="000000"/>
        </w:rPr>
        <w:t xml:space="preserve">For both Population 1 and 2, </w:t>
      </w:r>
      <w:proofErr w:type="spellStart"/>
      <w:r>
        <w:rPr>
          <w:rFonts w:cs="AdvGulliv-R"/>
          <w:color w:val="000000"/>
        </w:rPr>
        <w:t>mpMRI</w:t>
      </w:r>
      <w:proofErr w:type="spellEnd"/>
      <w:r>
        <w:rPr>
          <w:rFonts w:cs="AdvGulliv-R"/>
          <w:color w:val="000000"/>
        </w:rPr>
        <w:t xml:space="preserve"> accuracy may be conditional on </w:t>
      </w:r>
      <w:r w:rsidR="000E4FC7">
        <w:rPr>
          <w:rFonts w:cs="AdvGulliv-R"/>
          <w:color w:val="000000"/>
        </w:rPr>
        <w:t xml:space="preserve">the experience of the </w:t>
      </w:r>
      <w:r>
        <w:rPr>
          <w:rFonts w:cs="AdvGulliv-R"/>
          <w:color w:val="000000"/>
        </w:rPr>
        <w:t>reader and the key studies generally used experienced readers.</w:t>
      </w:r>
      <w:r w:rsidRPr="00CE0C5A">
        <w:t xml:space="preserve"> </w:t>
      </w:r>
      <w:r w:rsidR="000E4FC7">
        <w:t xml:space="preserve">There is a lack of information on both the potential learning curve and the experience levels of Australian </w:t>
      </w:r>
      <w:proofErr w:type="spellStart"/>
      <w:r w:rsidR="000E4FC7">
        <w:t>mpMRI</w:t>
      </w:r>
      <w:proofErr w:type="spellEnd"/>
      <w:r w:rsidR="000E4FC7">
        <w:t xml:space="preserve"> readers. To address this issue a sensitivity analysis was performed to evaluate the impact of the reduced and increased accuracy on the cost-effectiveness of </w:t>
      </w:r>
      <w:proofErr w:type="spellStart"/>
      <w:r w:rsidR="000E4FC7">
        <w:t>mpMRI</w:t>
      </w:r>
      <w:proofErr w:type="spellEnd"/>
      <w:r w:rsidR="000E4FC7">
        <w:t>.</w:t>
      </w:r>
    </w:p>
    <w:p w14:paraId="4DDF5DC9" w14:textId="77777777" w:rsidR="002064C3" w:rsidRDefault="002064C3" w:rsidP="002064C3">
      <w:r>
        <w:rPr>
          <w:b/>
        </w:rPr>
        <w:t>Extrapolation issues</w:t>
      </w:r>
    </w:p>
    <w:p w14:paraId="0D1DB9C5" w14:textId="00F3E1E6" w:rsidR="002064C3" w:rsidRDefault="002064C3" w:rsidP="002064C3">
      <w:r>
        <w:t xml:space="preserve">None of the key accuracy studies discussed in section B measured the impact of </w:t>
      </w:r>
      <w:proofErr w:type="spellStart"/>
      <w:r>
        <w:t>mpMRI</w:t>
      </w:r>
      <w:proofErr w:type="spellEnd"/>
      <w:r>
        <w:t xml:space="preserve"> on prostate cancer progression and/or mortality. Prognostic information was sourced from other literature, aligning with the sources used in the evaluation of MR-guided biopsy procedures for diagnosis of </w:t>
      </w:r>
      <w:proofErr w:type="spellStart"/>
      <w:r>
        <w:t>PCa</w:t>
      </w:r>
      <w:proofErr w:type="spellEnd"/>
      <w:r>
        <w:t xml:space="preserve"> (CA 1424). </w:t>
      </w:r>
      <w:r w:rsidR="002C4FEA">
        <w:t>The following probabilities were used: p</w:t>
      </w:r>
      <w:r>
        <w:t>robability of developing cancer whilst</w:t>
      </w:r>
      <w:r w:rsidR="002C4FEA">
        <w:t xml:space="preserve"> receiving PSA screening (9.7%), p</w:t>
      </w:r>
      <w:r>
        <w:t>robabilities of prostate cancer progression (8.8% for upstaging while under active surveillance</w:t>
      </w:r>
      <w:r w:rsidR="002C4FEA">
        <w:t xml:space="preserve">, </w:t>
      </w:r>
      <w:r>
        <w:t>2.6% for further progressi</w:t>
      </w:r>
      <w:r w:rsidR="002C4FEA">
        <w:t xml:space="preserve">on to advanced prostate cancer), </w:t>
      </w:r>
      <w:r>
        <w:t xml:space="preserve"> </w:t>
      </w:r>
      <w:r w:rsidR="002C4FEA">
        <w:t>p</w:t>
      </w:r>
      <w:r>
        <w:t>robability of prostate cancer death (0.6% for patients with localised disease</w:t>
      </w:r>
      <w:r w:rsidR="002C4FEA">
        <w:t xml:space="preserve">, </w:t>
      </w:r>
      <w:r>
        <w:t>22% for patients with advanced disease). A</w:t>
      </w:r>
      <w:r w:rsidR="008E1758">
        <w:t xml:space="preserve">ustralian Bureau of Statistics (ABS) </w:t>
      </w:r>
      <w:r>
        <w:t>life tables were used to calculate age-related background mortality.</w:t>
      </w:r>
    </w:p>
    <w:p w14:paraId="486C7490" w14:textId="0AA2DD39" w:rsidR="002064C3" w:rsidRDefault="002064C3" w:rsidP="002064C3">
      <w:r>
        <w:t xml:space="preserve">Both for false negatives and false positives, the error was assumed to be corrected without a negative impact on prognosis. This assumption was made </w:t>
      </w:r>
      <w:r w:rsidR="008E1758">
        <w:t>due to</w:t>
      </w:r>
      <w:r>
        <w:t xml:space="preserve"> insufficient evidence to support an impact of treatment delay on disease progression and mortality. A sensitivity analysis evaluates the </w:t>
      </w:r>
      <w:r>
        <w:lastRenderedPageBreak/>
        <w:t xml:space="preserve">potential impact of assuming an increased risk of disease progression for the subgroup of high risk </w:t>
      </w:r>
      <w:proofErr w:type="spellStart"/>
      <w:r>
        <w:t>PC</w:t>
      </w:r>
      <w:r w:rsidR="008E1758">
        <w:t>a</w:t>
      </w:r>
      <w:proofErr w:type="spellEnd"/>
      <w:r>
        <w:t xml:space="preserve"> patients who experience treatment delay due to false negative prognosis.</w:t>
      </w:r>
    </w:p>
    <w:p w14:paraId="03C0826C" w14:textId="77777777" w:rsidR="002064C3" w:rsidRPr="00FF6528" w:rsidRDefault="002064C3" w:rsidP="002064C3">
      <w:pPr>
        <w:rPr>
          <w:b/>
        </w:rPr>
      </w:pPr>
      <w:r w:rsidRPr="00FF6528">
        <w:rPr>
          <w:b/>
        </w:rPr>
        <w:t>Transformation issues</w:t>
      </w:r>
    </w:p>
    <w:p w14:paraId="0B580F00" w14:textId="77777777" w:rsidR="002064C3" w:rsidRDefault="002064C3" w:rsidP="002064C3">
      <w:r>
        <w:t xml:space="preserve">Data pertaining to quality of life were not collected in the studies presented in Section B. Utility values for the economic evaluation were therefore obtained from literature (see </w:t>
      </w:r>
      <w:r>
        <w:fldChar w:fldCharType="begin"/>
      </w:r>
      <w:r>
        <w:instrText xml:space="preserve"> REF _Ref455408101 \h </w:instrText>
      </w:r>
      <w:r>
        <w:fldChar w:fldCharType="separate"/>
      </w:r>
      <w:r w:rsidR="0029649D">
        <w:t xml:space="preserve">Table </w:t>
      </w:r>
      <w:r w:rsidR="0029649D">
        <w:rPr>
          <w:noProof/>
        </w:rPr>
        <w:t>45</w:t>
      </w:r>
      <w:r>
        <w:fldChar w:fldCharType="end"/>
      </w:r>
      <w:r>
        <w:t xml:space="preserve">) and aligned with the values used in the parallel application for MRI guided biopsy CA 1424. </w:t>
      </w:r>
    </w:p>
    <w:p w14:paraId="4C443B75" w14:textId="77777777" w:rsidR="002064C3" w:rsidRDefault="002064C3" w:rsidP="002064C3">
      <w:pPr>
        <w:pStyle w:val="Caption"/>
        <w:ind w:left="1134" w:hanging="1134"/>
      </w:pPr>
      <w:bookmarkStart w:id="111" w:name="_Toc457223127"/>
      <w:bookmarkStart w:id="112" w:name="_Toc459987892"/>
      <w:bookmarkStart w:id="113" w:name="_Toc460514507"/>
      <w:r>
        <w:t xml:space="preserve">Table </w:t>
      </w:r>
      <w:fldSimple w:instr=" SEQ Table \* ARABIC ">
        <w:r w:rsidR="0029649D">
          <w:rPr>
            <w:noProof/>
          </w:rPr>
          <w:t>7</w:t>
        </w:r>
      </w:fldSimple>
      <w:r>
        <w:rPr>
          <w:noProof/>
        </w:rPr>
        <w:tab/>
      </w:r>
      <w:r>
        <w:t>Utility values used in the economic model</w:t>
      </w:r>
      <w:bookmarkEnd w:id="111"/>
      <w:bookmarkEnd w:id="112"/>
      <w:bookmarkEnd w:id="113"/>
    </w:p>
    <w:tbl>
      <w:tblPr>
        <w:tblStyle w:val="TableGrid"/>
        <w:tblW w:w="9112" w:type="dxa"/>
        <w:tblInd w:w="130" w:type="dxa"/>
        <w:tblLook w:val="04A0" w:firstRow="1" w:lastRow="0" w:firstColumn="1" w:lastColumn="0" w:noHBand="0" w:noVBand="1"/>
        <w:tblCaption w:val="Utility values used in the economic model"/>
        <w:tblDescription w:val="Utility values used in the economic model"/>
      </w:tblPr>
      <w:tblGrid>
        <w:gridCol w:w="5418"/>
        <w:gridCol w:w="3694"/>
      </w:tblGrid>
      <w:tr w:rsidR="002064C3" w:rsidRPr="00035200" w14:paraId="1B9704D6" w14:textId="77777777" w:rsidTr="00035200">
        <w:trPr>
          <w:trHeight w:val="397"/>
          <w:tblHeader/>
        </w:trPr>
        <w:tc>
          <w:tcPr>
            <w:tcW w:w="2973" w:type="pct"/>
          </w:tcPr>
          <w:p w14:paraId="70A9C3C7" w14:textId="77777777" w:rsidR="002064C3" w:rsidRPr="00035200" w:rsidRDefault="002064C3" w:rsidP="008840EC">
            <w:pPr>
              <w:pStyle w:val="Tableheading1"/>
              <w:keepNext/>
            </w:pPr>
            <w:r w:rsidRPr="00035200">
              <w:t>Health state</w:t>
            </w:r>
          </w:p>
        </w:tc>
        <w:tc>
          <w:tcPr>
            <w:tcW w:w="2027" w:type="pct"/>
          </w:tcPr>
          <w:p w14:paraId="3BC8A60D" w14:textId="77777777" w:rsidR="002064C3" w:rsidRPr="00035200" w:rsidRDefault="002064C3" w:rsidP="008840EC">
            <w:pPr>
              <w:pStyle w:val="Tableheading1"/>
              <w:keepNext/>
            </w:pPr>
            <w:r w:rsidRPr="00035200">
              <w:t>Utility value, mean (SD) [95%CI]</w:t>
            </w:r>
          </w:p>
        </w:tc>
      </w:tr>
      <w:tr w:rsidR="002064C3" w14:paraId="551E659C" w14:textId="77777777" w:rsidTr="00035200">
        <w:trPr>
          <w:trHeight w:val="397"/>
        </w:trPr>
        <w:tc>
          <w:tcPr>
            <w:tcW w:w="2973" w:type="pct"/>
            <w:tcBorders>
              <w:top w:val="nil"/>
              <w:bottom w:val="single" w:sz="4" w:space="0" w:color="auto"/>
            </w:tcBorders>
          </w:tcPr>
          <w:p w14:paraId="0BA13D7E" w14:textId="77777777" w:rsidR="002064C3" w:rsidRPr="00991209" w:rsidRDefault="002064C3" w:rsidP="008840EC">
            <w:pPr>
              <w:pStyle w:val="Tabletext1"/>
              <w:keepNext/>
            </w:pPr>
            <w:r w:rsidRPr="00991209">
              <w:t xml:space="preserve">General Australian population of males aged </w:t>
            </w:r>
            <w:r>
              <w:t>61 – 70y</w:t>
            </w:r>
          </w:p>
        </w:tc>
        <w:tc>
          <w:tcPr>
            <w:tcW w:w="2027" w:type="pct"/>
            <w:tcBorders>
              <w:top w:val="nil"/>
              <w:bottom w:val="single" w:sz="4" w:space="0" w:color="auto"/>
            </w:tcBorders>
          </w:tcPr>
          <w:p w14:paraId="43C0C3A5" w14:textId="77777777" w:rsidR="002064C3" w:rsidRDefault="002064C3" w:rsidP="008840EC">
            <w:pPr>
              <w:pStyle w:val="Tabletext1"/>
              <w:keepNext/>
            </w:pPr>
            <w:r w:rsidRPr="00EE6B70">
              <w:t xml:space="preserve">0.82 </w:t>
            </w:r>
            <w:r>
              <w:t xml:space="preserve">(NR) </w:t>
            </w:r>
            <w:r w:rsidRPr="00EE6B70">
              <w:t>(0.80–0.84)</w:t>
            </w:r>
          </w:p>
        </w:tc>
      </w:tr>
      <w:tr w:rsidR="002064C3" w14:paraId="4277F384" w14:textId="77777777" w:rsidTr="00035200">
        <w:trPr>
          <w:trHeight w:val="397"/>
        </w:trPr>
        <w:tc>
          <w:tcPr>
            <w:tcW w:w="2973" w:type="pct"/>
            <w:tcBorders>
              <w:top w:val="single" w:sz="4" w:space="0" w:color="auto"/>
              <w:bottom w:val="nil"/>
            </w:tcBorders>
          </w:tcPr>
          <w:p w14:paraId="0A2CF541" w14:textId="77777777" w:rsidR="002064C3" w:rsidRPr="00991209" w:rsidRDefault="002064C3" w:rsidP="008840EC">
            <w:pPr>
              <w:pStyle w:val="Tabletext1"/>
              <w:keepNext/>
            </w:pPr>
            <w:r w:rsidRPr="00991209">
              <w:t xml:space="preserve">low/intermediate </w:t>
            </w:r>
            <w:r>
              <w:t xml:space="preserve">risk </w:t>
            </w:r>
            <w:proofErr w:type="spellStart"/>
            <w:r>
              <w:t>PCa</w:t>
            </w:r>
            <w:proofErr w:type="spellEnd"/>
            <w:r>
              <w:t xml:space="preserve"> on active surveillance</w:t>
            </w:r>
          </w:p>
        </w:tc>
        <w:tc>
          <w:tcPr>
            <w:tcW w:w="2027" w:type="pct"/>
            <w:tcBorders>
              <w:top w:val="single" w:sz="4" w:space="0" w:color="auto"/>
              <w:bottom w:val="nil"/>
            </w:tcBorders>
          </w:tcPr>
          <w:p w14:paraId="79C98172" w14:textId="77777777" w:rsidR="002064C3" w:rsidRPr="00117220" w:rsidRDefault="002064C3" w:rsidP="008840EC">
            <w:pPr>
              <w:pStyle w:val="Tabletext1"/>
              <w:keepNext/>
            </w:pPr>
            <w:r w:rsidRPr="00117220">
              <w:t>0.796</w:t>
            </w:r>
          </w:p>
        </w:tc>
      </w:tr>
      <w:tr w:rsidR="002064C3" w14:paraId="4E249502" w14:textId="77777777" w:rsidTr="00035200">
        <w:trPr>
          <w:trHeight w:val="397"/>
        </w:trPr>
        <w:tc>
          <w:tcPr>
            <w:tcW w:w="2973" w:type="pct"/>
            <w:tcBorders>
              <w:top w:val="single" w:sz="4" w:space="0" w:color="auto"/>
              <w:bottom w:val="nil"/>
            </w:tcBorders>
          </w:tcPr>
          <w:p w14:paraId="0EC5E799" w14:textId="77777777" w:rsidR="002064C3" w:rsidRPr="00991209" w:rsidRDefault="002064C3" w:rsidP="008840EC">
            <w:pPr>
              <w:pStyle w:val="Tabletext1"/>
              <w:keepNext/>
            </w:pPr>
            <w:r w:rsidRPr="00991209">
              <w:t xml:space="preserve">high/intermediate risk </w:t>
            </w:r>
            <w:proofErr w:type="spellStart"/>
            <w:r w:rsidRPr="00991209">
              <w:t>PCa</w:t>
            </w:r>
            <w:proofErr w:type="spellEnd"/>
            <w:r w:rsidRPr="00991209">
              <w:t xml:space="preserve"> receiving active treatment/follow-up; </w:t>
            </w:r>
          </w:p>
        </w:tc>
        <w:tc>
          <w:tcPr>
            <w:tcW w:w="2027" w:type="pct"/>
            <w:tcBorders>
              <w:top w:val="single" w:sz="4" w:space="0" w:color="auto"/>
              <w:bottom w:val="nil"/>
            </w:tcBorders>
          </w:tcPr>
          <w:p w14:paraId="5952877C" w14:textId="77777777" w:rsidR="002064C3" w:rsidRPr="00117220" w:rsidRDefault="002064C3" w:rsidP="008840EC">
            <w:pPr>
              <w:pStyle w:val="Tabletext1"/>
              <w:keepNext/>
            </w:pPr>
            <w:r w:rsidRPr="00117220">
              <w:t>0.789</w:t>
            </w:r>
          </w:p>
        </w:tc>
      </w:tr>
      <w:tr w:rsidR="002064C3" w14:paraId="201F5E83" w14:textId="77777777" w:rsidTr="00035200">
        <w:trPr>
          <w:trHeight w:val="397"/>
        </w:trPr>
        <w:tc>
          <w:tcPr>
            <w:tcW w:w="2973" w:type="pct"/>
            <w:tcBorders>
              <w:top w:val="single" w:sz="4" w:space="0" w:color="auto"/>
              <w:bottom w:val="nil"/>
            </w:tcBorders>
          </w:tcPr>
          <w:p w14:paraId="6C755C51" w14:textId="77777777" w:rsidR="002064C3" w:rsidRPr="000D1156" w:rsidRDefault="002064C3" w:rsidP="008840EC">
            <w:pPr>
              <w:pStyle w:val="Tabletext1"/>
              <w:keepNext/>
            </w:pPr>
            <w:r>
              <w:t xml:space="preserve">advanced </w:t>
            </w:r>
            <w:proofErr w:type="spellStart"/>
            <w:r>
              <w:t>PCa</w:t>
            </w:r>
            <w:proofErr w:type="spellEnd"/>
          </w:p>
        </w:tc>
        <w:tc>
          <w:tcPr>
            <w:tcW w:w="2027" w:type="pct"/>
            <w:tcBorders>
              <w:top w:val="single" w:sz="4" w:space="0" w:color="auto"/>
              <w:bottom w:val="nil"/>
            </w:tcBorders>
          </w:tcPr>
          <w:p w14:paraId="6D639386" w14:textId="77777777" w:rsidR="002064C3" w:rsidRPr="000D1156" w:rsidRDefault="002064C3" w:rsidP="008840EC">
            <w:pPr>
              <w:pStyle w:val="Tabletext1"/>
              <w:keepNext/>
            </w:pPr>
            <w:r>
              <w:t>0.67</w:t>
            </w:r>
          </w:p>
        </w:tc>
      </w:tr>
      <w:tr w:rsidR="002064C3" w14:paraId="2444D16C" w14:textId="77777777" w:rsidTr="00035200">
        <w:trPr>
          <w:trHeight w:val="397"/>
        </w:trPr>
        <w:tc>
          <w:tcPr>
            <w:tcW w:w="2973" w:type="pct"/>
            <w:tcBorders>
              <w:top w:val="single" w:sz="4" w:space="0" w:color="auto"/>
              <w:bottom w:val="nil"/>
            </w:tcBorders>
          </w:tcPr>
          <w:p w14:paraId="6E79918B" w14:textId="77777777" w:rsidR="002064C3" w:rsidRDefault="002064C3" w:rsidP="008840EC">
            <w:pPr>
              <w:pStyle w:val="Tabletext1"/>
              <w:keepNext/>
            </w:pPr>
            <w:r>
              <w:t>Disutility of biopsy (one-off)</w:t>
            </w:r>
          </w:p>
        </w:tc>
        <w:tc>
          <w:tcPr>
            <w:tcW w:w="2027" w:type="pct"/>
            <w:tcBorders>
              <w:top w:val="single" w:sz="4" w:space="0" w:color="auto"/>
              <w:bottom w:val="nil"/>
            </w:tcBorders>
          </w:tcPr>
          <w:p w14:paraId="48D1660D" w14:textId="77777777" w:rsidR="002064C3" w:rsidRDefault="002064C3" w:rsidP="008840EC">
            <w:pPr>
              <w:pStyle w:val="Tabletext1"/>
              <w:keepNext/>
            </w:pPr>
            <w:r>
              <w:t>0.035</w:t>
            </w:r>
          </w:p>
        </w:tc>
      </w:tr>
      <w:tr w:rsidR="002064C3" w14:paraId="2897C7C0" w14:textId="77777777" w:rsidTr="00035200">
        <w:trPr>
          <w:trHeight w:val="397"/>
        </w:trPr>
        <w:tc>
          <w:tcPr>
            <w:tcW w:w="2973" w:type="pct"/>
            <w:tcBorders>
              <w:top w:val="single" w:sz="4" w:space="0" w:color="auto"/>
              <w:bottom w:val="nil"/>
            </w:tcBorders>
          </w:tcPr>
          <w:p w14:paraId="7F22E7C2" w14:textId="4F1DBC29" w:rsidR="002064C3" w:rsidRPr="00991209" w:rsidRDefault="002064C3" w:rsidP="008840EC">
            <w:pPr>
              <w:pStyle w:val="Tabletext1"/>
              <w:keepNext/>
            </w:pPr>
            <w:r>
              <w:t>Disutility due to AEs</w:t>
            </w:r>
            <w:r w:rsidR="00FA1002">
              <w:t>:</w:t>
            </w:r>
          </w:p>
        </w:tc>
        <w:tc>
          <w:tcPr>
            <w:tcW w:w="2027" w:type="pct"/>
            <w:tcBorders>
              <w:top w:val="single" w:sz="4" w:space="0" w:color="auto"/>
              <w:bottom w:val="nil"/>
            </w:tcBorders>
          </w:tcPr>
          <w:p w14:paraId="79220146" w14:textId="77777777" w:rsidR="002064C3" w:rsidRDefault="002064C3" w:rsidP="008840EC">
            <w:pPr>
              <w:pStyle w:val="Tabletext1"/>
              <w:keepNext/>
            </w:pPr>
          </w:p>
        </w:tc>
      </w:tr>
      <w:tr w:rsidR="002064C3" w14:paraId="3EA0878F" w14:textId="77777777" w:rsidTr="00035200">
        <w:trPr>
          <w:trHeight w:val="397"/>
        </w:trPr>
        <w:tc>
          <w:tcPr>
            <w:tcW w:w="2973" w:type="pct"/>
            <w:tcBorders>
              <w:top w:val="nil"/>
              <w:bottom w:val="nil"/>
            </w:tcBorders>
          </w:tcPr>
          <w:p w14:paraId="61D6EB30" w14:textId="77777777" w:rsidR="002064C3" w:rsidRDefault="002064C3" w:rsidP="008840EC">
            <w:pPr>
              <w:pStyle w:val="Tabletext1"/>
              <w:keepNext/>
            </w:pPr>
            <w:r>
              <w:t xml:space="preserve">acute sepsis </w:t>
            </w:r>
          </w:p>
        </w:tc>
        <w:tc>
          <w:tcPr>
            <w:tcW w:w="2027" w:type="pct"/>
            <w:tcBorders>
              <w:top w:val="nil"/>
              <w:bottom w:val="nil"/>
            </w:tcBorders>
          </w:tcPr>
          <w:p w14:paraId="0D09737F" w14:textId="77777777" w:rsidR="002064C3" w:rsidRDefault="002064C3" w:rsidP="008840EC">
            <w:pPr>
              <w:pStyle w:val="Tabletext1"/>
              <w:keepNext/>
            </w:pPr>
            <w:r>
              <w:t>-</w:t>
            </w:r>
            <w:r w:rsidRPr="00C311A7">
              <w:t>0.</w:t>
            </w:r>
            <w:r>
              <w:t>43 (assumed duration 1 month)</w:t>
            </w:r>
          </w:p>
        </w:tc>
      </w:tr>
      <w:tr w:rsidR="002064C3" w14:paraId="526E1E0C" w14:textId="77777777" w:rsidTr="00035200">
        <w:trPr>
          <w:trHeight w:val="397"/>
        </w:trPr>
        <w:tc>
          <w:tcPr>
            <w:tcW w:w="2973" w:type="pct"/>
            <w:tcBorders>
              <w:top w:val="nil"/>
              <w:bottom w:val="nil"/>
            </w:tcBorders>
          </w:tcPr>
          <w:p w14:paraId="2F7D4A2C" w14:textId="77777777" w:rsidR="002064C3" w:rsidRDefault="002064C3" w:rsidP="008840EC">
            <w:pPr>
              <w:pStyle w:val="Tabletext1"/>
              <w:keepNext/>
            </w:pPr>
            <w:r>
              <w:t xml:space="preserve">erectile dysfunction [due to </w:t>
            </w:r>
            <w:proofErr w:type="spellStart"/>
            <w:r>
              <w:t>PCa</w:t>
            </w:r>
            <w:proofErr w:type="spellEnd"/>
            <w:r>
              <w:t xml:space="preserve"> treatment]</w:t>
            </w:r>
          </w:p>
        </w:tc>
        <w:tc>
          <w:tcPr>
            <w:tcW w:w="2027" w:type="pct"/>
            <w:tcBorders>
              <w:top w:val="nil"/>
              <w:bottom w:val="nil"/>
            </w:tcBorders>
          </w:tcPr>
          <w:p w14:paraId="74934FED" w14:textId="77777777" w:rsidR="002064C3" w:rsidRDefault="002064C3" w:rsidP="008840EC">
            <w:pPr>
              <w:pStyle w:val="Tabletext1"/>
              <w:keepNext/>
            </w:pPr>
            <w:r>
              <w:t>-</w:t>
            </w:r>
            <w:r w:rsidRPr="0004641E">
              <w:t>0.10 [0.05; 0.15] (</w:t>
            </w:r>
            <w:r>
              <w:t>assumed duration 1</w:t>
            </w:r>
            <w:r w:rsidRPr="0004641E">
              <w:t xml:space="preserve"> year)</w:t>
            </w:r>
          </w:p>
        </w:tc>
      </w:tr>
      <w:tr w:rsidR="002064C3" w14:paraId="6689E3C5" w14:textId="77777777" w:rsidTr="00035200">
        <w:trPr>
          <w:trHeight w:val="397"/>
        </w:trPr>
        <w:tc>
          <w:tcPr>
            <w:tcW w:w="2973" w:type="pct"/>
            <w:tcBorders>
              <w:top w:val="nil"/>
              <w:bottom w:val="nil"/>
            </w:tcBorders>
          </w:tcPr>
          <w:p w14:paraId="6583A23A" w14:textId="77777777" w:rsidR="002064C3" w:rsidRDefault="002064C3" w:rsidP="008840EC">
            <w:pPr>
              <w:pStyle w:val="Tabletext1"/>
              <w:keepNext/>
            </w:pPr>
            <w:r>
              <w:t xml:space="preserve">urinary incontinence [due to </w:t>
            </w:r>
            <w:proofErr w:type="spellStart"/>
            <w:r>
              <w:t>PCa</w:t>
            </w:r>
            <w:proofErr w:type="spellEnd"/>
            <w:r>
              <w:t xml:space="preserve"> treatment]</w:t>
            </w:r>
          </w:p>
        </w:tc>
        <w:tc>
          <w:tcPr>
            <w:tcW w:w="2027" w:type="pct"/>
            <w:tcBorders>
              <w:top w:val="nil"/>
              <w:bottom w:val="nil"/>
            </w:tcBorders>
          </w:tcPr>
          <w:p w14:paraId="05F36C2E" w14:textId="77777777" w:rsidR="002064C3" w:rsidRDefault="002064C3" w:rsidP="008840EC">
            <w:pPr>
              <w:pStyle w:val="Tabletext1"/>
              <w:keepNext/>
            </w:pPr>
            <w:r>
              <w:t>-</w:t>
            </w:r>
            <w:r w:rsidRPr="0004641E">
              <w:t xml:space="preserve">0.20 [0.1; 0.3] </w:t>
            </w:r>
            <w:r>
              <w:t>(assumed duration 1</w:t>
            </w:r>
            <w:r w:rsidRPr="0004641E">
              <w:t xml:space="preserve"> year)</w:t>
            </w:r>
          </w:p>
        </w:tc>
      </w:tr>
      <w:tr w:rsidR="002064C3" w14:paraId="56350AB6" w14:textId="77777777" w:rsidTr="00035200">
        <w:trPr>
          <w:trHeight w:val="397"/>
        </w:trPr>
        <w:tc>
          <w:tcPr>
            <w:tcW w:w="2973" w:type="pct"/>
            <w:tcBorders>
              <w:top w:val="nil"/>
              <w:bottom w:val="single" w:sz="4" w:space="0" w:color="auto"/>
            </w:tcBorders>
          </w:tcPr>
          <w:p w14:paraId="52F3EC35" w14:textId="77777777" w:rsidR="002064C3" w:rsidRDefault="002064C3" w:rsidP="008840EC">
            <w:pPr>
              <w:pStyle w:val="Tabletext1"/>
              <w:keepNext/>
            </w:pPr>
            <w:r w:rsidRPr="00193C1E">
              <w:t>Both erectile dysfunction and urinary incontinence</w:t>
            </w:r>
          </w:p>
        </w:tc>
        <w:tc>
          <w:tcPr>
            <w:tcW w:w="2027" w:type="pct"/>
            <w:tcBorders>
              <w:top w:val="nil"/>
              <w:bottom w:val="single" w:sz="4" w:space="0" w:color="auto"/>
            </w:tcBorders>
          </w:tcPr>
          <w:p w14:paraId="72B99FD1" w14:textId="77777777" w:rsidR="002064C3" w:rsidRPr="0004641E" w:rsidRDefault="002064C3" w:rsidP="008840EC">
            <w:pPr>
              <w:pStyle w:val="Tabletext1"/>
              <w:keepNext/>
            </w:pPr>
            <w:r>
              <w:t>-</w:t>
            </w:r>
            <w:r w:rsidRPr="00193C1E">
              <w:t>0.25 [0.125; 0.375]</w:t>
            </w:r>
            <w:r>
              <w:t xml:space="preserve"> </w:t>
            </w:r>
            <w:r w:rsidRPr="0004641E">
              <w:t>(</w:t>
            </w:r>
            <w:r>
              <w:t>assumed duration 1</w:t>
            </w:r>
            <w:r w:rsidRPr="0004641E">
              <w:t xml:space="preserve"> year)</w:t>
            </w:r>
          </w:p>
        </w:tc>
      </w:tr>
    </w:tbl>
    <w:p w14:paraId="4BE8D6A3" w14:textId="791A218B" w:rsidR="002064C3" w:rsidRDefault="002064C3" w:rsidP="008E1758">
      <w:pPr>
        <w:pStyle w:val="TableNotes"/>
      </w:pPr>
      <w:r w:rsidRPr="0071787E">
        <w:t>AE</w:t>
      </w:r>
      <w:r w:rsidR="00117220">
        <w:t xml:space="preserve"> = </w:t>
      </w:r>
      <w:r w:rsidRPr="0071787E">
        <w:t>adverse event</w:t>
      </w:r>
      <w:r w:rsidR="00F840ED">
        <w:t>,</w:t>
      </w:r>
      <w:r w:rsidRPr="0071787E">
        <w:t xml:space="preserve"> NR</w:t>
      </w:r>
      <w:r w:rsidR="00117220">
        <w:t xml:space="preserve"> = </w:t>
      </w:r>
      <w:r w:rsidRPr="0071787E">
        <w:t>not</w:t>
      </w:r>
      <w:r w:rsidR="00F840ED">
        <w:t xml:space="preserve"> reported, </w:t>
      </w:r>
      <w:proofErr w:type="spellStart"/>
      <w:r>
        <w:t>PCa</w:t>
      </w:r>
      <w:proofErr w:type="spellEnd"/>
      <w:r w:rsidR="00117220">
        <w:t xml:space="preserve"> = </w:t>
      </w:r>
      <w:r>
        <w:t>prostate cancer</w:t>
      </w:r>
      <w:r w:rsidR="00F840ED">
        <w:t>,</w:t>
      </w:r>
      <w:r>
        <w:t xml:space="preserve"> SD</w:t>
      </w:r>
      <w:r w:rsidR="00117220">
        <w:t xml:space="preserve"> = </w:t>
      </w:r>
      <w:r>
        <w:t xml:space="preserve">standard deviation. </w:t>
      </w:r>
    </w:p>
    <w:p w14:paraId="3E7F01FB" w14:textId="77777777" w:rsidR="002064C3" w:rsidRPr="0071787E" w:rsidRDefault="002064C3" w:rsidP="008E1758">
      <w:pPr>
        <w:pStyle w:val="TableNotes"/>
      </w:pPr>
      <w:r>
        <w:t xml:space="preserve">Source: Section C.4 </w:t>
      </w:r>
      <w:r w:rsidRPr="00883E14">
        <w:fldChar w:fldCharType="begin"/>
      </w:r>
      <w:r>
        <w:instrText xml:space="preserve"> REF _Ref455408101 \h  \* MERGEFORMAT </w:instrText>
      </w:r>
      <w:r w:rsidRPr="00883E14">
        <w:fldChar w:fldCharType="separate"/>
      </w:r>
      <w:r w:rsidR="0029649D">
        <w:t>Table 45</w:t>
      </w:r>
      <w:r w:rsidRPr="00883E14">
        <w:fldChar w:fldCharType="end"/>
      </w:r>
      <w:r>
        <w:t xml:space="preserve">; Section D.4 </w:t>
      </w:r>
      <w:r>
        <w:fldChar w:fldCharType="begin"/>
      </w:r>
      <w:r>
        <w:instrText xml:space="preserve"> REF _Ref456541940 \h  \* MERGEFORMAT </w:instrText>
      </w:r>
      <w:r>
        <w:fldChar w:fldCharType="separate"/>
      </w:r>
      <w:r w:rsidR="0029649D">
        <w:t>Table 60</w:t>
      </w:r>
      <w:r>
        <w:fldChar w:fldCharType="end"/>
      </w:r>
      <w:r>
        <w:t>.</w:t>
      </w:r>
      <w:r w:rsidRPr="0071787E">
        <w:t xml:space="preserve"> </w:t>
      </w:r>
    </w:p>
    <w:p w14:paraId="1075E55A" w14:textId="77777777" w:rsidR="002064C3" w:rsidRPr="0098034E" w:rsidRDefault="002064C3" w:rsidP="002064C3">
      <w:pPr>
        <w:rPr>
          <w:b/>
        </w:rPr>
      </w:pPr>
      <w:r>
        <w:rPr>
          <w:b/>
        </w:rPr>
        <w:t>Adverse events</w:t>
      </w:r>
    </w:p>
    <w:p w14:paraId="15EC6C90" w14:textId="64338CC2" w:rsidR="002064C3" w:rsidRPr="0098034E" w:rsidRDefault="002064C3" w:rsidP="002064C3">
      <w:r>
        <w:t xml:space="preserve">The </w:t>
      </w:r>
      <w:proofErr w:type="spellStart"/>
      <w:r>
        <w:t>mpMRI</w:t>
      </w:r>
      <w:proofErr w:type="spellEnd"/>
      <w:r>
        <w:t xml:space="preserve"> was not associated with any adverse events that were expected to substantially impact costs or benefits within the economic evaluation. Biopsy-related sepsis was considered to be a serious event with an associated cost and disutility. In the economic evaluation, the incidence of sepsis was assumed to be 1.2</w:t>
      </w:r>
      <w:r w:rsidR="008E1758">
        <w:t xml:space="preserve"> per cent</w:t>
      </w:r>
      <w:r w:rsidR="009E316C">
        <w:t xml:space="preserve"> for all biopsy measures</w:t>
      </w:r>
      <w:r>
        <w:t xml:space="preserve">. </w:t>
      </w:r>
      <w:r w:rsidRPr="00B316BB">
        <w:t xml:space="preserve">In addition to biopsy-associated </w:t>
      </w:r>
      <w:r>
        <w:t>sepsis</w:t>
      </w:r>
      <w:r w:rsidRPr="00B316BB">
        <w:t>, the economic evaluation took into account common adverse events associated with prostate cancer treatments</w:t>
      </w:r>
      <w:r>
        <w:t xml:space="preserve">, erectile dysfunction and urinary incontinence, with </w:t>
      </w:r>
      <w:proofErr w:type="spellStart"/>
      <w:r>
        <w:t>disutilities</w:t>
      </w:r>
      <w:proofErr w:type="spellEnd"/>
      <w:r>
        <w:t xml:space="preserve"> of 0.1 and 0.2</w:t>
      </w:r>
      <w:r w:rsidR="008E1758">
        <w:t xml:space="preserve"> per cent</w:t>
      </w:r>
      <w:r>
        <w:t>, respectively.</w:t>
      </w:r>
      <w:r w:rsidRPr="00A75679">
        <w:t xml:space="preserve"> For the probabilities of these treatment-related complications</w:t>
      </w:r>
      <w:r>
        <w:t xml:space="preserve"> (0.415 for erectile dysfunction, 0.062 for urinary incontinence)</w:t>
      </w:r>
      <w:r w:rsidRPr="00A75679">
        <w:t xml:space="preserve">, </w:t>
      </w:r>
      <w:r>
        <w:t xml:space="preserve">an </w:t>
      </w:r>
      <w:r w:rsidRPr="00A75679">
        <w:t xml:space="preserve">Australian quality of life study from the New South Wales Cancer Registry </w:t>
      </w:r>
      <w:r w:rsidR="008E1758">
        <w:t>was used</w:t>
      </w:r>
      <w:r w:rsidRPr="00A75679">
        <w:t>.</w:t>
      </w:r>
    </w:p>
    <w:p w14:paraId="2DC2F579" w14:textId="77777777" w:rsidR="002064C3" w:rsidRDefault="002064C3" w:rsidP="002064C3">
      <w:pPr>
        <w:pStyle w:val="Heading3"/>
      </w:pPr>
      <w:bookmarkStart w:id="114" w:name="_Toc459987844"/>
      <w:bookmarkStart w:id="115" w:name="_Toc460513883"/>
      <w:bookmarkStart w:id="116" w:name="_Toc259437725"/>
      <w:bookmarkStart w:id="117" w:name="_Toc395200753"/>
      <w:bookmarkStart w:id="118" w:name="_Toc456878996"/>
      <w:bookmarkEnd w:id="107"/>
      <w:bookmarkEnd w:id="108"/>
      <w:r w:rsidRPr="00183E4D">
        <w:t>Economic Evaluation</w:t>
      </w:r>
      <w:bookmarkEnd w:id="114"/>
      <w:bookmarkEnd w:id="115"/>
    </w:p>
    <w:p w14:paraId="2B4FDCE1" w14:textId="6E199C9E" w:rsidR="002064C3" w:rsidRPr="0098034E" w:rsidRDefault="008E1758" w:rsidP="002064C3">
      <w:r>
        <w:t>T</w:t>
      </w:r>
      <w:r w:rsidR="002064C3">
        <w:t xml:space="preserve">o quantify the trade-off between </w:t>
      </w:r>
      <w:proofErr w:type="spellStart"/>
      <w:r w:rsidR="002064C3">
        <w:t>mpMRI</w:t>
      </w:r>
      <w:proofErr w:type="spellEnd"/>
      <w:r w:rsidR="002064C3">
        <w:t xml:space="preserve"> costs and benefits, a cost-utility analysis was undertaken. The benefits of </w:t>
      </w:r>
      <w:proofErr w:type="spellStart"/>
      <w:r w:rsidR="002064C3">
        <w:t>mpMRI</w:t>
      </w:r>
      <w:proofErr w:type="spellEnd"/>
      <w:r w:rsidR="002064C3">
        <w:t xml:space="preserve"> in the model are associated with avoiding biopsies and overtreatment </w:t>
      </w:r>
      <w:r w:rsidR="002064C3">
        <w:lastRenderedPageBreak/>
        <w:t xml:space="preserve">associated with low to intermediate risk </w:t>
      </w:r>
      <w:proofErr w:type="spellStart"/>
      <w:r w:rsidR="002064C3">
        <w:t>PCa</w:t>
      </w:r>
      <w:proofErr w:type="spellEnd"/>
      <w:r w:rsidR="002064C3">
        <w:t xml:space="preserve"> in a proportion of the population. One model was developed to examine the cost-utility of </w:t>
      </w:r>
      <w:proofErr w:type="spellStart"/>
      <w:r w:rsidR="002064C3">
        <w:t>mpMRI</w:t>
      </w:r>
      <w:proofErr w:type="spellEnd"/>
      <w:r w:rsidR="002064C3">
        <w:t xml:space="preserve"> in both populations, allowing for the evaluation of the impact of </w:t>
      </w:r>
      <w:proofErr w:type="spellStart"/>
      <w:r w:rsidR="002064C3">
        <w:t>mpMRI</w:t>
      </w:r>
      <w:proofErr w:type="spellEnd"/>
      <w:r w:rsidR="002064C3">
        <w:t xml:space="preserve"> in Population 1 separately, Population 2 separately, or Population 1 and 2 </w:t>
      </w:r>
      <w:r w:rsidR="002064C3" w:rsidRPr="00E136EA">
        <w:t xml:space="preserve">together. </w:t>
      </w:r>
      <w:r w:rsidR="002064C3">
        <w:t>A decision tree was used to model</w:t>
      </w:r>
      <w:r w:rsidR="002064C3" w:rsidRPr="00A64413">
        <w:t xml:space="preserve"> the diagnostic pathways, followed by a Markov model representing subsequent </w:t>
      </w:r>
      <w:r w:rsidR="002064C3" w:rsidRPr="00AF4069">
        <w:t>follow-up</w:t>
      </w:r>
      <w:r w:rsidR="002064C3">
        <w:t>.</w:t>
      </w:r>
      <w:r w:rsidR="002064C3" w:rsidRPr="00AF4069">
        <w:t xml:space="preserve"> </w:t>
      </w:r>
      <w:r w:rsidR="002064C3" w:rsidRPr="00E136EA">
        <w:fldChar w:fldCharType="begin"/>
      </w:r>
      <w:r w:rsidR="002064C3" w:rsidRPr="00E136EA">
        <w:instrText xml:space="preserve"> REF _Ref379483368 \h  \* MERGEFORMAT </w:instrText>
      </w:r>
      <w:r w:rsidR="002064C3" w:rsidRPr="00E136EA">
        <w:fldChar w:fldCharType="separate"/>
      </w:r>
      <w:r w:rsidR="0029649D" w:rsidRPr="00445668">
        <w:t xml:space="preserve">Table </w:t>
      </w:r>
      <w:r w:rsidR="0029649D">
        <w:rPr>
          <w:noProof/>
        </w:rPr>
        <w:t>8</w:t>
      </w:r>
      <w:r w:rsidR="002064C3" w:rsidRPr="00E136EA">
        <w:fldChar w:fldCharType="end"/>
      </w:r>
      <w:r w:rsidR="002064C3" w:rsidRPr="00E136EA">
        <w:t xml:space="preserve"> provides</w:t>
      </w:r>
      <w:r w:rsidR="002064C3">
        <w:t xml:space="preserve"> a summary of the economic evaluation.</w:t>
      </w:r>
    </w:p>
    <w:p w14:paraId="31D966E0" w14:textId="77777777" w:rsidR="002064C3" w:rsidRPr="00183E4D" w:rsidRDefault="002064C3" w:rsidP="002064C3">
      <w:pPr>
        <w:pStyle w:val="Caption"/>
      </w:pPr>
      <w:bookmarkStart w:id="119" w:name="_Ref379404328"/>
      <w:bookmarkStart w:id="120" w:name="_Ref379483368"/>
      <w:bookmarkStart w:id="121" w:name="_Ref394419656"/>
      <w:bookmarkStart w:id="122" w:name="_Toc456879145"/>
      <w:bookmarkStart w:id="123" w:name="_Toc459987893"/>
      <w:bookmarkStart w:id="124" w:name="_Toc460514508"/>
      <w:r w:rsidRPr="00445668">
        <w:t xml:space="preserve">Table </w:t>
      </w:r>
      <w:fldSimple w:instr=" SEQ Table \* ARABIC ">
        <w:r w:rsidR="0029649D">
          <w:rPr>
            <w:noProof/>
          </w:rPr>
          <w:t>8</w:t>
        </w:r>
      </w:fldSimple>
      <w:bookmarkEnd w:id="119"/>
      <w:bookmarkEnd w:id="120"/>
      <w:r w:rsidRPr="00445668">
        <w:tab/>
      </w:r>
      <w:r>
        <w:tab/>
      </w:r>
      <w:r w:rsidRPr="00445668">
        <w:t>Summary of</w:t>
      </w:r>
      <w:r w:rsidRPr="00183E4D">
        <w:t xml:space="preserve"> the economic evaluation</w:t>
      </w:r>
      <w:bookmarkEnd w:id="121"/>
      <w:bookmarkEnd w:id="122"/>
      <w:bookmarkEnd w:id="123"/>
      <w:bookmarkEnd w:id="124"/>
      <w:r w:rsidRPr="00183E4D">
        <w:t xml:space="preserve"> </w:t>
      </w:r>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2847"/>
        <w:gridCol w:w="6265"/>
      </w:tblGrid>
      <w:tr w:rsidR="002064C3" w:rsidRPr="00183E4D" w14:paraId="4331620D"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tcPr>
          <w:p w14:paraId="7C4C6F9F" w14:textId="77777777" w:rsidR="002064C3" w:rsidRPr="00FA1002" w:rsidRDefault="002064C3" w:rsidP="008840EC">
            <w:pPr>
              <w:pStyle w:val="Tableheading1"/>
            </w:pPr>
            <w:r w:rsidRPr="00FA1002">
              <w:t>Perspective</w:t>
            </w:r>
          </w:p>
        </w:tc>
        <w:tc>
          <w:tcPr>
            <w:tcW w:w="6237" w:type="dxa"/>
            <w:tcBorders>
              <w:top w:val="single" w:sz="4" w:space="0" w:color="auto"/>
              <w:left w:val="single" w:sz="4" w:space="0" w:color="auto"/>
              <w:bottom w:val="single" w:sz="4" w:space="0" w:color="auto"/>
              <w:right w:val="single" w:sz="4" w:space="0" w:color="auto"/>
            </w:tcBorders>
          </w:tcPr>
          <w:p w14:paraId="1B631535" w14:textId="77777777" w:rsidR="002064C3" w:rsidRPr="00A307D3" w:rsidRDefault="002064C3" w:rsidP="008840EC">
            <w:pPr>
              <w:pStyle w:val="Tabletext1"/>
            </w:pPr>
            <w:r>
              <w:t>MBS perspective</w:t>
            </w:r>
          </w:p>
        </w:tc>
      </w:tr>
      <w:tr w:rsidR="002064C3" w:rsidRPr="00183E4D" w14:paraId="406D1CE6"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tcPr>
          <w:p w14:paraId="588B77B8" w14:textId="77777777" w:rsidR="002064C3" w:rsidRPr="00FA1002" w:rsidRDefault="002064C3" w:rsidP="008840EC">
            <w:pPr>
              <w:pStyle w:val="Tableheading1"/>
            </w:pPr>
            <w:r w:rsidRPr="00FA1002">
              <w:t>Comparator</w:t>
            </w:r>
          </w:p>
        </w:tc>
        <w:tc>
          <w:tcPr>
            <w:tcW w:w="6237" w:type="dxa"/>
            <w:tcBorders>
              <w:top w:val="single" w:sz="4" w:space="0" w:color="auto"/>
              <w:left w:val="single" w:sz="4" w:space="0" w:color="auto"/>
              <w:bottom w:val="single" w:sz="4" w:space="0" w:color="auto"/>
              <w:right w:val="single" w:sz="4" w:space="0" w:color="auto"/>
            </w:tcBorders>
          </w:tcPr>
          <w:p w14:paraId="797CB65E" w14:textId="77777777" w:rsidR="002064C3" w:rsidRPr="00713298" w:rsidRDefault="002064C3" w:rsidP="008840EC">
            <w:pPr>
              <w:pStyle w:val="Tabletext1"/>
            </w:pPr>
            <w:r w:rsidRPr="00713298">
              <w:t>TRUSGB</w:t>
            </w:r>
            <w:r>
              <w:t>/TPUSGB</w:t>
            </w:r>
          </w:p>
        </w:tc>
      </w:tr>
      <w:tr w:rsidR="002064C3" w:rsidRPr="00183E4D" w14:paraId="3F1581E4"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tcPr>
          <w:p w14:paraId="34FA7AD9" w14:textId="77777777" w:rsidR="002064C3" w:rsidRPr="00FA1002" w:rsidRDefault="002064C3" w:rsidP="008840EC">
            <w:pPr>
              <w:pStyle w:val="Tableheading1"/>
            </w:pPr>
            <w:r w:rsidRPr="00FA1002">
              <w:t>Type of economic evaluation</w:t>
            </w:r>
          </w:p>
        </w:tc>
        <w:tc>
          <w:tcPr>
            <w:tcW w:w="6237" w:type="dxa"/>
            <w:tcBorders>
              <w:top w:val="single" w:sz="4" w:space="0" w:color="auto"/>
              <w:left w:val="single" w:sz="4" w:space="0" w:color="auto"/>
              <w:bottom w:val="single" w:sz="4" w:space="0" w:color="auto"/>
              <w:right w:val="single" w:sz="4" w:space="0" w:color="auto"/>
            </w:tcBorders>
          </w:tcPr>
          <w:p w14:paraId="0847A1C4" w14:textId="77777777" w:rsidR="002064C3" w:rsidRPr="00A0651D" w:rsidRDefault="002064C3" w:rsidP="008840EC">
            <w:pPr>
              <w:pStyle w:val="Tabletext1"/>
            </w:pPr>
            <w:r>
              <w:t>C</w:t>
            </w:r>
            <w:r w:rsidRPr="00A0651D">
              <w:t xml:space="preserve">ost-utility analysis </w:t>
            </w:r>
          </w:p>
        </w:tc>
      </w:tr>
      <w:tr w:rsidR="002064C3" w:rsidRPr="00183E4D" w14:paraId="6699AA4E"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tcPr>
          <w:p w14:paraId="3724EFAE" w14:textId="77777777" w:rsidR="002064C3" w:rsidRPr="00FA1002" w:rsidRDefault="002064C3" w:rsidP="008840EC">
            <w:pPr>
              <w:pStyle w:val="Tableheading1"/>
            </w:pPr>
            <w:r w:rsidRPr="00FA1002">
              <w:t>Sources of evidence</w:t>
            </w:r>
          </w:p>
        </w:tc>
        <w:tc>
          <w:tcPr>
            <w:tcW w:w="6237" w:type="dxa"/>
            <w:tcBorders>
              <w:top w:val="single" w:sz="4" w:space="0" w:color="auto"/>
              <w:left w:val="single" w:sz="4" w:space="0" w:color="auto"/>
              <w:bottom w:val="single" w:sz="4" w:space="0" w:color="auto"/>
              <w:right w:val="single" w:sz="4" w:space="0" w:color="auto"/>
            </w:tcBorders>
          </w:tcPr>
          <w:p w14:paraId="1F0BB69D" w14:textId="679A5B06" w:rsidR="002064C3" w:rsidRDefault="002064C3" w:rsidP="008840EC">
            <w:pPr>
              <w:pStyle w:val="Tabletext1"/>
            </w:pPr>
            <w:r w:rsidRPr="0017535D">
              <w:t xml:space="preserve">Systematic review and meta-analysis of clinical trials [Section B] </w:t>
            </w:r>
          </w:p>
          <w:p w14:paraId="1F6954B1" w14:textId="77777777" w:rsidR="002064C3" w:rsidRPr="0017535D" w:rsidRDefault="002064C3" w:rsidP="008840EC">
            <w:pPr>
              <w:pStyle w:val="Tabletext1"/>
            </w:pPr>
            <w:r>
              <w:t>Targeted review for utility parameters [Section C]</w:t>
            </w:r>
          </w:p>
          <w:p w14:paraId="26E2D1DC" w14:textId="77777777" w:rsidR="002064C3" w:rsidRPr="003E6DC1" w:rsidRDefault="002064C3" w:rsidP="008840EC">
            <w:pPr>
              <w:pStyle w:val="Tabletext1"/>
            </w:pPr>
            <w:r w:rsidRPr="003D271F">
              <w:t>Expert opinion</w:t>
            </w:r>
            <w:r>
              <w:t xml:space="preserve"> was elicited where no data were available</w:t>
            </w:r>
          </w:p>
        </w:tc>
      </w:tr>
      <w:tr w:rsidR="002064C3" w:rsidRPr="00183E4D" w14:paraId="4E8DC60E"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hideMark/>
          </w:tcPr>
          <w:p w14:paraId="302753D2" w14:textId="77777777" w:rsidR="002064C3" w:rsidRPr="00FA1002" w:rsidRDefault="002064C3" w:rsidP="008840EC">
            <w:pPr>
              <w:pStyle w:val="Tableheading1"/>
            </w:pPr>
            <w:r w:rsidRPr="00FA1002">
              <w:t>Time horizon</w:t>
            </w:r>
          </w:p>
        </w:tc>
        <w:tc>
          <w:tcPr>
            <w:tcW w:w="6237" w:type="dxa"/>
            <w:tcBorders>
              <w:top w:val="single" w:sz="4" w:space="0" w:color="auto"/>
              <w:left w:val="single" w:sz="4" w:space="0" w:color="auto"/>
              <w:bottom w:val="single" w:sz="4" w:space="0" w:color="auto"/>
              <w:right w:val="single" w:sz="4" w:space="0" w:color="auto"/>
            </w:tcBorders>
            <w:hideMark/>
          </w:tcPr>
          <w:p w14:paraId="6FC75ED3" w14:textId="3E507030" w:rsidR="002064C3" w:rsidRPr="00871F74" w:rsidRDefault="002064C3" w:rsidP="008840EC">
            <w:pPr>
              <w:pStyle w:val="Tabletext1"/>
            </w:pPr>
            <w:r>
              <w:t xml:space="preserve">Lifetime time horizon (25 </w:t>
            </w:r>
            <w:r w:rsidRPr="00C8788F">
              <w:t xml:space="preserve">years) in the model </w:t>
            </w:r>
            <w:r w:rsidR="002955B5">
              <w:t>base-case</w:t>
            </w:r>
          </w:p>
        </w:tc>
      </w:tr>
      <w:tr w:rsidR="002064C3" w:rsidRPr="00183E4D" w14:paraId="48499903"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hideMark/>
          </w:tcPr>
          <w:p w14:paraId="2FF3D53D" w14:textId="77777777" w:rsidR="002064C3" w:rsidRPr="00FA1002" w:rsidRDefault="002064C3" w:rsidP="008840EC">
            <w:pPr>
              <w:pStyle w:val="Tableheading1"/>
            </w:pPr>
            <w:r w:rsidRPr="00FA1002">
              <w:t>Outcomes</w:t>
            </w:r>
          </w:p>
        </w:tc>
        <w:tc>
          <w:tcPr>
            <w:tcW w:w="6237" w:type="dxa"/>
            <w:tcBorders>
              <w:top w:val="single" w:sz="4" w:space="0" w:color="auto"/>
              <w:left w:val="single" w:sz="4" w:space="0" w:color="auto"/>
              <w:bottom w:val="single" w:sz="4" w:space="0" w:color="auto"/>
              <w:right w:val="single" w:sz="4" w:space="0" w:color="auto"/>
            </w:tcBorders>
          </w:tcPr>
          <w:p w14:paraId="384849F2" w14:textId="4A3717AA" w:rsidR="002064C3" w:rsidRPr="00472064" w:rsidRDefault="002064C3" w:rsidP="008840EC">
            <w:pPr>
              <w:pStyle w:val="Tabletext1"/>
            </w:pPr>
            <w:r w:rsidRPr="00472064">
              <w:t>QALYG</w:t>
            </w:r>
          </w:p>
        </w:tc>
      </w:tr>
      <w:tr w:rsidR="002064C3" w:rsidRPr="00183E4D" w14:paraId="4B167702"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hideMark/>
          </w:tcPr>
          <w:p w14:paraId="4A7FE899" w14:textId="77777777" w:rsidR="002064C3" w:rsidRPr="00FA1002" w:rsidRDefault="002064C3" w:rsidP="008840EC">
            <w:pPr>
              <w:pStyle w:val="Tableheading1"/>
            </w:pPr>
            <w:r w:rsidRPr="00FA1002">
              <w:t>Methods used to generate results</w:t>
            </w:r>
          </w:p>
        </w:tc>
        <w:tc>
          <w:tcPr>
            <w:tcW w:w="6237" w:type="dxa"/>
            <w:tcBorders>
              <w:top w:val="single" w:sz="4" w:space="0" w:color="auto"/>
              <w:left w:val="single" w:sz="4" w:space="0" w:color="auto"/>
              <w:bottom w:val="single" w:sz="4" w:space="0" w:color="auto"/>
              <w:right w:val="single" w:sz="4" w:space="0" w:color="auto"/>
            </w:tcBorders>
          </w:tcPr>
          <w:p w14:paraId="280B0DA0" w14:textId="77777777" w:rsidR="002064C3" w:rsidRPr="00AB652F" w:rsidRDefault="002064C3" w:rsidP="008840EC">
            <w:pPr>
              <w:pStyle w:val="Tabletext1"/>
            </w:pPr>
            <w:r w:rsidRPr="00AB652F">
              <w:t>Combined decision tree and Markov model using cohort expected value analysis</w:t>
            </w:r>
          </w:p>
        </w:tc>
      </w:tr>
      <w:tr w:rsidR="002064C3" w:rsidRPr="00183E4D" w14:paraId="19D90C33"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tcPr>
          <w:p w14:paraId="37E0774C" w14:textId="77777777" w:rsidR="002064C3" w:rsidRPr="00FA1002" w:rsidRDefault="002064C3" w:rsidP="008840EC">
            <w:pPr>
              <w:pStyle w:val="Tableheading1"/>
            </w:pPr>
            <w:r w:rsidRPr="00FA1002">
              <w:t>Health states</w:t>
            </w:r>
          </w:p>
        </w:tc>
        <w:tc>
          <w:tcPr>
            <w:tcW w:w="6237" w:type="dxa"/>
            <w:tcBorders>
              <w:top w:val="single" w:sz="4" w:space="0" w:color="auto"/>
              <w:left w:val="single" w:sz="4" w:space="0" w:color="auto"/>
              <w:bottom w:val="single" w:sz="4" w:space="0" w:color="auto"/>
              <w:right w:val="single" w:sz="4" w:space="0" w:color="auto"/>
            </w:tcBorders>
          </w:tcPr>
          <w:p w14:paraId="394D63D8" w14:textId="77777777" w:rsidR="002064C3" w:rsidRDefault="002064C3" w:rsidP="008840EC">
            <w:pPr>
              <w:pStyle w:val="Tabletext1"/>
            </w:pPr>
            <w:r>
              <w:t>No prostate cancer</w:t>
            </w:r>
          </w:p>
          <w:p w14:paraId="68FC2903" w14:textId="77777777" w:rsidR="002064C3" w:rsidRDefault="002064C3" w:rsidP="008840EC">
            <w:pPr>
              <w:pStyle w:val="Tabletext1"/>
            </w:pPr>
            <w:r>
              <w:t>Low to intermediate risk prostate cancer (insignificant cancer)</w:t>
            </w:r>
          </w:p>
          <w:p w14:paraId="2CBE463C" w14:textId="77777777" w:rsidR="002064C3" w:rsidRDefault="002064C3" w:rsidP="008840EC">
            <w:pPr>
              <w:pStyle w:val="Tabletext1"/>
            </w:pPr>
            <w:r>
              <w:t>Intermediate to high risk prostate cancer (significant cancer)</w:t>
            </w:r>
          </w:p>
          <w:p w14:paraId="1A994617" w14:textId="77777777" w:rsidR="002064C3" w:rsidRDefault="002064C3" w:rsidP="008840EC">
            <w:pPr>
              <w:pStyle w:val="Tabletext1"/>
            </w:pPr>
            <w:r>
              <w:t>Advanced prostate cancer</w:t>
            </w:r>
          </w:p>
          <w:p w14:paraId="05228F1D" w14:textId="77777777" w:rsidR="002064C3" w:rsidRPr="004B22D2" w:rsidRDefault="002064C3" w:rsidP="008840EC">
            <w:pPr>
              <w:pStyle w:val="Tabletext1"/>
            </w:pPr>
            <w:r>
              <w:t>Death</w:t>
            </w:r>
          </w:p>
        </w:tc>
      </w:tr>
      <w:tr w:rsidR="002064C3" w:rsidRPr="00183E4D" w14:paraId="7694B258"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hideMark/>
          </w:tcPr>
          <w:p w14:paraId="36B5D100" w14:textId="77777777" w:rsidR="002064C3" w:rsidRPr="00FA1002" w:rsidRDefault="002064C3" w:rsidP="008840EC">
            <w:pPr>
              <w:pStyle w:val="Tableheading1"/>
            </w:pPr>
            <w:r w:rsidRPr="00FA1002">
              <w:t>Cycle length</w:t>
            </w:r>
          </w:p>
        </w:tc>
        <w:tc>
          <w:tcPr>
            <w:tcW w:w="6237" w:type="dxa"/>
            <w:tcBorders>
              <w:top w:val="single" w:sz="4" w:space="0" w:color="auto"/>
              <w:left w:val="single" w:sz="4" w:space="0" w:color="auto"/>
              <w:bottom w:val="single" w:sz="4" w:space="0" w:color="auto"/>
              <w:right w:val="single" w:sz="4" w:space="0" w:color="auto"/>
            </w:tcBorders>
          </w:tcPr>
          <w:p w14:paraId="781FC9FC" w14:textId="77777777" w:rsidR="002064C3" w:rsidRPr="00FB63EA" w:rsidRDefault="002064C3" w:rsidP="008840EC">
            <w:pPr>
              <w:pStyle w:val="Tabletext1"/>
            </w:pPr>
            <w:r w:rsidRPr="00565EE7">
              <w:t>1 year</w:t>
            </w:r>
          </w:p>
        </w:tc>
      </w:tr>
      <w:tr w:rsidR="002064C3" w:rsidRPr="00183E4D" w14:paraId="000C5A99"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hideMark/>
          </w:tcPr>
          <w:p w14:paraId="418AC617" w14:textId="77777777" w:rsidR="002064C3" w:rsidRPr="00FA1002" w:rsidRDefault="002064C3" w:rsidP="008840EC">
            <w:pPr>
              <w:pStyle w:val="Tableheading1"/>
            </w:pPr>
            <w:r w:rsidRPr="00FA1002">
              <w:t>Discount rate</w:t>
            </w:r>
          </w:p>
        </w:tc>
        <w:tc>
          <w:tcPr>
            <w:tcW w:w="6237" w:type="dxa"/>
            <w:tcBorders>
              <w:top w:val="single" w:sz="4" w:space="0" w:color="auto"/>
              <w:left w:val="single" w:sz="4" w:space="0" w:color="auto"/>
              <w:bottom w:val="single" w:sz="4" w:space="0" w:color="auto"/>
              <w:right w:val="single" w:sz="4" w:space="0" w:color="auto"/>
            </w:tcBorders>
          </w:tcPr>
          <w:p w14:paraId="03DE3E65" w14:textId="77777777" w:rsidR="002064C3" w:rsidRPr="00183E4D" w:rsidRDefault="002064C3" w:rsidP="008840EC">
            <w:pPr>
              <w:pStyle w:val="Tabletext1"/>
            </w:pPr>
            <w:r w:rsidRPr="00D02796">
              <w:t>5% for costs and outcomes</w:t>
            </w:r>
          </w:p>
        </w:tc>
      </w:tr>
      <w:tr w:rsidR="002064C3" w:rsidRPr="00183E4D" w14:paraId="349B19D2" w14:textId="77777777" w:rsidTr="00FA1002">
        <w:trPr>
          <w:trHeight w:val="397"/>
        </w:trPr>
        <w:tc>
          <w:tcPr>
            <w:tcW w:w="2835" w:type="dxa"/>
            <w:tcBorders>
              <w:top w:val="single" w:sz="4" w:space="0" w:color="auto"/>
              <w:left w:val="single" w:sz="4" w:space="0" w:color="auto"/>
              <w:bottom w:val="single" w:sz="4" w:space="0" w:color="auto"/>
              <w:right w:val="single" w:sz="4" w:space="0" w:color="auto"/>
            </w:tcBorders>
            <w:hideMark/>
          </w:tcPr>
          <w:p w14:paraId="74FC5202" w14:textId="77777777" w:rsidR="002064C3" w:rsidRPr="00FA1002" w:rsidRDefault="002064C3" w:rsidP="008840EC">
            <w:pPr>
              <w:pStyle w:val="Tableheading1"/>
            </w:pPr>
            <w:r w:rsidRPr="00FA1002">
              <w:t>Software packages used</w:t>
            </w:r>
          </w:p>
        </w:tc>
        <w:tc>
          <w:tcPr>
            <w:tcW w:w="6237" w:type="dxa"/>
            <w:tcBorders>
              <w:top w:val="single" w:sz="4" w:space="0" w:color="auto"/>
              <w:left w:val="single" w:sz="4" w:space="0" w:color="auto"/>
              <w:bottom w:val="single" w:sz="4" w:space="0" w:color="auto"/>
              <w:right w:val="single" w:sz="4" w:space="0" w:color="auto"/>
            </w:tcBorders>
          </w:tcPr>
          <w:p w14:paraId="0EE2F9F0" w14:textId="77777777" w:rsidR="002064C3" w:rsidRPr="00183E4D" w:rsidRDefault="002064C3" w:rsidP="008840EC">
            <w:pPr>
              <w:pStyle w:val="Tabletext1"/>
            </w:pPr>
            <w:proofErr w:type="spellStart"/>
            <w:r>
              <w:t>TreeAge</w:t>
            </w:r>
            <w:proofErr w:type="spellEnd"/>
            <w:r>
              <w:t xml:space="preserve"> Pro 2015</w:t>
            </w:r>
          </w:p>
        </w:tc>
      </w:tr>
    </w:tbl>
    <w:p w14:paraId="3F716F54" w14:textId="172BECD6" w:rsidR="00122AAE" w:rsidRDefault="008E1758" w:rsidP="008E1758">
      <w:pPr>
        <w:pStyle w:val="TableNotes"/>
      </w:pPr>
      <w:r>
        <w:t xml:space="preserve">MBS = Medical </w:t>
      </w:r>
      <w:r w:rsidR="00122AAE">
        <w:t>Benefit</w:t>
      </w:r>
      <w:r>
        <w:t xml:space="preserve"> </w:t>
      </w:r>
      <w:r w:rsidR="00122AAE">
        <w:t>Schedule,</w:t>
      </w:r>
      <w:r>
        <w:t xml:space="preserve"> TRUSGB = Trans-rectal ultrasound guided biopsy</w:t>
      </w:r>
      <w:r w:rsidR="00122AAE">
        <w:t>,</w:t>
      </w:r>
      <w:r>
        <w:t xml:space="preserve"> TPUSGB = Trans-perineal ultrasound guided biopsy</w:t>
      </w:r>
      <w:r w:rsidR="003D41FD">
        <w:t>; QALYG = Quality-adjusted life-</w:t>
      </w:r>
      <w:r>
        <w:t xml:space="preserve">years gained. </w:t>
      </w:r>
    </w:p>
    <w:p w14:paraId="3D3A5884" w14:textId="7DC8D0D7" w:rsidR="002064C3" w:rsidRPr="0071787E" w:rsidRDefault="002064C3" w:rsidP="008E1758">
      <w:pPr>
        <w:pStyle w:val="TableNotes"/>
      </w:pPr>
      <w:r>
        <w:t xml:space="preserve">Source: Section D.3 </w:t>
      </w:r>
      <w:r>
        <w:fldChar w:fldCharType="begin"/>
      </w:r>
      <w:r>
        <w:instrText xml:space="preserve"> REF _Ref395196756 \h  \* MERGEFORMAT </w:instrText>
      </w:r>
      <w:r>
        <w:fldChar w:fldCharType="separate"/>
      </w:r>
      <w:r w:rsidR="0029649D" w:rsidRPr="002D269C">
        <w:t xml:space="preserve">Table </w:t>
      </w:r>
      <w:r w:rsidR="0029649D">
        <w:t>51</w:t>
      </w:r>
      <w:r>
        <w:fldChar w:fldCharType="end"/>
      </w:r>
      <w:r>
        <w:t xml:space="preserve"> </w:t>
      </w:r>
    </w:p>
    <w:p w14:paraId="1DCF3A1B" w14:textId="77777777" w:rsidR="002064C3" w:rsidRDefault="002064C3" w:rsidP="002064C3">
      <w:r w:rsidRPr="00183E4D">
        <w:t>Key structural assumptions of the model are:</w:t>
      </w:r>
    </w:p>
    <w:p w14:paraId="31F4EFB5" w14:textId="77777777" w:rsidR="002064C3" w:rsidRPr="008E167A" w:rsidRDefault="002064C3" w:rsidP="00A3402C">
      <w:pPr>
        <w:pStyle w:val="ListParagraph"/>
        <w:numPr>
          <w:ilvl w:val="0"/>
          <w:numId w:val="30"/>
        </w:numPr>
        <w:contextualSpacing w:val="0"/>
        <w:jc w:val="left"/>
      </w:pPr>
      <w:r w:rsidRPr="008E167A">
        <w:t xml:space="preserve">All patients enter the model at age 66, which is the mean age of </w:t>
      </w:r>
      <w:proofErr w:type="spellStart"/>
      <w:r w:rsidRPr="008E167A">
        <w:t>PCa</w:t>
      </w:r>
      <w:proofErr w:type="spellEnd"/>
      <w:r w:rsidRPr="008E167A">
        <w:t xml:space="preserve"> diagnosis in Australia. Over time patients that have entered the model will age, and their background mortality</w:t>
      </w:r>
      <w:r>
        <w:t xml:space="preserve"> (obtained from ABS statistics) will</w:t>
      </w:r>
      <w:r w:rsidRPr="008E167A">
        <w:t xml:space="preserve"> change accordingly.</w:t>
      </w:r>
    </w:p>
    <w:p w14:paraId="1C9CD1B1" w14:textId="2DF534FE" w:rsidR="002064C3" w:rsidRPr="00DD7461" w:rsidRDefault="002064C3" w:rsidP="00A3402C">
      <w:pPr>
        <w:pStyle w:val="ListParagraph"/>
        <w:numPr>
          <w:ilvl w:val="0"/>
          <w:numId w:val="30"/>
        </w:numPr>
        <w:contextualSpacing w:val="0"/>
      </w:pPr>
      <w:r>
        <w:t xml:space="preserve">All patients enter the model as men with suspected </w:t>
      </w:r>
      <w:proofErr w:type="spellStart"/>
      <w:r>
        <w:t>PCa</w:t>
      </w:r>
      <w:proofErr w:type="spellEnd"/>
      <w:r>
        <w:t xml:space="preserve"> (Population 1). Patients that are entering Population 2, men with low or intermediate risk </w:t>
      </w:r>
      <w:proofErr w:type="spellStart"/>
      <w:r w:rsidR="008E1758">
        <w:t>PCa</w:t>
      </w:r>
      <w:proofErr w:type="spellEnd"/>
      <w:r>
        <w:t xml:space="preserve"> undergoing active surveillance, are a subset of what previously used to be Population 1. </w:t>
      </w:r>
    </w:p>
    <w:p w14:paraId="47252C19" w14:textId="4ABCA5C2" w:rsidR="002064C3" w:rsidRDefault="002064C3" w:rsidP="00A3402C">
      <w:pPr>
        <w:pStyle w:val="ListParagraph"/>
        <w:numPr>
          <w:ilvl w:val="0"/>
          <w:numId w:val="30"/>
        </w:numPr>
        <w:contextualSpacing w:val="0"/>
        <w:jc w:val="left"/>
      </w:pPr>
      <w:r>
        <w:t>A</w:t>
      </w:r>
      <w:r w:rsidRPr="00DD7461">
        <w:t xml:space="preserve"> cost associated with delayed diagnosis is applied for patients with false negative results.</w:t>
      </w:r>
      <w:r>
        <w:t xml:space="preserve"> Delayed diagnosis was assumed not to impact </w:t>
      </w:r>
      <w:proofErr w:type="spellStart"/>
      <w:r>
        <w:t>PCa</w:t>
      </w:r>
      <w:proofErr w:type="spellEnd"/>
      <w:r>
        <w:t xml:space="preserve"> prognosis in the </w:t>
      </w:r>
      <w:r w:rsidR="002955B5">
        <w:t>base-case</w:t>
      </w:r>
      <w:r>
        <w:t xml:space="preserve">. </w:t>
      </w:r>
    </w:p>
    <w:p w14:paraId="781988C8" w14:textId="45A7031D" w:rsidR="002064C3" w:rsidRDefault="002064C3" w:rsidP="00A3402C">
      <w:pPr>
        <w:pStyle w:val="ListParagraph"/>
        <w:numPr>
          <w:ilvl w:val="0"/>
          <w:numId w:val="30"/>
        </w:numPr>
        <w:contextualSpacing w:val="0"/>
      </w:pPr>
      <w:r w:rsidRPr="00304C28">
        <w:lastRenderedPageBreak/>
        <w:t xml:space="preserve">Patients with false positive results have the same prognosis as </w:t>
      </w:r>
      <w:r>
        <w:t>other patients without cancer, but were assumed to spend a year under “active surveillance” (</w:t>
      </w:r>
      <w:r w:rsidR="00E87958">
        <w:t>as with</w:t>
      </w:r>
      <w:r>
        <w:t xml:space="preserve"> low/intermediate risk prostate cancer patients).</w:t>
      </w:r>
    </w:p>
    <w:p w14:paraId="06A1485C" w14:textId="77777777" w:rsidR="002064C3" w:rsidRDefault="002064C3" w:rsidP="00A3402C">
      <w:pPr>
        <w:pStyle w:val="ListParagraph"/>
        <w:numPr>
          <w:ilvl w:val="0"/>
          <w:numId w:val="30"/>
        </w:numPr>
        <w:contextualSpacing w:val="0"/>
      </w:pPr>
      <w:r>
        <w:t xml:space="preserve">Patients may remain in any health state or progress, but may not regress. </w:t>
      </w:r>
    </w:p>
    <w:p w14:paraId="7461B3E1" w14:textId="41A639F6" w:rsidR="002064C3" w:rsidRDefault="002064C3" w:rsidP="00A3402C">
      <w:pPr>
        <w:pStyle w:val="ListParagraph"/>
        <w:numPr>
          <w:ilvl w:val="0"/>
          <w:numId w:val="30"/>
        </w:numPr>
        <w:contextualSpacing w:val="0"/>
      </w:pPr>
      <w:r>
        <w:t xml:space="preserve">The introduction of </w:t>
      </w:r>
      <w:proofErr w:type="spellStart"/>
      <w:r>
        <w:t>m</w:t>
      </w:r>
      <w:r w:rsidRPr="00735093">
        <w:t>pMRI</w:t>
      </w:r>
      <w:proofErr w:type="spellEnd"/>
      <w:r w:rsidRPr="00735093">
        <w:t xml:space="preserve"> </w:t>
      </w:r>
      <w:r>
        <w:t xml:space="preserve">does not alter the rest of the clinical treatment algorithm, i.e. the </w:t>
      </w:r>
      <w:proofErr w:type="gramStart"/>
      <w:r>
        <w:t>types of biopsies used remains</w:t>
      </w:r>
      <w:proofErr w:type="gramEnd"/>
      <w:r>
        <w:t xml:space="preserve"> the same. For t</w:t>
      </w:r>
      <w:r w:rsidRPr="00735093">
        <w:t xml:space="preserve">he </w:t>
      </w:r>
      <w:r w:rsidR="002955B5">
        <w:t>base-case</w:t>
      </w:r>
      <w:r>
        <w:t xml:space="preserve">, a weighted </w:t>
      </w:r>
      <w:r w:rsidRPr="00912DB8">
        <w:t xml:space="preserve">average of the various types of biopsy is assumed (TRUSGB, 75%; and TPUSGB 25%). </w:t>
      </w:r>
      <w:r>
        <w:t xml:space="preserve">This assumption is made as </w:t>
      </w:r>
      <w:r w:rsidR="00E96DDA">
        <w:t>MRIGB</w:t>
      </w:r>
      <w:r>
        <w:t xml:space="preserve"> is currently not available on the MBS. </w:t>
      </w:r>
      <w:r w:rsidRPr="00912DB8">
        <w:t xml:space="preserve">The use of </w:t>
      </w:r>
      <w:r w:rsidR="00E96DDA">
        <w:t>MRIGB</w:t>
      </w:r>
      <w:r w:rsidRPr="00912DB8">
        <w:t xml:space="preserve"> </w:t>
      </w:r>
      <w:r>
        <w:t>wa</w:t>
      </w:r>
      <w:r w:rsidRPr="00912DB8">
        <w:t>s included in a sensitivity analysis</w:t>
      </w:r>
      <w:r>
        <w:t xml:space="preserve">. Accuracy of </w:t>
      </w:r>
      <w:r w:rsidR="00E96DDA">
        <w:t>MRIGB</w:t>
      </w:r>
      <w:r>
        <w:t xml:space="preserve"> was aligned with </w:t>
      </w:r>
      <w:r w:rsidRPr="00912DB8">
        <w:t xml:space="preserve">the assessment being conducted for </w:t>
      </w:r>
      <w:r w:rsidR="00E96DDA">
        <w:t>MRIGB</w:t>
      </w:r>
      <w:r w:rsidRPr="00912DB8">
        <w:t xml:space="preserve"> (</w:t>
      </w:r>
      <w:r>
        <w:t>CA 1424</w:t>
      </w:r>
      <w:r w:rsidRPr="00912DB8">
        <w:t>).</w:t>
      </w:r>
      <w:r>
        <w:t xml:space="preserve"> </w:t>
      </w:r>
    </w:p>
    <w:p w14:paraId="633EC35C" w14:textId="77777777" w:rsidR="002064C3" w:rsidRPr="00DD7461" w:rsidRDefault="002064C3" w:rsidP="00A3402C">
      <w:pPr>
        <w:pStyle w:val="ListParagraph"/>
        <w:numPr>
          <w:ilvl w:val="0"/>
          <w:numId w:val="30"/>
        </w:numPr>
        <w:contextualSpacing w:val="0"/>
      </w:pPr>
      <w:r>
        <w:t>Patients are managed according to the clinical algorithms presented in Section A.</w:t>
      </w:r>
    </w:p>
    <w:p w14:paraId="79D98D97" w14:textId="77777777" w:rsidR="002064C3" w:rsidRDefault="002064C3" w:rsidP="002064C3">
      <w:r>
        <w:fldChar w:fldCharType="begin"/>
      </w:r>
      <w:r>
        <w:instrText xml:space="preserve"> REF _Ref456623732 \h </w:instrText>
      </w:r>
      <w:r>
        <w:fldChar w:fldCharType="separate"/>
      </w:r>
      <w:r w:rsidR="0029649D" w:rsidRPr="002D269C">
        <w:t xml:space="preserve">Table </w:t>
      </w:r>
      <w:r w:rsidR="0029649D">
        <w:rPr>
          <w:noProof/>
        </w:rPr>
        <w:t>55</w:t>
      </w:r>
      <w:r>
        <w:fldChar w:fldCharType="end"/>
      </w:r>
      <w:r>
        <w:t xml:space="preserve"> provides the test accuracy information used in the economic evaluation.</w:t>
      </w:r>
    </w:p>
    <w:p w14:paraId="2A19CCA6" w14:textId="77777777" w:rsidR="002064C3" w:rsidRDefault="002064C3" w:rsidP="002064C3">
      <w:pPr>
        <w:pStyle w:val="Caption"/>
        <w:ind w:left="1134" w:hanging="1134"/>
      </w:pPr>
      <w:bookmarkStart w:id="125" w:name="_Toc457223136"/>
      <w:bookmarkStart w:id="126" w:name="_Toc459987894"/>
      <w:bookmarkStart w:id="127" w:name="_Toc460514509"/>
      <w:r w:rsidRPr="002D269C">
        <w:t xml:space="preserve">Table </w:t>
      </w:r>
      <w:fldSimple w:instr=" SEQ Table \* ARABIC ">
        <w:r w:rsidR="0029649D">
          <w:rPr>
            <w:noProof/>
          </w:rPr>
          <w:t>9</w:t>
        </w:r>
      </w:fldSimple>
      <w:r w:rsidRPr="002D269C">
        <w:tab/>
      </w:r>
      <w:r>
        <w:t xml:space="preserve">Test accuracy of </w:t>
      </w:r>
      <w:proofErr w:type="spellStart"/>
      <w:r>
        <w:t>mpMRI</w:t>
      </w:r>
      <w:proofErr w:type="spellEnd"/>
      <w:r>
        <w:t xml:space="preserve"> and TRUSGB/TPUSGB</w:t>
      </w:r>
      <w:bookmarkEnd w:id="125"/>
      <w:bookmarkEnd w:id="126"/>
      <w:bookmarkEnd w:id="127"/>
    </w:p>
    <w:tbl>
      <w:tblPr>
        <w:tblStyle w:val="TableGrid"/>
        <w:tblW w:w="9112" w:type="dxa"/>
        <w:tblInd w:w="130" w:type="dxa"/>
        <w:tblCellMar>
          <w:left w:w="28" w:type="dxa"/>
          <w:right w:w="28" w:type="dxa"/>
        </w:tblCellMar>
        <w:tblLook w:val="04A0" w:firstRow="1" w:lastRow="0" w:firstColumn="1" w:lastColumn="0" w:noHBand="0" w:noVBand="1"/>
        <w:tblDescription w:val="Test accuracy of mpMRI and TRUSGB/TPUSGB"/>
      </w:tblPr>
      <w:tblGrid>
        <w:gridCol w:w="2996"/>
        <w:gridCol w:w="3060"/>
        <w:gridCol w:w="3056"/>
      </w:tblGrid>
      <w:tr w:rsidR="002064C3" w:rsidRPr="00FA1002" w14:paraId="7514C6E4" w14:textId="77777777" w:rsidTr="00FA1002">
        <w:trPr>
          <w:trHeight w:val="397"/>
          <w:tblHeader/>
        </w:trPr>
        <w:tc>
          <w:tcPr>
            <w:tcW w:w="1644" w:type="pct"/>
            <w:tcBorders>
              <w:bottom w:val="single" w:sz="4" w:space="0" w:color="auto"/>
            </w:tcBorders>
          </w:tcPr>
          <w:p w14:paraId="3ACCBA45" w14:textId="77777777" w:rsidR="002064C3" w:rsidRPr="00FA1002" w:rsidRDefault="002064C3" w:rsidP="008840EC">
            <w:pPr>
              <w:pStyle w:val="Tableheading1"/>
            </w:pPr>
            <w:r w:rsidRPr="00FA1002">
              <w:t>Description</w:t>
            </w:r>
          </w:p>
        </w:tc>
        <w:tc>
          <w:tcPr>
            <w:tcW w:w="1679" w:type="pct"/>
            <w:tcBorders>
              <w:bottom w:val="single" w:sz="4" w:space="0" w:color="auto"/>
            </w:tcBorders>
          </w:tcPr>
          <w:p w14:paraId="5B12CB39" w14:textId="77777777" w:rsidR="002064C3" w:rsidRPr="00FA1002" w:rsidRDefault="002064C3" w:rsidP="008840EC">
            <w:pPr>
              <w:pStyle w:val="Tableheading1"/>
            </w:pPr>
            <w:r w:rsidRPr="00FA1002">
              <w:t>Sensitivity, mean (95%CI)</w:t>
            </w:r>
          </w:p>
        </w:tc>
        <w:tc>
          <w:tcPr>
            <w:tcW w:w="1677" w:type="pct"/>
            <w:tcBorders>
              <w:bottom w:val="single" w:sz="4" w:space="0" w:color="auto"/>
            </w:tcBorders>
          </w:tcPr>
          <w:p w14:paraId="7B0B2198" w14:textId="77777777" w:rsidR="002064C3" w:rsidRPr="00FA1002" w:rsidRDefault="002064C3" w:rsidP="008840EC">
            <w:pPr>
              <w:pStyle w:val="Tableheading1"/>
            </w:pPr>
            <w:r w:rsidRPr="00FA1002">
              <w:t>Specificity, mean (95%CI)</w:t>
            </w:r>
          </w:p>
        </w:tc>
      </w:tr>
      <w:tr w:rsidR="002064C3" w:rsidRPr="00BC0B98" w14:paraId="3DD24BF0" w14:textId="77777777" w:rsidTr="00FA1002">
        <w:trPr>
          <w:trHeight w:val="397"/>
        </w:trPr>
        <w:tc>
          <w:tcPr>
            <w:tcW w:w="1644" w:type="pct"/>
            <w:tcBorders>
              <w:right w:val="single" w:sz="4" w:space="0" w:color="auto"/>
            </w:tcBorders>
          </w:tcPr>
          <w:p w14:paraId="391F10A4" w14:textId="77777777" w:rsidR="002064C3" w:rsidRPr="00FA1002" w:rsidRDefault="002064C3" w:rsidP="008840EC">
            <w:pPr>
              <w:pStyle w:val="Tabletext1"/>
            </w:pPr>
            <w:proofErr w:type="spellStart"/>
            <w:r w:rsidRPr="00FA1002">
              <w:t>mpMRI</w:t>
            </w:r>
            <w:proofErr w:type="spellEnd"/>
          </w:p>
        </w:tc>
        <w:tc>
          <w:tcPr>
            <w:tcW w:w="1679" w:type="pct"/>
            <w:tcBorders>
              <w:left w:val="single" w:sz="4" w:space="0" w:color="auto"/>
              <w:right w:val="single" w:sz="4" w:space="0" w:color="auto"/>
            </w:tcBorders>
          </w:tcPr>
          <w:p w14:paraId="77CE2822" w14:textId="77777777" w:rsidR="002064C3" w:rsidRPr="00445D15" w:rsidRDefault="002064C3" w:rsidP="008840EC">
            <w:pPr>
              <w:pStyle w:val="Tabletext1"/>
            </w:pPr>
            <w:r w:rsidRPr="00445D15">
              <w:t>73.4% (57%, 85%)</w:t>
            </w:r>
          </w:p>
        </w:tc>
        <w:tc>
          <w:tcPr>
            <w:tcW w:w="1677" w:type="pct"/>
            <w:tcBorders>
              <w:left w:val="single" w:sz="4" w:space="0" w:color="auto"/>
              <w:right w:val="single" w:sz="4" w:space="0" w:color="auto"/>
            </w:tcBorders>
          </w:tcPr>
          <w:p w14:paraId="3AE6A846" w14:textId="77777777" w:rsidR="002064C3" w:rsidRPr="00445D15" w:rsidRDefault="002064C3" w:rsidP="008840EC">
            <w:pPr>
              <w:pStyle w:val="Tabletext1"/>
            </w:pPr>
            <w:r w:rsidRPr="00445D15">
              <w:t>77.1% (63.5%, 86.7%)</w:t>
            </w:r>
          </w:p>
        </w:tc>
      </w:tr>
      <w:tr w:rsidR="002064C3" w:rsidRPr="00C9371A" w14:paraId="126FCBD5" w14:textId="77777777" w:rsidTr="00FA1002">
        <w:trPr>
          <w:trHeight w:val="397"/>
        </w:trPr>
        <w:tc>
          <w:tcPr>
            <w:tcW w:w="1644" w:type="pct"/>
          </w:tcPr>
          <w:p w14:paraId="47B80D1B" w14:textId="77777777" w:rsidR="002064C3" w:rsidRPr="00FA1002" w:rsidRDefault="002064C3" w:rsidP="008840EC">
            <w:pPr>
              <w:pStyle w:val="Tabletext1"/>
            </w:pPr>
            <w:r w:rsidRPr="00FA1002">
              <w:t>TRUSGB/TPUSGB</w:t>
            </w:r>
          </w:p>
        </w:tc>
        <w:tc>
          <w:tcPr>
            <w:tcW w:w="1679" w:type="pct"/>
          </w:tcPr>
          <w:p w14:paraId="7ADB9341" w14:textId="77777777" w:rsidR="002064C3" w:rsidRPr="00BC0B98" w:rsidRDefault="002064C3" w:rsidP="008840EC">
            <w:pPr>
              <w:pStyle w:val="Tabletext1"/>
              <w:rPr>
                <w:highlight w:val="yellow"/>
              </w:rPr>
            </w:pPr>
            <w:r>
              <w:t xml:space="preserve">81% (70%, </w:t>
            </w:r>
            <w:r w:rsidRPr="00423349">
              <w:t>88</w:t>
            </w:r>
            <w:r>
              <w:t>%)</w:t>
            </w:r>
          </w:p>
        </w:tc>
        <w:tc>
          <w:tcPr>
            <w:tcW w:w="1677" w:type="pct"/>
          </w:tcPr>
          <w:p w14:paraId="54AD2BA2" w14:textId="77777777" w:rsidR="002064C3" w:rsidRPr="00BC0B98" w:rsidRDefault="002064C3" w:rsidP="008840EC">
            <w:pPr>
              <w:pStyle w:val="Tabletext1"/>
              <w:rPr>
                <w:highlight w:val="yellow"/>
              </w:rPr>
            </w:pPr>
            <w:r>
              <w:t>93.64% (89.4%, 96.3%)</w:t>
            </w:r>
          </w:p>
        </w:tc>
      </w:tr>
    </w:tbl>
    <w:p w14:paraId="65EB6605" w14:textId="0C9498B4" w:rsidR="002064C3" w:rsidRDefault="002064C3" w:rsidP="006161CC">
      <w:pPr>
        <w:pStyle w:val="TableNotes"/>
      </w:pPr>
      <w:r w:rsidRPr="00FB3D7F">
        <w:t>CI</w:t>
      </w:r>
      <w:r w:rsidR="00666ADE">
        <w:t xml:space="preserve"> =</w:t>
      </w:r>
      <w:r w:rsidRPr="00FB3D7F">
        <w:t xml:space="preserve"> </w:t>
      </w:r>
      <w:r w:rsidR="00666ADE">
        <w:t>c</w:t>
      </w:r>
      <w:r w:rsidRPr="00FB3D7F">
        <w:t xml:space="preserve">onfidence </w:t>
      </w:r>
      <w:r w:rsidR="006161CC">
        <w:t>interval,</w:t>
      </w:r>
      <w:r>
        <w:t xml:space="preserve"> </w:t>
      </w:r>
      <w:proofErr w:type="spellStart"/>
      <w:r>
        <w:t>mpMRI</w:t>
      </w:r>
      <w:proofErr w:type="spellEnd"/>
      <w:r w:rsidR="00666ADE">
        <w:t xml:space="preserve"> =</w:t>
      </w:r>
      <w:r>
        <w:t xml:space="preserve"> </w:t>
      </w:r>
      <w:proofErr w:type="spellStart"/>
      <w:r>
        <w:t>multiparametric</w:t>
      </w:r>
      <w:proofErr w:type="spellEnd"/>
      <w:r>
        <w:t xml:space="preserve"> MRI</w:t>
      </w:r>
      <w:r w:rsidR="006161CC">
        <w:t>,</w:t>
      </w:r>
      <w:r>
        <w:t xml:space="preserve"> </w:t>
      </w:r>
      <w:r w:rsidR="00E96DDA">
        <w:t>MRIGB</w:t>
      </w:r>
      <w:r w:rsidR="00666ADE">
        <w:t xml:space="preserve"> = </w:t>
      </w:r>
      <w:r w:rsidRPr="00FB3D7F">
        <w:t>magnetic r</w:t>
      </w:r>
      <w:r>
        <w:t>esonance guided biopsy</w:t>
      </w:r>
      <w:r w:rsidR="006161CC">
        <w:t>,</w:t>
      </w:r>
      <w:r>
        <w:t xml:space="preserve"> TPUS</w:t>
      </w:r>
      <w:r w:rsidRPr="00FB3D7F">
        <w:t>GB</w:t>
      </w:r>
      <w:r w:rsidR="00666ADE">
        <w:t xml:space="preserve"> = </w:t>
      </w:r>
      <w:r w:rsidRPr="00FB3D7F">
        <w:t>trans</w:t>
      </w:r>
      <w:r w:rsidR="00666ADE">
        <w:t>-</w:t>
      </w:r>
      <w:r w:rsidRPr="00FB3D7F">
        <w:t>perineal</w:t>
      </w:r>
      <w:r>
        <w:t xml:space="preserve"> ultrasound guided biopsy</w:t>
      </w:r>
      <w:r w:rsidR="006161CC">
        <w:t>,</w:t>
      </w:r>
      <w:r>
        <w:t xml:space="preserve"> TRUS</w:t>
      </w:r>
      <w:r w:rsidRPr="00FB3D7F">
        <w:t>GB</w:t>
      </w:r>
      <w:r w:rsidR="006161CC">
        <w:t xml:space="preserve"> =</w:t>
      </w:r>
      <w:r w:rsidRPr="00FB3D7F">
        <w:t xml:space="preserve"> trans</w:t>
      </w:r>
      <w:r w:rsidR="00666ADE">
        <w:t>-</w:t>
      </w:r>
      <w:r>
        <w:t>rectal ultrasound guided biopsy.</w:t>
      </w:r>
    </w:p>
    <w:p w14:paraId="12B5BE23" w14:textId="77777777" w:rsidR="002064C3" w:rsidRDefault="002064C3" w:rsidP="006161CC">
      <w:pPr>
        <w:pStyle w:val="TableNotes"/>
      </w:pPr>
      <w:r>
        <w:t xml:space="preserve">Source: Section D.4 </w:t>
      </w:r>
      <w:r w:rsidRPr="00883E14">
        <w:fldChar w:fldCharType="begin"/>
      </w:r>
      <w:r>
        <w:instrText xml:space="preserve"> REF _Ref456623732 \h  \* MERGEFORMAT </w:instrText>
      </w:r>
      <w:r w:rsidRPr="00883E14">
        <w:fldChar w:fldCharType="separate"/>
      </w:r>
      <w:r w:rsidR="0029649D" w:rsidRPr="002D269C">
        <w:t xml:space="preserve">Table </w:t>
      </w:r>
      <w:r w:rsidR="0029649D">
        <w:t>55</w:t>
      </w:r>
      <w:r w:rsidRPr="00883E14">
        <w:fldChar w:fldCharType="end"/>
      </w:r>
      <w:r>
        <w:t xml:space="preserve"> </w:t>
      </w:r>
    </w:p>
    <w:p w14:paraId="3C184EFB" w14:textId="11E74A67" w:rsidR="002064C3" w:rsidRDefault="002064C3" w:rsidP="002064C3">
      <w:pPr>
        <w:spacing w:after="120"/>
      </w:pPr>
      <w:r>
        <w:t xml:space="preserve">Prevalence of </w:t>
      </w:r>
      <w:proofErr w:type="spellStart"/>
      <w:r w:rsidR="00666ADE">
        <w:t>PCa</w:t>
      </w:r>
      <w:proofErr w:type="spellEnd"/>
      <w:r w:rsidR="00666ADE">
        <w:t xml:space="preserve"> </w:t>
      </w:r>
      <w:r>
        <w:t>in Population 1 was assumed to be 35</w:t>
      </w:r>
      <w:r w:rsidR="00666ADE">
        <w:t xml:space="preserve"> per ce</w:t>
      </w:r>
      <w:r w:rsidR="003C7D58">
        <w:t>n</w:t>
      </w:r>
      <w:r w:rsidR="00666ADE">
        <w:t>t</w:t>
      </w:r>
      <w:r>
        <w:t xml:space="preserve"> for low concern patients and 50</w:t>
      </w:r>
      <w:r w:rsidR="00666ADE">
        <w:t xml:space="preserve"> per cent</w:t>
      </w:r>
      <w:r>
        <w:t xml:space="preserve"> for intermediate to high concern patients, c</w:t>
      </w:r>
      <w:r w:rsidR="00B7542E">
        <w:t>onsistent with advice from the A</w:t>
      </w:r>
      <w:r>
        <w:t xml:space="preserve">pplicant. </w:t>
      </w:r>
      <w:r w:rsidRPr="00B6368E">
        <w:t>The prevalence of progressed (significant) cancer in patients undergoing re-biopsy as part of active surveillance was assumed to be 15</w:t>
      </w:r>
      <w:r w:rsidR="00666ADE">
        <w:t xml:space="preserve"> per cent </w:t>
      </w:r>
      <w:r w:rsidR="003C7D58">
        <w:t xml:space="preserve">to reflect a proportion of  approximately </w:t>
      </w:r>
      <w:r w:rsidRPr="00B6368E">
        <w:t>8</w:t>
      </w:r>
      <w:r>
        <w:t>.8</w:t>
      </w:r>
      <w:r w:rsidR="00666ADE">
        <w:t xml:space="preserve"> per cent</w:t>
      </w:r>
      <w:r w:rsidR="003C7D58">
        <w:t xml:space="preserve"> of men</w:t>
      </w:r>
      <w:r w:rsidRPr="00B6368E">
        <w:t xml:space="preserve"> moving from active surveillance to radical treatment per year, under the current clinical algorithm (assuming sensitivity of re-biopsy is 0.81 and specificity is 0.94).</w:t>
      </w:r>
      <w:r>
        <w:t xml:space="preserve"> Approximately 50</w:t>
      </w:r>
      <w:r w:rsidR="00666ADE">
        <w:t xml:space="preserve"> per cent</w:t>
      </w:r>
      <w:r>
        <w:t xml:space="preserve"> of the pat</w:t>
      </w:r>
      <w:r w:rsidR="00666ADE">
        <w:t>ients were assumed to be of low-</w:t>
      </w:r>
      <w:r>
        <w:t xml:space="preserve">concern versus </w:t>
      </w:r>
      <w:proofErr w:type="gramStart"/>
      <w:r>
        <w:t>intermediate</w:t>
      </w:r>
      <w:r w:rsidR="00666ADE">
        <w:t>- to high-</w:t>
      </w:r>
      <w:r>
        <w:t>concern</w:t>
      </w:r>
      <w:proofErr w:type="gramEnd"/>
      <w:r>
        <w:t>. The overall proportion of cancers that was assumed to be of low to intermediate risk (insignificant) as opposed to intermediate to high risk (significant) was assumed to be 90</w:t>
      </w:r>
      <w:r w:rsidR="00666ADE">
        <w:t xml:space="preserve"> per cent in the low-</w:t>
      </w:r>
      <w:r>
        <w:t>concern patients and 10</w:t>
      </w:r>
      <w:r w:rsidR="00666ADE">
        <w:t xml:space="preserve"> per cent</w:t>
      </w:r>
      <w:r>
        <w:t xml:space="preserve"> in the intermediate</w:t>
      </w:r>
      <w:r w:rsidR="00666ADE">
        <w:t>- to high-</w:t>
      </w:r>
      <w:r>
        <w:t>concern patients.</w:t>
      </w:r>
    </w:p>
    <w:p w14:paraId="0B9ABEB7" w14:textId="32212CCD" w:rsidR="002064C3" w:rsidRDefault="002064C3" w:rsidP="002064C3">
      <w:r w:rsidRPr="00C34FDF">
        <w:t xml:space="preserve">Resource consumption was based on clinical guidelines and the treatment algorithms provided in the study </w:t>
      </w:r>
      <w:r w:rsidR="007F498C">
        <w:t>P</w:t>
      </w:r>
      <w:r>
        <w:t>rotocol</w:t>
      </w:r>
      <w:r w:rsidRPr="00C34FDF">
        <w:t>.</w:t>
      </w:r>
      <w:r>
        <w:t xml:space="preserve"> </w:t>
      </w:r>
      <w:r w:rsidRPr="00C34FDF">
        <w:t>Unit costs were determined based on MBS fees for medical procedures.</w:t>
      </w:r>
      <w:r>
        <w:t xml:space="preserve"> </w:t>
      </w:r>
      <w:r w:rsidRPr="001F6691">
        <w:t>All</w:t>
      </w:r>
      <w:r w:rsidRPr="000573FE">
        <w:t xml:space="preserve"> costs were reported in Australian dollars from the year 2014. In case costs were obtained in previous years, they were inflated using the Health CPI.</w:t>
      </w:r>
      <w:r>
        <w:t xml:space="preserve"> </w:t>
      </w:r>
      <w:r w:rsidRPr="000573FE">
        <w:fldChar w:fldCharType="begin"/>
      </w:r>
      <w:r w:rsidRPr="000573FE">
        <w:instrText xml:space="preserve"> REF _Ref456525096 \h </w:instrText>
      </w:r>
      <w:r>
        <w:instrText xml:space="preserve"> \* MERGEFORMAT </w:instrText>
      </w:r>
      <w:r w:rsidRPr="000573FE">
        <w:fldChar w:fldCharType="separate"/>
      </w:r>
      <w:r w:rsidR="0029649D" w:rsidRPr="00770BBC">
        <w:t xml:space="preserve">Table </w:t>
      </w:r>
      <w:r w:rsidR="0029649D">
        <w:rPr>
          <w:noProof/>
        </w:rPr>
        <w:t>59</w:t>
      </w:r>
      <w:r w:rsidRPr="000573FE">
        <w:fldChar w:fldCharType="end"/>
      </w:r>
      <w:r w:rsidRPr="000573FE">
        <w:t xml:space="preserve"> provides</w:t>
      </w:r>
      <w:r w:rsidRPr="007E04E9">
        <w:t xml:space="preserve"> an overview of all costs included in the economic evaluation.</w:t>
      </w:r>
    </w:p>
    <w:p w14:paraId="4A93298D" w14:textId="77777777" w:rsidR="002064C3" w:rsidRDefault="002064C3" w:rsidP="002064C3">
      <w:pPr>
        <w:pStyle w:val="Caption"/>
        <w:ind w:left="1134" w:hanging="1134"/>
      </w:pPr>
      <w:bookmarkStart w:id="128" w:name="_Toc457223140"/>
      <w:bookmarkStart w:id="129" w:name="_Toc459987895"/>
      <w:bookmarkStart w:id="130" w:name="_Toc460514510"/>
      <w:r w:rsidRPr="00770BBC">
        <w:lastRenderedPageBreak/>
        <w:t xml:space="preserve">Table </w:t>
      </w:r>
      <w:fldSimple w:instr=" SEQ Table \* ARABIC ">
        <w:r w:rsidR="0029649D">
          <w:rPr>
            <w:noProof/>
          </w:rPr>
          <w:t>10</w:t>
        </w:r>
      </w:fldSimple>
      <w:r w:rsidRPr="00770BBC">
        <w:tab/>
      </w:r>
      <w:r>
        <w:t>Costs in economic model</w:t>
      </w:r>
      <w:bookmarkEnd w:id="128"/>
      <w:bookmarkEnd w:id="129"/>
      <w:bookmarkEnd w:id="130"/>
    </w:p>
    <w:tbl>
      <w:tblPr>
        <w:tblStyle w:val="TableGrid"/>
        <w:tblW w:w="9112" w:type="dxa"/>
        <w:tblInd w:w="130" w:type="dxa"/>
        <w:tblCellMar>
          <w:left w:w="28" w:type="dxa"/>
          <w:right w:w="28" w:type="dxa"/>
        </w:tblCellMar>
        <w:tblLook w:val="04A0" w:firstRow="1" w:lastRow="0" w:firstColumn="1" w:lastColumn="0" w:noHBand="0" w:noVBand="1"/>
        <w:tblDescription w:val="&#10;Table 10 Costs in economic model&#10;"/>
      </w:tblPr>
      <w:tblGrid>
        <w:gridCol w:w="2508"/>
        <w:gridCol w:w="2770"/>
        <w:gridCol w:w="3834"/>
      </w:tblGrid>
      <w:tr w:rsidR="002064C3" w:rsidRPr="00FA1002" w14:paraId="23F26B1F" w14:textId="77777777" w:rsidTr="009007E2">
        <w:trPr>
          <w:trHeight w:val="397"/>
          <w:tblHeader/>
        </w:trPr>
        <w:tc>
          <w:tcPr>
            <w:tcW w:w="2896" w:type="pct"/>
            <w:gridSpan w:val="2"/>
            <w:tcBorders>
              <w:bottom w:val="single" w:sz="4" w:space="0" w:color="auto"/>
              <w:right w:val="single" w:sz="4" w:space="0" w:color="auto"/>
            </w:tcBorders>
          </w:tcPr>
          <w:p w14:paraId="0AADF379" w14:textId="77777777" w:rsidR="002064C3" w:rsidRPr="00FA1002" w:rsidRDefault="002064C3" w:rsidP="008840EC">
            <w:pPr>
              <w:pStyle w:val="Tableheading1"/>
              <w:keepNext/>
            </w:pPr>
            <w:r w:rsidRPr="00FA1002">
              <w:t>Cost description</w:t>
            </w:r>
          </w:p>
        </w:tc>
        <w:tc>
          <w:tcPr>
            <w:tcW w:w="2104" w:type="pct"/>
            <w:tcBorders>
              <w:left w:val="single" w:sz="4" w:space="0" w:color="auto"/>
              <w:bottom w:val="single" w:sz="4" w:space="0" w:color="auto"/>
              <w:right w:val="single" w:sz="4" w:space="0" w:color="auto"/>
            </w:tcBorders>
            <w:vAlign w:val="bottom"/>
          </w:tcPr>
          <w:p w14:paraId="4E6215FD" w14:textId="77777777" w:rsidR="002064C3" w:rsidRPr="00FA1002" w:rsidRDefault="002064C3" w:rsidP="008840EC">
            <w:pPr>
              <w:pStyle w:val="Tableheading1"/>
              <w:keepNext/>
            </w:pPr>
            <w:r w:rsidRPr="00FA1002">
              <w:t>Cost ($)</w:t>
            </w:r>
          </w:p>
        </w:tc>
      </w:tr>
      <w:tr w:rsidR="002064C3" w:rsidRPr="007F4891" w14:paraId="0B35D497" w14:textId="77777777" w:rsidTr="009007E2">
        <w:trPr>
          <w:trHeight w:val="397"/>
        </w:trPr>
        <w:tc>
          <w:tcPr>
            <w:tcW w:w="2896" w:type="pct"/>
            <w:gridSpan w:val="2"/>
            <w:tcBorders>
              <w:bottom w:val="single" w:sz="4" w:space="0" w:color="auto"/>
              <w:right w:val="nil"/>
            </w:tcBorders>
          </w:tcPr>
          <w:p w14:paraId="2604406E" w14:textId="77777777" w:rsidR="002064C3" w:rsidRPr="00676F3B" w:rsidRDefault="002064C3" w:rsidP="008840EC">
            <w:pPr>
              <w:pStyle w:val="Tableheading1"/>
              <w:keepNext/>
            </w:pPr>
            <w:r>
              <w:t>Intervention</w:t>
            </w:r>
            <w:r w:rsidRPr="00676F3B">
              <w:t xml:space="preserve"> costs</w:t>
            </w:r>
          </w:p>
        </w:tc>
        <w:tc>
          <w:tcPr>
            <w:tcW w:w="2104" w:type="pct"/>
            <w:tcBorders>
              <w:left w:val="nil"/>
              <w:bottom w:val="single" w:sz="4" w:space="0" w:color="auto"/>
              <w:right w:val="single" w:sz="4" w:space="0" w:color="auto"/>
            </w:tcBorders>
            <w:vAlign w:val="bottom"/>
          </w:tcPr>
          <w:p w14:paraId="0C289055" w14:textId="77777777" w:rsidR="002064C3" w:rsidRDefault="002064C3" w:rsidP="008840EC">
            <w:pPr>
              <w:pStyle w:val="Tableheading1"/>
              <w:keepNext/>
            </w:pPr>
          </w:p>
        </w:tc>
      </w:tr>
      <w:tr w:rsidR="002064C3" w:rsidRPr="007F4891" w14:paraId="55FEAC20" w14:textId="77777777" w:rsidTr="009007E2">
        <w:trPr>
          <w:trHeight w:val="397"/>
        </w:trPr>
        <w:tc>
          <w:tcPr>
            <w:tcW w:w="2896" w:type="pct"/>
            <w:gridSpan w:val="2"/>
            <w:tcBorders>
              <w:bottom w:val="single" w:sz="4" w:space="0" w:color="auto"/>
              <w:right w:val="single" w:sz="4" w:space="0" w:color="auto"/>
            </w:tcBorders>
          </w:tcPr>
          <w:p w14:paraId="2B2951D0" w14:textId="77777777" w:rsidR="002064C3" w:rsidRPr="00294212" w:rsidRDefault="002064C3" w:rsidP="008840EC">
            <w:pPr>
              <w:pStyle w:val="Tabletext1"/>
              <w:keepNext/>
            </w:pPr>
            <w:r>
              <w:t xml:space="preserve">Intervention: </w:t>
            </w:r>
            <w:proofErr w:type="spellStart"/>
            <w:r>
              <w:t>mpMRI</w:t>
            </w:r>
            <w:proofErr w:type="spellEnd"/>
          </w:p>
        </w:tc>
        <w:tc>
          <w:tcPr>
            <w:tcW w:w="2104" w:type="pct"/>
            <w:tcBorders>
              <w:left w:val="single" w:sz="4" w:space="0" w:color="auto"/>
              <w:bottom w:val="single" w:sz="4" w:space="0" w:color="auto"/>
              <w:right w:val="single" w:sz="4" w:space="0" w:color="auto"/>
            </w:tcBorders>
          </w:tcPr>
          <w:p w14:paraId="6B3471CD" w14:textId="77777777" w:rsidR="002064C3" w:rsidRDefault="002064C3" w:rsidP="008840EC">
            <w:pPr>
              <w:pStyle w:val="Tabletext1"/>
              <w:keepNext/>
            </w:pPr>
            <w:r w:rsidRPr="00505839">
              <w:t>$510.00</w:t>
            </w:r>
          </w:p>
        </w:tc>
      </w:tr>
      <w:tr w:rsidR="002064C3" w:rsidRPr="007F4891" w14:paraId="33866AD6" w14:textId="77777777" w:rsidTr="00E84775">
        <w:trPr>
          <w:trHeight w:val="397"/>
        </w:trPr>
        <w:tc>
          <w:tcPr>
            <w:tcW w:w="2896" w:type="pct"/>
            <w:gridSpan w:val="2"/>
            <w:tcBorders>
              <w:bottom w:val="single" w:sz="4" w:space="0" w:color="auto"/>
              <w:right w:val="single" w:sz="4" w:space="0" w:color="auto"/>
            </w:tcBorders>
            <w:shd w:val="clear" w:color="auto" w:fill="auto"/>
          </w:tcPr>
          <w:p w14:paraId="261E1B9F" w14:textId="1FD1F14A" w:rsidR="002064C3" w:rsidRPr="006E65D3" w:rsidRDefault="002064C3" w:rsidP="008840EC">
            <w:pPr>
              <w:pStyle w:val="Tabletext1"/>
              <w:keepNext/>
            </w:pPr>
            <w:r w:rsidRPr="006E65D3">
              <w:t>Comparator TRUSGB/T</w:t>
            </w:r>
            <w:r w:rsidR="00E84775">
              <w:t>P</w:t>
            </w:r>
            <w:r w:rsidRPr="006E65D3">
              <w:t>USGB (75/25)</w:t>
            </w:r>
          </w:p>
        </w:tc>
        <w:tc>
          <w:tcPr>
            <w:tcW w:w="2104" w:type="pct"/>
            <w:tcBorders>
              <w:left w:val="single" w:sz="4" w:space="0" w:color="auto"/>
              <w:bottom w:val="single" w:sz="4" w:space="0" w:color="auto"/>
              <w:right w:val="single" w:sz="4" w:space="0" w:color="auto"/>
            </w:tcBorders>
            <w:shd w:val="clear" w:color="auto" w:fill="auto"/>
          </w:tcPr>
          <w:p w14:paraId="6C166DFD" w14:textId="77777777" w:rsidR="002064C3" w:rsidRPr="00400C1C" w:rsidRDefault="002064C3" w:rsidP="008840EC">
            <w:pPr>
              <w:pStyle w:val="Tabletext1"/>
              <w:keepNext/>
            </w:pPr>
            <w:r w:rsidRPr="006E65D3">
              <w:t>$604.05</w:t>
            </w:r>
          </w:p>
        </w:tc>
      </w:tr>
      <w:tr w:rsidR="002064C3" w:rsidRPr="006D4722" w14:paraId="1CD45B5D" w14:textId="77777777" w:rsidTr="009007E2">
        <w:trPr>
          <w:trHeight w:val="397"/>
        </w:trPr>
        <w:tc>
          <w:tcPr>
            <w:tcW w:w="2896" w:type="pct"/>
            <w:gridSpan w:val="2"/>
            <w:tcBorders>
              <w:bottom w:val="single" w:sz="4" w:space="0" w:color="auto"/>
              <w:right w:val="nil"/>
            </w:tcBorders>
          </w:tcPr>
          <w:p w14:paraId="46BD6B2F" w14:textId="77777777" w:rsidR="002064C3" w:rsidRDefault="002064C3" w:rsidP="008840EC">
            <w:pPr>
              <w:pStyle w:val="Tableheading1"/>
              <w:keepNext/>
            </w:pPr>
            <w:r w:rsidRPr="00C523A2">
              <w:t xml:space="preserve">Costs of </w:t>
            </w:r>
            <w:proofErr w:type="spellStart"/>
            <w:r w:rsidRPr="00C523A2">
              <w:t>PCa</w:t>
            </w:r>
            <w:proofErr w:type="spellEnd"/>
            <w:r w:rsidRPr="00C523A2">
              <w:t xml:space="preserve"> treatment</w:t>
            </w:r>
          </w:p>
        </w:tc>
        <w:tc>
          <w:tcPr>
            <w:tcW w:w="2104" w:type="pct"/>
            <w:tcBorders>
              <w:left w:val="nil"/>
              <w:bottom w:val="single" w:sz="4" w:space="0" w:color="auto"/>
              <w:right w:val="single" w:sz="4" w:space="0" w:color="auto"/>
            </w:tcBorders>
            <w:vAlign w:val="bottom"/>
          </w:tcPr>
          <w:p w14:paraId="6BC5C2F0" w14:textId="77777777" w:rsidR="002064C3" w:rsidRDefault="002064C3" w:rsidP="008840EC">
            <w:pPr>
              <w:pStyle w:val="Tableheading1"/>
              <w:keepNext/>
            </w:pPr>
          </w:p>
        </w:tc>
      </w:tr>
      <w:tr w:rsidR="002064C3" w:rsidRPr="007F4891" w14:paraId="4879170E" w14:textId="77777777" w:rsidTr="009007E2">
        <w:trPr>
          <w:trHeight w:val="397"/>
        </w:trPr>
        <w:tc>
          <w:tcPr>
            <w:tcW w:w="1376" w:type="pct"/>
            <w:vMerge w:val="restart"/>
          </w:tcPr>
          <w:p w14:paraId="19C1C119" w14:textId="77777777" w:rsidR="002064C3" w:rsidRPr="007F4891" w:rsidRDefault="002064C3" w:rsidP="008840EC">
            <w:pPr>
              <w:pStyle w:val="Tabletext1"/>
              <w:keepNext/>
              <w:rPr>
                <w:rFonts w:cs="Arial"/>
              </w:rPr>
            </w:pPr>
            <w:r>
              <w:t>Active surveillance</w:t>
            </w:r>
          </w:p>
        </w:tc>
        <w:tc>
          <w:tcPr>
            <w:tcW w:w="1520" w:type="pct"/>
            <w:tcBorders>
              <w:bottom w:val="nil"/>
            </w:tcBorders>
          </w:tcPr>
          <w:p w14:paraId="3919AC68" w14:textId="4CECB453" w:rsidR="002064C3" w:rsidRDefault="00E87958" w:rsidP="008840EC">
            <w:pPr>
              <w:pStyle w:val="Tabletext1"/>
              <w:keepNext/>
            </w:pPr>
            <w:r>
              <w:t>Year 1</w:t>
            </w:r>
            <w:r w:rsidR="002064C3">
              <w:t xml:space="preserve"> </w:t>
            </w:r>
          </w:p>
        </w:tc>
        <w:tc>
          <w:tcPr>
            <w:tcW w:w="2104" w:type="pct"/>
            <w:tcBorders>
              <w:bottom w:val="nil"/>
            </w:tcBorders>
          </w:tcPr>
          <w:p w14:paraId="28F7E0D5" w14:textId="77777777" w:rsidR="002064C3" w:rsidRPr="007F4891" w:rsidRDefault="002064C3" w:rsidP="008840EC">
            <w:pPr>
              <w:pStyle w:val="Tabletext1"/>
              <w:keepNext/>
              <w:rPr>
                <w:rFonts w:cs="Arial"/>
              </w:rPr>
            </w:pPr>
            <w:r>
              <w:rPr>
                <w:rFonts w:cs="Arial"/>
              </w:rPr>
              <w:t>$5,367.47</w:t>
            </w:r>
          </w:p>
        </w:tc>
      </w:tr>
      <w:tr w:rsidR="002064C3" w:rsidRPr="007F4891" w14:paraId="277638AE" w14:textId="77777777" w:rsidTr="009007E2">
        <w:trPr>
          <w:trHeight w:val="397"/>
        </w:trPr>
        <w:tc>
          <w:tcPr>
            <w:tcW w:w="1376" w:type="pct"/>
            <w:vMerge/>
            <w:tcBorders>
              <w:bottom w:val="nil"/>
            </w:tcBorders>
          </w:tcPr>
          <w:p w14:paraId="68765F75" w14:textId="77777777" w:rsidR="002064C3" w:rsidRDefault="002064C3" w:rsidP="008840EC">
            <w:pPr>
              <w:pStyle w:val="Tabletext1"/>
              <w:keepNext/>
            </w:pPr>
          </w:p>
        </w:tc>
        <w:tc>
          <w:tcPr>
            <w:tcW w:w="1520" w:type="pct"/>
            <w:tcBorders>
              <w:top w:val="nil"/>
              <w:bottom w:val="nil"/>
            </w:tcBorders>
          </w:tcPr>
          <w:p w14:paraId="2038F082" w14:textId="77777777" w:rsidR="002064C3" w:rsidRDefault="002064C3" w:rsidP="008840EC">
            <w:pPr>
              <w:pStyle w:val="Tabletext1"/>
              <w:keepNext/>
            </w:pPr>
            <w:r>
              <w:t>After year 1</w:t>
            </w:r>
          </w:p>
        </w:tc>
        <w:tc>
          <w:tcPr>
            <w:tcW w:w="2104" w:type="pct"/>
            <w:tcBorders>
              <w:top w:val="nil"/>
              <w:bottom w:val="nil"/>
            </w:tcBorders>
          </w:tcPr>
          <w:p w14:paraId="436F7F5F" w14:textId="77777777" w:rsidR="002064C3" w:rsidRPr="002515C4" w:rsidRDefault="002064C3" w:rsidP="008840EC">
            <w:pPr>
              <w:pStyle w:val="Tabletext1"/>
              <w:keepNext/>
              <w:rPr>
                <w:rFonts w:cs="Arial"/>
              </w:rPr>
            </w:pPr>
            <w:r>
              <w:rPr>
                <w:rFonts w:cs="Arial"/>
              </w:rPr>
              <w:t>$981.54</w:t>
            </w:r>
          </w:p>
        </w:tc>
      </w:tr>
      <w:tr w:rsidR="002064C3" w:rsidRPr="007F4891" w14:paraId="7584C4DA" w14:textId="77777777" w:rsidTr="009007E2">
        <w:trPr>
          <w:trHeight w:val="397"/>
        </w:trPr>
        <w:tc>
          <w:tcPr>
            <w:tcW w:w="1376" w:type="pct"/>
            <w:vMerge w:val="restart"/>
            <w:tcBorders>
              <w:top w:val="single" w:sz="4" w:space="0" w:color="auto"/>
            </w:tcBorders>
          </w:tcPr>
          <w:p w14:paraId="7D692487" w14:textId="77777777" w:rsidR="002064C3" w:rsidRDefault="002064C3" w:rsidP="008840EC">
            <w:pPr>
              <w:pStyle w:val="Tabletext1"/>
              <w:keepNext/>
            </w:pPr>
            <w:r>
              <w:t xml:space="preserve">Treatment of intermediate to high risk </w:t>
            </w:r>
            <w:proofErr w:type="spellStart"/>
            <w:r>
              <w:t>PCa</w:t>
            </w:r>
            <w:proofErr w:type="spellEnd"/>
          </w:p>
        </w:tc>
        <w:tc>
          <w:tcPr>
            <w:tcW w:w="1520" w:type="pct"/>
            <w:tcBorders>
              <w:top w:val="single" w:sz="4" w:space="0" w:color="auto"/>
              <w:bottom w:val="nil"/>
            </w:tcBorders>
          </w:tcPr>
          <w:p w14:paraId="45AB4D86" w14:textId="4E34E5CD" w:rsidR="002064C3" w:rsidRDefault="00E87958" w:rsidP="008840EC">
            <w:pPr>
              <w:pStyle w:val="Tabletext1"/>
              <w:keepNext/>
            </w:pPr>
            <w:r>
              <w:t>Year 1</w:t>
            </w:r>
          </w:p>
        </w:tc>
        <w:tc>
          <w:tcPr>
            <w:tcW w:w="2104" w:type="pct"/>
            <w:tcBorders>
              <w:top w:val="single" w:sz="4" w:space="0" w:color="auto"/>
              <w:bottom w:val="nil"/>
            </w:tcBorders>
          </w:tcPr>
          <w:p w14:paraId="57C9D888" w14:textId="77777777" w:rsidR="002064C3" w:rsidRDefault="002064C3" w:rsidP="008840EC">
            <w:pPr>
              <w:pStyle w:val="Tabletext1"/>
              <w:keepNext/>
              <w:rPr>
                <w:rFonts w:cs="Arial"/>
              </w:rPr>
            </w:pPr>
            <w:r>
              <w:rPr>
                <w:rFonts w:cs="Arial"/>
              </w:rPr>
              <w:t>$11,640.89</w:t>
            </w:r>
          </w:p>
        </w:tc>
      </w:tr>
      <w:tr w:rsidR="002064C3" w:rsidRPr="007F4891" w14:paraId="69152733" w14:textId="77777777" w:rsidTr="009007E2">
        <w:trPr>
          <w:trHeight w:val="397"/>
        </w:trPr>
        <w:tc>
          <w:tcPr>
            <w:tcW w:w="1376" w:type="pct"/>
            <w:vMerge/>
            <w:tcBorders>
              <w:bottom w:val="nil"/>
            </w:tcBorders>
          </w:tcPr>
          <w:p w14:paraId="0180CB2C" w14:textId="77777777" w:rsidR="002064C3" w:rsidRDefault="002064C3" w:rsidP="008840EC">
            <w:pPr>
              <w:pStyle w:val="Tabletext1"/>
              <w:keepNext/>
            </w:pPr>
          </w:p>
        </w:tc>
        <w:tc>
          <w:tcPr>
            <w:tcW w:w="1520" w:type="pct"/>
            <w:tcBorders>
              <w:top w:val="nil"/>
              <w:bottom w:val="nil"/>
            </w:tcBorders>
          </w:tcPr>
          <w:p w14:paraId="44FF00B8" w14:textId="77777777" w:rsidR="002064C3" w:rsidRDefault="002064C3" w:rsidP="008840EC">
            <w:pPr>
              <w:pStyle w:val="Tabletext1"/>
              <w:keepNext/>
            </w:pPr>
            <w:r>
              <w:t>After year 1</w:t>
            </w:r>
          </w:p>
        </w:tc>
        <w:tc>
          <w:tcPr>
            <w:tcW w:w="2104" w:type="pct"/>
            <w:tcBorders>
              <w:top w:val="nil"/>
              <w:bottom w:val="nil"/>
            </w:tcBorders>
          </w:tcPr>
          <w:p w14:paraId="05CB735B" w14:textId="77777777" w:rsidR="002064C3" w:rsidRDefault="002064C3" w:rsidP="008840EC">
            <w:pPr>
              <w:pStyle w:val="Tabletext1"/>
              <w:keepNext/>
              <w:rPr>
                <w:rFonts w:cs="Arial"/>
              </w:rPr>
            </w:pPr>
            <w:r>
              <w:rPr>
                <w:rFonts w:cs="Arial"/>
              </w:rPr>
              <w:t>$2,313.13</w:t>
            </w:r>
          </w:p>
        </w:tc>
      </w:tr>
      <w:tr w:rsidR="002064C3" w:rsidRPr="007F4891" w14:paraId="0E201126" w14:textId="77777777" w:rsidTr="009007E2">
        <w:trPr>
          <w:trHeight w:val="397"/>
        </w:trPr>
        <w:tc>
          <w:tcPr>
            <w:tcW w:w="1376" w:type="pct"/>
            <w:vMerge w:val="restart"/>
            <w:tcBorders>
              <w:top w:val="single" w:sz="4" w:space="0" w:color="auto"/>
            </w:tcBorders>
          </w:tcPr>
          <w:p w14:paraId="6B8DB1C2" w14:textId="77777777" w:rsidR="002064C3" w:rsidRDefault="002064C3" w:rsidP="008840EC">
            <w:pPr>
              <w:pStyle w:val="Tabletext1"/>
              <w:keepNext/>
            </w:pPr>
            <w:r>
              <w:t xml:space="preserve">Treatment of advanced </w:t>
            </w:r>
            <w:proofErr w:type="spellStart"/>
            <w:r>
              <w:t>PCa</w:t>
            </w:r>
            <w:proofErr w:type="spellEnd"/>
          </w:p>
        </w:tc>
        <w:tc>
          <w:tcPr>
            <w:tcW w:w="1520" w:type="pct"/>
            <w:tcBorders>
              <w:top w:val="single" w:sz="4" w:space="0" w:color="auto"/>
              <w:bottom w:val="nil"/>
            </w:tcBorders>
          </w:tcPr>
          <w:p w14:paraId="35E93E56" w14:textId="40F26894" w:rsidR="002064C3" w:rsidRDefault="00E87958" w:rsidP="008840EC">
            <w:pPr>
              <w:pStyle w:val="Tabletext1"/>
              <w:keepNext/>
            </w:pPr>
            <w:r>
              <w:t>Year 1</w:t>
            </w:r>
          </w:p>
        </w:tc>
        <w:tc>
          <w:tcPr>
            <w:tcW w:w="2104" w:type="pct"/>
            <w:tcBorders>
              <w:top w:val="single" w:sz="4" w:space="0" w:color="auto"/>
              <w:bottom w:val="nil"/>
            </w:tcBorders>
          </w:tcPr>
          <w:p w14:paraId="5009416F" w14:textId="77777777" w:rsidR="002064C3" w:rsidRDefault="002064C3" w:rsidP="008840EC">
            <w:pPr>
              <w:pStyle w:val="Tabletext1"/>
              <w:keepNext/>
              <w:rPr>
                <w:rFonts w:cs="Arial"/>
              </w:rPr>
            </w:pPr>
            <w:r>
              <w:rPr>
                <w:rFonts w:cs="Arial"/>
              </w:rPr>
              <w:t>$23,709.62</w:t>
            </w:r>
          </w:p>
        </w:tc>
      </w:tr>
      <w:tr w:rsidR="002064C3" w:rsidRPr="007F4891" w14:paraId="77AEBB80" w14:textId="77777777" w:rsidTr="009007E2">
        <w:trPr>
          <w:trHeight w:val="397"/>
        </w:trPr>
        <w:tc>
          <w:tcPr>
            <w:tcW w:w="1376" w:type="pct"/>
            <w:vMerge/>
            <w:tcBorders>
              <w:bottom w:val="nil"/>
            </w:tcBorders>
          </w:tcPr>
          <w:p w14:paraId="7F3E9FC4" w14:textId="77777777" w:rsidR="002064C3" w:rsidRDefault="002064C3" w:rsidP="008840EC">
            <w:pPr>
              <w:pStyle w:val="Tabletext1"/>
              <w:keepNext/>
            </w:pPr>
          </w:p>
        </w:tc>
        <w:tc>
          <w:tcPr>
            <w:tcW w:w="1520" w:type="pct"/>
            <w:tcBorders>
              <w:top w:val="nil"/>
              <w:bottom w:val="nil"/>
            </w:tcBorders>
          </w:tcPr>
          <w:p w14:paraId="20840E8D" w14:textId="77777777" w:rsidR="002064C3" w:rsidRDefault="002064C3" w:rsidP="008840EC">
            <w:pPr>
              <w:pStyle w:val="Tabletext1"/>
              <w:keepNext/>
            </w:pPr>
            <w:r>
              <w:t>After year 1</w:t>
            </w:r>
          </w:p>
        </w:tc>
        <w:tc>
          <w:tcPr>
            <w:tcW w:w="2104" w:type="pct"/>
            <w:tcBorders>
              <w:top w:val="nil"/>
              <w:bottom w:val="nil"/>
            </w:tcBorders>
          </w:tcPr>
          <w:p w14:paraId="052F03BA" w14:textId="77777777" w:rsidR="002064C3" w:rsidRDefault="002064C3" w:rsidP="008840EC">
            <w:pPr>
              <w:pStyle w:val="Tabletext1"/>
              <w:keepNext/>
              <w:rPr>
                <w:rFonts w:cs="Arial"/>
              </w:rPr>
            </w:pPr>
            <w:r>
              <w:rPr>
                <w:rFonts w:cs="Arial"/>
              </w:rPr>
              <w:t>$6,428.65</w:t>
            </w:r>
          </w:p>
        </w:tc>
      </w:tr>
      <w:tr w:rsidR="002064C3" w:rsidRPr="007F4891" w14:paraId="59CBCCF3" w14:textId="77777777" w:rsidTr="009007E2">
        <w:trPr>
          <w:trHeight w:val="397"/>
        </w:trPr>
        <w:tc>
          <w:tcPr>
            <w:tcW w:w="2896" w:type="pct"/>
            <w:gridSpan w:val="2"/>
            <w:tcBorders>
              <w:top w:val="single" w:sz="4" w:space="0" w:color="auto"/>
              <w:bottom w:val="single" w:sz="4" w:space="0" w:color="auto"/>
            </w:tcBorders>
          </w:tcPr>
          <w:p w14:paraId="055C21E7" w14:textId="77777777" w:rsidR="002064C3" w:rsidRPr="006E0E39" w:rsidRDefault="002064C3" w:rsidP="008840EC">
            <w:pPr>
              <w:pStyle w:val="Tabletext1"/>
              <w:keepNext/>
            </w:pPr>
            <w:r>
              <w:t>Delayed diagnosis</w:t>
            </w:r>
          </w:p>
        </w:tc>
        <w:tc>
          <w:tcPr>
            <w:tcW w:w="2104" w:type="pct"/>
            <w:tcBorders>
              <w:top w:val="single" w:sz="4" w:space="0" w:color="auto"/>
              <w:bottom w:val="single" w:sz="4" w:space="0" w:color="auto"/>
              <w:right w:val="single" w:sz="4" w:space="0" w:color="auto"/>
            </w:tcBorders>
          </w:tcPr>
          <w:p w14:paraId="3A8D4CE5" w14:textId="77777777" w:rsidR="002064C3" w:rsidRDefault="002064C3" w:rsidP="008840EC">
            <w:pPr>
              <w:pStyle w:val="Tabletext1"/>
              <w:keepNext/>
              <w:rPr>
                <w:rFonts w:cs="Arial"/>
              </w:rPr>
            </w:pPr>
            <w:r>
              <w:rPr>
                <w:rFonts w:cs="Arial"/>
              </w:rPr>
              <w:t>$696.01</w:t>
            </w:r>
          </w:p>
        </w:tc>
      </w:tr>
      <w:tr w:rsidR="002064C3" w:rsidRPr="007F4891" w14:paraId="3ACB1EC7" w14:textId="77777777" w:rsidTr="009007E2">
        <w:trPr>
          <w:trHeight w:val="397"/>
        </w:trPr>
        <w:tc>
          <w:tcPr>
            <w:tcW w:w="2896" w:type="pct"/>
            <w:gridSpan w:val="2"/>
            <w:tcBorders>
              <w:top w:val="single" w:sz="4" w:space="0" w:color="auto"/>
              <w:bottom w:val="single" w:sz="4" w:space="0" w:color="auto"/>
            </w:tcBorders>
          </w:tcPr>
          <w:p w14:paraId="7A82655C" w14:textId="77777777" w:rsidR="002064C3" w:rsidRDefault="002064C3" w:rsidP="008840EC">
            <w:pPr>
              <w:pStyle w:val="Tabletext1"/>
              <w:keepNext/>
            </w:pPr>
            <w:r>
              <w:t>Cost of false positive</w:t>
            </w:r>
          </w:p>
        </w:tc>
        <w:tc>
          <w:tcPr>
            <w:tcW w:w="2104" w:type="pct"/>
            <w:tcBorders>
              <w:top w:val="single" w:sz="4" w:space="0" w:color="auto"/>
              <w:bottom w:val="single" w:sz="4" w:space="0" w:color="auto"/>
              <w:right w:val="single" w:sz="4" w:space="0" w:color="auto"/>
            </w:tcBorders>
          </w:tcPr>
          <w:p w14:paraId="77776784" w14:textId="77777777" w:rsidR="002064C3" w:rsidRDefault="002064C3" w:rsidP="008840EC">
            <w:pPr>
              <w:pStyle w:val="Tabletext1"/>
              <w:keepNext/>
              <w:rPr>
                <w:rFonts w:cs="Arial"/>
              </w:rPr>
            </w:pPr>
            <w:r>
              <w:rPr>
                <w:rFonts w:cs="Arial"/>
              </w:rPr>
              <w:t>AS</w:t>
            </w:r>
          </w:p>
        </w:tc>
      </w:tr>
      <w:tr w:rsidR="002064C3" w:rsidRPr="007F4891" w14:paraId="3345AE1F" w14:textId="77777777" w:rsidTr="009007E2">
        <w:trPr>
          <w:trHeight w:val="397"/>
        </w:trPr>
        <w:tc>
          <w:tcPr>
            <w:tcW w:w="2896" w:type="pct"/>
            <w:gridSpan w:val="2"/>
            <w:tcBorders>
              <w:top w:val="single" w:sz="4" w:space="0" w:color="auto"/>
              <w:bottom w:val="single" w:sz="4" w:space="0" w:color="auto"/>
            </w:tcBorders>
          </w:tcPr>
          <w:p w14:paraId="1D687A75" w14:textId="77777777" w:rsidR="002064C3" w:rsidRDefault="002064C3" w:rsidP="008840EC">
            <w:pPr>
              <w:pStyle w:val="Tabletext1"/>
              <w:keepNext/>
            </w:pPr>
            <w:r>
              <w:t xml:space="preserve">AE due to </w:t>
            </w:r>
            <w:proofErr w:type="spellStart"/>
            <w:r>
              <w:t>mpMRI</w:t>
            </w:r>
            <w:proofErr w:type="spellEnd"/>
          </w:p>
        </w:tc>
        <w:tc>
          <w:tcPr>
            <w:tcW w:w="2104" w:type="pct"/>
            <w:tcBorders>
              <w:top w:val="single" w:sz="4" w:space="0" w:color="auto"/>
              <w:bottom w:val="single" w:sz="4" w:space="0" w:color="auto"/>
              <w:right w:val="single" w:sz="4" w:space="0" w:color="auto"/>
            </w:tcBorders>
          </w:tcPr>
          <w:p w14:paraId="4C2E9CE4" w14:textId="77777777" w:rsidR="002064C3" w:rsidRDefault="002064C3" w:rsidP="008840EC">
            <w:pPr>
              <w:pStyle w:val="Tabletext1"/>
              <w:keepNext/>
              <w:rPr>
                <w:rFonts w:cs="Arial"/>
              </w:rPr>
            </w:pPr>
            <w:r>
              <w:rPr>
                <w:rFonts w:cs="Arial"/>
              </w:rPr>
              <w:t>$0</w:t>
            </w:r>
          </w:p>
        </w:tc>
      </w:tr>
      <w:tr w:rsidR="002064C3" w:rsidRPr="007F4891" w14:paraId="795DA00B" w14:textId="77777777" w:rsidTr="009007E2">
        <w:trPr>
          <w:trHeight w:val="397"/>
        </w:trPr>
        <w:tc>
          <w:tcPr>
            <w:tcW w:w="2896" w:type="pct"/>
            <w:gridSpan w:val="2"/>
            <w:tcBorders>
              <w:top w:val="single" w:sz="4" w:space="0" w:color="auto"/>
              <w:bottom w:val="single" w:sz="4" w:space="0" w:color="auto"/>
            </w:tcBorders>
          </w:tcPr>
          <w:p w14:paraId="1335A631" w14:textId="77777777" w:rsidR="002064C3" w:rsidRDefault="002064C3" w:rsidP="008840EC">
            <w:pPr>
              <w:pStyle w:val="Tabletext1"/>
              <w:keepNext/>
            </w:pPr>
            <w:r>
              <w:t>AE due to TRUSGB</w:t>
            </w:r>
          </w:p>
        </w:tc>
        <w:tc>
          <w:tcPr>
            <w:tcW w:w="2104" w:type="pct"/>
            <w:tcBorders>
              <w:top w:val="single" w:sz="4" w:space="0" w:color="auto"/>
              <w:bottom w:val="single" w:sz="4" w:space="0" w:color="auto"/>
            </w:tcBorders>
          </w:tcPr>
          <w:p w14:paraId="0C3571DB" w14:textId="77777777" w:rsidR="002064C3" w:rsidRDefault="002064C3" w:rsidP="008840EC">
            <w:pPr>
              <w:pStyle w:val="Tabletext1"/>
              <w:keepNext/>
              <w:rPr>
                <w:rFonts w:cs="Arial"/>
              </w:rPr>
            </w:pPr>
            <w:r>
              <w:rPr>
                <w:rFonts w:cs="Arial"/>
              </w:rPr>
              <w:t>$54.32</w:t>
            </w:r>
          </w:p>
        </w:tc>
      </w:tr>
      <w:tr w:rsidR="002064C3" w:rsidRPr="007F4891" w14:paraId="01449391" w14:textId="77777777" w:rsidTr="009007E2">
        <w:trPr>
          <w:trHeight w:val="397"/>
        </w:trPr>
        <w:tc>
          <w:tcPr>
            <w:tcW w:w="2896" w:type="pct"/>
            <w:gridSpan w:val="2"/>
            <w:tcBorders>
              <w:top w:val="single" w:sz="4" w:space="0" w:color="auto"/>
              <w:bottom w:val="single" w:sz="4" w:space="0" w:color="auto"/>
            </w:tcBorders>
          </w:tcPr>
          <w:p w14:paraId="17D1BCC3" w14:textId="77777777" w:rsidR="002064C3" w:rsidRDefault="002064C3" w:rsidP="008840EC">
            <w:pPr>
              <w:pStyle w:val="Tabletext1"/>
              <w:keepNext/>
            </w:pPr>
            <w:r>
              <w:t>PSA test</w:t>
            </w:r>
          </w:p>
        </w:tc>
        <w:tc>
          <w:tcPr>
            <w:tcW w:w="2104" w:type="pct"/>
            <w:tcBorders>
              <w:top w:val="single" w:sz="4" w:space="0" w:color="auto"/>
              <w:bottom w:val="single" w:sz="4" w:space="0" w:color="auto"/>
            </w:tcBorders>
          </w:tcPr>
          <w:p w14:paraId="64433491" w14:textId="77777777" w:rsidR="002064C3" w:rsidRDefault="002064C3" w:rsidP="008840EC">
            <w:pPr>
              <w:pStyle w:val="Tabletext1"/>
              <w:keepNext/>
              <w:rPr>
                <w:rFonts w:cs="Arial"/>
              </w:rPr>
            </w:pPr>
            <w:r>
              <w:rPr>
                <w:rFonts w:cs="Arial"/>
              </w:rPr>
              <w:t>$31.75</w:t>
            </w:r>
          </w:p>
        </w:tc>
      </w:tr>
    </w:tbl>
    <w:p w14:paraId="3EDDE2F0" w14:textId="2EA2DD18" w:rsidR="002064C3" w:rsidRDefault="002064C3" w:rsidP="00666ADE">
      <w:pPr>
        <w:pStyle w:val="TableNotes"/>
      </w:pPr>
      <w:r w:rsidRPr="007E7D2E">
        <w:t>AE</w:t>
      </w:r>
      <w:r w:rsidR="00666ADE">
        <w:t xml:space="preserve"> =</w:t>
      </w:r>
      <w:r w:rsidRPr="007E7D2E">
        <w:t xml:space="preserve"> adverse event</w:t>
      </w:r>
      <w:r w:rsidR="006161CC">
        <w:t>,</w:t>
      </w:r>
      <w:r w:rsidRPr="007E7D2E">
        <w:t xml:space="preserve"> </w:t>
      </w:r>
      <w:r w:rsidR="004C1057">
        <w:t xml:space="preserve">AS = active surveillance, </w:t>
      </w:r>
      <w:proofErr w:type="spellStart"/>
      <w:r w:rsidRPr="007E7D2E">
        <w:t>mpMRI</w:t>
      </w:r>
      <w:proofErr w:type="spellEnd"/>
      <w:r w:rsidR="00666ADE">
        <w:t xml:space="preserve"> =</w:t>
      </w:r>
      <w:r w:rsidRPr="007E7D2E">
        <w:t xml:space="preserve"> </w:t>
      </w:r>
      <w:proofErr w:type="spellStart"/>
      <w:r w:rsidRPr="007E7D2E">
        <w:t>multiparametric</w:t>
      </w:r>
      <w:proofErr w:type="spellEnd"/>
      <w:r w:rsidRPr="007E7D2E">
        <w:t xml:space="preserve"> MRI; </w:t>
      </w:r>
      <w:proofErr w:type="spellStart"/>
      <w:r w:rsidRPr="007E7D2E">
        <w:t>PCa</w:t>
      </w:r>
      <w:proofErr w:type="spellEnd"/>
      <w:r w:rsidRPr="007E7D2E">
        <w:t>, prostate cance</w:t>
      </w:r>
      <w:r w:rsidR="006E65D3">
        <w:t>r</w:t>
      </w:r>
      <w:r w:rsidRPr="007E7D2E">
        <w:t>;</w:t>
      </w:r>
      <w:r>
        <w:t xml:space="preserve"> TPUS</w:t>
      </w:r>
      <w:r w:rsidRPr="007E7D2E">
        <w:t>GB, trans</w:t>
      </w:r>
      <w:r w:rsidR="00666ADE">
        <w:t>-</w:t>
      </w:r>
      <w:r w:rsidRPr="007E7D2E">
        <w:t>perineal</w:t>
      </w:r>
      <w:r>
        <w:t xml:space="preserve"> ultrasound guided biopsy</w:t>
      </w:r>
      <w:r w:rsidR="006161CC">
        <w:t>,</w:t>
      </w:r>
      <w:r>
        <w:t xml:space="preserve"> TRUS</w:t>
      </w:r>
      <w:r w:rsidRPr="007E7D2E">
        <w:t>GB, trans</w:t>
      </w:r>
      <w:r w:rsidR="00666ADE">
        <w:t>-</w:t>
      </w:r>
      <w:r w:rsidRPr="007E7D2E">
        <w:t>rectal ultrasound guided biopsy.</w:t>
      </w:r>
      <w:r>
        <w:t xml:space="preserve"> </w:t>
      </w:r>
    </w:p>
    <w:p w14:paraId="6157F30B" w14:textId="77777777" w:rsidR="002064C3" w:rsidRDefault="002064C3" w:rsidP="00666ADE">
      <w:pPr>
        <w:pStyle w:val="TableNotes"/>
      </w:pPr>
      <w:r>
        <w:t xml:space="preserve">Source: Section D.4 </w:t>
      </w:r>
      <w:r w:rsidRPr="00883E14">
        <w:fldChar w:fldCharType="begin"/>
      </w:r>
      <w:r>
        <w:instrText xml:space="preserve"> REF _Ref456525096 \h  \* MERGEFORMAT </w:instrText>
      </w:r>
      <w:r w:rsidRPr="00883E14">
        <w:fldChar w:fldCharType="separate"/>
      </w:r>
      <w:r w:rsidR="0029649D" w:rsidRPr="00770BBC">
        <w:t xml:space="preserve">Table </w:t>
      </w:r>
      <w:r w:rsidR="0029649D">
        <w:t>59</w:t>
      </w:r>
      <w:r w:rsidRPr="00883E14">
        <w:fldChar w:fldCharType="end"/>
      </w:r>
    </w:p>
    <w:p w14:paraId="42BF4EE2" w14:textId="2550DCAC" w:rsidR="002064C3" w:rsidRPr="00183E4D" w:rsidRDefault="002064C3" w:rsidP="002064C3">
      <w:r>
        <w:t xml:space="preserve">The </w:t>
      </w:r>
      <w:proofErr w:type="spellStart"/>
      <w:r>
        <w:t>mpMRI</w:t>
      </w:r>
      <w:proofErr w:type="spellEnd"/>
      <w:r>
        <w:t xml:space="preserve"> can either be introduced in Population 1, or in Population 2, or in both. For each of these options, the table below provides t</w:t>
      </w:r>
      <w:r w:rsidRPr="00183E4D">
        <w:t>he overall costs</w:t>
      </w:r>
      <w:r>
        <w:t>,</w:t>
      </w:r>
      <w:r w:rsidRPr="00183E4D">
        <w:t xml:space="preserve"> outcomes, incremental cost</w:t>
      </w:r>
      <w:r>
        <w:t>s and incremental outcomes</w:t>
      </w:r>
      <w:r w:rsidRPr="00183E4D">
        <w:t xml:space="preserve"> as calculated for the </w:t>
      </w:r>
      <w:r>
        <w:t>intervention (</w:t>
      </w:r>
      <w:proofErr w:type="spellStart"/>
      <w:r>
        <w:t>mpMRI</w:t>
      </w:r>
      <w:proofErr w:type="spellEnd"/>
      <w:r>
        <w:t>)</w:t>
      </w:r>
      <w:r w:rsidRPr="00183E4D">
        <w:t xml:space="preserve"> and comparator</w:t>
      </w:r>
      <w:r>
        <w:t xml:space="preserve"> (prostate biopsy)</w:t>
      </w:r>
      <w:r w:rsidRPr="00183E4D">
        <w:t xml:space="preserve"> in </w:t>
      </w:r>
      <w:r>
        <w:t>the</w:t>
      </w:r>
      <w:r w:rsidRPr="00183E4D">
        <w:t xml:space="preserve"> model, with the </w:t>
      </w:r>
      <w:r w:rsidR="002955B5">
        <w:t>base-case</w:t>
      </w:r>
      <w:r w:rsidRPr="00183E4D">
        <w:t xml:space="preserve"> assumptions.</w:t>
      </w:r>
      <w:r>
        <w:t xml:space="preserve"> The table also provides the mean number of biopsies per patient in the model, for each of the strategies.</w:t>
      </w:r>
    </w:p>
    <w:p w14:paraId="404219B4" w14:textId="77777777" w:rsidR="002064C3" w:rsidRDefault="002064C3" w:rsidP="002064C3">
      <w:pPr>
        <w:pStyle w:val="Caption"/>
        <w:ind w:left="1134" w:hanging="1134"/>
      </w:pPr>
      <w:bookmarkStart w:id="131" w:name="_Toc459987896"/>
      <w:bookmarkStart w:id="132" w:name="_Toc460514511"/>
      <w:r w:rsidRPr="00015DDB">
        <w:lastRenderedPageBreak/>
        <w:t xml:space="preserve">Table </w:t>
      </w:r>
      <w:fldSimple w:instr=" SEQ Table \* ARABIC ">
        <w:r w:rsidR="0029649D">
          <w:rPr>
            <w:noProof/>
          </w:rPr>
          <w:t>11</w:t>
        </w:r>
      </w:fldSimple>
      <w:r w:rsidRPr="00015DDB">
        <w:t xml:space="preserve"> </w:t>
      </w:r>
      <w:r w:rsidRPr="00015DDB">
        <w:tab/>
        <w:t>Results of the economic evaluation</w:t>
      </w:r>
      <w:bookmarkEnd w:id="131"/>
      <w:bookmarkEnd w:id="132"/>
      <w:r w:rsidRPr="00015DDB">
        <w:t xml:space="preserve"> </w:t>
      </w:r>
    </w:p>
    <w:tbl>
      <w:tblPr>
        <w:tblStyle w:val="TableGrid2"/>
        <w:tblW w:w="9112" w:type="dxa"/>
        <w:tblInd w:w="130" w:type="dxa"/>
        <w:tblLayout w:type="fixed"/>
        <w:tblCellMar>
          <w:left w:w="28" w:type="dxa"/>
          <w:right w:w="28" w:type="dxa"/>
        </w:tblCellMar>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1243"/>
        <w:gridCol w:w="28"/>
        <w:gridCol w:w="2830"/>
        <w:gridCol w:w="990"/>
        <w:gridCol w:w="1273"/>
        <w:gridCol w:w="1131"/>
        <w:gridCol w:w="1617"/>
      </w:tblGrid>
      <w:tr w:rsidR="002064C3" w:rsidRPr="00420CC0" w14:paraId="63892406" w14:textId="77777777" w:rsidTr="009007E2">
        <w:trPr>
          <w:cnfStyle w:val="100000000000" w:firstRow="1" w:lastRow="0" w:firstColumn="0" w:lastColumn="0" w:oddVBand="0" w:evenVBand="0" w:oddHBand="0" w:evenHBand="0" w:firstRowFirstColumn="0" w:firstRowLastColumn="0" w:lastRowFirstColumn="0" w:lastRowLastColumn="0"/>
          <w:trHeight w:val="397"/>
          <w:tblHeader/>
        </w:trPr>
        <w:tc>
          <w:tcPr>
            <w:tcW w:w="4111" w:type="dxa"/>
            <w:gridSpan w:val="3"/>
            <w:tcBorders>
              <w:bottom w:val="single" w:sz="4" w:space="0" w:color="auto"/>
            </w:tcBorders>
          </w:tcPr>
          <w:p w14:paraId="42E0F3EB" w14:textId="77777777" w:rsidR="002064C3" w:rsidRPr="00420CC0" w:rsidRDefault="002064C3" w:rsidP="00503454">
            <w:pPr>
              <w:pStyle w:val="TableText0"/>
            </w:pPr>
          </w:p>
        </w:tc>
        <w:tc>
          <w:tcPr>
            <w:tcW w:w="992" w:type="dxa"/>
            <w:tcBorders>
              <w:bottom w:val="single" w:sz="4" w:space="0" w:color="auto"/>
            </w:tcBorders>
            <w:vAlign w:val="center"/>
          </w:tcPr>
          <w:p w14:paraId="4AFA5CEE" w14:textId="77777777" w:rsidR="002064C3" w:rsidRPr="00420CC0" w:rsidRDefault="002064C3" w:rsidP="00503454">
            <w:pPr>
              <w:pStyle w:val="TableText0"/>
            </w:pPr>
            <w:r w:rsidRPr="00420CC0">
              <w:t>Cost</w:t>
            </w:r>
          </w:p>
        </w:tc>
        <w:tc>
          <w:tcPr>
            <w:tcW w:w="1276" w:type="dxa"/>
            <w:tcBorders>
              <w:bottom w:val="single" w:sz="4" w:space="0" w:color="auto"/>
            </w:tcBorders>
            <w:vAlign w:val="center"/>
          </w:tcPr>
          <w:p w14:paraId="01CBF925" w14:textId="77777777" w:rsidR="002064C3" w:rsidRPr="00420CC0" w:rsidRDefault="002064C3" w:rsidP="00503454">
            <w:pPr>
              <w:pStyle w:val="TableText0"/>
            </w:pPr>
            <w:r w:rsidRPr="00420CC0">
              <w:t>Effectiveness (QALYs)</w:t>
            </w:r>
          </w:p>
        </w:tc>
        <w:tc>
          <w:tcPr>
            <w:tcW w:w="1134" w:type="dxa"/>
            <w:tcBorders>
              <w:bottom w:val="single" w:sz="4" w:space="0" w:color="auto"/>
            </w:tcBorders>
            <w:vAlign w:val="center"/>
          </w:tcPr>
          <w:p w14:paraId="0921BC63" w14:textId="77777777" w:rsidR="002064C3" w:rsidRPr="00420CC0" w:rsidRDefault="002064C3" w:rsidP="00503454">
            <w:pPr>
              <w:pStyle w:val="TableText0"/>
            </w:pPr>
            <w:r w:rsidRPr="00420CC0">
              <w:t>ICER</w:t>
            </w:r>
          </w:p>
        </w:tc>
        <w:tc>
          <w:tcPr>
            <w:tcW w:w="1621" w:type="dxa"/>
            <w:tcBorders>
              <w:bottom w:val="single" w:sz="4" w:space="0" w:color="auto"/>
            </w:tcBorders>
            <w:vAlign w:val="center"/>
          </w:tcPr>
          <w:p w14:paraId="6E44E16E" w14:textId="77777777" w:rsidR="002064C3" w:rsidRPr="00420CC0" w:rsidRDefault="002064C3" w:rsidP="00503454">
            <w:pPr>
              <w:pStyle w:val="TableText0"/>
            </w:pPr>
            <w:r>
              <w:t>B</w:t>
            </w:r>
            <w:r w:rsidRPr="00420CC0">
              <w:t>iopsies per patient</w:t>
            </w:r>
            <w:r>
              <w:t>, mean (n)</w:t>
            </w:r>
          </w:p>
        </w:tc>
      </w:tr>
      <w:tr w:rsidR="002064C3" w:rsidRPr="00420CC0" w14:paraId="3CC4CA5E" w14:textId="77777777" w:rsidTr="009007E2">
        <w:trPr>
          <w:trHeight w:val="397"/>
        </w:trPr>
        <w:tc>
          <w:tcPr>
            <w:tcW w:w="9134" w:type="dxa"/>
            <w:gridSpan w:val="7"/>
          </w:tcPr>
          <w:p w14:paraId="1F37DA77" w14:textId="77777777" w:rsidR="002064C3" w:rsidRPr="00503454" w:rsidRDefault="002064C3" w:rsidP="00503454">
            <w:pPr>
              <w:pStyle w:val="TableText0"/>
              <w:rPr>
                <w:b/>
                <w:szCs w:val="20"/>
              </w:rPr>
            </w:pPr>
            <w:r w:rsidRPr="00503454">
              <w:rPr>
                <w:b/>
                <w:szCs w:val="20"/>
              </w:rPr>
              <w:t>Population 1 only</w:t>
            </w:r>
          </w:p>
        </w:tc>
      </w:tr>
      <w:tr w:rsidR="002064C3" w:rsidRPr="00420CC0" w14:paraId="2B00660E" w14:textId="77777777" w:rsidTr="009007E2">
        <w:trPr>
          <w:trHeight w:val="397"/>
        </w:trPr>
        <w:tc>
          <w:tcPr>
            <w:tcW w:w="1246" w:type="dxa"/>
            <w:tcBorders>
              <w:right w:val="nil"/>
            </w:tcBorders>
          </w:tcPr>
          <w:p w14:paraId="64944865" w14:textId="77777777" w:rsidR="002064C3" w:rsidRPr="00503454" w:rsidRDefault="002064C3" w:rsidP="00503454">
            <w:pPr>
              <w:pStyle w:val="TableText0"/>
              <w:rPr>
                <w:b/>
                <w:szCs w:val="20"/>
              </w:rPr>
            </w:pPr>
            <w:r w:rsidRPr="00503454">
              <w:rPr>
                <w:b/>
                <w:szCs w:val="20"/>
              </w:rPr>
              <w:t>Intervention</w:t>
            </w:r>
          </w:p>
        </w:tc>
        <w:tc>
          <w:tcPr>
            <w:tcW w:w="2865" w:type="dxa"/>
            <w:gridSpan w:val="2"/>
            <w:tcBorders>
              <w:left w:val="nil"/>
            </w:tcBorders>
          </w:tcPr>
          <w:p w14:paraId="27AA3923" w14:textId="77777777" w:rsidR="002064C3" w:rsidRPr="00F12882" w:rsidRDefault="002064C3" w:rsidP="00503454">
            <w:pPr>
              <w:pStyle w:val="TableText0"/>
              <w:rPr>
                <w:szCs w:val="20"/>
              </w:rPr>
            </w:pPr>
            <w:proofErr w:type="spellStart"/>
            <w:r w:rsidRPr="00F12882">
              <w:rPr>
                <w:szCs w:val="20"/>
              </w:rPr>
              <w:t>mpMRI</w:t>
            </w:r>
            <w:proofErr w:type="spellEnd"/>
            <w:r w:rsidRPr="00F12882">
              <w:rPr>
                <w:szCs w:val="20"/>
              </w:rPr>
              <w:t xml:space="preserve"> in Population 1, prostate biopsy in Population 2</w:t>
            </w:r>
          </w:p>
        </w:tc>
        <w:tc>
          <w:tcPr>
            <w:tcW w:w="992" w:type="dxa"/>
            <w:vAlign w:val="center"/>
          </w:tcPr>
          <w:p w14:paraId="485EC383" w14:textId="77777777" w:rsidR="002064C3" w:rsidRPr="00F12882" w:rsidRDefault="002064C3" w:rsidP="00503454">
            <w:pPr>
              <w:pStyle w:val="TableText0"/>
              <w:rPr>
                <w:snapToGrid w:val="0"/>
              </w:rPr>
            </w:pPr>
            <w:r w:rsidRPr="00F12882">
              <w:rPr>
                <w:snapToGrid w:val="0"/>
              </w:rPr>
              <w:t>$12,990</w:t>
            </w:r>
          </w:p>
        </w:tc>
        <w:tc>
          <w:tcPr>
            <w:tcW w:w="1276" w:type="dxa"/>
            <w:vAlign w:val="center"/>
          </w:tcPr>
          <w:p w14:paraId="767F6396" w14:textId="77777777" w:rsidR="002064C3" w:rsidRPr="00F12882" w:rsidRDefault="002064C3" w:rsidP="00503454">
            <w:pPr>
              <w:pStyle w:val="TableText0"/>
              <w:rPr>
                <w:snapToGrid w:val="0"/>
              </w:rPr>
            </w:pPr>
            <w:r w:rsidRPr="00F12882">
              <w:rPr>
                <w:snapToGrid w:val="0"/>
              </w:rPr>
              <w:t>7.40</w:t>
            </w:r>
          </w:p>
        </w:tc>
        <w:tc>
          <w:tcPr>
            <w:tcW w:w="1134" w:type="dxa"/>
            <w:tcBorders>
              <w:bottom w:val="nil"/>
            </w:tcBorders>
            <w:vAlign w:val="center"/>
          </w:tcPr>
          <w:p w14:paraId="101C5A05" w14:textId="77777777" w:rsidR="002064C3" w:rsidRPr="00F12882" w:rsidRDefault="002064C3" w:rsidP="00503454">
            <w:pPr>
              <w:pStyle w:val="TableText0"/>
              <w:rPr>
                <w:snapToGrid w:val="0"/>
              </w:rPr>
            </w:pPr>
          </w:p>
        </w:tc>
        <w:tc>
          <w:tcPr>
            <w:tcW w:w="1621" w:type="dxa"/>
            <w:vAlign w:val="center"/>
          </w:tcPr>
          <w:p w14:paraId="2AB63448" w14:textId="77777777" w:rsidR="002064C3" w:rsidRPr="00F12882" w:rsidRDefault="002064C3" w:rsidP="00503454">
            <w:pPr>
              <w:pStyle w:val="TableText0"/>
              <w:rPr>
                <w:snapToGrid w:val="0"/>
              </w:rPr>
            </w:pPr>
            <w:r w:rsidRPr="00F12882">
              <w:rPr>
                <w:snapToGrid w:val="0"/>
              </w:rPr>
              <w:t>3.17</w:t>
            </w:r>
          </w:p>
        </w:tc>
      </w:tr>
      <w:tr w:rsidR="002064C3" w:rsidRPr="00420CC0" w14:paraId="0EB60829" w14:textId="77777777" w:rsidTr="009007E2">
        <w:trPr>
          <w:trHeight w:val="397"/>
        </w:trPr>
        <w:tc>
          <w:tcPr>
            <w:tcW w:w="1246" w:type="dxa"/>
            <w:tcBorders>
              <w:right w:val="nil"/>
            </w:tcBorders>
          </w:tcPr>
          <w:p w14:paraId="4957EDE5" w14:textId="77777777" w:rsidR="002064C3" w:rsidRPr="00503454" w:rsidRDefault="002064C3" w:rsidP="00503454">
            <w:pPr>
              <w:pStyle w:val="TableText0"/>
              <w:rPr>
                <w:b/>
                <w:szCs w:val="20"/>
              </w:rPr>
            </w:pPr>
            <w:r w:rsidRPr="00503454">
              <w:rPr>
                <w:b/>
                <w:szCs w:val="20"/>
              </w:rPr>
              <w:t>Comparator</w:t>
            </w:r>
          </w:p>
        </w:tc>
        <w:tc>
          <w:tcPr>
            <w:tcW w:w="2865" w:type="dxa"/>
            <w:gridSpan w:val="2"/>
            <w:tcBorders>
              <w:left w:val="nil"/>
            </w:tcBorders>
          </w:tcPr>
          <w:p w14:paraId="4D4E369E" w14:textId="77777777" w:rsidR="002064C3" w:rsidRPr="00F12882" w:rsidRDefault="002064C3" w:rsidP="00503454">
            <w:pPr>
              <w:pStyle w:val="TableText0"/>
              <w:rPr>
                <w:szCs w:val="20"/>
              </w:rPr>
            </w:pPr>
            <w:r w:rsidRPr="00F12882">
              <w:rPr>
                <w:szCs w:val="20"/>
              </w:rPr>
              <w:t>Prostate biopsy in Population 1 and 2.</w:t>
            </w:r>
          </w:p>
        </w:tc>
        <w:tc>
          <w:tcPr>
            <w:tcW w:w="992" w:type="dxa"/>
            <w:vAlign w:val="center"/>
          </w:tcPr>
          <w:p w14:paraId="4C922FBA" w14:textId="77777777" w:rsidR="002064C3" w:rsidRPr="00F12882" w:rsidRDefault="002064C3" w:rsidP="00503454">
            <w:pPr>
              <w:pStyle w:val="TableText0"/>
              <w:rPr>
                <w:snapToGrid w:val="0"/>
              </w:rPr>
            </w:pPr>
            <w:r w:rsidRPr="00F12882">
              <w:rPr>
                <w:snapToGrid w:val="0"/>
              </w:rPr>
              <w:t>$12,635</w:t>
            </w:r>
          </w:p>
        </w:tc>
        <w:tc>
          <w:tcPr>
            <w:tcW w:w="1276" w:type="dxa"/>
            <w:vAlign w:val="center"/>
          </w:tcPr>
          <w:p w14:paraId="1F3DD4BB" w14:textId="77777777" w:rsidR="002064C3" w:rsidRPr="00F12882" w:rsidRDefault="002064C3" w:rsidP="00503454">
            <w:pPr>
              <w:pStyle w:val="TableText0"/>
              <w:rPr>
                <w:snapToGrid w:val="0"/>
              </w:rPr>
            </w:pPr>
            <w:r w:rsidRPr="00F12882">
              <w:rPr>
                <w:snapToGrid w:val="0"/>
              </w:rPr>
              <w:t>7.45</w:t>
            </w:r>
          </w:p>
        </w:tc>
        <w:tc>
          <w:tcPr>
            <w:tcW w:w="1134" w:type="dxa"/>
            <w:tcBorders>
              <w:top w:val="nil"/>
              <w:bottom w:val="nil"/>
            </w:tcBorders>
            <w:vAlign w:val="center"/>
          </w:tcPr>
          <w:p w14:paraId="2216BB77" w14:textId="77777777" w:rsidR="002064C3" w:rsidRPr="00F12882" w:rsidRDefault="002064C3" w:rsidP="00503454">
            <w:pPr>
              <w:pStyle w:val="TableText0"/>
              <w:rPr>
                <w:snapToGrid w:val="0"/>
              </w:rPr>
            </w:pPr>
          </w:p>
        </w:tc>
        <w:tc>
          <w:tcPr>
            <w:tcW w:w="1621" w:type="dxa"/>
            <w:vAlign w:val="center"/>
          </w:tcPr>
          <w:p w14:paraId="5D227A2D" w14:textId="77777777" w:rsidR="002064C3" w:rsidRPr="00F12882" w:rsidRDefault="002064C3" w:rsidP="00503454">
            <w:pPr>
              <w:pStyle w:val="TableText0"/>
              <w:rPr>
                <w:snapToGrid w:val="0"/>
              </w:rPr>
            </w:pPr>
            <w:r w:rsidRPr="00F12882">
              <w:rPr>
                <w:snapToGrid w:val="0"/>
              </w:rPr>
              <w:t>3.61</w:t>
            </w:r>
          </w:p>
        </w:tc>
      </w:tr>
      <w:tr w:rsidR="002064C3" w:rsidRPr="00420CC0" w14:paraId="288674EC" w14:textId="77777777" w:rsidTr="009007E2">
        <w:trPr>
          <w:trHeight w:val="397"/>
        </w:trPr>
        <w:tc>
          <w:tcPr>
            <w:tcW w:w="4111" w:type="dxa"/>
            <w:gridSpan w:val="3"/>
          </w:tcPr>
          <w:p w14:paraId="7863D160" w14:textId="77777777" w:rsidR="002064C3" w:rsidRPr="00F12882" w:rsidRDefault="002064C3" w:rsidP="00503454">
            <w:pPr>
              <w:pStyle w:val="TableText0"/>
              <w:rPr>
                <w:szCs w:val="20"/>
              </w:rPr>
            </w:pPr>
            <w:proofErr w:type="spellStart"/>
            <w:r w:rsidRPr="00503454">
              <w:rPr>
                <w:b/>
                <w:szCs w:val="20"/>
              </w:rPr>
              <w:t>Increment</w:t>
            </w:r>
            <w:r w:rsidRPr="00243CEC">
              <w:rPr>
                <w:vertAlign w:val="superscript"/>
              </w:rPr>
              <w:t>b</w:t>
            </w:r>
            <w:proofErr w:type="spellEnd"/>
          </w:p>
        </w:tc>
        <w:tc>
          <w:tcPr>
            <w:tcW w:w="992" w:type="dxa"/>
            <w:vAlign w:val="center"/>
          </w:tcPr>
          <w:p w14:paraId="286450D4" w14:textId="77777777" w:rsidR="002064C3" w:rsidRPr="00F12882" w:rsidRDefault="002064C3" w:rsidP="00503454">
            <w:pPr>
              <w:pStyle w:val="TableText0"/>
              <w:rPr>
                <w:snapToGrid w:val="0"/>
              </w:rPr>
            </w:pPr>
            <w:r w:rsidRPr="00F12882">
              <w:rPr>
                <w:snapToGrid w:val="0"/>
              </w:rPr>
              <w:t>$355</w:t>
            </w:r>
          </w:p>
        </w:tc>
        <w:tc>
          <w:tcPr>
            <w:tcW w:w="1276" w:type="dxa"/>
            <w:vAlign w:val="center"/>
          </w:tcPr>
          <w:p w14:paraId="2B7D9FB9" w14:textId="77777777" w:rsidR="002064C3" w:rsidRPr="00F12882" w:rsidRDefault="002064C3" w:rsidP="00503454">
            <w:pPr>
              <w:pStyle w:val="TableText0"/>
              <w:rPr>
                <w:snapToGrid w:val="0"/>
              </w:rPr>
            </w:pPr>
            <w:r w:rsidRPr="00F12882">
              <w:rPr>
                <w:snapToGrid w:val="0"/>
              </w:rPr>
              <w:t>-0.05</w:t>
            </w:r>
          </w:p>
        </w:tc>
        <w:tc>
          <w:tcPr>
            <w:tcW w:w="1134" w:type="dxa"/>
            <w:tcBorders>
              <w:top w:val="nil"/>
            </w:tcBorders>
            <w:vAlign w:val="center"/>
          </w:tcPr>
          <w:p w14:paraId="0D65335C" w14:textId="77777777" w:rsidR="002064C3" w:rsidRPr="00F12882" w:rsidRDefault="002064C3" w:rsidP="00503454">
            <w:pPr>
              <w:pStyle w:val="TableText0"/>
              <w:rPr>
                <w:snapToGrid w:val="0"/>
              </w:rPr>
            </w:pPr>
            <w:r w:rsidRPr="00F12882">
              <w:rPr>
                <w:snapToGrid w:val="0"/>
              </w:rPr>
              <w:t>Dominated</w:t>
            </w:r>
          </w:p>
        </w:tc>
        <w:tc>
          <w:tcPr>
            <w:tcW w:w="1621" w:type="dxa"/>
            <w:vAlign w:val="center"/>
          </w:tcPr>
          <w:p w14:paraId="7E6FF7E8" w14:textId="77777777" w:rsidR="002064C3" w:rsidRPr="00F12882" w:rsidRDefault="002064C3" w:rsidP="00503454">
            <w:pPr>
              <w:pStyle w:val="TableText0"/>
              <w:rPr>
                <w:snapToGrid w:val="0"/>
              </w:rPr>
            </w:pPr>
            <w:r w:rsidRPr="00F12882">
              <w:rPr>
                <w:snapToGrid w:val="0"/>
              </w:rPr>
              <w:t>0.44</w:t>
            </w:r>
            <w:r w:rsidRPr="00925B4E">
              <w:rPr>
                <w:snapToGrid w:val="0"/>
                <w:vertAlign w:val="superscript"/>
              </w:rPr>
              <w:t>a</w:t>
            </w:r>
            <w:r w:rsidRPr="00F12882">
              <w:rPr>
                <w:snapToGrid w:val="0"/>
              </w:rPr>
              <w:t xml:space="preserve"> biopsies avoided per patient</w:t>
            </w:r>
          </w:p>
        </w:tc>
      </w:tr>
      <w:tr w:rsidR="002064C3" w:rsidRPr="00420CC0" w14:paraId="4048DEA6" w14:textId="77777777" w:rsidTr="009007E2">
        <w:trPr>
          <w:trHeight w:val="397"/>
        </w:trPr>
        <w:tc>
          <w:tcPr>
            <w:tcW w:w="9134" w:type="dxa"/>
            <w:gridSpan w:val="7"/>
          </w:tcPr>
          <w:p w14:paraId="49403BF4" w14:textId="77777777" w:rsidR="002064C3" w:rsidRPr="00503454" w:rsidRDefault="002064C3" w:rsidP="00503454">
            <w:pPr>
              <w:pStyle w:val="TableText0"/>
              <w:rPr>
                <w:b/>
                <w:szCs w:val="20"/>
              </w:rPr>
            </w:pPr>
            <w:r w:rsidRPr="00503454">
              <w:rPr>
                <w:b/>
                <w:szCs w:val="20"/>
              </w:rPr>
              <w:t>Population 2 only</w:t>
            </w:r>
          </w:p>
        </w:tc>
      </w:tr>
      <w:tr w:rsidR="002064C3" w:rsidRPr="00420CC0" w14:paraId="4A0CE578" w14:textId="77777777" w:rsidTr="009007E2">
        <w:trPr>
          <w:trHeight w:val="397"/>
        </w:trPr>
        <w:tc>
          <w:tcPr>
            <w:tcW w:w="1246" w:type="dxa"/>
            <w:tcBorders>
              <w:right w:val="nil"/>
            </w:tcBorders>
          </w:tcPr>
          <w:p w14:paraId="46926C6F" w14:textId="77777777" w:rsidR="002064C3" w:rsidRPr="00503454" w:rsidRDefault="002064C3" w:rsidP="00503454">
            <w:pPr>
              <w:pStyle w:val="TableText0"/>
              <w:rPr>
                <w:b/>
                <w:szCs w:val="20"/>
              </w:rPr>
            </w:pPr>
            <w:r w:rsidRPr="00503454">
              <w:rPr>
                <w:b/>
                <w:szCs w:val="20"/>
              </w:rPr>
              <w:t>Intervention</w:t>
            </w:r>
          </w:p>
        </w:tc>
        <w:tc>
          <w:tcPr>
            <w:tcW w:w="2865" w:type="dxa"/>
            <w:gridSpan w:val="2"/>
            <w:tcBorders>
              <w:left w:val="nil"/>
            </w:tcBorders>
          </w:tcPr>
          <w:p w14:paraId="7A56A7E7" w14:textId="77777777" w:rsidR="002064C3" w:rsidRPr="00F12882" w:rsidRDefault="002064C3" w:rsidP="00503454">
            <w:pPr>
              <w:pStyle w:val="TableText0"/>
              <w:rPr>
                <w:szCs w:val="20"/>
              </w:rPr>
            </w:pPr>
            <w:r w:rsidRPr="00F12882">
              <w:rPr>
                <w:szCs w:val="20"/>
              </w:rPr>
              <w:t xml:space="preserve">Prostate biopsy in Population 1, </w:t>
            </w:r>
            <w:proofErr w:type="spellStart"/>
            <w:r w:rsidRPr="00F12882">
              <w:rPr>
                <w:szCs w:val="20"/>
              </w:rPr>
              <w:t>mpMRI</w:t>
            </w:r>
            <w:proofErr w:type="spellEnd"/>
            <w:r w:rsidRPr="00F12882">
              <w:rPr>
                <w:szCs w:val="20"/>
              </w:rPr>
              <w:t xml:space="preserve"> in Population 2.</w:t>
            </w:r>
          </w:p>
        </w:tc>
        <w:tc>
          <w:tcPr>
            <w:tcW w:w="992" w:type="dxa"/>
            <w:vAlign w:val="center"/>
          </w:tcPr>
          <w:p w14:paraId="697430FE" w14:textId="77777777" w:rsidR="002064C3" w:rsidRPr="00F12882" w:rsidRDefault="002064C3" w:rsidP="00503454">
            <w:pPr>
              <w:pStyle w:val="TableText0"/>
              <w:rPr>
                <w:snapToGrid w:val="0"/>
              </w:rPr>
            </w:pPr>
            <w:r w:rsidRPr="00F12882">
              <w:rPr>
                <w:snapToGrid w:val="0"/>
              </w:rPr>
              <w:t>$13,148</w:t>
            </w:r>
          </w:p>
        </w:tc>
        <w:tc>
          <w:tcPr>
            <w:tcW w:w="1276" w:type="dxa"/>
            <w:vAlign w:val="center"/>
          </w:tcPr>
          <w:p w14:paraId="298865A7" w14:textId="77777777" w:rsidR="002064C3" w:rsidRPr="00F12882" w:rsidRDefault="002064C3" w:rsidP="00503454">
            <w:pPr>
              <w:pStyle w:val="TableText0"/>
              <w:rPr>
                <w:snapToGrid w:val="0"/>
              </w:rPr>
            </w:pPr>
            <w:r w:rsidRPr="00F12882">
              <w:rPr>
                <w:snapToGrid w:val="0"/>
              </w:rPr>
              <w:t>7.49</w:t>
            </w:r>
          </w:p>
        </w:tc>
        <w:tc>
          <w:tcPr>
            <w:tcW w:w="1134" w:type="dxa"/>
            <w:tcBorders>
              <w:bottom w:val="nil"/>
            </w:tcBorders>
            <w:vAlign w:val="center"/>
          </w:tcPr>
          <w:p w14:paraId="70B0884A" w14:textId="77777777" w:rsidR="002064C3" w:rsidRPr="00F12882" w:rsidRDefault="002064C3" w:rsidP="00503454">
            <w:pPr>
              <w:pStyle w:val="TableText0"/>
              <w:rPr>
                <w:snapToGrid w:val="0"/>
              </w:rPr>
            </w:pPr>
          </w:p>
        </w:tc>
        <w:tc>
          <w:tcPr>
            <w:tcW w:w="1621" w:type="dxa"/>
            <w:vAlign w:val="center"/>
          </w:tcPr>
          <w:p w14:paraId="3F6969CE" w14:textId="77777777" w:rsidR="002064C3" w:rsidRPr="00F12882" w:rsidRDefault="002064C3" w:rsidP="00503454">
            <w:pPr>
              <w:pStyle w:val="TableText0"/>
              <w:rPr>
                <w:snapToGrid w:val="0"/>
              </w:rPr>
            </w:pPr>
            <w:r w:rsidRPr="00F12882">
              <w:rPr>
                <w:snapToGrid w:val="0"/>
              </w:rPr>
              <w:t>3.01</w:t>
            </w:r>
          </w:p>
        </w:tc>
      </w:tr>
      <w:tr w:rsidR="002064C3" w:rsidRPr="00420CC0" w14:paraId="75E5D6F7" w14:textId="77777777" w:rsidTr="009007E2">
        <w:trPr>
          <w:trHeight w:val="397"/>
        </w:trPr>
        <w:tc>
          <w:tcPr>
            <w:tcW w:w="1246" w:type="dxa"/>
            <w:tcBorders>
              <w:right w:val="nil"/>
            </w:tcBorders>
          </w:tcPr>
          <w:p w14:paraId="6BCBFA11" w14:textId="77777777" w:rsidR="002064C3" w:rsidRPr="00503454" w:rsidRDefault="002064C3" w:rsidP="00503454">
            <w:pPr>
              <w:pStyle w:val="TableText0"/>
              <w:rPr>
                <w:b/>
                <w:szCs w:val="20"/>
              </w:rPr>
            </w:pPr>
            <w:r w:rsidRPr="00503454">
              <w:rPr>
                <w:b/>
                <w:szCs w:val="20"/>
              </w:rPr>
              <w:t>Comparator</w:t>
            </w:r>
          </w:p>
        </w:tc>
        <w:tc>
          <w:tcPr>
            <w:tcW w:w="2865" w:type="dxa"/>
            <w:gridSpan w:val="2"/>
            <w:tcBorders>
              <w:left w:val="nil"/>
            </w:tcBorders>
          </w:tcPr>
          <w:p w14:paraId="0B455757" w14:textId="77777777" w:rsidR="002064C3" w:rsidRPr="00F12882" w:rsidRDefault="002064C3" w:rsidP="00503454">
            <w:pPr>
              <w:pStyle w:val="TableText0"/>
              <w:rPr>
                <w:szCs w:val="20"/>
              </w:rPr>
            </w:pPr>
            <w:r w:rsidRPr="00F12882">
              <w:rPr>
                <w:szCs w:val="20"/>
              </w:rPr>
              <w:t>Prostate biopsy in Population 1 and 2.</w:t>
            </w:r>
          </w:p>
        </w:tc>
        <w:tc>
          <w:tcPr>
            <w:tcW w:w="992" w:type="dxa"/>
            <w:vAlign w:val="center"/>
          </w:tcPr>
          <w:p w14:paraId="7E344D23" w14:textId="77777777" w:rsidR="002064C3" w:rsidRPr="00F12882" w:rsidRDefault="002064C3" w:rsidP="00503454">
            <w:pPr>
              <w:pStyle w:val="TableText0"/>
              <w:rPr>
                <w:snapToGrid w:val="0"/>
              </w:rPr>
            </w:pPr>
            <w:r w:rsidRPr="00F12882">
              <w:rPr>
                <w:snapToGrid w:val="0"/>
              </w:rPr>
              <w:t>$12,635</w:t>
            </w:r>
          </w:p>
        </w:tc>
        <w:tc>
          <w:tcPr>
            <w:tcW w:w="1276" w:type="dxa"/>
            <w:vAlign w:val="center"/>
          </w:tcPr>
          <w:p w14:paraId="3780422F" w14:textId="77777777" w:rsidR="002064C3" w:rsidRPr="00F12882" w:rsidRDefault="002064C3" w:rsidP="00503454">
            <w:pPr>
              <w:pStyle w:val="TableText0"/>
              <w:rPr>
                <w:snapToGrid w:val="0"/>
              </w:rPr>
            </w:pPr>
            <w:r w:rsidRPr="00F12882">
              <w:rPr>
                <w:snapToGrid w:val="0"/>
              </w:rPr>
              <w:t>7.45</w:t>
            </w:r>
          </w:p>
        </w:tc>
        <w:tc>
          <w:tcPr>
            <w:tcW w:w="1134" w:type="dxa"/>
            <w:tcBorders>
              <w:top w:val="nil"/>
              <w:bottom w:val="nil"/>
            </w:tcBorders>
            <w:vAlign w:val="center"/>
          </w:tcPr>
          <w:p w14:paraId="4E77D253" w14:textId="77777777" w:rsidR="002064C3" w:rsidRPr="00F12882" w:rsidRDefault="002064C3" w:rsidP="00503454">
            <w:pPr>
              <w:pStyle w:val="TableText0"/>
              <w:rPr>
                <w:snapToGrid w:val="0"/>
              </w:rPr>
            </w:pPr>
          </w:p>
        </w:tc>
        <w:tc>
          <w:tcPr>
            <w:tcW w:w="1621" w:type="dxa"/>
            <w:vAlign w:val="center"/>
          </w:tcPr>
          <w:p w14:paraId="65CC9E68" w14:textId="77777777" w:rsidR="002064C3" w:rsidRPr="00F12882" w:rsidRDefault="002064C3" w:rsidP="00503454">
            <w:pPr>
              <w:pStyle w:val="TableText0"/>
              <w:rPr>
                <w:snapToGrid w:val="0"/>
              </w:rPr>
            </w:pPr>
            <w:r w:rsidRPr="00F12882">
              <w:rPr>
                <w:snapToGrid w:val="0"/>
              </w:rPr>
              <w:t>3.61</w:t>
            </w:r>
          </w:p>
        </w:tc>
      </w:tr>
      <w:tr w:rsidR="002064C3" w:rsidRPr="00420CC0" w14:paraId="43E9776D" w14:textId="77777777" w:rsidTr="009007E2">
        <w:trPr>
          <w:trHeight w:val="397"/>
        </w:trPr>
        <w:tc>
          <w:tcPr>
            <w:tcW w:w="4111" w:type="dxa"/>
            <w:gridSpan w:val="3"/>
          </w:tcPr>
          <w:p w14:paraId="0D74C41C" w14:textId="77777777" w:rsidR="002064C3" w:rsidRPr="00F12882" w:rsidRDefault="002064C3" w:rsidP="00503454">
            <w:pPr>
              <w:pStyle w:val="TableText0"/>
              <w:rPr>
                <w:szCs w:val="20"/>
              </w:rPr>
            </w:pPr>
            <w:proofErr w:type="spellStart"/>
            <w:r w:rsidRPr="00503454">
              <w:rPr>
                <w:b/>
                <w:szCs w:val="20"/>
              </w:rPr>
              <w:t>Increment</w:t>
            </w:r>
            <w:r w:rsidRPr="00243CEC">
              <w:rPr>
                <w:vertAlign w:val="superscript"/>
              </w:rPr>
              <w:t>b</w:t>
            </w:r>
            <w:proofErr w:type="spellEnd"/>
          </w:p>
        </w:tc>
        <w:tc>
          <w:tcPr>
            <w:tcW w:w="992" w:type="dxa"/>
            <w:vAlign w:val="center"/>
          </w:tcPr>
          <w:p w14:paraId="53941BBF" w14:textId="77777777" w:rsidR="002064C3" w:rsidRPr="00F12882" w:rsidRDefault="002064C3" w:rsidP="00503454">
            <w:pPr>
              <w:pStyle w:val="TableText0"/>
              <w:rPr>
                <w:snapToGrid w:val="0"/>
              </w:rPr>
            </w:pPr>
            <w:r w:rsidRPr="00F12882">
              <w:rPr>
                <w:snapToGrid w:val="0"/>
              </w:rPr>
              <w:t>$513</w:t>
            </w:r>
          </w:p>
        </w:tc>
        <w:tc>
          <w:tcPr>
            <w:tcW w:w="1276" w:type="dxa"/>
            <w:vAlign w:val="center"/>
          </w:tcPr>
          <w:p w14:paraId="73F9435A" w14:textId="77777777" w:rsidR="002064C3" w:rsidRPr="00F12882" w:rsidRDefault="002064C3" w:rsidP="00503454">
            <w:pPr>
              <w:pStyle w:val="TableText0"/>
              <w:rPr>
                <w:snapToGrid w:val="0"/>
              </w:rPr>
            </w:pPr>
            <w:r w:rsidRPr="00F12882">
              <w:rPr>
                <w:snapToGrid w:val="0"/>
              </w:rPr>
              <w:t>0.04</w:t>
            </w:r>
          </w:p>
        </w:tc>
        <w:tc>
          <w:tcPr>
            <w:tcW w:w="1134" w:type="dxa"/>
            <w:tcBorders>
              <w:top w:val="nil"/>
            </w:tcBorders>
            <w:vAlign w:val="center"/>
          </w:tcPr>
          <w:p w14:paraId="3C99D326" w14:textId="77777777" w:rsidR="002064C3" w:rsidRPr="00F12882" w:rsidRDefault="002064C3" w:rsidP="00503454">
            <w:pPr>
              <w:pStyle w:val="TableText0"/>
              <w:rPr>
                <w:snapToGrid w:val="0"/>
              </w:rPr>
            </w:pPr>
            <w:r w:rsidRPr="00F12882">
              <w:rPr>
                <w:snapToGrid w:val="0"/>
              </w:rPr>
              <w:t>$12,821</w:t>
            </w:r>
          </w:p>
        </w:tc>
        <w:tc>
          <w:tcPr>
            <w:tcW w:w="1621" w:type="dxa"/>
            <w:vAlign w:val="center"/>
          </w:tcPr>
          <w:p w14:paraId="74463198" w14:textId="77777777" w:rsidR="002064C3" w:rsidRPr="00F12882" w:rsidRDefault="002064C3" w:rsidP="00503454">
            <w:pPr>
              <w:pStyle w:val="TableText0"/>
              <w:rPr>
                <w:snapToGrid w:val="0"/>
              </w:rPr>
            </w:pPr>
            <w:r w:rsidRPr="00F12882">
              <w:rPr>
                <w:snapToGrid w:val="0"/>
              </w:rPr>
              <w:t>0.60</w:t>
            </w:r>
            <w:r w:rsidRPr="00925B4E">
              <w:rPr>
                <w:snapToGrid w:val="0"/>
                <w:vertAlign w:val="superscript"/>
              </w:rPr>
              <w:t>a</w:t>
            </w:r>
            <w:r w:rsidRPr="00F12882">
              <w:rPr>
                <w:snapToGrid w:val="0"/>
              </w:rPr>
              <w:t xml:space="preserve"> biopsies avoided per patient</w:t>
            </w:r>
          </w:p>
        </w:tc>
      </w:tr>
      <w:tr w:rsidR="002064C3" w:rsidRPr="00420CC0" w14:paraId="3EEFBDFC" w14:textId="77777777" w:rsidTr="009007E2">
        <w:trPr>
          <w:trHeight w:val="397"/>
        </w:trPr>
        <w:tc>
          <w:tcPr>
            <w:tcW w:w="9134" w:type="dxa"/>
            <w:gridSpan w:val="7"/>
          </w:tcPr>
          <w:p w14:paraId="6E9756F4" w14:textId="77777777" w:rsidR="002064C3" w:rsidRPr="00503454" w:rsidRDefault="002064C3" w:rsidP="00503454">
            <w:pPr>
              <w:pStyle w:val="TableText0"/>
              <w:rPr>
                <w:b/>
                <w:szCs w:val="20"/>
              </w:rPr>
            </w:pPr>
            <w:r w:rsidRPr="00503454">
              <w:rPr>
                <w:b/>
                <w:szCs w:val="20"/>
              </w:rPr>
              <w:t>Both populations</w:t>
            </w:r>
          </w:p>
        </w:tc>
      </w:tr>
      <w:tr w:rsidR="002064C3" w:rsidRPr="00420CC0" w14:paraId="12F621A2" w14:textId="77777777" w:rsidTr="009007E2">
        <w:trPr>
          <w:trHeight w:val="397"/>
        </w:trPr>
        <w:tc>
          <w:tcPr>
            <w:tcW w:w="1246" w:type="dxa"/>
            <w:tcBorders>
              <w:right w:val="nil"/>
            </w:tcBorders>
          </w:tcPr>
          <w:p w14:paraId="0E58433E" w14:textId="77777777" w:rsidR="002064C3" w:rsidRPr="00503454" w:rsidRDefault="002064C3" w:rsidP="00503454">
            <w:pPr>
              <w:pStyle w:val="TableText0"/>
              <w:rPr>
                <w:b/>
                <w:szCs w:val="20"/>
              </w:rPr>
            </w:pPr>
            <w:r w:rsidRPr="00503454">
              <w:rPr>
                <w:b/>
                <w:szCs w:val="20"/>
              </w:rPr>
              <w:t>Intervention</w:t>
            </w:r>
          </w:p>
        </w:tc>
        <w:tc>
          <w:tcPr>
            <w:tcW w:w="2865" w:type="dxa"/>
            <w:gridSpan w:val="2"/>
            <w:tcBorders>
              <w:left w:val="nil"/>
            </w:tcBorders>
          </w:tcPr>
          <w:p w14:paraId="6B185B11" w14:textId="77777777" w:rsidR="002064C3" w:rsidRPr="00F12882" w:rsidRDefault="002064C3" w:rsidP="00503454">
            <w:pPr>
              <w:pStyle w:val="TableText0"/>
              <w:rPr>
                <w:szCs w:val="20"/>
              </w:rPr>
            </w:pPr>
            <w:proofErr w:type="spellStart"/>
            <w:proofErr w:type="gramStart"/>
            <w:r w:rsidRPr="00F12882">
              <w:rPr>
                <w:szCs w:val="20"/>
              </w:rPr>
              <w:t>mpMRI</w:t>
            </w:r>
            <w:proofErr w:type="spellEnd"/>
            <w:proofErr w:type="gramEnd"/>
            <w:r w:rsidRPr="00F12882">
              <w:rPr>
                <w:szCs w:val="20"/>
              </w:rPr>
              <w:t xml:space="preserve"> in Population 1 and 2.</w:t>
            </w:r>
          </w:p>
        </w:tc>
        <w:tc>
          <w:tcPr>
            <w:tcW w:w="992" w:type="dxa"/>
            <w:vAlign w:val="center"/>
          </w:tcPr>
          <w:p w14:paraId="206A8833" w14:textId="77777777" w:rsidR="002064C3" w:rsidRPr="00F12882" w:rsidRDefault="002064C3" w:rsidP="00503454">
            <w:pPr>
              <w:pStyle w:val="TableText0"/>
              <w:rPr>
                <w:snapToGrid w:val="0"/>
              </w:rPr>
            </w:pPr>
            <w:r w:rsidRPr="00F12882">
              <w:rPr>
                <w:snapToGrid w:val="0"/>
              </w:rPr>
              <w:t>$13,490</w:t>
            </w:r>
          </w:p>
        </w:tc>
        <w:tc>
          <w:tcPr>
            <w:tcW w:w="1276" w:type="dxa"/>
            <w:vAlign w:val="center"/>
          </w:tcPr>
          <w:p w14:paraId="31F7CB18" w14:textId="77777777" w:rsidR="002064C3" w:rsidRPr="00F12882" w:rsidRDefault="002064C3" w:rsidP="00503454">
            <w:pPr>
              <w:pStyle w:val="TableText0"/>
              <w:rPr>
                <w:snapToGrid w:val="0"/>
              </w:rPr>
            </w:pPr>
            <w:r w:rsidRPr="00F12882">
              <w:rPr>
                <w:snapToGrid w:val="0"/>
              </w:rPr>
              <w:t>7.43</w:t>
            </w:r>
          </w:p>
        </w:tc>
        <w:tc>
          <w:tcPr>
            <w:tcW w:w="1134" w:type="dxa"/>
            <w:tcBorders>
              <w:bottom w:val="nil"/>
            </w:tcBorders>
            <w:vAlign w:val="center"/>
          </w:tcPr>
          <w:p w14:paraId="0A3724E6" w14:textId="77777777" w:rsidR="002064C3" w:rsidRPr="00F12882" w:rsidRDefault="002064C3" w:rsidP="00503454">
            <w:pPr>
              <w:pStyle w:val="TableText0"/>
              <w:rPr>
                <w:snapToGrid w:val="0"/>
              </w:rPr>
            </w:pPr>
          </w:p>
        </w:tc>
        <w:tc>
          <w:tcPr>
            <w:tcW w:w="1621" w:type="dxa"/>
            <w:vAlign w:val="center"/>
          </w:tcPr>
          <w:p w14:paraId="008F427B" w14:textId="77777777" w:rsidR="002064C3" w:rsidRPr="00F12882" w:rsidRDefault="002064C3" w:rsidP="00503454">
            <w:pPr>
              <w:pStyle w:val="TableText0"/>
              <w:rPr>
                <w:snapToGrid w:val="0"/>
              </w:rPr>
            </w:pPr>
            <w:r w:rsidRPr="00F12882">
              <w:rPr>
                <w:snapToGrid w:val="0"/>
              </w:rPr>
              <w:t>2.60</w:t>
            </w:r>
          </w:p>
        </w:tc>
      </w:tr>
      <w:tr w:rsidR="002064C3" w:rsidRPr="00420CC0" w14:paraId="511A914B" w14:textId="77777777" w:rsidTr="009007E2">
        <w:trPr>
          <w:trHeight w:val="397"/>
        </w:trPr>
        <w:tc>
          <w:tcPr>
            <w:tcW w:w="1246" w:type="dxa"/>
            <w:tcBorders>
              <w:right w:val="nil"/>
            </w:tcBorders>
          </w:tcPr>
          <w:p w14:paraId="0774F921" w14:textId="77777777" w:rsidR="002064C3" w:rsidRPr="00503454" w:rsidRDefault="002064C3" w:rsidP="00503454">
            <w:pPr>
              <w:pStyle w:val="TableText0"/>
              <w:rPr>
                <w:b/>
                <w:szCs w:val="20"/>
              </w:rPr>
            </w:pPr>
            <w:r w:rsidRPr="00503454">
              <w:rPr>
                <w:b/>
                <w:szCs w:val="20"/>
              </w:rPr>
              <w:t>Comparator</w:t>
            </w:r>
          </w:p>
        </w:tc>
        <w:tc>
          <w:tcPr>
            <w:tcW w:w="2865" w:type="dxa"/>
            <w:gridSpan w:val="2"/>
            <w:tcBorders>
              <w:left w:val="nil"/>
            </w:tcBorders>
          </w:tcPr>
          <w:p w14:paraId="2D862B96" w14:textId="77777777" w:rsidR="002064C3" w:rsidRPr="00F12882" w:rsidRDefault="002064C3" w:rsidP="00503454">
            <w:pPr>
              <w:pStyle w:val="TableText0"/>
              <w:rPr>
                <w:szCs w:val="20"/>
              </w:rPr>
            </w:pPr>
            <w:r w:rsidRPr="00F12882">
              <w:rPr>
                <w:szCs w:val="20"/>
              </w:rPr>
              <w:t>Prostate biopsy in Population 1 and 2.</w:t>
            </w:r>
          </w:p>
        </w:tc>
        <w:tc>
          <w:tcPr>
            <w:tcW w:w="992" w:type="dxa"/>
            <w:vAlign w:val="center"/>
          </w:tcPr>
          <w:p w14:paraId="0F42EB5B" w14:textId="77777777" w:rsidR="002064C3" w:rsidRPr="00F12882" w:rsidRDefault="002064C3" w:rsidP="00503454">
            <w:pPr>
              <w:pStyle w:val="TableText0"/>
              <w:rPr>
                <w:snapToGrid w:val="0"/>
              </w:rPr>
            </w:pPr>
            <w:r w:rsidRPr="00F12882">
              <w:rPr>
                <w:snapToGrid w:val="0"/>
              </w:rPr>
              <w:t xml:space="preserve">$12,635 </w:t>
            </w:r>
          </w:p>
        </w:tc>
        <w:tc>
          <w:tcPr>
            <w:tcW w:w="1276" w:type="dxa"/>
            <w:vAlign w:val="center"/>
          </w:tcPr>
          <w:p w14:paraId="154BB354" w14:textId="77777777" w:rsidR="002064C3" w:rsidRPr="00F12882" w:rsidRDefault="002064C3" w:rsidP="00503454">
            <w:pPr>
              <w:pStyle w:val="TableText0"/>
              <w:rPr>
                <w:snapToGrid w:val="0"/>
              </w:rPr>
            </w:pPr>
            <w:r w:rsidRPr="00F12882">
              <w:rPr>
                <w:snapToGrid w:val="0"/>
              </w:rPr>
              <w:t>7.45</w:t>
            </w:r>
          </w:p>
        </w:tc>
        <w:tc>
          <w:tcPr>
            <w:tcW w:w="1134" w:type="dxa"/>
            <w:tcBorders>
              <w:top w:val="nil"/>
              <w:bottom w:val="nil"/>
            </w:tcBorders>
            <w:vAlign w:val="center"/>
          </w:tcPr>
          <w:p w14:paraId="142B4E42" w14:textId="77777777" w:rsidR="002064C3" w:rsidRPr="00F12882" w:rsidRDefault="002064C3" w:rsidP="00503454">
            <w:pPr>
              <w:pStyle w:val="TableText0"/>
              <w:rPr>
                <w:snapToGrid w:val="0"/>
              </w:rPr>
            </w:pPr>
          </w:p>
        </w:tc>
        <w:tc>
          <w:tcPr>
            <w:tcW w:w="1621" w:type="dxa"/>
            <w:vAlign w:val="center"/>
          </w:tcPr>
          <w:p w14:paraId="5C6606AA" w14:textId="77777777" w:rsidR="002064C3" w:rsidRPr="00F12882" w:rsidRDefault="002064C3" w:rsidP="00503454">
            <w:pPr>
              <w:pStyle w:val="TableText0"/>
              <w:rPr>
                <w:snapToGrid w:val="0"/>
              </w:rPr>
            </w:pPr>
            <w:r w:rsidRPr="00F12882">
              <w:rPr>
                <w:snapToGrid w:val="0"/>
              </w:rPr>
              <w:t>3.61</w:t>
            </w:r>
          </w:p>
        </w:tc>
      </w:tr>
      <w:tr w:rsidR="002064C3" w:rsidRPr="00420CC0" w14:paraId="766D6DD6" w14:textId="77777777" w:rsidTr="009007E2">
        <w:trPr>
          <w:trHeight w:val="397"/>
        </w:trPr>
        <w:tc>
          <w:tcPr>
            <w:tcW w:w="4111" w:type="dxa"/>
            <w:gridSpan w:val="3"/>
            <w:tcBorders>
              <w:bottom w:val="single" w:sz="4" w:space="0" w:color="auto"/>
            </w:tcBorders>
          </w:tcPr>
          <w:p w14:paraId="0344D134" w14:textId="77777777" w:rsidR="002064C3" w:rsidRPr="00F12882" w:rsidRDefault="002064C3" w:rsidP="00503454">
            <w:pPr>
              <w:pStyle w:val="TableText0"/>
              <w:rPr>
                <w:szCs w:val="20"/>
              </w:rPr>
            </w:pPr>
            <w:proofErr w:type="spellStart"/>
            <w:r w:rsidRPr="00503454">
              <w:rPr>
                <w:b/>
                <w:szCs w:val="20"/>
              </w:rPr>
              <w:t>Increment</w:t>
            </w:r>
            <w:r w:rsidRPr="00243CEC">
              <w:rPr>
                <w:vertAlign w:val="superscript"/>
              </w:rPr>
              <w:t>b</w:t>
            </w:r>
            <w:proofErr w:type="spellEnd"/>
          </w:p>
        </w:tc>
        <w:tc>
          <w:tcPr>
            <w:tcW w:w="992" w:type="dxa"/>
            <w:tcBorders>
              <w:bottom w:val="single" w:sz="4" w:space="0" w:color="auto"/>
            </w:tcBorders>
            <w:vAlign w:val="center"/>
          </w:tcPr>
          <w:p w14:paraId="021A5B09" w14:textId="77777777" w:rsidR="002064C3" w:rsidRPr="00F12882" w:rsidRDefault="002064C3" w:rsidP="00503454">
            <w:pPr>
              <w:pStyle w:val="TableText0"/>
              <w:rPr>
                <w:snapToGrid w:val="0"/>
              </w:rPr>
            </w:pPr>
            <w:r w:rsidRPr="00F12882">
              <w:rPr>
                <w:snapToGrid w:val="0"/>
              </w:rPr>
              <w:t>$855</w:t>
            </w:r>
          </w:p>
        </w:tc>
        <w:tc>
          <w:tcPr>
            <w:tcW w:w="1276" w:type="dxa"/>
            <w:tcBorders>
              <w:bottom w:val="single" w:sz="4" w:space="0" w:color="auto"/>
            </w:tcBorders>
            <w:vAlign w:val="center"/>
          </w:tcPr>
          <w:p w14:paraId="48232304" w14:textId="77777777" w:rsidR="002064C3" w:rsidRPr="00F12882" w:rsidRDefault="002064C3" w:rsidP="00503454">
            <w:pPr>
              <w:pStyle w:val="TableText0"/>
              <w:rPr>
                <w:snapToGrid w:val="0"/>
              </w:rPr>
            </w:pPr>
            <w:r w:rsidRPr="00F12882">
              <w:rPr>
                <w:snapToGrid w:val="0"/>
              </w:rPr>
              <w:t>-0.02</w:t>
            </w:r>
          </w:p>
        </w:tc>
        <w:tc>
          <w:tcPr>
            <w:tcW w:w="1134" w:type="dxa"/>
            <w:tcBorders>
              <w:top w:val="nil"/>
              <w:bottom w:val="single" w:sz="4" w:space="0" w:color="auto"/>
            </w:tcBorders>
            <w:vAlign w:val="center"/>
          </w:tcPr>
          <w:p w14:paraId="07032A84" w14:textId="77777777" w:rsidR="002064C3" w:rsidRPr="00F12882" w:rsidRDefault="002064C3" w:rsidP="00503454">
            <w:pPr>
              <w:pStyle w:val="TableText0"/>
              <w:rPr>
                <w:snapToGrid w:val="0"/>
              </w:rPr>
            </w:pPr>
            <w:r w:rsidRPr="00F12882">
              <w:rPr>
                <w:snapToGrid w:val="0"/>
              </w:rPr>
              <w:t>Dominated</w:t>
            </w:r>
          </w:p>
        </w:tc>
        <w:tc>
          <w:tcPr>
            <w:tcW w:w="1621" w:type="dxa"/>
            <w:tcBorders>
              <w:bottom w:val="single" w:sz="4" w:space="0" w:color="auto"/>
            </w:tcBorders>
            <w:vAlign w:val="center"/>
          </w:tcPr>
          <w:p w14:paraId="1F82C287" w14:textId="77777777" w:rsidR="002064C3" w:rsidRPr="00F12882" w:rsidRDefault="002064C3" w:rsidP="00503454">
            <w:pPr>
              <w:pStyle w:val="TableText0"/>
              <w:rPr>
                <w:snapToGrid w:val="0"/>
              </w:rPr>
            </w:pPr>
            <w:r w:rsidRPr="00F12882">
              <w:rPr>
                <w:snapToGrid w:val="0"/>
              </w:rPr>
              <w:t>1.01</w:t>
            </w:r>
            <w:r w:rsidRPr="00925B4E">
              <w:rPr>
                <w:snapToGrid w:val="0"/>
                <w:vertAlign w:val="superscript"/>
              </w:rPr>
              <w:t>a</w:t>
            </w:r>
            <w:r w:rsidRPr="00F12882">
              <w:rPr>
                <w:snapToGrid w:val="0"/>
              </w:rPr>
              <w:t xml:space="preserve"> biopsies avoided per patient</w:t>
            </w:r>
          </w:p>
        </w:tc>
      </w:tr>
      <w:tr w:rsidR="002064C3" w:rsidRPr="00420CC0" w14:paraId="13EC4F71" w14:textId="77777777" w:rsidTr="009007E2">
        <w:trPr>
          <w:trHeight w:val="397"/>
        </w:trPr>
        <w:tc>
          <w:tcPr>
            <w:tcW w:w="4111" w:type="dxa"/>
            <w:gridSpan w:val="3"/>
            <w:tcBorders>
              <w:top w:val="single" w:sz="4" w:space="0" w:color="auto"/>
              <w:bottom w:val="single" w:sz="4" w:space="0" w:color="auto"/>
              <w:right w:val="nil"/>
            </w:tcBorders>
          </w:tcPr>
          <w:p w14:paraId="5F1B9ECE" w14:textId="57A6BC42" w:rsidR="002064C3" w:rsidRPr="00503454" w:rsidRDefault="002064C3" w:rsidP="00503454">
            <w:pPr>
              <w:pStyle w:val="TableText0"/>
              <w:rPr>
                <w:b/>
                <w:szCs w:val="20"/>
              </w:rPr>
            </w:pPr>
            <w:r w:rsidRPr="00503454">
              <w:rPr>
                <w:b/>
                <w:szCs w:val="20"/>
              </w:rPr>
              <w:t>Gordon et al</w:t>
            </w:r>
            <w:r w:rsidR="00503454">
              <w:rPr>
                <w:b/>
                <w:szCs w:val="20"/>
              </w:rPr>
              <w:t>.</w:t>
            </w:r>
            <w:r w:rsidRPr="00503454">
              <w:rPr>
                <w:b/>
                <w:szCs w:val="20"/>
              </w:rPr>
              <w:t xml:space="preserve"> (2016): Population 1</w:t>
            </w:r>
          </w:p>
        </w:tc>
        <w:tc>
          <w:tcPr>
            <w:tcW w:w="992" w:type="dxa"/>
            <w:tcBorders>
              <w:top w:val="single" w:sz="4" w:space="0" w:color="auto"/>
              <w:left w:val="nil"/>
              <w:bottom w:val="single" w:sz="4" w:space="0" w:color="auto"/>
              <w:right w:val="nil"/>
            </w:tcBorders>
            <w:vAlign w:val="center"/>
          </w:tcPr>
          <w:p w14:paraId="41A82C9D" w14:textId="77777777" w:rsidR="002064C3" w:rsidRPr="00F12882" w:rsidRDefault="002064C3" w:rsidP="00503454">
            <w:pPr>
              <w:pStyle w:val="TableText0"/>
              <w:rPr>
                <w:snapToGrid w:val="0"/>
              </w:rPr>
            </w:pPr>
          </w:p>
        </w:tc>
        <w:tc>
          <w:tcPr>
            <w:tcW w:w="1276" w:type="dxa"/>
            <w:tcBorders>
              <w:top w:val="single" w:sz="4" w:space="0" w:color="auto"/>
              <w:left w:val="nil"/>
              <w:bottom w:val="single" w:sz="4" w:space="0" w:color="auto"/>
              <w:right w:val="nil"/>
            </w:tcBorders>
            <w:vAlign w:val="center"/>
          </w:tcPr>
          <w:p w14:paraId="6BC44C76" w14:textId="77777777" w:rsidR="002064C3" w:rsidRPr="00F12882" w:rsidRDefault="002064C3" w:rsidP="00503454">
            <w:pPr>
              <w:pStyle w:val="TableText0"/>
              <w:rPr>
                <w:snapToGrid w:val="0"/>
              </w:rPr>
            </w:pPr>
          </w:p>
        </w:tc>
        <w:tc>
          <w:tcPr>
            <w:tcW w:w="1134" w:type="dxa"/>
            <w:tcBorders>
              <w:top w:val="single" w:sz="4" w:space="0" w:color="auto"/>
              <w:left w:val="nil"/>
              <w:bottom w:val="single" w:sz="4" w:space="0" w:color="auto"/>
              <w:right w:val="nil"/>
            </w:tcBorders>
            <w:vAlign w:val="center"/>
          </w:tcPr>
          <w:p w14:paraId="64B64B5E" w14:textId="77777777" w:rsidR="002064C3" w:rsidRPr="00F12882" w:rsidRDefault="002064C3" w:rsidP="00503454">
            <w:pPr>
              <w:pStyle w:val="TableText0"/>
              <w:rPr>
                <w:snapToGrid w:val="0"/>
              </w:rPr>
            </w:pPr>
          </w:p>
        </w:tc>
        <w:tc>
          <w:tcPr>
            <w:tcW w:w="1621" w:type="dxa"/>
            <w:tcBorders>
              <w:top w:val="single" w:sz="4" w:space="0" w:color="auto"/>
              <w:left w:val="nil"/>
              <w:bottom w:val="single" w:sz="4" w:space="0" w:color="auto"/>
            </w:tcBorders>
            <w:vAlign w:val="center"/>
          </w:tcPr>
          <w:p w14:paraId="407642C5" w14:textId="77777777" w:rsidR="002064C3" w:rsidRPr="00F12882" w:rsidRDefault="002064C3" w:rsidP="00503454">
            <w:pPr>
              <w:pStyle w:val="TableText0"/>
              <w:rPr>
                <w:snapToGrid w:val="0"/>
              </w:rPr>
            </w:pPr>
          </w:p>
        </w:tc>
      </w:tr>
      <w:tr w:rsidR="002064C3" w:rsidRPr="00420CC0" w14:paraId="48C5C42A" w14:textId="77777777" w:rsidTr="009007E2">
        <w:trPr>
          <w:trHeight w:val="397"/>
        </w:trPr>
        <w:tc>
          <w:tcPr>
            <w:tcW w:w="1274" w:type="dxa"/>
            <w:gridSpan w:val="2"/>
            <w:tcBorders>
              <w:top w:val="single" w:sz="4" w:space="0" w:color="auto"/>
              <w:right w:val="nil"/>
            </w:tcBorders>
            <w:vAlign w:val="center"/>
          </w:tcPr>
          <w:p w14:paraId="6BB06DA7" w14:textId="77777777" w:rsidR="002064C3" w:rsidRPr="00503454" w:rsidRDefault="002064C3" w:rsidP="00503454">
            <w:pPr>
              <w:pStyle w:val="TableText0"/>
              <w:rPr>
                <w:b/>
                <w:szCs w:val="20"/>
              </w:rPr>
            </w:pPr>
            <w:r w:rsidRPr="00503454">
              <w:rPr>
                <w:b/>
                <w:bCs/>
                <w:color w:val="000000"/>
                <w:szCs w:val="20"/>
              </w:rPr>
              <w:t>Intervention</w:t>
            </w:r>
          </w:p>
        </w:tc>
        <w:tc>
          <w:tcPr>
            <w:tcW w:w="2837" w:type="dxa"/>
            <w:tcBorders>
              <w:top w:val="single" w:sz="4" w:space="0" w:color="auto"/>
              <w:left w:val="nil"/>
            </w:tcBorders>
            <w:vAlign w:val="center"/>
          </w:tcPr>
          <w:p w14:paraId="6A6B8412" w14:textId="7D680DAA" w:rsidR="002064C3" w:rsidRPr="00F12882" w:rsidRDefault="006161CC" w:rsidP="00503454">
            <w:pPr>
              <w:pStyle w:val="TableText0"/>
              <w:rPr>
                <w:szCs w:val="20"/>
              </w:rPr>
            </w:pPr>
            <w:r>
              <w:rPr>
                <w:bCs/>
                <w:color w:val="000000"/>
                <w:szCs w:val="20"/>
              </w:rPr>
              <w:t xml:space="preserve">Strategy 2: </w:t>
            </w:r>
            <w:proofErr w:type="spellStart"/>
            <w:r>
              <w:rPr>
                <w:bCs/>
                <w:color w:val="000000"/>
                <w:szCs w:val="20"/>
              </w:rPr>
              <w:t>mpMRI±</w:t>
            </w:r>
            <w:r w:rsidR="00E96DDA">
              <w:rPr>
                <w:bCs/>
                <w:color w:val="000000"/>
                <w:szCs w:val="20"/>
              </w:rPr>
              <w:t>MRIGB</w:t>
            </w:r>
            <w:proofErr w:type="spellEnd"/>
          </w:p>
        </w:tc>
        <w:tc>
          <w:tcPr>
            <w:tcW w:w="992" w:type="dxa"/>
            <w:tcBorders>
              <w:top w:val="single" w:sz="4" w:space="0" w:color="auto"/>
            </w:tcBorders>
            <w:vAlign w:val="center"/>
          </w:tcPr>
          <w:p w14:paraId="39B68FAA" w14:textId="77777777" w:rsidR="002064C3" w:rsidRPr="00F12882" w:rsidRDefault="002064C3" w:rsidP="00503454">
            <w:pPr>
              <w:pStyle w:val="TableText0"/>
              <w:rPr>
                <w:snapToGrid w:val="0"/>
              </w:rPr>
            </w:pPr>
            <w:r w:rsidRPr="00F12882">
              <w:rPr>
                <w:snapToGrid w:val="0"/>
              </w:rPr>
              <w:t>$24,943</w:t>
            </w:r>
          </w:p>
        </w:tc>
        <w:tc>
          <w:tcPr>
            <w:tcW w:w="1276" w:type="dxa"/>
            <w:tcBorders>
              <w:top w:val="single" w:sz="4" w:space="0" w:color="auto"/>
            </w:tcBorders>
            <w:vAlign w:val="center"/>
          </w:tcPr>
          <w:p w14:paraId="2BB24087" w14:textId="77777777" w:rsidR="002064C3" w:rsidRPr="00F12882" w:rsidRDefault="002064C3" w:rsidP="00503454">
            <w:pPr>
              <w:pStyle w:val="TableText0"/>
              <w:rPr>
                <w:snapToGrid w:val="0"/>
              </w:rPr>
            </w:pPr>
            <w:r w:rsidRPr="00F12882">
              <w:rPr>
                <w:snapToGrid w:val="0"/>
              </w:rPr>
              <w:t>7.7</w:t>
            </w:r>
          </w:p>
        </w:tc>
        <w:tc>
          <w:tcPr>
            <w:tcW w:w="1134" w:type="dxa"/>
            <w:tcBorders>
              <w:top w:val="single" w:sz="4" w:space="0" w:color="auto"/>
              <w:bottom w:val="nil"/>
            </w:tcBorders>
            <w:vAlign w:val="center"/>
          </w:tcPr>
          <w:p w14:paraId="706257BA" w14:textId="77777777" w:rsidR="002064C3" w:rsidRPr="00F12882" w:rsidRDefault="002064C3" w:rsidP="00503454">
            <w:pPr>
              <w:pStyle w:val="TableText0"/>
              <w:rPr>
                <w:snapToGrid w:val="0"/>
              </w:rPr>
            </w:pPr>
          </w:p>
        </w:tc>
        <w:tc>
          <w:tcPr>
            <w:tcW w:w="1621" w:type="dxa"/>
            <w:tcBorders>
              <w:top w:val="single" w:sz="4" w:space="0" w:color="auto"/>
            </w:tcBorders>
            <w:vAlign w:val="center"/>
          </w:tcPr>
          <w:p w14:paraId="07CC6EDD" w14:textId="77777777" w:rsidR="002064C3" w:rsidRPr="00F12882" w:rsidRDefault="002064C3" w:rsidP="00503454">
            <w:pPr>
              <w:pStyle w:val="TableText0"/>
              <w:rPr>
                <w:snapToGrid w:val="0"/>
              </w:rPr>
            </w:pPr>
            <w:r w:rsidRPr="00F12882">
              <w:rPr>
                <w:snapToGrid w:val="0"/>
              </w:rPr>
              <w:t>1.14</w:t>
            </w:r>
          </w:p>
        </w:tc>
      </w:tr>
      <w:tr w:rsidR="002064C3" w:rsidRPr="00420CC0" w14:paraId="52A4C67C" w14:textId="77777777" w:rsidTr="009007E2">
        <w:trPr>
          <w:trHeight w:val="397"/>
        </w:trPr>
        <w:tc>
          <w:tcPr>
            <w:tcW w:w="1274" w:type="dxa"/>
            <w:gridSpan w:val="2"/>
            <w:tcBorders>
              <w:right w:val="nil"/>
            </w:tcBorders>
            <w:vAlign w:val="center"/>
          </w:tcPr>
          <w:p w14:paraId="66035BB8" w14:textId="77777777" w:rsidR="002064C3" w:rsidRPr="00503454" w:rsidRDefault="002064C3" w:rsidP="00503454">
            <w:pPr>
              <w:pStyle w:val="TableText0"/>
              <w:rPr>
                <w:b/>
                <w:szCs w:val="20"/>
              </w:rPr>
            </w:pPr>
            <w:r w:rsidRPr="00503454">
              <w:rPr>
                <w:b/>
                <w:bCs/>
                <w:color w:val="000000"/>
                <w:szCs w:val="20"/>
              </w:rPr>
              <w:t xml:space="preserve">Comparator </w:t>
            </w:r>
          </w:p>
        </w:tc>
        <w:tc>
          <w:tcPr>
            <w:tcW w:w="2837" w:type="dxa"/>
            <w:tcBorders>
              <w:left w:val="nil"/>
            </w:tcBorders>
            <w:vAlign w:val="center"/>
          </w:tcPr>
          <w:p w14:paraId="29E2813B" w14:textId="77777777" w:rsidR="002064C3" w:rsidRPr="00F12882" w:rsidRDefault="002064C3" w:rsidP="00503454">
            <w:pPr>
              <w:pStyle w:val="TableText0"/>
              <w:rPr>
                <w:szCs w:val="20"/>
              </w:rPr>
            </w:pPr>
            <w:r w:rsidRPr="00F12882">
              <w:rPr>
                <w:bCs/>
                <w:color w:val="000000"/>
                <w:szCs w:val="20"/>
              </w:rPr>
              <w:t>Strategy 1: TRUSGB</w:t>
            </w:r>
          </w:p>
        </w:tc>
        <w:tc>
          <w:tcPr>
            <w:tcW w:w="992" w:type="dxa"/>
            <w:vAlign w:val="center"/>
          </w:tcPr>
          <w:p w14:paraId="718470AC" w14:textId="77777777" w:rsidR="002064C3" w:rsidRPr="00F12882" w:rsidRDefault="002064C3" w:rsidP="00503454">
            <w:pPr>
              <w:pStyle w:val="TableText0"/>
              <w:rPr>
                <w:snapToGrid w:val="0"/>
              </w:rPr>
            </w:pPr>
            <w:r w:rsidRPr="00F12882">
              <w:rPr>
                <w:snapToGrid w:val="0"/>
              </w:rPr>
              <w:t>$24,203</w:t>
            </w:r>
          </w:p>
        </w:tc>
        <w:tc>
          <w:tcPr>
            <w:tcW w:w="1276" w:type="dxa"/>
            <w:vAlign w:val="center"/>
          </w:tcPr>
          <w:p w14:paraId="00E37830" w14:textId="77777777" w:rsidR="002064C3" w:rsidRPr="00F12882" w:rsidRDefault="002064C3" w:rsidP="00503454">
            <w:pPr>
              <w:pStyle w:val="TableText0"/>
              <w:rPr>
                <w:snapToGrid w:val="0"/>
              </w:rPr>
            </w:pPr>
            <w:r w:rsidRPr="00F12882">
              <w:rPr>
                <w:snapToGrid w:val="0"/>
              </w:rPr>
              <w:t>7.82</w:t>
            </w:r>
          </w:p>
        </w:tc>
        <w:tc>
          <w:tcPr>
            <w:tcW w:w="1134" w:type="dxa"/>
            <w:tcBorders>
              <w:top w:val="nil"/>
              <w:bottom w:val="nil"/>
            </w:tcBorders>
            <w:vAlign w:val="center"/>
          </w:tcPr>
          <w:p w14:paraId="31868D19" w14:textId="77777777" w:rsidR="002064C3" w:rsidRPr="00F12882" w:rsidRDefault="002064C3" w:rsidP="00503454">
            <w:pPr>
              <w:pStyle w:val="TableText0"/>
              <w:rPr>
                <w:snapToGrid w:val="0"/>
              </w:rPr>
            </w:pPr>
          </w:p>
        </w:tc>
        <w:tc>
          <w:tcPr>
            <w:tcW w:w="1621" w:type="dxa"/>
            <w:vAlign w:val="center"/>
          </w:tcPr>
          <w:p w14:paraId="11DFD2C0" w14:textId="77777777" w:rsidR="002064C3" w:rsidRPr="00F12882" w:rsidRDefault="002064C3" w:rsidP="00503454">
            <w:pPr>
              <w:pStyle w:val="TableText0"/>
              <w:rPr>
                <w:snapToGrid w:val="0"/>
              </w:rPr>
            </w:pPr>
            <w:r w:rsidRPr="00F12882">
              <w:rPr>
                <w:snapToGrid w:val="0"/>
              </w:rPr>
              <w:t>1.44</w:t>
            </w:r>
          </w:p>
        </w:tc>
      </w:tr>
      <w:tr w:rsidR="002064C3" w:rsidRPr="00420CC0" w14:paraId="2F024B50" w14:textId="77777777" w:rsidTr="009007E2">
        <w:trPr>
          <w:trHeight w:val="397"/>
        </w:trPr>
        <w:tc>
          <w:tcPr>
            <w:tcW w:w="4111" w:type="dxa"/>
            <w:gridSpan w:val="3"/>
            <w:tcBorders>
              <w:bottom w:val="single" w:sz="4" w:space="0" w:color="auto"/>
            </w:tcBorders>
            <w:vAlign w:val="center"/>
          </w:tcPr>
          <w:p w14:paraId="165F641F" w14:textId="77777777" w:rsidR="002064C3" w:rsidRPr="00F12882" w:rsidRDefault="002064C3" w:rsidP="00503454">
            <w:pPr>
              <w:pStyle w:val="TableText0"/>
              <w:rPr>
                <w:szCs w:val="20"/>
              </w:rPr>
            </w:pPr>
            <w:proofErr w:type="spellStart"/>
            <w:r w:rsidRPr="00503454">
              <w:rPr>
                <w:b/>
                <w:bCs/>
                <w:color w:val="000000"/>
                <w:szCs w:val="20"/>
              </w:rPr>
              <w:t>Increment</w:t>
            </w:r>
            <w:r w:rsidRPr="00243CEC">
              <w:rPr>
                <w:vertAlign w:val="superscript"/>
              </w:rPr>
              <w:t>b</w:t>
            </w:r>
            <w:proofErr w:type="spellEnd"/>
          </w:p>
        </w:tc>
        <w:tc>
          <w:tcPr>
            <w:tcW w:w="992" w:type="dxa"/>
            <w:tcBorders>
              <w:bottom w:val="single" w:sz="4" w:space="0" w:color="auto"/>
            </w:tcBorders>
            <w:vAlign w:val="center"/>
          </w:tcPr>
          <w:p w14:paraId="6490A5B1" w14:textId="77777777" w:rsidR="002064C3" w:rsidRPr="00F12882" w:rsidRDefault="002064C3" w:rsidP="00503454">
            <w:pPr>
              <w:pStyle w:val="TableText0"/>
              <w:rPr>
                <w:snapToGrid w:val="0"/>
              </w:rPr>
            </w:pPr>
            <w:r w:rsidRPr="00F12882">
              <w:rPr>
                <w:snapToGrid w:val="0"/>
              </w:rPr>
              <w:t>$740</w:t>
            </w:r>
          </w:p>
        </w:tc>
        <w:tc>
          <w:tcPr>
            <w:tcW w:w="1276" w:type="dxa"/>
            <w:tcBorders>
              <w:bottom w:val="single" w:sz="4" w:space="0" w:color="auto"/>
            </w:tcBorders>
            <w:vAlign w:val="center"/>
          </w:tcPr>
          <w:p w14:paraId="1C316C7E" w14:textId="77777777" w:rsidR="002064C3" w:rsidRPr="00F12882" w:rsidRDefault="002064C3" w:rsidP="00503454">
            <w:pPr>
              <w:pStyle w:val="TableText0"/>
              <w:rPr>
                <w:snapToGrid w:val="0"/>
              </w:rPr>
            </w:pPr>
            <w:r w:rsidRPr="00F12882">
              <w:rPr>
                <w:snapToGrid w:val="0"/>
              </w:rPr>
              <w:t>-0.12</w:t>
            </w:r>
          </w:p>
        </w:tc>
        <w:tc>
          <w:tcPr>
            <w:tcW w:w="1134" w:type="dxa"/>
            <w:tcBorders>
              <w:top w:val="nil"/>
              <w:bottom w:val="single" w:sz="4" w:space="0" w:color="auto"/>
            </w:tcBorders>
            <w:vAlign w:val="center"/>
          </w:tcPr>
          <w:p w14:paraId="2F1BD48C" w14:textId="77777777" w:rsidR="002064C3" w:rsidRPr="00F12882" w:rsidRDefault="002064C3" w:rsidP="00503454">
            <w:pPr>
              <w:pStyle w:val="TableText0"/>
              <w:rPr>
                <w:snapToGrid w:val="0"/>
              </w:rPr>
            </w:pPr>
            <w:r w:rsidRPr="00F12882">
              <w:rPr>
                <w:snapToGrid w:val="0"/>
              </w:rPr>
              <w:t>Dominated</w:t>
            </w:r>
          </w:p>
        </w:tc>
        <w:tc>
          <w:tcPr>
            <w:tcW w:w="1621" w:type="dxa"/>
            <w:tcBorders>
              <w:bottom w:val="single" w:sz="4" w:space="0" w:color="auto"/>
            </w:tcBorders>
            <w:vAlign w:val="center"/>
          </w:tcPr>
          <w:p w14:paraId="59B5D03B" w14:textId="77777777" w:rsidR="002064C3" w:rsidRPr="00F12882" w:rsidRDefault="002064C3" w:rsidP="00503454">
            <w:pPr>
              <w:pStyle w:val="TableText0"/>
              <w:rPr>
                <w:snapToGrid w:val="0"/>
              </w:rPr>
            </w:pPr>
            <w:r w:rsidRPr="00F12882">
              <w:rPr>
                <w:snapToGrid w:val="0"/>
              </w:rPr>
              <w:t>0.3</w:t>
            </w:r>
            <w:r w:rsidRPr="00925B4E">
              <w:rPr>
                <w:snapToGrid w:val="0"/>
                <w:vertAlign w:val="superscript"/>
              </w:rPr>
              <w:t>a</w:t>
            </w:r>
            <w:r w:rsidRPr="00F12882">
              <w:rPr>
                <w:snapToGrid w:val="0"/>
              </w:rPr>
              <w:t xml:space="preserve"> biopsies avoided per patient</w:t>
            </w:r>
          </w:p>
        </w:tc>
      </w:tr>
      <w:tr w:rsidR="002064C3" w:rsidRPr="00420CC0" w14:paraId="0A78A5D9" w14:textId="77777777" w:rsidTr="009007E2">
        <w:trPr>
          <w:trHeight w:val="397"/>
        </w:trPr>
        <w:tc>
          <w:tcPr>
            <w:tcW w:w="1274" w:type="dxa"/>
            <w:gridSpan w:val="2"/>
            <w:tcBorders>
              <w:top w:val="single" w:sz="4" w:space="0" w:color="auto"/>
              <w:right w:val="nil"/>
            </w:tcBorders>
            <w:vAlign w:val="center"/>
          </w:tcPr>
          <w:p w14:paraId="06101AC7" w14:textId="77777777" w:rsidR="002064C3" w:rsidRPr="00503454" w:rsidRDefault="002064C3" w:rsidP="00503454">
            <w:pPr>
              <w:pStyle w:val="TableText0"/>
              <w:rPr>
                <w:b/>
                <w:szCs w:val="20"/>
              </w:rPr>
            </w:pPr>
            <w:r w:rsidRPr="00503454">
              <w:rPr>
                <w:b/>
                <w:bCs/>
                <w:color w:val="000000"/>
                <w:szCs w:val="20"/>
              </w:rPr>
              <w:t>Intervention</w:t>
            </w:r>
          </w:p>
        </w:tc>
        <w:tc>
          <w:tcPr>
            <w:tcW w:w="2837" w:type="dxa"/>
            <w:tcBorders>
              <w:top w:val="single" w:sz="4" w:space="0" w:color="auto"/>
              <w:left w:val="nil"/>
            </w:tcBorders>
            <w:vAlign w:val="center"/>
          </w:tcPr>
          <w:p w14:paraId="32DFE82F" w14:textId="77CACCBA" w:rsidR="002064C3" w:rsidRPr="006161CC" w:rsidRDefault="002064C3" w:rsidP="00503454">
            <w:pPr>
              <w:pStyle w:val="TableText0"/>
              <w:rPr>
                <w:szCs w:val="20"/>
              </w:rPr>
            </w:pPr>
            <w:r w:rsidRPr="006161CC">
              <w:rPr>
                <w:bCs/>
                <w:color w:val="000000"/>
                <w:szCs w:val="20"/>
              </w:rPr>
              <w:t xml:space="preserve">Strategy 3: </w:t>
            </w:r>
            <w:proofErr w:type="spellStart"/>
            <w:r w:rsidRPr="006161CC">
              <w:rPr>
                <w:bCs/>
                <w:color w:val="000000"/>
                <w:szCs w:val="20"/>
              </w:rPr>
              <w:t>mpMRI</w:t>
            </w:r>
            <w:proofErr w:type="spellEnd"/>
            <w:r w:rsidRPr="006161CC">
              <w:rPr>
                <w:bCs/>
                <w:color w:val="000000"/>
                <w:szCs w:val="20"/>
              </w:rPr>
              <w:t xml:space="preserve"> ± </w:t>
            </w:r>
            <w:r w:rsidR="006161CC">
              <w:rPr>
                <w:bCs/>
                <w:color w:val="000000"/>
                <w:szCs w:val="20"/>
              </w:rPr>
              <w:t>TRUS/</w:t>
            </w:r>
            <w:r w:rsidRPr="006161CC">
              <w:rPr>
                <w:bCs/>
                <w:color w:val="000000"/>
                <w:szCs w:val="20"/>
              </w:rPr>
              <w:t xml:space="preserve">TPUS or </w:t>
            </w:r>
            <w:r w:rsidR="00E96DDA" w:rsidRPr="006161CC">
              <w:rPr>
                <w:bCs/>
                <w:color w:val="000000"/>
                <w:szCs w:val="20"/>
              </w:rPr>
              <w:t>MRIGB</w:t>
            </w:r>
          </w:p>
        </w:tc>
        <w:tc>
          <w:tcPr>
            <w:tcW w:w="992" w:type="dxa"/>
            <w:tcBorders>
              <w:top w:val="single" w:sz="4" w:space="0" w:color="auto"/>
            </w:tcBorders>
            <w:vAlign w:val="center"/>
          </w:tcPr>
          <w:p w14:paraId="52DB2D23" w14:textId="77777777" w:rsidR="002064C3" w:rsidRPr="006161CC" w:rsidRDefault="002064C3" w:rsidP="00503454">
            <w:pPr>
              <w:pStyle w:val="TableText0"/>
              <w:rPr>
                <w:snapToGrid w:val="0"/>
              </w:rPr>
            </w:pPr>
            <w:r w:rsidRPr="006161CC">
              <w:rPr>
                <w:snapToGrid w:val="0"/>
              </w:rPr>
              <w:t>$24,337</w:t>
            </w:r>
          </w:p>
        </w:tc>
        <w:tc>
          <w:tcPr>
            <w:tcW w:w="1276" w:type="dxa"/>
            <w:tcBorders>
              <w:top w:val="single" w:sz="4" w:space="0" w:color="auto"/>
            </w:tcBorders>
            <w:vAlign w:val="center"/>
          </w:tcPr>
          <w:p w14:paraId="3D5F7E4B" w14:textId="77777777" w:rsidR="002064C3" w:rsidRPr="006161CC" w:rsidRDefault="002064C3" w:rsidP="00503454">
            <w:pPr>
              <w:pStyle w:val="TableText0"/>
              <w:rPr>
                <w:snapToGrid w:val="0"/>
              </w:rPr>
            </w:pPr>
            <w:r w:rsidRPr="006161CC">
              <w:rPr>
                <w:snapToGrid w:val="0"/>
              </w:rPr>
              <w:t>7.77</w:t>
            </w:r>
          </w:p>
        </w:tc>
        <w:tc>
          <w:tcPr>
            <w:tcW w:w="1134" w:type="dxa"/>
            <w:tcBorders>
              <w:top w:val="single" w:sz="4" w:space="0" w:color="auto"/>
              <w:bottom w:val="nil"/>
            </w:tcBorders>
            <w:vAlign w:val="center"/>
          </w:tcPr>
          <w:p w14:paraId="137CD047" w14:textId="77777777" w:rsidR="002064C3" w:rsidRPr="006161CC" w:rsidRDefault="002064C3" w:rsidP="00503454">
            <w:pPr>
              <w:pStyle w:val="TableText0"/>
              <w:rPr>
                <w:snapToGrid w:val="0"/>
              </w:rPr>
            </w:pPr>
          </w:p>
        </w:tc>
        <w:tc>
          <w:tcPr>
            <w:tcW w:w="1621" w:type="dxa"/>
            <w:tcBorders>
              <w:top w:val="single" w:sz="4" w:space="0" w:color="auto"/>
            </w:tcBorders>
            <w:vAlign w:val="center"/>
          </w:tcPr>
          <w:p w14:paraId="364EDCC8" w14:textId="77777777" w:rsidR="002064C3" w:rsidRPr="00F12882" w:rsidRDefault="002064C3" w:rsidP="00503454">
            <w:pPr>
              <w:pStyle w:val="TableText0"/>
              <w:rPr>
                <w:snapToGrid w:val="0"/>
              </w:rPr>
            </w:pPr>
            <w:r w:rsidRPr="006161CC">
              <w:rPr>
                <w:snapToGrid w:val="0"/>
              </w:rPr>
              <w:t>1.10</w:t>
            </w:r>
          </w:p>
        </w:tc>
      </w:tr>
      <w:tr w:rsidR="002064C3" w:rsidRPr="00420CC0" w14:paraId="17FBC320" w14:textId="77777777" w:rsidTr="009007E2">
        <w:trPr>
          <w:trHeight w:val="397"/>
        </w:trPr>
        <w:tc>
          <w:tcPr>
            <w:tcW w:w="1274" w:type="dxa"/>
            <w:gridSpan w:val="2"/>
            <w:tcBorders>
              <w:right w:val="nil"/>
            </w:tcBorders>
            <w:vAlign w:val="center"/>
          </w:tcPr>
          <w:p w14:paraId="517F2A5B" w14:textId="77777777" w:rsidR="002064C3" w:rsidRPr="00503454" w:rsidRDefault="002064C3" w:rsidP="00503454">
            <w:pPr>
              <w:pStyle w:val="TableText0"/>
              <w:rPr>
                <w:b/>
                <w:szCs w:val="20"/>
              </w:rPr>
            </w:pPr>
            <w:r w:rsidRPr="00503454">
              <w:rPr>
                <w:b/>
                <w:bCs/>
                <w:color w:val="000000"/>
                <w:szCs w:val="20"/>
              </w:rPr>
              <w:t>Comparator</w:t>
            </w:r>
          </w:p>
        </w:tc>
        <w:tc>
          <w:tcPr>
            <w:tcW w:w="2837" w:type="dxa"/>
            <w:tcBorders>
              <w:left w:val="nil"/>
            </w:tcBorders>
            <w:vAlign w:val="center"/>
          </w:tcPr>
          <w:p w14:paraId="1688CB90" w14:textId="77777777" w:rsidR="002064C3" w:rsidRPr="00F12882" w:rsidRDefault="002064C3" w:rsidP="00503454">
            <w:pPr>
              <w:pStyle w:val="TableText0"/>
              <w:rPr>
                <w:szCs w:val="20"/>
              </w:rPr>
            </w:pPr>
            <w:r w:rsidRPr="00F12882">
              <w:rPr>
                <w:bCs/>
                <w:color w:val="000000"/>
                <w:szCs w:val="20"/>
              </w:rPr>
              <w:t>Strategy 1: TRUSGB</w:t>
            </w:r>
          </w:p>
        </w:tc>
        <w:tc>
          <w:tcPr>
            <w:tcW w:w="992" w:type="dxa"/>
            <w:vAlign w:val="center"/>
          </w:tcPr>
          <w:p w14:paraId="18F61960" w14:textId="77777777" w:rsidR="002064C3" w:rsidRPr="00F12882" w:rsidRDefault="002064C3" w:rsidP="00503454">
            <w:pPr>
              <w:pStyle w:val="TableText0"/>
              <w:rPr>
                <w:snapToGrid w:val="0"/>
              </w:rPr>
            </w:pPr>
            <w:r w:rsidRPr="00F12882">
              <w:rPr>
                <w:snapToGrid w:val="0"/>
              </w:rPr>
              <w:t>$24,203</w:t>
            </w:r>
          </w:p>
        </w:tc>
        <w:tc>
          <w:tcPr>
            <w:tcW w:w="1276" w:type="dxa"/>
            <w:vAlign w:val="center"/>
          </w:tcPr>
          <w:p w14:paraId="343824FC" w14:textId="77777777" w:rsidR="002064C3" w:rsidRPr="00F12882" w:rsidRDefault="002064C3" w:rsidP="00503454">
            <w:pPr>
              <w:pStyle w:val="TableText0"/>
              <w:rPr>
                <w:snapToGrid w:val="0"/>
              </w:rPr>
            </w:pPr>
            <w:r w:rsidRPr="00F12882">
              <w:rPr>
                <w:snapToGrid w:val="0"/>
              </w:rPr>
              <w:t>7.82</w:t>
            </w:r>
          </w:p>
        </w:tc>
        <w:tc>
          <w:tcPr>
            <w:tcW w:w="1134" w:type="dxa"/>
            <w:tcBorders>
              <w:top w:val="nil"/>
              <w:bottom w:val="nil"/>
            </w:tcBorders>
            <w:vAlign w:val="center"/>
          </w:tcPr>
          <w:p w14:paraId="68EF985C" w14:textId="77777777" w:rsidR="002064C3" w:rsidRPr="00F12882" w:rsidRDefault="002064C3" w:rsidP="00503454">
            <w:pPr>
              <w:pStyle w:val="TableText0"/>
              <w:rPr>
                <w:snapToGrid w:val="0"/>
              </w:rPr>
            </w:pPr>
          </w:p>
        </w:tc>
        <w:tc>
          <w:tcPr>
            <w:tcW w:w="1621" w:type="dxa"/>
            <w:vAlign w:val="center"/>
          </w:tcPr>
          <w:p w14:paraId="4AB4DFD5" w14:textId="77777777" w:rsidR="002064C3" w:rsidRPr="00F12882" w:rsidRDefault="002064C3" w:rsidP="00503454">
            <w:pPr>
              <w:pStyle w:val="TableText0"/>
              <w:rPr>
                <w:snapToGrid w:val="0"/>
              </w:rPr>
            </w:pPr>
            <w:r w:rsidRPr="00F12882">
              <w:rPr>
                <w:snapToGrid w:val="0"/>
              </w:rPr>
              <w:t>1.44</w:t>
            </w:r>
          </w:p>
        </w:tc>
      </w:tr>
      <w:tr w:rsidR="002064C3" w:rsidRPr="00420CC0" w14:paraId="09AC0B37" w14:textId="77777777" w:rsidTr="009007E2">
        <w:trPr>
          <w:trHeight w:val="397"/>
        </w:trPr>
        <w:tc>
          <w:tcPr>
            <w:tcW w:w="4111" w:type="dxa"/>
            <w:gridSpan w:val="3"/>
            <w:vAlign w:val="center"/>
          </w:tcPr>
          <w:p w14:paraId="307966D0" w14:textId="77777777" w:rsidR="002064C3" w:rsidRPr="00F12882" w:rsidRDefault="002064C3" w:rsidP="00503454">
            <w:pPr>
              <w:pStyle w:val="TableText0"/>
              <w:rPr>
                <w:szCs w:val="20"/>
              </w:rPr>
            </w:pPr>
            <w:proofErr w:type="spellStart"/>
            <w:r w:rsidRPr="00503454">
              <w:rPr>
                <w:b/>
                <w:bCs/>
                <w:color w:val="000000"/>
                <w:szCs w:val="20"/>
              </w:rPr>
              <w:t>Increment</w:t>
            </w:r>
            <w:r w:rsidRPr="00243CEC">
              <w:rPr>
                <w:vertAlign w:val="superscript"/>
              </w:rPr>
              <w:t>b</w:t>
            </w:r>
            <w:proofErr w:type="spellEnd"/>
          </w:p>
        </w:tc>
        <w:tc>
          <w:tcPr>
            <w:tcW w:w="992" w:type="dxa"/>
            <w:vAlign w:val="center"/>
          </w:tcPr>
          <w:p w14:paraId="3C69F847" w14:textId="77777777" w:rsidR="002064C3" w:rsidRPr="00F12882" w:rsidRDefault="002064C3" w:rsidP="00503454">
            <w:pPr>
              <w:pStyle w:val="TableText0"/>
              <w:rPr>
                <w:snapToGrid w:val="0"/>
              </w:rPr>
            </w:pPr>
            <w:r w:rsidRPr="00F12882">
              <w:rPr>
                <w:snapToGrid w:val="0"/>
              </w:rPr>
              <w:t>$134</w:t>
            </w:r>
          </w:p>
        </w:tc>
        <w:tc>
          <w:tcPr>
            <w:tcW w:w="1276" w:type="dxa"/>
            <w:vAlign w:val="center"/>
          </w:tcPr>
          <w:p w14:paraId="486696E8" w14:textId="77777777" w:rsidR="002064C3" w:rsidRPr="00F12882" w:rsidRDefault="002064C3" w:rsidP="00503454">
            <w:pPr>
              <w:pStyle w:val="TableText0"/>
              <w:rPr>
                <w:snapToGrid w:val="0"/>
              </w:rPr>
            </w:pPr>
            <w:r w:rsidRPr="00F12882">
              <w:rPr>
                <w:snapToGrid w:val="0"/>
              </w:rPr>
              <w:t>-0.05</w:t>
            </w:r>
          </w:p>
        </w:tc>
        <w:tc>
          <w:tcPr>
            <w:tcW w:w="1134" w:type="dxa"/>
            <w:tcBorders>
              <w:top w:val="nil"/>
            </w:tcBorders>
            <w:vAlign w:val="center"/>
          </w:tcPr>
          <w:p w14:paraId="22B81754" w14:textId="77777777" w:rsidR="002064C3" w:rsidRPr="00F12882" w:rsidRDefault="002064C3" w:rsidP="00503454">
            <w:pPr>
              <w:pStyle w:val="TableText0"/>
              <w:rPr>
                <w:snapToGrid w:val="0"/>
              </w:rPr>
            </w:pPr>
            <w:r w:rsidRPr="00F12882">
              <w:rPr>
                <w:snapToGrid w:val="0"/>
              </w:rPr>
              <w:t>Dominated</w:t>
            </w:r>
          </w:p>
        </w:tc>
        <w:tc>
          <w:tcPr>
            <w:tcW w:w="1621" w:type="dxa"/>
            <w:vAlign w:val="center"/>
          </w:tcPr>
          <w:p w14:paraId="0B63AB37" w14:textId="77777777" w:rsidR="002064C3" w:rsidRPr="00F12882" w:rsidRDefault="002064C3" w:rsidP="00503454">
            <w:pPr>
              <w:pStyle w:val="TableText0"/>
              <w:rPr>
                <w:snapToGrid w:val="0"/>
              </w:rPr>
            </w:pPr>
            <w:r w:rsidRPr="00F12882">
              <w:rPr>
                <w:snapToGrid w:val="0"/>
              </w:rPr>
              <w:t>0.34</w:t>
            </w:r>
            <w:r w:rsidRPr="00925B4E">
              <w:rPr>
                <w:snapToGrid w:val="0"/>
                <w:vertAlign w:val="superscript"/>
              </w:rPr>
              <w:t>a</w:t>
            </w:r>
            <w:r w:rsidRPr="00F12882">
              <w:rPr>
                <w:snapToGrid w:val="0"/>
              </w:rPr>
              <w:t xml:space="preserve"> biopsies avoided per patient</w:t>
            </w:r>
          </w:p>
        </w:tc>
      </w:tr>
    </w:tbl>
    <w:p w14:paraId="3659FFB0" w14:textId="27400D53" w:rsidR="006161CC" w:rsidRDefault="006161CC" w:rsidP="006161CC">
      <w:pPr>
        <w:pStyle w:val="TableNotes"/>
        <w:rPr>
          <w:szCs w:val="20"/>
        </w:rPr>
      </w:pPr>
      <w:proofErr w:type="gramStart"/>
      <w:r w:rsidRPr="006161CC">
        <w:rPr>
          <w:szCs w:val="20"/>
          <w:vertAlign w:val="superscript"/>
        </w:rPr>
        <w:t>a</w:t>
      </w:r>
      <w:proofErr w:type="gramEnd"/>
      <w:r>
        <w:rPr>
          <w:szCs w:val="20"/>
        </w:rPr>
        <w:t xml:space="preserve">: Results reported are mean biopsies avoided per patient, i.e. favours intervention. </w:t>
      </w:r>
    </w:p>
    <w:p w14:paraId="35B2CBC5" w14:textId="3908A7B4" w:rsidR="006161CC" w:rsidRPr="0071787E" w:rsidRDefault="006161CC" w:rsidP="006161CC">
      <w:pPr>
        <w:pStyle w:val="TableNotes"/>
        <w:rPr>
          <w:szCs w:val="20"/>
        </w:rPr>
      </w:pPr>
      <w:proofErr w:type="gramStart"/>
      <w:r w:rsidRPr="006161CC">
        <w:rPr>
          <w:szCs w:val="20"/>
          <w:vertAlign w:val="superscript"/>
        </w:rPr>
        <w:t>b</w:t>
      </w:r>
      <w:proofErr w:type="gramEnd"/>
      <w:r>
        <w:rPr>
          <w:szCs w:val="20"/>
        </w:rPr>
        <w:t>: Increment = intervention minus comparator</w:t>
      </w:r>
      <w:r w:rsidR="00E87958">
        <w:rPr>
          <w:szCs w:val="20"/>
        </w:rPr>
        <w:t>.</w:t>
      </w:r>
    </w:p>
    <w:p w14:paraId="2836F33B" w14:textId="3985112D" w:rsidR="002064C3" w:rsidRPr="00183E4D" w:rsidRDefault="002064C3" w:rsidP="00666ADE">
      <w:pPr>
        <w:pStyle w:val="TableNotes"/>
      </w:pPr>
      <w:r>
        <w:t>ICER</w:t>
      </w:r>
      <w:r w:rsidR="00666ADE">
        <w:t xml:space="preserve"> =</w:t>
      </w:r>
      <w:r>
        <w:t xml:space="preserve"> </w:t>
      </w:r>
      <w:r w:rsidRPr="00183E4D">
        <w:t>Incremental Cost Effectiveness Ratio</w:t>
      </w:r>
      <w:r w:rsidR="006161CC">
        <w:t>,</w:t>
      </w:r>
      <w:r w:rsidR="00666ADE">
        <w:t xml:space="preserve"> QALYs = </w:t>
      </w:r>
      <w:r w:rsidR="006161CC">
        <w:t>q</w:t>
      </w:r>
      <w:r w:rsidR="00666ADE">
        <w:t xml:space="preserve">uality of </w:t>
      </w:r>
      <w:r w:rsidR="006161CC">
        <w:t>l</w:t>
      </w:r>
      <w:r w:rsidR="00666ADE">
        <w:t>ife</w:t>
      </w:r>
      <w:r w:rsidR="006161CC">
        <w:t>-</w:t>
      </w:r>
      <w:r w:rsidR="00666ADE">
        <w:t>years</w:t>
      </w:r>
      <w:r w:rsidR="006161CC">
        <w:t>,</w:t>
      </w:r>
      <w:r w:rsidR="00666ADE">
        <w:t xml:space="preserve"> MRIGB = magnetic resonance imaging guided biopsy</w:t>
      </w:r>
      <w:r w:rsidR="006161CC">
        <w:t>,</w:t>
      </w:r>
      <w:r w:rsidR="00666ADE">
        <w:t xml:space="preserve"> </w:t>
      </w:r>
      <w:proofErr w:type="spellStart"/>
      <w:r w:rsidR="00666ADE" w:rsidRPr="007E7D2E">
        <w:t>mpMRI</w:t>
      </w:r>
      <w:proofErr w:type="spellEnd"/>
      <w:r w:rsidR="00666ADE">
        <w:t xml:space="preserve"> =</w:t>
      </w:r>
      <w:r w:rsidR="00666ADE" w:rsidRPr="007E7D2E">
        <w:t xml:space="preserve"> </w:t>
      </w:r>
      <w:proofErr w:type="spellStart"/>
      <w:r w:rsidR="00666ADE" w:rsidRPr="007E7D2E">
        <w:t>multiparametric</w:t>
      </w:r>
      <w:proofErr w:type="spellEnd"/>
      <w:r w:rsidR="00666ADE" w:rsidRPr="007E7D2E">
        <w:t xml:space="preserve"> MRI</w:t>
      </w:r>
      <w:r w:rsidR="006161CC">
        <w:t>,</w:t>
      </w:r>
      <w:r w:rsidR="00666ADE" w:rsidRPr="007E7D2E">
        <w:t xml:space="preserve"> </w:t>
      </w:r>
      <w:r w:rsidR="00666ADE">
        <w:t>TPUS</w:t>
      </w:r>
      <w:r w:rsidR="00666ADE" w:rsidRPr="007E7D2E">
        <w:t>GB, trans</w:t>
      </w:r>
      <w:r w:rsidR="00666ADE">
        <w:t>-</w:t>
      </w:r>
      <w:r w:rsidR="00666ADE" w:rsidRPr="007E7D2E">
        <w:t>perineal</w:t>
      </w:r>
      <w:r w:rsidR="00666ADE">
        <w:t xml:space="preserve"> ultrasound guided biopsy</w:t>
      </w:r>
      <w:r w:rsidR="006161CC">
        <w:t>,</w:t>
      </w:r>
      <w:r w:rsidR="00666ADE">
        <w:t xml:space="preserve"> TRUS</w:t>
      </w:r>
      <w:r w:rsidR="00666ADE" w:rsidRPr="007E7D2E">
        <w:t>GB, trans</w:t>
      </w:r>
      <w:r w:rsidR="00666ADE">
        <w:t>-</w:t>
      </w:r>
      <w:r w:rsidR="00666ADE" w:rsidRPr="007E7D2E">
        <w:t>rectal ultrasound guided biopsy.</w:t>
      </w:r>
    </w:p>
    <w:p w14:paraId="5F1DE564" w14:textId="77777777" w:rsidR="002064C3" w:rsidRDefault="002064C3" w:rsidP="00666ADE">
      <w:pPr>
        <w:pStyle w:val="TableNotes"/>
        <w:rPr>
          <w:szCs w:val="20"/>
        </w:rPr>
      </w:pPr>
      <w:r>
        <w:rPr>
          <w:szCs w:val="20"/>
        </w:rPr>
        <w:t xml:space="preserve">Source: Section D.3 </w:t>
      </w:r>
      <w:r w:rsidRPr="00883E14">
        <w:fldChar w:fldCharType="begin"/>
      </w:r>
      <w:r w:rsidRPr="00883E14">
        <w:instrText xml:space="preserve"> REF _Ref395196756 \h </w:instrText>
      </w:r>
      <w:r>
        <w:instrText xml:space="preserve"> \* MERGEFORMAT </w:instrText>
      </w:r>
      <w:r w:rsidRPr="00883E14">
        <w:fldChar w:fldCharType="separate"/>
      </w:r>
      <w:r w:rsidR="0029649D" w:rsidRPr="002D269C">
        <w:t xml:space="preserve">Table </w:t>
      </w:r>
      <w:r w:rsidR="0029649D">
        <w:t>51</w:t>
      </w:r>
      <w:r w:rsidRPr="00883E14">
        <w:fldChar w:fldCharType="end"/>
      </w:r>
      <w:r w:rsidRPr="00883E14">
        <w:t xml:space="preserve"> </w:t>
      </w:r>
    </w:p>
    <w:p w14:paraId="0C1C28DD" w14:textId="0D972288" w:rsidR="002064C3" w:rsidRPr="00503C5B" w:rsidRDefault="002064C3" w:rsidP="002064C3">
      <w:r>
        <w:t xml:space="preserve">In Population 1, </w:t>
      </w:r>
      <w:proofErr w:type="spellStart"/>
      <w:r>
        <w:t>mpMRI</w:t>
      </w:r>
      <w:proofErr w:type="spellEnd"/>
      <w:r>
        <w:t xml:space="preserve"> is dominated (more costly, less effective) by the prostate biopsy. In Population 2, the incremental cost per </w:t>
      </w:r>
      <w:r w:rsidR="00685742">
        <w:t>quality of life year (</w:t>
      </w:r>
      <w:r>
        <w:t>QALY</w:t>
      </w:r>
      <w:r w:rsidR="00685742">
        <w:t>)</w:t>
      </w:r>
      <w:r>
        <w:t xml:space="preserve"> gained by using </w:t>
      </w:r>
      <w:proofErr w:type="spellStart"/>
      <w:r>
        <w:t>mpMRI</w:t>
      </w:r>
      <w:proofErr w:type="spellEnd"/>
      <w:r>
        <w:t xml:space="preserve"> is $</w:t>
      </w:r>
      <w:r w:rsidRPr="00B75404">
        <w:t>12,821</w:t>
      </w:r>
      <w:r>
        <w:t xml:space="preserve">. For each of the strategies, </w:t>
      </w:r>
      <w:proofErr w:type="spellStart"/>
      <w:r>
        <w:t>mpMRI</w:t>
      </w:r>
      <w:proofErr w:type="spellEnd"/>
      <w:r>
        <w:t xml:space="preserve"> reduces the average number of biopsies needed per patient. This reduction is largest </w:t>
      </w:r>
      <w:r w:rsidR="00685742">
        <w:t>where</w:t>
      </w:r>
      <w:r>
        <w:t xml:space="preserve"> </w:t>
      </w:r>
      <w:proofErr w:type="spellStart"/>
      <w:r w:rsidRPr="00B75404">
        <w:t>mpMRI</w:t>
      </w:r>
      <w:proofErr w:type="spellEnd"/>
      <w:r w:rsidRPr="00B75404">
        <w:t xml:space="preserve"> is introduced </w:t>
      </w:r>
      <w:r w:rsidR="00685742">
        <w:t>for</w:t>
      </w:r>
      <w:r w:rsidRPr="00B75404">
        <w:t xml:space="preserve"> both </w:t>
      </w:r>
      <w:r>
        <w:t>Population 1</w:t>
      </w:r>
      <w:r w:rsidRPr="00B75404">
        <w:t xml:space="preserve"> and 2, resulting in an average of 1.01 biopsies avoided per patient. The introduction of </w:t>
      </w:r>
      <w:proofErr w:type="spellStart"/>
      <w:r w:rsidRPr="00B75404">
        <w:t>mpMRI</w:t>
      </w:r>
      <w:proofErr w:type="spellEnd"/>
      <w:r w:rsidRPr="00B75404">
        <w:t xml:space="preserve"> results in a higher number of </w:t>
      </w:r>
      <w:r w:rsidRPr="00B75404">
        <w:lastRenderedPageBreak/>
        <w:t>significant cancers diagnosed (613 versus 604 per 1,000 patients), while reducing the number of insignificant cancer</w:t>
      </w:r>
      <w:r w:rsidR="00685742">
        <w:t>s</w:t>
      </w:r>
      <w:r w:rsidRPr="00B75404">
        <w:t xml:space="preserve"> diagnosed (625 versus 654 per 1,000 patients) at initial </w:t>
      </w:r>
      <w:proofErr w:type="spellStart"/>
      <w:r>
        <w:t>PCa</w:t>
      </w:r>
      <w:proofErr w:type="spellEnd"/>
      <w:r>
        <w:t xml:space="preserve"> diagnosis.</w:t>
      </w:r>
    </w:p>
    <w:p w14:paraId="2F585963" w14:textId="141AA653" w:rsidR="002064C3" w:rsidRDefault="002064C3" w:rsidP="002064C3">
      <w:bookmarkStart w:id="133" w:name="_Toc456879147"/>
      <w:r>
        <w:t xml:space="preserve">In Population 1, </w:t>
      </w:r>
      <w:proofErr w:type="spellStart"/>
      <w:r>
        <w:t>mpMRI</w:t>
      </w:r>
      <w:proofErr w:type="spellEnd"/>
      <w:r>
        <w:t xml:space="preserve"> is dominated by prostate biopsy in each of the scenarios, except when looking at a time horizon of 5 years only. With a 5 year time horizon, the </w:t>
      </w:r>
      <w:r w:rsidR="00685742">
        <w:t>incremental cost effectiveness ratio (</w:t>
      </w:r>
      <w:r>
        <w:t>ICER</w:t>
      </w:r>
      <w:r w:rsidR="00685742">
        <w:t>)</w:t>
      </w:r>
      <w:r>
        <w:t xml:space="preserve"> of </w:t>
      </w:r>
      <w:proofErr w:type="spellStart"/>
      <w:r>
        <w:t>mpMRI</w:t>
      </w:r>
      <w:proofErr w:type="spellEnd"/>
      <w:r>
        <w:t xml:space="preserve"> over prostate biopsy is </w:t>
      </w:r>
      <w:r w:rsidRPr="00A16F5C">
        <w:rPr>
          <w:snapToGrid w:val="0"/>
          <w:lang w:eastAsia="en-US"/>
        </w:rPr>
        <w:t>$80,26</w:t>
      </w:r>
      <w:r w:rsidR="00685742">
        <w:rPr>
          <w:snapToGrid w:val="0"/>
          <w:lang w:eastAsia="en-US"/>
        </w:rPr>
        <w:t xml:space="preserve">4 per </w:t>
      </w:r>
      <w:r>
        <w:rPr>
          <w:snapToGrid w:val="0"/>
          <w:lang w:eastAsia="en-US"/>
        </w:rPr>
        <w:t xml:space="preserve">QALY in Population 1. </w:t>
      </w:r>
      <w:r>
        <w:t xml:space="preserve">In Population 2, the ICER is most sensitivity to the use of </w:t>
      </w:r>
      <w:r w:rsidR="00E96DDA">
        <w:t>MRIGB</w:t>
      </w:r>
      <w:r>
        <w:t xml:space="preserve"> in addition to </w:t>
      </w:r>
      <w:proofErr w:type="spellStart"/>
      <w:r>
        <w:t>mpMRI</w:t>
      </w:r>
      <w:proofErr w:type="spellEnd"/>
      <w:r>
        <w:t xml:space="preserve"> in the intervention arm. In this sensitivity analysis, </w:t>
      </w:r>
      <w:r w:rsidR="00E96DDA">
        <w:t>MRIGB</w:t>
      </w:r>
      <w:r>
        <w:t xml:space="preserve"> was assumed to be used for all patients with PI-RADS 4-5, consistent with the proposed </w:t>
      </w:r>
      <w:r w:rsidR="007F498C">
        <w:t xml:space="preserve">clinical algorithm in the Protocol </w:t>
      </w:r>
      <w:r>
        <w:t xml:space="preserve">1397. This increases the ICER from $12,821 to $66,320 per QALY gained with </w:t>
      </w:r>
      <w:proofErr w:type="spellStart"/>
      <w:r>
        <w:t>mpMRI</w:t>
      </w:r>
      <w:proofErr w:type="spellEnd"/>
      <w:r>
        <w:t xml:space="preserve"> (see </w:t>
      </w:r>
      <w:r>
        <w:fldChar w:fldCharType="begin"/>
      </w:r>
      <w:r>
        <w:instrText xml:space="preserve"> REF _Ref457380671 \h </w:instrText>
      </w:r>
      <w:r>
        <w:fldChar w:fldCharType="separate"/>
      </w:r>
      <w:r w:rsidR="0029649D" w:rsidRPr="00714204">
        <w:t xml:space="preserve">Table </w:t>
      </w:r>
      <w:r w:rsidR="0029649D">
        <w:rPr>
          <w:noProof/>
        </w:rPr>
        <w:t>12</w:t>
      </w:r>
      <w:r>
        <w:fldChar w:fldCharType="end"/>
      </w:r>
      <w:r>
        <w:t>).</w:t>
      </w:r>
    </w:p>
    <w:p w14:paraId="6B6A0028" w14:textId="77777777" w:rsidR="002064C3" w:rsidRPr="00065D78" w:rsidRDefault="002064C3" w:rsidP="002064C3">
      <w:pPr>
        <w:pStyle w:val="Caption"/>
        <w:ind w:left="1134" w:hanging="1134"/>
      </w:pPr>
      <w:bookmarkStart w:id="134" w:name="_Ref457380671"/>
      <w:bookmarkStart w:id="135" w:name="_Toc459987897"/>
      <w:bookmarkStart w:id="136" w:name="_Toc460514512"/>
      <w:r w:rsidRPr="00714204">
        <w:t xml:space="preserve">Table </w:t>
      </w:r>
      <w:fldSimple w:instr=" SEQ Table \* ARABIC ">
        <w:r w:rsidR="0029649D">
          <w:rPr>
            <w:noProof/>
          </w:rPr>
          <w:t>12</w:t>
        </w:r>
      </w:fldSimple>
      <w:bookmarkEnd w:id="134"/>
      <w:r w:rsidRPr="00714204">
        <w:tab/>
      </w:r>
      <w:r w:rsidRPr="00714204">
        <w:rPr>
          <w:rFonts w:cs="Arial"/>
          <w:snapToGrid w:val="0"/>
          <w:szCs w:val="16"/>
          <w:lang w:eastAsia="en-US"/>
        </w:rPr>
        <w:t>Key</w:t>
      </w:r>
      <w:r w:rsidRPr="00183E4D">
        <w:rPr>
          <w:rFonts w:cs="Arial"/>
          <w:snapToGrid w:val="0"/>
          <w:szCs w:val="16"/>
          <w:lang w:eastAsia="en-US"/>
        </w:rPr>
        <w:t xml:space="preserve"> drivers of the economic model</w:t>
      </w:r>
      <w:bookmarkEnd w:id="133"/>
      <w:bookmarkEnd w:id="135"/>
      <w:bookmarkEnd w:id="136"/>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8 Key drivers of the economic model"/>
        <w:tblDescription w:val="This table describes what factors and assumptions in the economic model affect the incremental cost-effectiveness to the greatest extent."/>
      </w:tblPr>
      <w:tblGrid>
        <w:gridCol w:w="2404"/>
        <w:gridCol w:w="4117"/>
        <w:gridCol w:w="2591"/>
      </w:tblGrid>
      <w:tr w:rsidR="002064C3" w:rsidRPr="00503454" w14:paraId="2F9CF400" w14:textId="77777777" w:rsidTr="00503454">
        <w:trPr>
          <w:trHeight w:val="397"/>
          <w:tblHeader/>
        </w:trPr>
        <w:tc>
          <w:tcPr>
            <w:tcW w:w="1319" w:type="pct"/>
            <w:shd w:val="clear" w:color="auto" w:fill="auto"/>
            <w:vAlign w:val="center"/>
          </w:tcPr>
          <w:p w14:paraId="5C94EC86" w14:textId="77777777" w:rsidR="002064C3" w:rsidRPr="00503454" w:rsidRDefault="002064C3" w:rsidP="008840EC">
            <w:pPr>
              <w:pStyle w:val="Tableheading1"/>
              <w:rPr>
                <w:snapToGrid w:val="0"/>
              </w:rPr>
            </w:pPr>
            <w:r w:rsidRPr="00503454">
              <w:rPr>
                <w:snapToGrid w:val="0"/>
              </w:rPr>
              <w:t>Description</w:t>
            </w:r>
          </w:p>
        </w:tc>
        <w:tc>
          <w:tcPr>
            <w:tcW w:w="2259" w:type="pct"/>
            <w:shd w:val="clear" w:color="auto" w:fill="auto"/>
            <w:vAlign w:val="center"/>
          </w:tcPr>
          <w:p w14:paraId="5842C365" w14:textId="77777777" w:rsidR="002064C3" w:rsidRPr="00503454" w:rsidRDefault="002064C3" w:rsidP="008840EC">
            <w:pPr>
              <w:pStyle w:val="Tableheading1"/>
              <w:rPr>
                <w:snapToGrid w:val="0"/>
              </w:rPr>
            </w:pPr>
            <w:r w:rsidRPr="00503454">
              <w:rPr>
                <w:snapToGrid w:val="0"/>
              </w:rPr>
              <w:t>Method/Value</w:t>
            </w:r>
          </w:p>
        </w:tc>
        <w:tc>
          <w:tcPr>
            <w:tcW w:w="1422" w:type="pct"/>
            <w:shd w:val="clear" w:color="auto" w:fill="auto"/>
            <w:vAlign w:val="center"/>
          </w:tcPr>
          <w:p w14:paraId="144ED70E" w14:textId="77777777" w:rsidR="002064C3" w:rsidRPr="00503454" w:rsidRDefault="002064C3" w:rsidP="008840EC">
            <w:pPr>
              <w:pStyle w:val="Tableheading1"/>
              <w:rPr>
                <w:snapToGrid w:val="0"/>
              </w:rPr>
            </w:pPr>
            <w:r w:rsidRPr="00503454">
              <w:rPr>
                <w:snapToGrid w:val="0"/>
              </w:rPr>
              <w:t>Impact</w:t>
            </w:r>
          </w:p>
        </w:tc>
      </w:tr>
      <w:tr w:rsidR="002064C3" w:rsidRPr="00183E4D" w14:paraId="26E3F284" w14:textId="77777777" w:rsidTr="00503454">
        <w:trPr>
          <w:trHeight w:val="397"/>
        </w:trPr>
        <w:tc>
          <w:tcPr>
            <w:tcW w:w="1319" w:type="pct"/>
            <w:shd w:val="clear" w:color="auto" w:fill="auto"/>
            <w:vAlign w:val="center"/>
          </w:tcPr>
          <w:p w14:paraId="33497B84" w14:textId="77777777" w:rsidR="002064C3" w:rsidRPr="00503454" w:rsidRDefault="002064C3" w:rsidP="008840EC">
            <w:pPr>
              <w:pStyle w:val="Tabletext1"/>
              <w:rPr>
                <w:snapToGrid w:val="0"/>
              </w:rPr>
            </w:pPr>
            <w:r w:rsidRPr="00503454">
              <w:rPr>
                <w:snapToGrid w:val="0"/>
              </w:rPr>
              <w:t>Time horizon</w:t>
            </w:r>
          </w:p>
        </w:tc>
        <w:tc>
          <w:tcPr>
            <w:tcW w:w="2259" w:type="pct"/>
            <w:shd w:val="clear" w:color="auto" w:fill="auto"/>
            <w:vAlign w:val="center"/>
          </w:tcPr>
          <w:p w14:paraId="251456CA" w14:textId="77777777" w:rsidR="002064C3" w:rsidRPr="00183E4D" w:rsidRDefault="002064C3" w:rsidP="008840EC">
            <w:pPr>
              <w:pStyle w:val="Tabletext1"/>
              <w:rPr>
                <w:snapToGrid w:val="0"/>
              </w:rPr>
            </w:pPr>
            <w:r>
              <w:rPr>
                <w:snapToGrid w:val="0"/>
              </w:rPr>
              <w:t>5 and 10 years</w:t>
            </w:r>
          </w:p>
        </w:tc>
        <w:tc>
          <w:tcPr>
            <w:tcW w:w="1422" w:type="pct"/>
            <w:shd w:val="clear" w:color="auto" w:fill="auto"/>
            <w:vAlign w:val="center"/>
          </w:tcPr>
          <w:p w14:paraId="18524313" w14:textId="77777777" w:rsidR="002064C3" w:rsidRPr="00183E4D" w:rsidRDefault="002064C3" w:rsidP="008840EC">
            <w:pPr>
              <w:pStyle w:val="Tabletext1"/>
              <w:rPr>
                <w:snapToGrid w:val="0"/>
              </w:rPr>
            </w:pPr>
            <w:r>
              <w:rPr>
                <w:snapToGrid w:val="0"/>
              </w:rPr>
              <w:t>High, favours intervention</w:t>
            </w:r>
          </w:p>
        </w:tc>
      </w:tr>
      <w:tr w:rsidR="002064C3" w:rsidRPr="00183E4D" w14:paraId="0066E86E" w14:textId="77777777" w:rsidTr="00503454">
        <w:trPr>
          <w:trHeight w:val="397"/>
        </w:trPr>
        <w:tc>
          <w:tcPr>
            <w:tcW w:w="1319" w:type="pct"/>
            <w:shd w:val="clear" w:color="auto" w:fill="auto"/>
            <w:vAlign w:val="center"/>
          </w:tcPr>
          <w:p w14:paraId="11DB77CA" w14:textId="77777777" w:rsidR="002064C3" w:rsidRPr="00503454" w:rsidRDefault="002064C3" w:rsidP="008840EC">
            <w:pPr>
              <w:pStyle w:val="Tabletext1"/>
              <w:rPr>
                <w:snapToGrid w:val="0"/>
              </w:rPr>
            </w:pPr>
            <w:r w:rsidRPr="00503454">
              <w:rPr>
                <w:snapToGrid w:val="0"/>
              </w:rPr>
              <w:t>Type of biopsies used</w:t>
            </w:r>
          </w:p>
        </w:tc>
        <w:tc>
          <w:tcPr>
            <w:tcW w:w="2259" w:type="pct"/>
            <w:shd w:val="clear" w:color="auto" w:fill="auto"/>
            <w:vAlign w:val="center"/>
          </w:tcPr>
          <w:p w14:paraId="2B8F3EF3" w14:textId="73EA48B0" w:rsidR="002064C3" w:rsidRDefault="002064C3" w:rsidP="008840EC">
            <w:pPr>
              <w:pStyle w:val="Tabletext1"/>
              <w:rPr>
                <w:snapToGrid w:val="0"/>
              </w:rPr>
            </w:pPr>
            <w:r w:rsidRPr="00EA0E16">
              <w:rPr>
                <w:snapToGrid w:val="0"/>
              </w:rPr>
              <w:t xml:space="preserve">Use of </w:t>
            </w:r>
            <w:r w:rsidR="00E96DDA">
              <w:rPr>
                <w:snapToGrid w:val="0"/>
              </w:rPr>
              <w:t>MRIGB</w:t>
            </w:r>
            <w:r w:rsidRPr="00EA0E16">
              <w:rPr>
                <w:snapToGrid w:val="0"/>
              </w:rPr>
              <w:t xml:space="preserve"> for patients with </w:t>
            </w:r>
            <w:proofErr w:type="spellStart"/>
            <w:r w:rsidRPr="00EA0E16">
              <w:rPr>
                <w:snapToGrid w:val="0"/>
              </w:rPr>
              <w:t>mpMRI</w:t>
            </w:r>
            <w:proofErr w:type="spellEnd"/>
            <w:r w:rsidRPr="00EA0E16">
              <w:rPr>
                <w:snapToGrid w:val="0"/>
              </w:rPr>
              <w:t xml:space="preserve"> PI-RADS 4-5</w:t>
            </w:r>
          </w:p>
        </w:tc>
        <w:tc>
          <w:tcPr>
            <w:tcW w:w="1422" w:type="pct"/>
            <w:shd w:val="clear" w:color="auto" w:fill="auto"/>
            <w:vAlign w:val="center"/>
          </w:tcPr>
          <w:p w14:paraId="316EBD74" w14:textId="77777777" w:rsidR="002064C3" w:rsidRDefault="002064C3" w:rsidP="008840EC">
            <w:pPr>
              <w:pStyle w:val="Tabletext1"/>
              <w:rPr>
                <w:snapToGrid w:val="0"/>
              </w:rPr>
            </w:pPr>
            <w:r>
              <w:rPr>
                <w:snapToGrid w:val="0"/>
              </w:rPr>
              <w:t>High, favours comparator</w:t>
            </w:r>
          </w:p>
        </w:tc>
      </w:tr>
    </w:tbl>
    <w:p w14:paraId="7DF383CA" w14:textId="252194D8" w:rsidR="005C5191" w:rsidRPr="00703779" w:rsidRDefault="005C5191" w:rsidP="005C5191">
      <w:pPr>
        <w:pStyle w:val="TableNotes"/>
        <w:rPr>
          <w:b/>
        </w:rPr>
      </w:pPr>
      <w:bookmarkStart w:id="137" w:name="_Toc459987845"/>
      <w:r w:rsidRPr="00503454">
        <w:t xml:space="preserve">MRIGB = magnetic resonance imaging guided biopsy; </w:t>
      </w:r>
      <w:proofErr w:type="spellStart"/>
      <w:r w:rsidRPr="00503454">
        <w:t>mpMRI</w:t>
      </w:r>
      <w:proofErr w:type="spellEnd"/>
      <w:r w:rsidRPr="00503454">
        <w:t xml:space="preserve"> = </w:t>
      </w:r>
      <w:proofErr w:type="spellStart"/>
      <w:r w:rsidRPr="00503454">
        <w:t>multiparametric</w:t>
      </w:r>
      <w:proofErr w:type="spellEnd"/>
      <w:r w:rsidRPr="00503454">
        <w:t xml:space="preserve"> MRI; PI-RADS = </w:t>
      </w:r>
      <w:r w:rsidR="005E4B71" w:rsidRPr="00503454">
        <w:t>Prostate Imaging Reporting and Data</w:t>
      </w:r>
      <w:r w:rsidR="005E4B71" w:rsidRPr="006A187D">
        <w:t xml:space="preserve"> System</w:t>
      </w:r>
      <w:r w:rsidR="005E4B71">
        <w:t>.</w:t>
      </w:r>
    </w:p>
    <w:p w14:paraId="64F69C98" w14:textId="77777777" w:rsidR="002064C3" w:rsidRPr="00183E4D" w:rsidRDefault="002064C3" w:rsidP="002064C3">
      <w:pPr>
        <w:pStyle w:val="Heading3"/>
      </w:pPr>
      <w:bookmarkStart w:id="138" w:name="_Toc460513884"/>
      <w:r w:rsidRPr="00183E4D">
        <w:t>Estimated Extent of Use and Financial Implications</w:t>
      </w:r>
      <w:bookmarkEnd w:id="137"/>
      <w:bookmarkEnd w:id="138"/>
    </w:p>
    <w:p w14:paraId="63E25A2B" w14:textId="77777777" w:rsidR="002064C3" w:rsidRPr="001C057D" w:rsidRDefault="002064C3" w:rsidP="002064C3">
      <w:r w:rsidRPr="00007302">
        <w:t xml:space="preserve">A combination of the market share approach (in </w:t>
      </w:r>
      <w:r>
        <w:t>Population 1</w:t>
      </w:r>
      <w:r w:rsidRPr="00007302">
        <w:t xml:space="preserve"> and 2) and the epidemiological approach (in </w:t>
      </w:r>
      <w:r>
        <w:t>Population 2</w:t>
      </w:r>
      <w:r w:rsidRPr="00007302">
        <w:t xml:space="preserve">) were used to estimate the financial implications of the introduction of </w:t>
      </w:r>
      <w:proofErr w:type="spellStart"/>
      <w:r w:rsidRPr="00007302">
        <w:t>mpMRI</w:t>
      </w:r>
      <w:proofErr w:type="spellEnd"/>
      <w:r w:rsidRPr="00007302">
        <w:t xml:space="preserve">. </w:t>
      </w:r>
      <w:r w:rsidRPr="00965884">
        <w:t xml:space="preserve">The financial implications to the MBS resulting from the proposed listing of </w:t>
      </w:r>
      <w:proofErr w:type="spellStart"/>
      <w:r w:rsidRPr="00965884">
        <w:t>mpMRI</w:t>
      </w:r>
      <w:proofErr w:type="spellEnd"/>
      <w:r w:rsidRPr="00965884">
        <w:t xml:space="preserve">, both in </w:t>
      </w:r>
      <w:r>
        <w:t>Population 1</w:t>
      </w:r>
      <w:r w:rsidRPr="00965884">
        <w:t xml:space="preserve"> and </w:t>
      </w:r>
      <w:r>
        <w:t>Population 2</w:t>
      </w:r>
      <w:r w:rsidRPr="00965884">
        <w:t xml:space="preserve">, are summarised in </w:t>
      </w:r>
      <w:r>
        <w:fldChar w:fldCharType="begin"/>
      </w:r>
      <w:r>
        <w:instrText xml:space="preserve"> REF _Ref457392153 \h </w:instrText>
      </w:r>
      <w:r>
        <w:fldChar w:fldCharType="separate"/>
      </w:r>
      <w:r w:rsidR="0029649D" w:rsidRPr="00EF0338">
        <w:t xml:space="preserve">Table </w:t>
      </w:r>
      <w:r w:rsidR="0029649D">
        <w:rPr>
          <w:noProof/>
        </w:rPr>
        <w:t>13</w:t>
      </w:r>
      <w:r>
        <w:fldChar w:fldCharType="end"/>
      </w:r>
      <w:r>
        <w:t xml:space="preserve">. </w:t>
      </w:r>
      <w:r w:rsidRPr="00965884">
        <w:t xml:space="preserve">The additional costs of </w:t>
      </w:r>
      <w:proofErr w:type="spellStart"/>
      <w:r w:rsidRPr="00965884">
        <w:t>mpMRI</w:t>
      </w:r>
      <w:proofErr w:type="spellEnd"/>
      <w:r w:rsidRPr="00965884">
        <w:t xml:space="preserve"> are partly offset by a reduc</w:t>
      </w:r>
      <w:r>
        <w:t xml:space="preserve">tion in </w:t>
      </w:r>
      <w:r w:rsidRPr="00965884">
        <w:t>prostate biopsies.</w:t>
      </w:r>
      <w:bookmarkStart w:id="139" w:name="_Ref457382411"/>
    </w:p>
    <w:p w14:paraId="7DAA137C" w14:textId="77777777" w:rsidR="002064C3" w:rsidRDefault="002064C3" w:rsidP="002064C3">
      <w:pPr>
        <w:pStyle w:val="Caption"/>
        <w:ind w:left="1134" w:hanging="1134"/>
      </w:pPr>
      <w:bookmarkStart w:id="140" w:name="_Ref457392153"/>
      <w:bookmarkStart w:id="141" w:name="_Toc459987898"/>
      <w:bookmarkStart w:id="142" w:name="_Toc460514513"/>
      <w:r w:rsidRPr="00EF0338">
        <w:lastRenderedPageBreak/>
        <w:t xml:space="preserve">Table </w:t>
      </w:r>
      <w:fldSimple w:instr=" SEQ Table \* ARABIC ">
        <w:r w:rsidR="0029649D">
          <w:rPr>
            <w:noProof/>
          </w:rPr>
          <w:t>13</w:t>
        </w:r>
      </w:fldSimple>
      <w:bookmarkEnd w:id="139"/>
      <w:bookmarkEnd w:id="140"/>
      <w:r w:rsidRPr="00EF0338">
        <w:tab/>
        <w:t xml:space="preserve">Total costs to the MBS associated with </w:t>
      </w:r>
      <w:proofErr w:type="spellStart"/>
      <w:r w:rsidRPr="00EF0338">
        <w:t>mpMRI</w:t>
      </w:r>
      <w:proofErr w:type="spellEnd"/>
      <w:r w:rsidRPr="00EF0338">
        <w:t xml:space="preserve"> for prostate</w:t>
      </w:r>
      <w:r>
        <w:t xml:space="preserve"> cancer.</w:t>
      </w:r>
      <w:bookmarkEnd w:id="141"/>
      <w:bookmarkEnd w:id="142"/>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38"/>
        <w:gridCol w:w="1272"/>
        <w:gridCol w:w="1276"/>
        <w:gridCol w:w="1279"/>
        <w:gridCol w:w="1276"/>
        <w:gridCol w:w="1268"/>
        <w:gridCol w:w="1203"/>
      </w:tblGrid>
      <w:tr w:rsidR="00503454" w:rsidRPr="00503454" w14:paraId="338E1805" w14:textId="77777777" w:rsidTr="009007E2">
        <w:trPr>
          <w:trHeight w:val="397"/>
          <w:tblHeader/>
        </w:trPr>
        <w:tc>
          <w:tcPr>
            <w:tcW w:w="844" w:type="pct"/>
            <w:tcBorders>
              <w:bottom w:val="nil"/>
            </w:tcBorders>
            <w:vAlign w:val="center"/>
          </w:tcPr>
          <w:p w14:paraId="00BA8385" w14:textId="77777777" w:rsidR="002064C3" w:rsidRPr="00503454" w:rsidRDefault="002064C3" w:rsidP="008840EC">
            <w:pPr>
              <w:pStyle w:val="Tableheading1"/>
              <w:keepNext/>
              <w:rPr>
                <w:snapToGrid w:val="0"/>
              </w:rPr>
            </w:pPr>
          </w:p>
        </w:tc>
        <w:tc>
          <w:tcPr>
            <w:tcW w:w="2100" w:type="pct"/>
            <w:gridSpan w:val="3"/>
            <w:tcBorders>
              <w:bottom w:val="single" w:sz="4" w:space="0" w:color="auto"/>
            </w:tcBorders>
            <w:vAlign w:val="center"/>
          </w:tcPr>
          <w:p w14:paraId="0E544861" w14:textId="77777777" w:rsidR="002064C3" w:rsidRPr="009007E2" w:rsidRDefault="002064C3" w:rsidP="008840EC">
            <w:pPr>
              <w:pStyle w:val="Tableheading1"/>
              <w:keepNext/>
              <w:rPr>
                <w:snapToGrid w:val="0"/>
              </w:rPr>
            </w:pPr>
            <w:r w:rsidRPr="009007E2">
              <w:rPr>
                <w:snapToGrid w:val="0"/>
              </w:rPr>
              <w:t>Yearly costs (Year 1 to Year 5)</w:t>
            </w:r>
          </w:p>
        </w:tc>
        <w:tc>
          <w:tcPr>
            <w:tcW w:w="2056" w:type="pct"/>
            <w:gridSpan w:val="3"/>
            <w:tcBorders>
              <w:bottom w:val="single" w:sz="4" w:space="0" w:color="auto"/>
            </w:tcBorders>
            <w:vAlign w:val="center"/>
          </w:tcPr>
          <w:p w14:paraId="52697A85" w14:textId="77777777" w:rsidR="002064C3" w:rsidRPr="009007E2" w:rsidRDefault="002064C3" w:rsidP="008840EC">
            <w:pPr>
              <w:pStyle w:val="Tableheading1"/>
              <w:keepNext/>
              <w:rPr>
                <w:snapToGrid w:val="0"/>
              </w:rPr>
            </w:pPr>
            <w:r w:rsidRPr="009007E2">
              <w:rPr>
                <w:snapToGrid w:val="0"/>
              </w:rPr>
              <w:t>Over 5 years (Total, Year 1-5)</w:t>
            </w:r>
          </w:p>
        </w:tc>
      </w:tr>
      <w:tr w:rsidR="00503454" w:rsidRPr="00503454" w14:paraId="29B147ED" w14:textId="77777777" w:rsidTr="009007E2">
        <w:trPr>
          <w:trHeight w:val="397"/>
          <w:tblHeader/>
        </w:trPr>
        <w:tc>
          <w:tcPr>
            <w:tcW w:w="844" w:type="pct"/>
            <w:tcBorders>
              <w:top w:val="nil"/>
              <w:bottom w:val="single" w:sz="4" w:space="0" w:color="auto"/>
            </w:tcBorders>
            <w:vAlign w:val="center"/>
          </w:tcPr>
          <w:p w14:paraId="6D3C55ED" w14:textId="77777777" w:rsidR="002064C3" w:rsidRPr="00503454" w:rsidRDefault="002064C3" w:rsidP="008840EC">
            <w:pPr>
              <w:pStyle w:val="Tableheading1"/>
              <w:keepNext/>
              <w:rPr>
                <w:snapToGrid w:val="0"/>
              </w:rPr>
            </w:pPr>
          </w:p>
        </w:tc>
        <w:tc>
          <w:tcPr>
            <w:tcW w:w="698" w:type="pct"/>
            <w:tcBorders>
              <w:bottom w:val="single" w:sz="4" w:space="0" w:color="auto"/>
            </w:tcBorders>
            <w:vAlign w:val="center"/>
          </w:tcPr>
          <w:p w14:paraId="3EB94455" w14:textId="77777777" w:rsidR="002064C3" w:rsidRPr="009007E2" w:rsidRDefault="002064C3" w:rsidP="008840EC">
            <w:pPr>
              <w:pStyle w:val="Tableheading1"/>
              <w:keepNext/>
              <w:rPr>
                <w:snapToGrid w:val="0"/>
              </w:rPr>
            </w:pPr>
            <w:r w:rsidRPr="009007E2">
              <w:rPr>
                <w:snapToGrid w:val="0"/>
              </w:rPr>
              <w:t>Population 1</w:t>
            </w:r>
          </w:p>
        </w:tc>
        <w:tc>
          <w:tcPr>
            <w:tcW w:w="700" w:type="pct"/>
            <w:tcBorders>
              <w:bottom w:val="single" w:sz="4" w:space="0" w:color="auto"/>
            </w:tcBorders>
            <w:vAlign w:val="center"/>
          </w:tcPr>
          <w:p w14:paraId="647F459F" w14:textId="77777777" w:rsidR="002064C3" w:rsidRPr="009007E2" w:rsidRDefault="002064C3" w:rsidP="008840EC">
            <w:pPr>
              <w:pStyle w:val="Tableheading1"/>
              <w:keepNext/>
              <w:rPr>
                <w:snapToGrid w:val="0"/>
              </w:rPr>
            </w:pPr>
            <w:r w:rsidRPr="009007E2">
              <w:rPr>
                <w:snapToGrid w:val="0"/>
              </w:rPr>
              <w:t>Population 2</w:t>
            </w:r>
          </w:p>
        </w:tc>
        <w:tc>
          <w:tcPr>
            <w:tcW w:w="702" w:type="pct"/>
            <w:tcBorders>
              <w:bottom w:val="single" w:sz="4" w:space="0" w:color="auto"/>
            </w:tcBorders>
            <w:vAlign w:val="center"/>
          </w:tcPr>
          <w:p w14:paraId="019ECF50" w14:textId="77777777" w:rsidR="002064C3" w:rsidRPr="009007E2" w:rsidRDefault="002064C3" w:rsidP="008840EC">
            <w:pPr>
              <w:pStyle w:val="Tableheading1"/>
              <w:keepNext/>
              <w:rPr>
                <w:snapToGrid w:val="0"/>
              </w:rPr>
            </w:pPr>
            <w:r w:rsidRPr="009007E2">
              <w:rPr>
                <w:snapToGrid w:val="0"/>
              </w:rPr>
              <w:t xml:space="preserve">Total </w:t>
            </w:r>
          </w:p>
        </w:tc>
        <w:tc>
          <w:tcPr>
            <w:tcW w:w="700" w:type="pct"/>
            <w:tcBorders>
              <w:bottom w:val="single" w:sz="4" w:space="0" w:color="auto"/>
            </w:tcBorders>
            <w:vAlign w:val="center"/>
          </w:tcPr>
          <w:p w14:paraId="4483EEC7" w14:textId="77777777" w:rsidR="002064C3" w:rsidRPr="009007E2" w:rsidRDefault="002064C3" w:rsidP="008840EC">
            <w:pPr>
              <w:pStyle w:val="Tableheading1"/>
              <w:keepNext/>
              <w:rPr>
                <w:snapToGrid w:val="0"/>
              </w:rPr>
            </w:pPr>
            <w:r w:rsidRPr="009007E2">
              <w:rPr>
                <w:snapToGrid w:val="0"/>
              </w:rPr>
              <w:t>Population 1</w:t>
            </w:r>
          </w:p>
        </w:tc>
        <w:tc>
          <w:tcPr>
            <w:tcW w:w="696" w:type="pct"/>
            <w:tcBorders>
              <w:bottom w:val="single" w:sz="4" w:space="0" w:color="auto"/>
            </w:tcBorders>
            <w:vAlign w:val="center"/>
          </w:tcPr>
          <w:p w14:paraId="146C2369" w14:textId="77777777" w:rsidR="002064C3" w:rsidRPr="009007E2" w:rsidRDefault="002064C3" w:rsidP="008840EC">
            <w:pPr>
              <w:pStyle w:val="Tableheading1"/>
              <w:keepNext/>
              <w:rPr>
                <w:snapToGrid w:val="0"/>
              </w:rPr>
            </w:pPr>
            <w:r w:rsidRPr="009007E2">
              <w:rPr>
                <w:snapToGrid w:val="0"/>
              </w:rPr>
              <w:t>Population 2</w:t>
            </w:r>
          </w:p>
        </w:tc>
        <w:tc>
          <w:tcPr>
            <w:tcW w:w="660" w:type="pct"/>
            <w:tcBorders>
              <w:bottom w:val="single" w:sz="4" w:space="0" w:color="auto"/>
            </w:tcBorders>
            <w:vAlign w:val="center"/>
          </w:tcPr>
          <w:p w14:paraId="13972D4B" w14:textId="77777777" w:rsidR="002064C3" w:rsidRPr="009007E2" w:rsidRDefault="002064C3" w:rsidP="008840EC">
            <w:pPr>
              <w:pStyle w:val="Tableheading1"/>
              <w:keepNext/>
              <w:rPr>
                <w:snapToGrid w:val="0"/>
              </w:rPr>
            </w:pPr>
            <w:r w:rsidRPr="009007E2">
              <w:rPr>
                <w:snapToGrid w:val="0"/>
              </w:rPr>
              <w:t xml:space="preserve">Total </w:t>
            </w:r>
          </w:p>
        </w:tc>
      </w:tr>
      <w:tr w:rsidR="00503454" w:rsidRPr="00503454" w14:paraId="7C5C8E91" w14:textId="77777777" w:rsidTr="009007E2">
        <w:trPr>
          <w:trHeight w:val="397"/>
          <w:tblHeader/>
        </w:trPr>
        <w:tc>
          <w:tcPr>
            <w:tcW w:w="844" w:type="pct"/>
            <w:tcBorders>
              <w:right w:val="nil"/>
            </w:tcBorders>
            <w:vAlign w:val="center"/>
          </w:tcPr>
          <w:p w14:paraId="112112FC" w14:textId="77777777" w:rsidR="002064C3" w:rsidRPr="009007E2" w:rsidRDefault="002064C3" w:rsidP="008840EC">
            <w:pPr>
              <w:pStyle w:val="TableText0"/>
              <w:rPr>
                <w:b/>
                <w:snapToGrid w:val="0"/>
              </w:rPr>
            </w:pPr>
            <w:proofErr w:type="spellStart"/>
            <w:r w:rsidRPr="009007E2">
              <w:rPr>
                <w:rFonts w:cs="Arial"/>
                <w:b/>
                <w:iCs/>
                <w:szCs w:val="18"/>
              </w:rPr>
              <w:t>mpMRI</w:t>
            </w:r>
            <w:proofErr w:type="spellEnd"/>
          </w:p>
        </w:tc>
        <w:tc>
          <w:tcPr>
            <w:tcW w:w="698" w:type="pct"/>
            <w:tcBorders>
              <w:left w:val="nil"/>
              <w:right w:val="nil"/>
            </w:tcBorders>
            <w:vAlign w:val="center"/>
          </w:tcPr>
          <w:p w14:paraId="3CE216C1" w14:textId="77777777" w:rsidR="002064C3" w:rsidRPr="00503454" w:rsidRDefault="002064C3" w:rsidP="008840EC">
            <w:pPr>
              <w:pStyle w:val="TableText0"/>
              <w:rPr>
                <w:snapToGrid w:val="0"/>
              </w:rPr>
            </w:pPr>
          </w:p>
        </w:tc>
        <w:tc>
          <w:tcPr>
            <w:tcW w:w="700" w:type="pct"/>
            <w:tcBorders>
              <w:left w:val="nil"/>
              <w:right w:val="nil"/>
            </w:tcBorders>
            <w:vAlign w:val="center"/>
          </w:tcPr>
          <w:p w14:paraId="488FAF59" w14:textId="77777777" w:rsidR="002064C3" w:rsidRPr="00503454" w:rsidRDefault="002064C3" w:rsidP="008840EC">
            <w:pPr>
              <w:pStyle w:val="TableText0"/>
              <w:rPr>
                <w:snapToGrid w:val="0"/>
              </w:rPr>
            </w:pPr>
          </w:p>
        </w:tc>
        <w:tc>
          <w:tcPr>
            <w:tcW w:w="702" w:type="pct"/>
            <w:tcBorders>
              <w:left w:val="nil"/>
              <w:right w:val="nil"/>
            </w:tcBorders>
            <w:vAlign w:val="center"/>
          </w:tcPr>
          <w:p w14:paraId="4B46BCE0" w14:textId="77777777" w:rsidR="002064C3" w:rsidRPr="00503454" w:rsidRDefault="002064C3" w:rsidP="008840EC">
            <w:pPr>
              <w:pStyle w:val="TableText0"/>
              <w:rPr>
                <w:snapToGrid w:val="0"/>
              </w:rPr>
            </w:pPr>
          </w:p>
        </w:tc>
        <w:tc>
          <w:tcPr>
            <w:tcW w:w="700" w:type="pct"/>
            <w:tcBorders>
              <w:left w:val="nil"/>
              <w:right w:val="nil"/>
            </w:tcBorders>
            <w:vAlign w:val="center"/>
          </w:tcPr>
          <w:p w14:paraId="73C8CB84" w14:textId="77777777" w:rsidR="002064C3" w:rsidRPr="00503454" w:rsidRDefault="002064C3" w:rsidP="008840EC">
            <w:pPr>
              <w:pStyle w:val="TableText0"/>
              <w:rPr>
                <w:snapToGrid w:val="0"/>
              </w:rPr>
            </w:pPr>
          </w:p>
        </w:tc>
        <w:tc>
          <w:tcPr>
            <w:tcW w:w="696" w:type="pct"/>
            <w:tcBorders>
              <w:left w:val="nil"/>
              <w:right w:val="nil"/>
            </w:tcBorders>
            <w:vAlign w:val="center"/>
          </w:tcPr>
          <w:p w14:paraId="7934879A" w14:textId="77777777" w:rsidR="002064C3" w:rsidRPr="00503454" w:rsidRDefault="002064C3" w:rsidP="008840EC">
            <w:pPr>
              <w:pStyle w:val="TableText0"/>
              <w:rPr>
                <w:snapToGrid w:val="0"/>
              </w:rPr>
            </w:pPr>
          </w:p>
        </w:tc>
        <w:tc>
          <w:tcPr>
            <w:tcW w:w="660" w:type="pct"/>
            <w:tcBorders>
              <w:left w:val="nil"/>
            </w:tcBorders>
            <w:vAlign w:val="center"/>
          </w:tcPr>
          <w:p w14:paraId="6F431A80" w14:textId="77777777" w:rsidR="002064C3" w:rsidRPr="00503454" w:rsidRDefault="002064C3" w:rsidP="008840EC">
            <w:pPr>
              <w:pStyle w:val="TableText0"/>
              <w:rPr>
                <w:snapToGrid w:val="0"/>
              </w:rPr>
            </w:pPr>
          </w:p>
        </w:tc>
      </w:tr>
      <w:tr w:rsidR="00503454" w:rsidRPr="00531D19" w14:paraId="34CAE7A2" w14:textId="77777777" w:rsidTr="009007E2">
        <w:trPr>
          <w:trHeight w:val="397"/>
        </w:trPr>
        <w:tc>
          <w:tcPr>
            <w:tcW w:w="844" w:type="pct"/>
            <w:tcBorders>
              <w:right w:val="single" w:sz="4" w:space="0" w:color="auto"/>
            </w:tcBorders>
            <w:vAlign w:val="center"/>
          </w:tcPr>
          <w:p w14:paraId="05D64A70" w14:textId="16CBC7CA" w:rsidR="002064C3" w:rsidRPr="00EC6845" w:rsidRDefault="009007E2" w:rsidP="008840EC">
            <w:pPr>
              <w:pStyle w:val="Tabletext1"/>
              <w:keepNext/>
              <w:rPr>
                <w:snapToGrid w:val="0"/>
              </w:rPr>
            </w:pPr>
            <w:r>
              <w:rPr>
                <w:snapToGrid w:val="0"/>
              </w:rPr>
              <w:t xml:space="preserve">Number </w:t>
            </w:r>
            <w:r w:rsidR="002064C3" w:rsidRPr="00EC6845">
              <w:rPr>
                <w:snapToGrid w:val="0"/>
              </w:rPr>
              <w:t>of services</w:t>
            </w:r>
          </w:p>
        </w:tc>
        <w:tc>
          <w:tcPr>
            <w:tcW w:w="698" w:type="pct"/>
            <w:tcBorders>
              <w:right w:val="single" w:sz="4" w:space="0" w:color="auto"/>
            </w:tcBorders>
            <w:vAlign w:val="center"/>
          </w:tcPr>
          <w:p w14:paraId="08F2649C" w14:textId="77777777" w:rsidR="002064C3" w:rsidRPr="00B57A08" w:rsidRDefault="002064C3" w:rsidP="008840EC">
            <w:pPr>
              <w:pStyle w:val="Tabletext1"/>
              <w:keepNext/>
              <w:rPr>
                <w:snapToGrid w:val="0"/>
              </w:rPr>
            </w:pPr>
            <w:r w:rsidRPr="00B57A08">
              <w:rPr>
                <w:snapToGrid w:val="0"/>
              </w:rPr>
              <w:t>13,276</w:t>
            </w:r>
          </w:p>
        </w:tc>
        <w:tc>
          <w:tcPr>
            <w:tcW w:w="700" w:type="pct"/>
            <w:tcBorders>
              <w:right w:val="single" w:sz="4" w:space="0" w:color="auto"/>
            </w:tcBorders>
            <w:vAlign w:val="center"/>
          </w:tcPr>
          <w:p w14:paraId="560A77CE" w14:textId="77777777" w:rsidR="002064C3" w:rsidRPr="00B57A08" w:rsidRDefault="002064C3" w:rsidP="008840EC">
            <w:pPr>
              <w:pStyle w:val="Tabletext1"/>
              <w:keepNext/>
              <w:rPr>
                <w:snapToGrid w:val="0"/>
              </w:rPr>
            </w:pPr>
            <w:r w:rsidRPr="00B57A08">
              <w:rPr>
                <w:snapToGrid w:val="0"/>
              </w:rPr>
              <w:t>6,873</w:t>
            </w:r>
          </w:p>
        </w:tc>
        <w:tc>
          <w:tcPr>
            <w:tcW w:w="702" w:type="pct"/>
            <w:tcBorders>
              <w:left w:val="single" w:sz="4" w:space="0" w:color="auto"/>
              <w:right w:val="single" w:sz="4" w:space="0" w:color="auto"/>
            </w:tcBorders>
            <w:vAlign w:val="center"/>
          </w:tcPr>
          <w:p w14:paraId="6AA31072" w14:textId="77777777" w:rsidR="002064C3" w:rsidRPr="00B57A08" w:rsidRDefault="002064C3" w:rsidP="008840EC">
            <w:pPr>
              <w:pStyle w:val="Tabletext1"/>
              <w:keepNext/>
              <w:rPr>
                <w:snapToGrid w:val="0"/>
              </w:rPr>
            </w:pPr>
            <w:r w:rsidRPr="00B57A08">
              <w:rPr>
                <w:snapToGrid w:val="0"/>
              </w:rPr>
              <w:t>20,149</w:t>
            </w:r>
          </w:p>
        </w:tc>
        <w:tc>
          <w:tcPr>
            <w:tcW w:w="700" w:type="pct"/>
            <w:tcBorders>
              <w:left w:val="single" w:sz="4" w:space="0" w:color="auto"/>
              <w:right w:val="single" w:sz="4" w:space="0" w:color="auto"/>
            </w:tcBorders>
            <w:vAlign w:val="center"/>
          </w:tcPr>
          <w:p w14:paraId="0CBAD3DD" w14:textId="77777777" w:rsidR="002064C3" w:rsidRPr="00B57A08" w:rsidRDefault="002064C3" w:rsidP="008840EC">
            <w:pPr>
              <w:pStyle w:val="Tabletext1"/>
              <w:keepNext/>
              <w:rPr>
                <w:snapToGrid w:val="0"/>
              </w:rPr>
            </w:pPr>
            <w:r w:rsidRPr="00B57A08">
              <w:rPr>
                <w:snapToGrid w:val="0"/>
              </w:rPr>
              <w:t>66,380</w:t>
            </w:r>
          </w:p>
        </w:tc>
        <w:tc>
          <w:tcPr>
            <w:tcW w:w="696" w:type="pct"/>
            <w:tcBorders>
              <w:left w:val="single" w:sz="4" w:space="0" w:color="auto"/>
              <w:right w:val="single" w:sz="4" w:space="0" w:color="auto"/>
            </w:tcBorders>
            <w:vAlign w:val="center"/>
          </w:tcPr>
          <w:p w14:paraId="765E6EB8" w14:textId="77777777" w:rsidR="002064C3" w:rsidRPr="00B57A08" w:rsidRDefault="002064C3" w:rsidP="008840EC">
            <w:pPr>
              <w:pStyle w:val="Tabletext1"/>
              <w:keepNext/>
              <w:rPr>
                <w:snapToGrid w:val="0"/>
              </w:rPr>
            </w:pPr>
            <w:r w:rsidRPr="00B57A08">
              <w:rPr>
                <w:snapToGrid w:val="0"/>
              </w:rPr>
              <w:t>34,365</w:t>
            </w:r>
          </w:p>
        </w:tc>
        <w:tc>
          <w:tcPr>
            <w:tcW w:w="660" w:type="pct"/>
            <w:tcBorders>
              <w:left w:val="single" w:sz="4" w:space="0" w:color="auto"/>
              <w:right w:val="single" w:sz="4" w:space="0" w:color="auto"/>
            </w:tcBorders>
            <w:vAlign w:val="center"/>
          </w:tcPr>
          <w:p w14:paraId="1FCA73D8" w14:textId="77777777" w:rsidR="002064C3" w:rsidRPr="00B57A08" w:rsidRDefault="002064C3" w:rsidP="008840EC">
            <w:pPr>
              <w:pStyle w:val="Tabletext1"/>
              <w:keepNext/>
              <w:rPr>
                <w:snapToGrid w:val="0"/>
              </w:rPr>
            </w:pPr>
            <w:r w:rsidRPr="00B57A08">
              <w:rPr>
                <w:snapToGrid w:val="0"/>
              </w:rPr>
              <w:t>100,745</w:t>
            </w:r>
          </w:p>
        </w:tc>
      </w:tr>
      <w:tr w:rsidR="00503454" w:rsidRPr="00531D19" w14:paraId="29EB54FF" w14:textId="77777777" w:rsidTr="009007E2">
        <w:trPr>
          <w:trHeight w:val="397"/>
        </w:trPr>
        <w:tc>
          <w:tcPr>
            <w:tcW w:w="844" w:type="pct"/>
            <w:tcBorders>
              <w:right w:val="single" w:sz="4" w:space="0" w:color="auto"/>
            </w:tcBorders>
            <w:vAlign w:val="center"/>
          </w:tcPr>
          <w:p w14:paraId="6724F43C" w14:textId="77777777" w:rsidR="002064C3" w:rsidRPr="00EC6845" w:rsidRDefault="002064C3" w:rsidP="008840EC">
            <w:pPr>
              <w:pStyle w:val="Tabletext1"/>
              <w:keepNext/>
              <w:rPr>
                <w:snapToGrid w:val="0"/>
              </w:rPr>
            </w:pPr>
            <w:r>
              <w:rPr>
                <w:snapToGrid w:val="0"/>
              </w:rPr>
              <w:t>Cost to MBS</w:t>
            </w:r>
          </w:p>
        </w:tc>
        <w:tc>
          <w:tcPr>
            <w:tcW w:w="698" w:type="pct"/>
            <w:tcBorders>
              <w:right w:val="single" w:sz="4" w:space="0" w:color="auto"/>
            </w:tcBorders>
            <w:vAlign w:val="center"/>
          </w:tcPr>
          <w:p w14:paraId="0FBA9F74" w14:textId="77777777" w:rsidR="002064C3" w:rsidRPr="00B57A08" w:rsidRDefault="002064C3" w:rsidP="008840EC">
            <w:pPr>
              <w:pStyle w:val="Tabletext1"/>
              <w:keepNext/>
              <w:rPr>
                <w:snapToGrid w:val="0"/>
              </w:rPr>
            </w:pPr>
            <w:r w:rsidRPr="00B57A08">
              <w:rPr>
                <w:snapToGrid w:val="0"/>
              </w:rPr>
              <w:t>$6,770,760</w:t>
            </w:r>
          </w:p>
        </w:tc>
        <w:tc>
          <w:tcPr>
            <w:tcW w:w="700" w:type="pct"/>
            <w:tcBorders>
              <w:right w:val="single" w:sz="4" w:space="0" w:color="auto"/>
            </w:tcBorders>
            <w:vAlign w:val="center"/>
          </w:tcPr>
          <w:p w14:paraId="0583F013" w14:textId="77777777" w:rsidR="002064C3" w:rsidRPr="00B57A08" w:rsidRDefault="002064C3" w:rsidP="008840EC">
            <w:pPr>
              <w:pStyle w:val="Tabletext1"/>
              <w:keepNext/>
              <w:rPr>
                <w:snapToGrid w:val="0"/>
              </w:rPr>
            </w:pPr>
            <w:r w:rsidRPr="00B57A08">
              <w:rPr>
                <w:snapToGrid w:val="0"/>
              </w:rPr>
              <w:t>$3,505,230</w:t>
            </w:r>
          </w:p>
        </w:tc>
        <w:tc>
          <w:tcPr>
            <w:tcW w:w="702" w:type="pct"/>
            <w:tcBorders>
              <w:left w:val="single" w:sz="4" w:space="0" w:color="auto"/>
              <w:right w:val="single" w:sz="4" w:space="0" w:color="auto"/>
            </w:tcBorders>
            <w:vAlign w:val="center"/>
          </w:tcPr>
          <w:p w14:paraId="319DAE98" w14:textId="77777777" w:rsidR="002064C3" w:rsidRPr="00B57A08" w:rsidRDefault="002064C3" w:rsidP="008840EC">
            <w:pPr>
              <w:pStyle w:val="Tabletext1"/>
              <w:keepNext/>
              <w:rPr>
                <w:snapToGrid w:val="0"/>
              </w:rPr>
            </w:pPr>
            <w:r w:rsidRPr="00B57A08">
              <w:rPr>
                <w:snapToGrid w:val="0"/>
              </w:rPr>
              <w:t>$10,275,990</w:t>
            </w:r>
          </w:p>
        </w:tc>
        <w:tc>
          <w:tcPr>
            <w:tcW w:w="700" w:type="pct"/>
            <w:tcBorders>
              <w:left w:val="single" w:sz="4" w:space="0" w:color="auto"/>
              <w:right w:val="single" w:sz="4" w:space="0" w:color="auto"/>
            </w:tcBorders>
            <w:vAlign w:val="center"/>
          </w:tcPr>
          <w:p w14:paraId="093FBEB6" w14:textId="77777777" w:rsidR="002064C3" w:rsidRPr="00B57A08" w:rsidRDefault="002064C3" w:rsidP="008840EC">
            <w:pPr>
              <w:pStyle w:val="Tabletext1"/>
              <w:keepNext/>
              <w:rPr>
                <w:snapToGrid w:val="0"/>
              </w:rPr>
            </w:pPr>
            <w:r w:rsidRPr="00B57A08">
              <w:rPr>
                <w:snapToGrid w:val="0"/>
              </w:rPr>
              <w:t>$33,853,800</w:t>
            </w:r>
          </w:p>
        </w:tc>
        <w:tc>
          <w:tcPr>
            <w:tcW w:w="696" w:type="pct"/>
            <w:tcBorders>
              <w:left w:val="single" w:sz="4" w:space="0" w:color="auto"/>
              <w:right w:val="single" w:sz="4" w:space="0" w:color="auto"/>
            </w:tcBorders>
            <w:vAlign w:val="center"/>
          </w:tcPr>
          <w:p w14:paraId="6D83F626" w14:textId="77777777" w:rsidR="002064C3" w:rsidRPr="00B57A08" w:rsidRDefault="002064C3" w:rsidP="008840EC">
            <w:pPr>
              <w:pStyle w:val="Tabletext1"/>
              <w:keepNext/>
              <w:rPr>
                <w:snapToGrid w:val="0"/>
              </w:rPr>
            </w:pPr>
            <w:r w:rsidRPr="00B57A08">
              <w:rPr>
                <w:snapToGrid w:val="0"/>
              </w:rPr>
              <w:t>$17,526,150</w:t>
            </w:r>
          </w:p>
        </w:tc>
        <w:tc>
          <w:tcPr>
            <w:tcW w:w="660" w:type="pct"/>
            <w:tcBorders>
              <w:left w:val="single" w:sz="4" w:space="0" w:color="auto"/>
              <w:right w:val="single" w:sz="4" w:space="0" w:color="auto"/>
            </w:tcBorders>
            <w:vAlign w:val="center"/>
          </w:tcPr>
          <w:p w14:paraId="7A870C2F" w14:textId="77777777" w:rsidR="002064C3" w:rsidRPr="00B57A08" w:rsidRDefault="002064C3" w:rsidP="008840EC">
            <w:pPr>
              <w:pStyle w:val="Tabletext1"/>
              <w:keepNext/>
              <w:rPr>
                <w:snapToGrid w:val="0"/>
              </w:rPr>
            </w:pPr>
            <w:r w:rsidRPr="00B57A08">
              <w:rPr>
                <w:snapToGrid w:val="0"/>
              </w:rPr>
              <w:t>$51,379,950</w:t>
            </w:r>
          </w:p>
        </w:tc>
      </w:tr>
      <w:tr w:rsidR="00503454" w:rsidRPr="00531D19" w14:paraId="6BB4B038" w14:textId="77777777" w:rsidTr="009007E2">
        <w:trPr>
          <w:trHeight w:val="397"/>
        </w:trPr>
        <w:tc>
          <w:tcPr>
            <w:tcW w:w="844" w:type="pct"/>
            <w:tcBorders>
              <w:right w:val="single" w:sz="4" w:space="0" w:color="auto"/>
            </w:tcBorders>
            <w:vAlign w:val="center"/>
          </w:tcPr>
          <w:p w14:paraId="44288018" w14:textId="77777777" w:rsidR="002064C3" w:rsidRDefault="002064C3" w:rsidP="008840EC">
            <w:pPr>
              <w:pStyle w:val="Tabletext1"/>
              <w:keepNext/>
              <w:rPr>
                <w:snapToGrid w:val="0"/>
              </w:rPr>
            </w:pPr>
            <w:r>
              <w:rPr>
                <w:snapToGrid w:val="0"/>
              </w:rPr>
              <w:t>Cost to patients</w:t>
            </w:r>
          </w:p>
        </w:tc>
        <w:tc>
          <w:tcPr>
            <w:tcW w:w="698" w:type="pct"/>
            <w:tcBorders>
              <w:right w:val="single" w:sz="4" w:space="0" w:color="auto"/>
            </w:tcBorders>
            <w:vAlign w:val="center"/>
          </w:tcPr>
          <w:p w14:paraId="60C7012B" w14:textId="77777777" w:rsidR="002064C3" w:rsidRPr="00B57A08" w:rsidRDefault="002064C3" w:rsidP="008840EC">
            <w:pPr>
              <w:pStyle w:val="Tabletext1"/>
              <w:keepNext/>
              <w:rPr>
                <w:snapToGrid w:val="0"/>
              </w:rPr>
            </w:pPr>
            <w:r w:rsidRPr="00B57A08">
              <w:rPr>
                <w:snapToGrid w:val="0"/>
              </w:rPr>
              <w:t>$1,194,840</w:t>
            </w:r>
          </w:p>
        </w:tc>
        <w:tc>
          <w:tcPr>
            <w:tcW w:w="700" w:type="pct"/>
            <w:tcBorders>
              <w:right w:val="single" w:sz="4" w:space="0" w:color="auto"/>
            </w:tcBorders>
            <w:vAlign w:val="center"/>
          </w:tcPr>
          <w:p w14:paraId="4D84B067" w14:textId="77777777" w:rsidR="002064C3" w:rsidRPr="00B57A08" w:rsidRDefault="002064C3" w:rsidP="008840EC">
            <w:pPr>
              <w:pStyle w:val="Tabletext1"/>
              <w:keepNext/>
              <w:rPr>
                <w:snapToGrid w:val="0"/>
              </w:rPr>
            </w:pPr>
            <w:r w:rsidRPr="00B57A08">
              <w:rPr>
                <w:snapToGrid w:val="0"/>
              </w:rPr>
              <w:t>$618,570</w:t>
            </w:r>
          </w:p>
        </w:tc>
        <w:tc>
          <w:tcPr>
            <w:tcW w:w="702" w:type="pct"/>
            <w:tcBorders>
              <w:left w:val="single" w:sz="4" w:space="0" w:color="auto"/>
              <w:right w:val="single" w:sz="4" w:space="0" w:color="auto"/>
            </w:tcBorders>
            <w:vAlign w:val="center"/>
          </w:tcPr>
          <w:p w14:paraId="76703AD4" w14:textId="77777777" w:rsidR="002064C3" w:rsidRPr="00B57A08" w:rsidRDefault="002064C3" w:rsidP="008840EC">
            <w:pPr>
              <w:pStyle w:val="Tabletext1"/>
              <w:keepNext/>
              <w:rPr>
                <w:snapToGrid w:val="0"/>
              </w:rPr>
            </w:pPr>
            <w:r w:rsidRPr="00B57A08">
              <w:rPr>
                <w:snapToGrid w:val="0"/>
              </w:rPr>
              <w:t>$1,813,410</w:t>
            </w:r>
          </w:p>
        </w:tc>
        <w:tc>
          <w:tcPr>
            <w:tcW w:w="700" w:type="pct"/>
            <w:tcBorders>
              <w:left w:val="single" w:sz="4" w:space="0" w:color="auto"/>
              <w:right w:val="single" w:sz="4" w:space="0" w:color="auto"/>
            </w:tcBorders>
            <w:vAlign w:val="center"/>
          </w:tcPr>
          <w:p w14:paraId="4A8DC7EF" w14:textId="77777777" w:rsidR="002064C3" w:rsidRPr="00B57A08" w:rsidRDefault="002064C3" w:rsidP="008840EC">
            <w:pPr>
              <w:pStyle w:val="Tabletext1"/>
              <w:keepNext/>
              <w:rPr>
                <w:snapToGrid w:val="0"/>
              </w:rPr>
            </w:pPr>
            <w:r w:rsidRPr="00B57A08">
              <w:rPr>
                <w:snapToGrid w:val="0"/>
              </w:rPr>
              <w:t>$5,974,200</w:t>
            </w:r>
          </w:p>
        </w:tc>
        <w:tc>
          <w:tcPr>
            <w:tcW w:w="696" w:type="pct"/>
            <w:tcBorders>
              <w:left w:val="single" w:sz="4" w:space="0" w:color="auto"/>
              <w:right w:val="single" w:sz="4" w:space="0" w:color="auto"/>
            </w:tcBorders>
            <w:vAlign w:val="center"/>
          </w:tcPr>
          <w:p w14:paraId="3C3BEB79" w14:textId="77777777" w:rsidR="002064C3" w:rsidRPr="00B57A08" w:rsidRDefault="002064C3" w:rsidP="008840EC">
            <w:pPr>
              <w:pStyle w:val="Tabletext1"/>
              <w:keepNext/>
              <w:rPr>
                <w:snapToGrid w:val="0"/>
              </w:rPr>
            </w:pPr>
            <w:r w:rsidRPr="00B57A08">
              <w:rPr>
                <w:snapToGrid w:val="0"/>
              </w:rPr>
              <w:t>$3,092,850</w:t>
            </w:r>
          </w:p>
        </w:tc>
        <w:tc>
          <w:tcPr>
            <w:tcW w:w="660" w:type="pct"/>
            <w:tcBorders>
              <w:left w:val="single" w:sz="4" w:space="0" w:color="auto"/>
              <w:right w:val="single" w:sz="4" w:space="0" w:color="auto"/>
            </w:tcBorders>
            <w:vAlign w:val="center"/>
          </w:tcPr>
          <w:p w14:paraId="61C55E04" w14:textId="77777777" w:rsidR="002064C3" w:rsidRPr="00B57A08" w:rsidRDefault="002064C3" w:rsidP="008840EC">
            <w:pPr>
              <w:pStyle w:val="Tabletext1"/>
              <w:keepNext/>
              <w:rPr>
                <w:snapToGrid w:val="0"/>
              </w:rPr>
            </w:pPr>
            <w:r w:rsidRPr="00B57A08">
              <w:rPr>
                <w:snapToGrid w:val="0"/>
              </w:rPr>
              <w:t>$9,067,050</w:t>
            </w:r>
          </w:p>
        </w:tc>
      </w:tr>
      <w:tr w:rsidR="00503454" w:rsidRPr="00531D19" w14:paraId="0B1702AD" w14:textId="77777777" w:rsidTr="009007E2">
        <w:trPr>
          <w:trHeight w:val="397"/>
        </w:trPr>
        <w:tc>
          <w:tcPr>
            <w:tcW w:w="844" w:type="pct"/>
            <w:tcBorders>
              <w:bottom w:val="single" w:sz="4" w:space="0" w:color="auto"/>
              <w:right w:val="single" w:sz="4" w:space="0" w:color="auto"/>
            </w:tcBorders>
            <w:vAlign w:val="center"/>
          </w:tcPr>
          <w:p w14:paraId="0DD93C59" w14:textId="77777777" w:rsidR="002064C3" w:rsidRPr="00EC6845" w:rsidRDefault="002064C3" w:rsidP="008840EC">
            <w:pPr>
              <w:pStyle w:val="Tabletext1"/>
              <w:keepNext/>
              <w:rPr>
                <w:snapToGrid w:val="0"/>
              </w:rPr>
            </w:pPr>
            <w:r>
              <w:rPr>
                <w:snapToGrid w:val="0"/>
              </w:rPr>
              <w:t>T</w:t>
            </w:r>
            <w:r w:rsidRPr="00EC6845">
              <w:rPr>
                <w:snapToGrid w:val="0"/>
              </w:rPr>
              <w:t>otal cost</w:t>
            </w:r>
          </w:p>
        </w:tc>
        <w:tc>
          <w:tcPr>
            <w:tcW w:w="698" w:type="pct"/>
            <w:tcBorders>
              <w:bottom w:val="single" w:sz="4" w:space="0" w:color="auto"/>
              <w:right w:val="single" w:sz="4" w:space="0" w:color="auto"/>
            </w:tcBorders>
            <w:vAlign w:val="center"/>
          </w:tcPr>
          <w:p w14:paraId="61ECDA4D" w14:textId="77777777" w:rsidR="002064C3" w:rsidRPr="00B57A08" w:rsidRDefault="002064C3" w:rsidP="008840EC">
            <w:pPr>
              <w:pStyle w:val="Tabletext1"/>
              <w:keepNext/>
              <w:rPr>
                <w:snapToGrid w:val="0"/>
              </w:rPr>
            </w:pPr>
            <w:r w:rsidRPr="00B57A08">
              <w:rPr>
                <w:snapToGrid w:val="0"/>
              </w:rPr>
              <w:t>$7,965,600</w:t>
            </w:r>
          </w:p>
        </w:tc>
        <w:tc>
          <w:tcPr>
            <w:tcW w:w="700" w:type="pct"/>
            <w:tcBorders>
              <w:bottom w:val="single" w:sz="4" w:space="0" w:color="auto"/>
              <w:right w:val="single" w:sz="4" w:space="0" w:color="auto"/>
            </w:tcBorders>
            <w:vAlign w:val="center"/>
          </w:tcPr>
          <w:p w14:paraId="567FB01C" w14:textId="77777777" w:rsidR="002064C3" w:rsidRPr="00B57A08" w:rsidRDefault="002064C3" w:rsidP="008840EC">
            <w:pPr>
              <w:pStyle w:val="Tabletext1"/>
              <w:keepNext/>
              <w:rPr>
                <w:snapToGrid w:val="0"/>
              </w:rPr>
            </w:pPr>
            <w:r w:rsidRPr="00B57A08">
              <w:rPr>
                <w:snapToGrid w:val="0"/>
              </w:rPr>
              <w:t>$4,123,800</w:t>
            </w:r>
          </w:p>
        </w:tc>
        <w:tc>
          <w:tcPr>
            <w:tcW w:w="702" w:type="pct"/>
            <w:tcBorders>
              <w:left w:val="single" w:sz="4" w:space="0" w:color="auto"/>
              <w:bottom w:val="single" w:sz="4" w:space="0" w:color="auto"/>
              <w:right w:val="single" w:sz="4" w:space="0" w:color="auto"/>
            </w:tcBorders>
            <w:vAlign w:val="center"/>
          </w:tcPr>
          <w:p w14:paraId="7B9410D6" w14:textId="77777777" w:rsidR="002064C3" w:rsidRPr="00B57A08" w:rsidRDefault="002064C3" w:rsidP="008840EC">
            <w:pPr>
              <w:pStyle w:val="Tabletext1"/>
              <w:keepNext/>
              <w:rPr>
                <w:snapToGrid w:val="0"/>
              </w:rPr>
            </w:pPr>
            <w:r w:rsidRPr="00B57A08">
              <w:rPr>
                <w:snapToGrid w:val="0"/>
              </w:rPr>
              <w:t>$12,089,400</w:t>
            </w:r>
          </w:p>
        </w:tc>
        <w:tc>
          <w:tcPr>
            <w:tcW w:w="700" w:type="pct"/>
            <w:tcBorders>
              <w:left w:val="single" w:sz="4" w:space="0" w:color="auto"/>
              <w:bottom w:val="single" w:sz="4" w:space="0" w:color="auto"/>
              <w:right w:val="single" w:sz="4" w:space="0" w:color="auto"/>
            </w:tcBorders>
            <w:vAlign w:val="center"/>
          </w:tcPr>
          <w:p w14:paraId="7A56ECCE" w14:textId="77777777" w:rsidR="002064C3" w:rsidRPr="00B57A08" w:rsidRDefault="002064C3" w:rsidP="008840EC">
            <w:pPr>
              <w:pStyle w:val="Tabletext1"/>
              <w:keepNext/>
              <w:rPr>
                <w:snapToGrid w:val="0"/>
              </w:rPr>
            </w:pPr>
            <w:r w:rsidRPr="00B57A08">
              <w:rPr>
                <w:snapToGrid w:val="0"/>
              </w:rPr>
              <w:t>$39,828,000</w:t>
            </w:r>
          </w:p>
        </w:tc>
        <w:tc>
          <w:tcPr>
            <w:tcW w:w="696" w:type="pct"/>
            <w:tcBorders>
              <w:left w:val="single" w:sz="4" w:space="0" w:color="auto"/>
              <w:bottom w:val="single" w:sz="4" w:space="0" w:color="auto"/>
              <w:right w:val="single" w:sz="4" w:space="0" w:color="auto"/>
            </w:tcBorders>
            <w:vAlign w:val="center"/>
          </w:tcPr>
          <w:p w14:paraId="73C79FD5" w14:textId="77777777" w:rsidR="002064C3" w:rsidRPr="00B57A08" w:rsidRDefault="002064C3" w:rsidP="008840EC">
            <w:pPr>
              <w:pStyle w:val="Tabletext1"/>
              <w:keepNext/>
              <w:rPr>
                <w:snapToGrid w:val="0"/>
              </w:rPr>
            </w:pPr>
            <w:r w:rsidRPr="00B57A08">
              <w:rPr>
                <w:snapToGrid w:val="0"/>
              </w:rPr>
              <w:t>$20,619,000</w:t>
            </w:r>
          </w:p>
        </w:tc>
        <w:tc>
          <w:tcPr>
            <w:tcW w:w="660" w:type="pct"/>
            <w:tcBorders>
              <w:left w:val="single" w:sz="4" w:space="0" w:color="auto"/>
              <w:bottom w:val="single" w:sz="4" w:space="0" w:color="auto"/>
              <w:right w:val="single" w:sz="4" w:space="0" w:color="auto"/>
            </w:tcBorders>
            <w:vAlign w:val="center"/>
          </w:tcPr>
          <w:p w14:paraId="4C4B981A" w14:textId="77777777" w:rsidR="002064C3" w:rsidRPr="00B57A08" w:rsidRDefault="002064C3" w:rsidP="008840EC">
            <w:pPr>
              <w:pStyle w:val="Tabletext1"/>
              <w:keepNext/>
              <w:rPr>
                <w:snapToGrid w:val="0"/>
              </w:rPr>
            </w:pPr>
            <w:r w:rsidRPr="00B57A08">
              <w:rPr>
                <w:snapToGrid w:val="0"/>
              </w:rPr>
              <w:t>$60,447,000</w:t>
            </w:r>
          </w:p>
        </w:tc>
      </w:tr>
      <w:tr w:rsidR="002064C3" w:rsidRPr="00503454" w14:paraId="65B37992" w14:textId="77777777" w:rsidTr="009007E2">
        <w:trPr>
          <w:trHeight w:val="397"/>
        </w:trPr>
        <w:tc>
          <w:tcPr>
            <w:tcW w:w="5000" w:type="pct"/>
            <w:gridSpan w:val="7"/>
            <w:tcBorders>
              <w:right w:val="single" w:sz="4" w:space="0" w:color="auto"/>
            </w:tcBorders>
            <w:vAlign w:val="center"/>
          </w:tcPr>
          <w:p w14:paraId="0CCE698A" w14:textId="77777777" w:rsidR="002064C3" w:rsidRPr="009007E2" w:rsidRDefault="002064C3" w:rsidP="008840EC">
            <w:pPr>
              <w:pStyle w:val="Tableheading1"/>
              <w:keepNext/>
            </w:pPr>
            <w:r w:rsidRPr="009007E2">
              <w:t>Prostate biopsies avoided</w:t>
            </w:r>
          </w:p>
        </w:tc>
      </w:tr>
      <w:tr w:rsidR="00503454" w:rsidRPr="00531D19" w14:paraId="7E9DDBB5" w14:textId="77777777" w:rsidTr="009007E2">
        <w:trPr>
          <w:trHeight w:val="397"/>
        </w:trPr>
        <w:tc>
          <w:tcPr>
            <w:tcW w:w="844" w:type="pct"/>
            <w:vAlign w:val="center"/>
          </w:tcPr>
          <w:p w14:paraId="314BB6D9" w14:textId="77777777" w:rsidR="002064C3" w:rsidRPr="00EC6845" w:rsidRDefault="002064C3" w:rsidP="008840EC">
            <w:pPr>
              <w:pStyle w:val="Tabletext1"/>
              <w:keepNext/>
              <w:rPr>
                <w:snapToGrid w:val="0"/>
              </w:rPr>
            </w:pPr>
            <w:r w:rsidRPr="00EC6845">
              <w:rPr>
                <w:snapToGrid w:val="0"/>
              </w:rPr>
              <w:t>Number of services</w:t>
            </w:r>
          </w:p>
        </w:tc>
        <w:tc>
          <w:tcPr>
            <w:tcW w:w="698" w:type="pct"/>
            <w:vAlign w:val="center"/>
          </w:tcPr>
          <w:p w14:paraId="40B27062" w14:textId="77777777" w:rsidR="002064C3" w:rsidRPr="00B57A08" w:rsidRDefault="002064C3" w:rsidP="008840EC">
            <w:pPr>
              <w:pStyle w:val="Tabletext1"/>
              <w:keepNext/>
              <w:rPr>
                <w:snapToGrid w:val="0"/>
              </w:rPr>
            </w:pPr>
            <w:r w:rsidRPr="00B57A08">
              <w:rPr>
                <w:snapToGrid w:val="0"/>
              </w:rPr>
              <w:t>-3,943</w:t>
            </w:r>
          </w:p>
        </w:tc>
        <w:tc>
          <w:tcPr>
            <w:tcW w:w="700" w:type="pct"/>
            <w:vAlign w:val="center"/>
          </w:tcPr>
          <w:p w14:paraId="188E395E" w14:textId="77777777" w:rsidR="002064C3" w:rsidRPr="00B57A08" w:rsidRDefault="002064C3" w:rsidP="008840EC">
            <w:pPr>
              <w:pStyle w:val="Tabletext1"/>
              <w:keepNext/>
              <w:rPr>
                <w:snapToGrid w:val="0"/>
              </w:rPr>
            </w:pPr>
            <w:r w:rsidRPr="00B57A08">
              <w:rPr>
                <w:snapToGrid w:val="0"/>
              </w:rPr>
              <w:t>-1,718</w:t>
            </w:r>
          </w:p>
        </w:tc>
        <w:tc>
          <w:tcPr>
            <w:tcW w:w="702" w:type="pct"/>
            <w:vAlign w:val="center"/>
          </w:tcPr>
          <w:p w14:paraId="233B95DB" w14:textId="77777777" w:rsidR="002064C3" w:rsidRPr="00B57A08" w:rsidRDefault="002064C3" w:rsidP="008840EC">
            <w:pPr>
              <w:pStyle w:val="Tabletext1"/>
              <w:keepNext/>
              <w:rPr>
                <w:snapToGrid w:val="0"/>
              </w:rPr>
            </w:pPr>
            <w:r w:rsidRPr="00B57A08">
              <w:rPr>
                <w:snapToGrid w:val="0"/>
              </w:rPr>
              <w:t>-5,661</w:t>
            </w:r>
          </w:p>
        </w:tc>
        <w:tc>
          <w:tcPr>
            <w:tcW w:w="700" w:type="pct"/>
            <w:vAlign w:val="center"/>
          </w:tcPr>
          <w:p w14:paraId="3FF0A9B5" w14:textId="77777777" w:rsidR="002064C3" w:rsidRPr="00B57A08" w:rsidRDefault="002064C3" w:rsidP="008840EC">
            <w:pPr>
              <w:pStyle w:val="Tabletext1"/>
              <w:keepNext/>
              <w:rPr>
                <w:snapToGrid w:val="0"/>
              </w:rPr>
            </w:pPr>
            <w:r w:rsidRPr="00B57A08">
              <w:rPr>
                <w:snapToGrid w:val="0"/>
              </w:rPr>
              <w:t>-19,715</w:t>
            </w:r>
          </w:p>
        </w:tc>
        <w:tc>
          <w:tcPr>
            <w:tcW w:w="696" w:type="pct"/>
            <w:vAlign w:val="center"/>
          </w:tcPr>
          <w:p w14:paraId="0EAB529C" w14:textId="77777777" w:rsidR="002064C3" w:rsidRPr="00B57A08" w:rsidRDefault="002064C3" w:rsidP="008840EC">
            <w:pPr>
              <w:pStyle w:val="Tabletext1"/>
              <w:keepNext/>
              <w:rPr>
                <w:snapToGrid w:val="0"/>
              </w:rPr>
            </w:pPr>
            <w:r w:rsidRPr="00B57A08">
              <w:rPr>
                <w:snapToGrid w:val="0"/>
              </w:rPr>
              <w:t>-8,591</w:t>
            </w:r>
          </w:p>
        </w:tc>
        <w:tc>
          <w:tcPr>
            <w:tcW w:w="660" w:type="pct"/>
            <w:vAlign w:val="center"/>
          </w:tcPr>
          <w:p w14:paraId="5D8CD395" w14:textId="77777777" w:rsidR="002064C3" w:rsidRPr="00B57A08" w:rsidRDefault="002064C3" w:rsidP="008840EC">
            <w:pPr>
              <w:pStyle w:val="Tabletext1"/>
              <w:keepNext/>
              <w:rPr>
                <w:snapToGrid w:val="0"/>
              </w:rPr>
            </w:pPr>
            <w:r w:rsidRPr="00B57A08">
              <w:rPr>
                <w:snapToGrid w:val="0"/>
              </w:rPr>
              <w:t>-28,306</w:t>
            </w:r>
          </w:p>
        </w:tc>
      </w:tr>
      <w:tr w:rsidR="00503454" w:rsidRPr="00531D19" w14:paraId="612C0E66" w14:textId="77777777" w:rsidTr="009007E2">
        <w:trPr>
          <w:trHeight w:val="397"/>
        </w:trPr>
        <w:tc>
          <w:tcPr>
            <w:tcW w:w="844" w:type="pct"/>
            <w:tcBorders>
              <w:bottom w:val="single" w:sz="4" w:space="0" w:color="auto"/>
            </w:tcBorders>
            <w:vAlign w:val="center"/>
          </w:tcPr>
          <w:p w14:paraId="0902B421" w14:textId="77777777" w:rsidR="002064C3" w:rsidRPr="00EC6845" w:rsidRDefault="002064C3" w:rsidP="008840EC">
            <w:pPr>
              <w:pStyle w:val="Tabletext1"/>
              <w:keepNext/>
              <w:rPr>
                <w:snapToGrid w:val="0"/>
              </w:rPr>
            </w:pPr>
            <w:r>
              <w:rPr>
                <w:snapToGrid w:val="0"/>
              </w:rPr>
              <w:t>Savings to MBS</w:t>
            </w:r>
          </w:p>
        </w:tc>
        <w:tc>
          <w:tcPr>
            <w:tcW w:w="698" w:type="pct"/>
            <w:tcBorders>
              <w:bottom w:val="single" w:sz="4" w:space="0" w:color="auto"/>
            </w:tcBorders>
            <w:vAlign w:val="center"/>
          </w:tcPr>
          <w:p w14:paraId="47C515C1" w14:textId="77777777" w:rsidR="002064C3" w:rsidRPr="00B57A08" w:rsidRDefault="002064C3" w:rsidP="008840EC">
            <w:pPr>
              <w:pStyle w:val="Tabletext1"/>
              <w:keepNext/>
              <w:rPr>
                <w:snapToGrid w:val="0"/>
              </w:rPr>
            </w:pPr>
            <w:r w:rsidRPr="00B57A08">
              <w:rPr>
                <w:snapToGrid w:val="0"/>
              </w:rPr>
              <w:t>-$</w:t>
            </w:r>
            <w:r w:rsidRPr="00B57A08">
              <w:t>1,950,021</w:t>
            </w:r>
          </w:p>
        </w:tc>
        <w:tc>
          <w:tcPr>
            <w:tcW w:w="700" w:type="pct"/>
            <w:tcBorders>
              <w:bottom w:val="single" w:sz="4" w:space="0" w:color="auto"/>
            </w:tcBorders>
            <w:vAlign w:val="center"/>
          </w:tcPr>
          <w:p w14:paraId="6EE056B1" w14:textId="77777777" w:rsidR="002064C3" w:rsidRPr="00B57A08" w:rsidRDefault="002064C3" w:rsidP="008840EC">
            <w:pPr>
              <w:pStyle w:val="Tabletext1"/>
              <w:keepNext/>
              <w:rPr>
                <w:snapToGrid w:val="0"/>
              </w:rPr>
            </w:pPr>
            <w:r w:rsidRPr="00B57A08">
              <w:rPr>
                <w:snapToGrid w:val="0"/>
              </w:rPr>
              <w:t>-</w:t>
            </w:r>
            <w:r w:rsidRPr="00B57A08">
              <w:t>$849,771</w:t>
            </w:r>
          </w:p>
        </w:tc>
        <w:tc>
          <w:tcPr>
            <w:tcW w:w="702" w:type="pct"/>
            <w:tcBorders>
              <w:bottom w:val="single" w:sz="4" w:space="0" w:color="auto"/>
            </w:tcBorders>
            <w:vAlign w:val="center"/>
          </w:tcPr>
          <w:p w14:paraId="2F6AAC61" w14:textId="77777777" w:rsidR="002064C3" w:rsidRPr="00B57A08" w:rsidRDefault="002064C3" w:rsidP="008840EC">
            <w:pPr>
              <w:pStyle w:val="Tabletext1"/>
              <w:keepNext/>
              <w:rPr>
                <w:snapToGrid w:val="0"/>
              </w:rPr>
            </w:pPr>
            <w:r w:rsidRPr="00B57A08">
              <w:rPr>
                <w:snapToGrid w:val="0"/>
              </w:rPr>
              <w:t>-$2,799,793</w:t>
            </w:r>
          </w:p>
        </w:tc>
        <w:tc>
          <w:tcPr>
            <w:tcW w:w="700" w:type="pct"/>
            <w:tcBorders>
              <w:bottom w:val="single" w:sz="4" w:space="0" w:color="auto"/>
            </w:tcBorders>
            <w:vAlign w:val="center"/>
          </w:tcPr>
          <w:p w14:paraId="2A63C441" w14:textId="77777777" w:rsidR="002064C3" w:rsidRPr="00B57A08" w:rsidRDefault="002064C3" w:rsidP="008840EC">
            <w:pPr>
              <w:pStyle w:val="Tabletext1"/>
              <w:keepNext/>
              <w:rPr>
                <w:snapToGrid w:val="0"/>
              </w:rPr>
            </w:pPr>
            <w:r w:rsidRPr="00B57A08">
              <w:rPr>
                <w:snapToGrid w:val="0"/>
              </w:rPr>
              <w:t>-</w:t>
            </w:r>
            <w:r w:rsidRPr="00B57A08">
              <w:t>$9,750,107</w:t>
            </w:r>
          </w:p>
        </w:tc>
        <w:tc>
          <w:tcPr>
            <w:tcW w:w="696" w:type="pct"/>
            <w:tcBorders>
              <w:bottom w:val="single" w:sz="4" w:space="0" w:color="auto"/>
            </w:tcBorders>
            <w:vAlign w:val="center"/>
          </w:tcPr>
          <w:p w14:paraId="506CC23C" w14:textId="77777777" w:rsidR="002064C3" w:rsidRPr="00B57A08" w:rsidRDefault="002064C3" w:rsidP="008840EC">
            <w:pPr>
              <w:pStyle w:val="Tabletext1"/>
              <w:keepNext/>
              <w:rPr>
                <w:snapToGrid w:val="0"/>
              </w:rPr>
            </w:pPr>
            <w:r w:rsidRPr="00B57A08">
              <w:rPr>
                <w:snapToGrid w:val="0"/>
              </w:rPr>
              <w:t>-</w:t>
            </w:r>
            <w:r w:rsidRPr="00B57A08">
              <w:t>$4,248,856</w:t>
            </w:r>
          </w:p>
        </w:tc>
        <w:tc>
          <w:tcPr>
            <w:tcW w:w="660" w:type="pct"/>
            <w:tcBorders>
              <w:bottom w:val="single" w:sz="4" w:space="0" w:color="auto"/>
            </w:tcBorders>
            <w:vAlign w:val="center"/>
          </w:tcPr>
          <w:p w14:paraId="776462B7" w14:textId="77777777" w:rsidR="002064C3" w:rsidRPr="00B57A08" w:rsidRDefault="002064C3" w:rsidP="008840EC">
            <w:pPr>
              <w:pStyle w:val="Tabletext1"/>
              <w:keepNext/>
              <w:rPr>
                <w:snapToGrid w:val="0"/>
              </w:rPr>
            </w:pPr>
            <w:r w:rsidRPr="00B57A08">
              <w:rPr>
                <w:snapToGrid w:val="0"/>
              </w:rPr>
              <w:t>-$13,998,964</w:t>
            </w:r>
          </w:p>
        </w:tc>
      </w:tr>
      <w:tr w:rsidR="00503454" w:rsidRPr="00531D19" w14:paraId="6FDC7F8C" w14:textId="77777777" w:rsidTr="009007E2">
        <w:trPr>
          <w:trHeight w:val="397"/>
        </w:trPr>
        <w:tc>
          <w:tcPr>
            <w:tcW w:w="844" w:type="pct"/>
            <w:tcBorders>
              <w:right w:val="single" w:sz="4" w:space="0" w:color="auto"/>
            </w:tcBorders>
            <w:vAlign w:val="center"/>
          </w:tcPr>
          <w:p w14:paraId="72314BEC" w14:textId="77777777" w:rsidR="002064C3" w:rsidRPr="00503454" w:rsidRDefault="002064C3" w:rsidP="008840EC">
            <w:pPr>
              <w:pStyle w:val="Tabletext1"/>
              <w:keepNext/>
              <w:rPr>
                <w:rFonts w:cs="Arial"/>
                <w:iCs/>
                <w:szCs w:val="18"/>
              </w:rPr>
            </w:pPr>
            <w:r w:rsidRPr="00503454">
              <w:rPr>
                <w:rFonts w:cs="Arial"/>
                <w:iCs/>
                <w:szCs w:val="18"/>
              </w:rPr>
              <w:t>Total cost to MBS</w:t>
            </w:r>
          </w:p>
        </w:tc>
        <w:tc>
          <w:tcPr>
            <w:tcW w:w="698" w:type="pct"/>
            <w:tcBorders>
              <w:left w:val="single" w:sz="4" w:space="0" w:color="auto"/>
              <w:right w:val="single" w:sz="4" w:space="0" w:color="auto"/>
            </w:tcBorders>
            <w:vAlign w:val="center"/>
          </w:tcPr>
          <w:p w14:paraId="683A9A03" w14:textId="77777777" w:rsidR="002064C3" w:rsidRPr="00B57A08" w:rsidRDefault="002064C3" w:rsidP="008840EC">
            <w:pPr>
              <w:pStyle w:val="Tabletext1"/>
              <w:keepNext/>
              <w:rPr>
                <w:snapToGrid w:val="0"/>
              </w:rPr>
            </w:pPr>
            <w:r w:rsidRPr="00B57A08">
              <w:rPr>
                <w:snapToGrid w:val="0"/>
              </w:rPr>
              <w:t>$4,820,739</w:t>
            </w:r>
          </w:p>
        </w:tc>
        <w:tc>
          <w:tcPr>
            <w:tcW w:w="700" w:type="pct"/>
            <w:tcBorders>
              <w:left w:val="single" w:sz="4" w:space="0" w:color="auto"/>
              <w:right w:val="single" w:sz="4" w:space="0" w:color="auto"/>
            </w:tcBorders>
            <w:vAlign w:val="center"/>
          </w:tcPr>
          <w:p w14:paraId="2B3359E8" w14:textId="77777777" w:rsidR="002064C3" w:rsidRPr="00B57A08" w:rsidRDefault="002064C3" w:rsidP="008840EC">
            <w:pPr>
              <w:pStyle w:val="Tabletext1"/>
              <w:keepNext/>
              <w:rPr>
                <w:snapToGrid w:val="0"/>
              </w:rPr>
            </w:pPr>
            <w:r w:rsidRPr="00B57A08">
              <w:rPr>
                <w:snapToGrid w:val="0"/>
              </w:rPr>
              <w:t>$2,655,459</w:t>
            </w:r>
          </w:p>
        </w:tc>
        <w:tc>
          <w:tcPr>
            <w:tcW w:w="702" w:type="pct"/>
            <w:tcBorders>
              <w:left w:val="single" w:sz="4" w:space="0" w:color="auto"/>
              <w:right w:val="single" w:sz="4" w:space="0" w:color="auto"/>
            </w:tcBorders>
            <w:vAlign w:val="center"/>
          </w:tcPr>
          <w:p w14:paraId="6C0CD393" w14:textId="77777777" w:rsidR="002064C3" w:rsidRPr="00B57A08" w:rsidRDefault="002064C3" w:rsidP="008840EC">
            <w:pPr>
              <w:pStyle w:val="Tabletext1"/>
              <w:keepNext/>
              <w:rPr>
                <w:snapToGrid w:val="0"/>
              </w:rPr>
            </w:pPr>
            <w:r w:rsidRPr="00B57A08">
              <w:rPr>
                <w:snapToGrid w:val="0"/>
              </w:rPr>
              <w:t>$7,476,197</w:t>
            </w:r>
          </w:p>
        </w:tc>
        <w:tc>
          <w:tcPr>
            <w:tcW w:w="700" w:type="pct"/>
            <w:tcBorders>
              <w:left w:val="single" w:sz="4" w:space="0" w:color="auto"/>
              <w:right w:val="single" w:sz="4" w:space="0" w:color="auto"/>
            </w:tcBorders>
            <w:vAlign w:val="center"/>
          </w:tcPr>
          <w:p w14:paraId="431D9461" w14:textId="77777777" w:rsidR="002064C3" w:rsidRPr="00B57A08" w:rsidRDefault="002064C3" w:rsidP="008840EC">
            <w:pPr>
              <w:pStyle w:val="Tabletext1"/>
              <w:keepNext/>
              <w:rPr>
                <w:snapToGrid w:val="0"/>
              </w:rPr>
            </w:pPr>
            <w:r w:rsidRPr="00B57A08">
              <w:rPr>
                <w:snapToGrid w:val="0"/>
              </w:rPr>
              <w:t>$24,103,693</w:t>
            </w:r>
          </w:p>
        </w:tc>
        <w:tc>
          <w:tcPr>
            <w:tcW w:w="696" w:type="pct"/>
            <w:tcBorders>
              <w:left w:val="single" w:sz="4" w:space="0" w:color="auto"/>
              <w:right w:val="single" w:sz="4" w:space="0" w:color="auto"/>
            </w:tcBorders>
            <w:vAlign w:val="center"/>
          </w:tcPr>
          <w:p w14:paraId="60D22F51" w14:textId="77777777" w:rsidR="002064C3" w:rsidRPr="00B57A08" w:rsidRDefault="002064C3" w:rsidP="008840EC">
            <w:pPr>
              <w:pStyle w:val="Tabletext1"/>
              <w:keepNext/>
              <w:rPr>
                <w:snapToGrid w:val="0"/>
              </w:rPr>
            </w:pPr>
            <w:r w:rsidRPr="00B57A08">
              <w:rPr>
                <w:snapToGrid w:val="0"/>
              </w:rPr>
              <w:t>$13,277,294</w:t>
            </w:r>
          </w:p>
        </w:tc>
        <w:tc>
          <w:tcPr>
            <w:tcW w:w="660" w:type="pct"/>
            <w:tcBorders>
              <w:left w:val="single" w:sz="4" w:space="0" w:color="auto"/>
            </w:tcBorders>
            <w:vAlign w:val="center"/>
          </w:tcPr>
          <w:p w14:paraId="7A6E2DB5" w14:textId="77777777" w:rsidR="002064C3" w:rsidRPr="00B57A08" w:rsidRDefault="002064C3" w:rsidP="008840EC">
            <w:pPr>
              <w:pStyle w:val="Tabletext1"/>
              <w:keepNext/>
              <w:rPr>
                <w:snapToGrid w:val="0"/>
              </w:rPr>
            </w:pPr>
            <w:r w:rsidRPr="00B57A08">
              <w:rPr>
                <w:snapToGrid w:val="0"/>
              </w:rPr>
              <w:t>$37,380,986</w:t>
            </w:r>
          </w:p>
        </w:tc>
      </w:tr>
    </w:tbl>
    <w:p w14:paraId="6DC0EC4B" w14:textId="21079C7F" w:rsidR="005C5191" w:rsidRDefault="005C5191" w:rsidP="002064C3">
      <w:pPr>
        <w:pStyle w:val="TableFooter"/>
      </w:pPr>
      <w:proofErr w:type="spellStart"/>
      <w:proofErr w:type="gramStart"/>
      <w:r w:rsidRPr="007E7D2E">
        <w:t>mpMRI</w:t>
      </w:r>
      <w:proofErr w:type="spellEnd"/>
      <w:proofErr w:type="gramEnd"/>
      <w:r>
        <w:t xml:space="preserve"> =</w:t>
      </w:r>
      <w:r w:rsidRPr="007E7D2E">
        <w:t xml:space="preserve"> </w:t>
      </w:r>
      <w:proofErr w:type="spellStart"/>
      <w:r w:rsidRPr="007E7D2E">
        <w:t>multiparametric</w:t>
      </w:r>
      <w:proofErr w:type="spellEnd"/>
      <w:r>
        <w:t xml:space="preserve"> MR</w:t>
      </w:r>
      <w:r w:rsidR="006E65D3">
        <w:t>I,</w:t>
      </w:r>
      <w:r>
        <w:t xml:space="preserve"> MBS = Medical Benefits </w:t>
      </w:r>
      <w:r w:rsidR="006E65D3">
        <w:t>Schedule</w:t>
      </w:r>
      <w:r>
        <w:t>.</w:t>
      </w:r>
    </w:p>
    <w:p w14:paraId="7916155E" w14:textId="3C0B8775" w:rsidR="002064C3" w:rsidRPr="00183E4D" w:rsidRDefault="002064C3" w:rsidP="002064C3">
      <w:pPr>
        <w:pStyle w:val="TableFooter"/>
      </w:pPr>
      <w:r>
        <w:t xml:space="preserve">Source: Section E.4 </w:t>
      </w:r>
      <w:r>
        <w:rPr>
          <w:highlight w:val="yellow"/>
        </w:rPr>
        <w:fldChar w:fldCharType="begin"/>
      </w:r>
      <w:r>
        <w:instrText xml:space="preserve"> REF _Ref395200179 \h </w:instrText>
      </w:r>
      <w:r>
        <w:rPr>
          <w:highlight w:val="yellow"/>
        </w:rPr>
      </w:r>
      <w:r>
        <w:rPr>
          <w:highlight w:val="yellow"/>
        </w:rPr>
        <w:fldChar w:fldCharType="separate"/>
      </w:r>
      <w:r w:rsidR="0029649D" w:rsidRPr="00EF0338">
        <w:t xml:space="preserve">Table </w:t>
      </w:r>
      <w:r w:rsidR="0029649D">
        <w:rPr>
          <w:noProof/>
        </w:rPr>
        <w:t>66</w:t>
      </w:r>
      <w:r>
        <w:rPr>
          <w:highlight w:val="yellow"/>
        </w:rPr>
        <w:fldChar w:fldCharType="end"/>
      </w:r>
    </w:p>
    <w:p w14:paraId="026EDC12" w14:textId="77777777" w:rsidR="002064C3" w:rsidRPr="00183E4D" w:rsidRDefault="002064C3" w:rsidP="002064C3">
      <w:pPr>
        <w:sectPr w:rsidR="002064C3" w:rsidRPr="00183E4D" w:rsidSect="002064C3">
          <w:headerReference w:type="even" r:id="rId20"/>
          <w:headerReference w:type="default" r:id="rId21"/>
          <w:headerReference w:type="first" r:id="rId22"/>
          <w:pgSz w:w="11906" w:h="16838"/>
          <w:pgMar w:top="1440" w:right="1440" w:bottom="1440" w:left="1440" w:header="720" w:footer="720" w:gutter="0"/>
          <w:paperSrc w:first="2" w:other="2"/>
          <w:pgNumType w:start="1"/>
          <w:cols w:space="720"/>
        </w:sectPr>
      </w:pPr>
    </w:p>
    <w:p w14:paraId="333A946B" w14:textId="77777777" w:rsidR="00553518" w:rsidRDefault="00D15891" w:rsidP="00DF343F">
      <w:pPr>
        <w:pStyle w:val="Heading1"/>
      </w:pPr>
      <w:bookmarkStart w:id="143" w:name="_Toc355274699"/>
      <w:bookmarkStart w:id="144" w:name="_Ref363826811"/>
      <w:bookmarkStart w:id="145" w:name="_Toc379118061"/>
      <w:bookmarkStart w:id="146" w:name="_Toc381796437"/>
      <w:bookmarkStart w:id="147" w:name="_Toc460513885"/>
      <w:bookmarkStart w:id="148" w:name="_Toc451749499"/>
      <w:bookmarkEnd w:id="116"/>
      <w:bookmarkEnd w:id="117"/>
      <w:bookmarkEnd w:id="118"/>
      <w:bookmarkEnd w:id="109"/>
      <w:bookmarkEnd w:id="110"/>
      <w:r>
        <w:lastRenderedPageBreak/>
        <w:t xml:space="preserve">Acronyms </w:t>
      </w:r>
      <w:r w:rsidR="003346E0">
        <w:t>and A</w:t>
      </w:r>
      <w:r w:rsidR="00553518" w:rsidRPr="00183E4D">
        <w:t>bbreviations</w:t>
      </w:r>
      <w:bookmarkEnd w:id="143"/>
      <w:bookmarkEnd w:id="144"/>
      <w:bookmarkEnd w:id="145"/>
      <w:bookmarkEnd w:id="146"/>
      <w:bookmarkEnd w:id="147"/>
      <w:r w:rsidR="00553518" w:rsidRPr="00183E4D">
        <w:t xml:space="preserve"> </w:t>
      </w:r>
    </w:p>
    <w:bookmarkEnd w:id="148"/>
    <w:p w14:paraId="793E7356" w14:textId="64AFF4D2" w:rsidR="00823871" w:rsidRDefault="00823871" w:rsidP="00823871">
      <w:pPr>
        <w:tabs>
          <w:tab w:val="left" w:pos="2943"/>
        </w:tabs>
        <w:spacing w:line="240" w:lineRule="auto"/>
      </w:pPr>
      <w:r>
        <w:t>ADT</w:t>
      </w:r>
      <w:r>
        <w:tab/>
      </w:r>
      <w:r w:rsidR="00974B74">
        <w:t>Androgen Deprivation Therapy</w:t>
      </w:r>
    </w:p>
    <w:p w14:paraId="6BDBAD97" w14:textId="4349D2A8" w:rsidR="00823871" w:rsidRDefault="00823871" w:rsidP="00823871">
      <w:pPr>
        <w:tabs>
          <w:tab w:val="left" w:pos="2943"/>
        </w:tabs>
        <w:spacing w:line="240" w:lineRule="auto"/>
      </w:pPr>
      <w:r>
        <w:t>AE</w:t>
      </w:r>
      <w:r>
        <w:tab/>
      </w:r>
      <w:r w:rsidR="00974B74">
        <w:t>Adverse Event</w:t>
      </w:r>
    </w:p>
    <w:p w14:paraId="659F63BA" w14:textId="77777777" w:rsidR="00823871" w:rsidRDefault="00823871" w:rsidP="00823871">
      <w:pPr>
        <w:tabs>
          <w:tab w:val="left" w:pos="2943"/>
        </w:tabs>
        <w:spacing w:line="240" w:lineRule="auto"/>
      </w:pPr>
      <w:r>
        <w:t>AIHW</w:t>
      </w:r>
      <w:r>
        <w:tab/>
        <w:t>Australian Institute of Health and Welfare</w:t>
      </w:r>
    </w:p>
    <w:p w14:paraId="2EC1C9BD" w14:textId="77777777" w:rsidR="00823871" w:rsidRDefault="00823871" w:rsidP="00823871">
      <w:pPr>
        <w:tabs>
          <w:tab w:val="left" w:pos="2943"/>
        </w:tabs>
        <w:spacing w:line="240" w:lineRule="auto"/>
      </w:pPr>
      <w:r>
        <w:t>AMSTAR</w:t>
      </w:r>
      <w:r>
        <w:tab/>
        <w:t>A Measurement Tool to Assess Systematic Reviews</w:t>
      </w:r>
    </w:p>
    <w:p w14:paraId="5B65121A" w14:textId="77777777" w:rsidR="00823871" w:rsidRDefault="00823871" w:rsidP="00823871">
      <w:pPr>
        <w:tabs>
          <w:tab w:val="left" w:pos="2943"/>
        </w:tabs>
        <w:spacing w:line="240" w:lineRule="auto"/>
      </w:pPr>
      <w:r>
        <w:t>AR-DRG</w:t>
      </w:r>
      <w:r>
        <w:tab/>
        <w:t>Australian Refined Diagnostic Related Groups</w:t>
      </w:r>
    </w:p>
    <w:p w14:paraId="4F74635C" w14:textId="77777777" w:rsidR="00823871" w:rsidRDefault="00823871" w:rsidP="00823871">
      <w:pPr>
        <w:tabs>
          <w:tab w:val="left" w:pos="2943"/>
        </w:tabs>
        <w:spacing w:line="240" w:lineRule="auto"/>
      </w:pPr>
      <w:r>
        <w:t>ARTG</w:t>
      </w:r>
      <w:r>
        <w:tab/>
        <w:t>Australian Register of Therapeutic Goods</w:t>
      </w:r>
    </w:p>
    <w:p w14:paraId="3F149A30" w14:textId="77777777" w:rsidR="00823871" w:rsidRDefault="00823871" w:rsidP="00823871">
      <w:pPr>
        <w:tabs>
          <w:tab w:val="left" w:pos="2943"/>
        </w:tabs>
        <w:spacing w:line="240" w:lineRule="auto"/>
      </w:pPr>
      <w:r>
        <w:t>AS</w:t>
      </w:r>
      <w:r>
        <w:tab/>
        <w:t>Active Surveillance</w:t>
      </w:r>
    </w:p>
    <w:p w14:paraId="146BEE25" w14:textId="77777777" w:rsidR="00823871" w:rsidRDefault="00823871" w:rsidP="00823871">
      <w:pPr>
        <w:tabs>
          <w:tab w:val="left" w:pos="2943"/>
        </w:tabs>
        <w:spacing w:line="240" w:lineRule="auto"/>
      </w:pPr>
      <w:r>
        <w:t>BPE</w:t>
      </w:r>
      <w:r>
        <w:tab/>
        <w:t>Benign Prostate Enlargement</w:t>
      </w:r>
    </w:p>
    <w:p w14:paraId="0B9BB898" w14:textId="77777777" w:rsidR="00823871" w:rsidRDefault="00823871" w:rsidP="00823871">
      <w:pPr>
        <w:tabs>
          <w:tab w:val="left" w:pos="2943"/>
        </w:tabs>
        <w:spacing w:line="240" w:lineRule="auto"/>
      </w:pPr>
      <w:r>
        <w:t>BRCA</w:t>
      </w:r>
      <w:r>
        <w:tab/>
        <w:t>Breast Cancer</w:t>
      </w:r>
    </w:p>
    <w:p w14:paraId="700546B4" w14:textId="28BC50EB" w:rsidR="00823871" w:rsidRDefault="00823871" w:rsidP="00823871">
      <w:pPr>
        <w:tabs>
          <w:tab w:val="left" w:pos="2943"/>
        </w:tabs>
        <w:spacing w:line="240" w:lineRule="auto"/>
      </w:pPr>
      <w:proofErr w:type="spellStart"/>
      <w:proofErr w:type="gramStart"/>
      <w:r>
        <w:t>bx</w:t>
      </w:r>
      <w:proofErr w:type="spellEnd"/>
      <w:proofErr w:type="gramEnd"/>
      <w:r>
        <w:tab/>
      </w:r>
      <w:r w:rsidR="00974B74">
        <w:t>Biopsy</w:t>
      </w:r>
    </w:p>
    <w:p w14:paraId="15765D08" w14:textId="77777777" w:rsidR="00823871" w:rsidRDefault="00823871" w:rsidP="00823871">
      <w:pPr>
        <w:tabs>
          <w:tab w:val="left" w:pos="2943"/>
        </w:tabs>
        <w:spacing w:line="240" w:lineRule="auto"/>
      </w:pPr>
      <w:r>
        <w:t>CA</w:t>
      </w:r>
      <w:r>
        <w:tab/>
        <w:t>Contracted Assessment</w:t>
      </w:r>
    </w:p>
    <w:p w14:paraId="78DBB61F" w14:textId="769D9AF1" w:rsidR="00823871" w:rsidRDefault="00823871" w:rsidP="00823871">
      <w:pPr>
        <w:tabs>
          <w:tab w:val="left" w:pos="2943"/>
        </w:tabs>
        <w:spacing w:line="240" w:lineRule="auto"/>
      </w:pPr>
      <w:r>
        <w:t>CAD</w:t>
      </w:r>
      <w:r>
        <w:tab/>
        <w:t xml:space="preserve">Canadian </w:t>
      </w:r>
      <w:r w:rsidR="00974B74">
        <w:t>Dollars</w:t>
      </w:r>
    </w:p>
    <w:p w14:paraId="1FE6C8A3" w14:textId="6FB757A2" w:rsidR="00823871" w:rsidRDefault="00823871" w:rsidP="00823871">
      <w:pPr>
        <w:tabs>
          <w:tab w:val="left" w:pos="2943"/>
        </w:tabs>
        <w:spacing w:line="240" w:lineRule="auto"/>
      </w:pPr>
      <w:r>
        <w:t>CEA</w:t>
      </w:r>
      <w:r>
        <w:tab/>
      </w:r>
      <w:r w:rsidR="00974B74">
        <w:t>Cost Effectiveness Analysis</w:t>
      </w:r>
    </w:p>
    <w:p w14:paraId="73ABD4FA" w14:textId="77777777" w:rsidR="00823871" w:rsidRDefault="00823871" w:rsidP="00823871">
      <w:pPr>
        <w:tabs>
          <w:tab w:val="left" w:pos="2943"/>
        </w:tabs>
        <w:spacing w:line="240" w:lineRule="auto"/>
      </w:pPr>
      <w:r>
        <w:t>CI</w:t>
      </w:r>
      <w:r>
        <w:tab/>
        <w:t>Confidence Interval</w:t>
      </w:r>
    </w:p>
    <w:p w14:paraId="22166AC4" w14:textId="5541B83C" w:rsidR="00823871" w:rsidRDefault="00823871" w:rsidP="00823871">
      <w:pPr>
        <w:tabs>
          <w:tab w:val="left" w:pos="2943"/>
        </w:tabs>
        <w:spacing w:line="240" w:lineRule="auto"/>
      </w:pPr>
      <w:r>
        <w:t>CPI</w:t>
      </w:r>
      <w:r>
        <w:tab/>
      </w:r>
      <w:r w:rsidR="00974B74">
        <w:t>Consumer Price Index</w:t>
      </w:r>
    </w:p>
    <w:p w14:paraId="510AA2EA" w14:textId="652221D4" w:rsidR="00823871" w:rsidRDefault="00823871" w:rsidP="00823871">
      <w:pPr>
        <w:tabs>
          <w:tab w:val="left" w:pos="2943"/>
        </w:tabs>
        <w:spacing w:line="240" w:lineRule="auto"/>
      </w:pPr>
      <w:r>
        <w:t>CRPC</w:t>
      </w:r>
      <w:r>
        <w:tab/>
      </w:r>
      <w:r w:rsidR="00974B74">
        <w:t>Castrate Resistant Prostate Cancer</w:t>
      </w:r>
    </w:p>
    <w:p w14:paraId="2018D050" w14:textId="78350FBF" w:rsidR="00823871" w:rsidRDefault="00823871" w:rsidP="00823871">
      <w:pPr>
        <w:tabs>
          <w:tab w:val="left" w:pos="2943"/>
        </w:tabs>
        <w:spacing w:line="240" w:lineRule="auto"/>
      </w:pPr>
      <w:r>
        <w:t>CUA</w:t>
      </w:r>
      <w:r>
        <w:tab/>
      </w:r>
      <w:r w:rsidR="00974B74">
        <w:t>Cost Utility Analysis</w:t>
      </w:r>
    </w:p>
    <w:p w14:paraId="72FC56B7" w14:textId="77777777" w:rsidR="00823871" w:rsidRDefault="00823871" w:rsidP="00823871">
      <w:pPr>
        <w:tabs>
          <w:tab w:val="left" w:pos="2943"/>
        </w:tabs>
        <w:spacing w:line="240" w:lineRule="auto"/>
      </w:pPr>
      <w:r>
        <w:t>DAP</w:t>
      </w:r>
      <w:r>
        <w:tab/>
        <w:t>Decision Analytic Protocol</w:t>
      </w:r>
    </w:p>
    <w:p w14:paraId="55979986" w14:textId="77777777" w:rsidR="00823871" w:rsidRDefault="00823871" w:rsidP="00823871">
      <w:pPr>
        <w:tabs>
          <w:tab w:val="left" w:pos="2943"/>
        </w:tabs>
        <w:spacing w:line="240" w:lineRule="auto"/>
      </w:pPr>
      <w:r>
        <w:t>DCE</w:t>
      </w:r>
      <w:r>
        <w:tab/>
        <w:t>Dynamic Contrast Enhancement</w:t>
      </w:r>
    </w:p>
    <w:p w14:paraId="33E98ADD" w14:textId="77777777" w:rsidR="00823871" w:rsidRDefault="00823871" w:rsidP="00823871">
      <w:pPr>
        <w:tabs>
          <w:tab w:val="left" w:pos="2943"/>
        </w:tabs>
        <w:spacing w:line="240" w:lineRule="auto"/>
      </w:pPr>
      <w:r>
        <w:t>DPMQ</w:t>
      </w:r>
      <w:r>
        <w:tab/>
        <w:t>Dispense Price for Maximum Quantity</w:t>
      </w:r>
    </w:p>
    <w:p w14:paraId="21810A51" w14:textId="77777777" w:rsidR="00823871" w:rsidRDefault="00823871" w:rsidP="00823871">
      <w:pPr>
        <w:tabs>
          <w:tab w:val="left" w:pos="2943"/>
        </w:tabs>
        <w:spacing w:line="240" w:lineRule="auto"/>
      </w:pPr>
      <w:r>
        <w:t>DRE</w:t>
      </w:r>
      <w:r>
        <w:tab/>
        <w:t>Digital Rectal Examination</w:t>
      </w:r>
    </w:p>
    <w:p w14:paraId="6E758A95" w14:textId="77777777" w:rsidR="00823871" w:rsidRDefault="00823871" w:rsidP="00823871">
      <w:pPr>
        <w:tabs>
          <w:tab w:val="left" w:pos="2943"/>
        </w:tabs>
        <w:spacing w:line="240" w:lineRule="auto"/>
      </w:pPr>
      <w:r>
        <w:t>DWI</w:t>
      </w:r>
      <w:r>
        <w:tab/>
        <w:t>Diffusion Weighted Imaging</w:t>
      </w:r>
    </w:p>
    <w:p w14:paraId="2E526912" w14:textId="7F595A86" w:rsidR="00823871" w:rsidRDefault="00823871" w:rsidP="00823871">
      <w:pPr>
        <w:tabs>
          <w:tab w:val="left" w:pos="2943"/>
        </w:tabs>
        <w:spacing w:line="240" w:lineRule="auto"/>
      </w:pPr>
      <w:r>
        <w:t>EBRT</w:t>
      </w:r>
      <w:r>
        <w:tab/>
      </w:r>
      <w:r w:rsidR="00974B74">
        <w:t>External Beam Radiotherapy</w:t>
      </w:r>
    </w:p>
    <w:p w14:paraId="2A95A371" w14:textId="77777777" w:rsidR="00823871" w:rsidRDefault="00823871" w:rsidP="00823871">
      <w:pPr>
        <w:tabs>
          <w:tab w:val="left" w:pos="2943"/>
        </w:tabs>
        <w:spacing w:line="240" w:lineRule="auto"/>
      </w:pPr>
      <w:r>
        <w:t>EUR</w:t>
      </w:r>
      <w:r>
        <w:tab/>
        <w:t>Euros</w:t>
      </w:r>
    </w:p>
    <w:p w14:paraId="49ABFFF7" w14:textId="4789FF53" w:rsidR="00823871" w:rsidRDefault="00823871" w:rsidP="00823871">
      <w:pPr>
        <w:tabs>
          <w:tab w:val="left" w:pos="2943"/>
        </w:tabs>
        <w:spacing w:line="240" w:lineRule="auto"/>
      </w:pPr>
      <w:r>
        <w:t>GBP</w:t>
      </w:r>
      <w:r>
        <w:tab/>
        <w:t xml:space="preserve">Great British </w:t>
      </w:r>
      <w:r w:rsidR="00974B74">
        <w:t>Pound</w:t>
      </w:r>
    </w:p>
    <w:p w14:paraId="66877F5E" w14:textId="77777777" w:rsidR="00823871" w:rsidRDefault="00823871" w:rsidP="00823871">
      <w:pPr>
        <w:tabs>
          <w:tab w:val="left" w:pos="2943"/>
        </w:tabs>
        <w:spacing w:line="240" w:lineRule="auto"/>
      </w:pPr>
      <w:r>
        <w:lastRenderedPageBreak/>
        <w:t>HESP</w:t>
      </w:r>
      <w:r>
        <w:tab/>
        <w:t>Health Expert Standing Panel</w:t>
      </w:r>
    </w:p>
    <w:p w14:paraId="772E34C7" w14:textId="3F48A3DF" w:rsidR="00823871" w:rsidRDefault="00823871" w:rsidP="00823871">
      <w:pPr>
        <w:tabs>
          <w:tab w:val="left" w:pos="2943"/>
        </w:tabs>
        <w:spacing w:line="240" w:lineRule="auto"/>
      </w:pPr>
      <w:proofErr w:type="spellStart"/>
      <w:r>
        <w:t>HRQoL</w:t>
      </w:r>
      <w:proofErr w:type="spellEnd"/>
      <w:r>
        <w:tab/>
      </w:r>
      <w:r w:rsidR="00974B74">
        <w:t>Health-Related Quality Of Life</w:t>
      </w:r>
    </w:p>
    <w:p w14:paraId="42ABAB42" w14:textId="6DF732EA" w:rsidR="00823871" w:rsidRDefault="00823871" w:rsidP="00823871">
      <w:pPr>
        <w:tabs>
          <w:tab w:val="left" w:pos="2943"/>
        </w:tabs>
        <w:spacing w:line="240" w:lineRule="auto"/>
      </w:pPr>
      <w:r>
        <w:t>HTA</w:t>
      </w:r>
      <w:r>
        <w:tab/>
      </w:r>
      <w:r w:rsidR="00974B74">
        <w:t>Health Technology Assessment</w:t>
      </w:r>
    </w:p>
    <w:p w14:paraId="4ED5CB48" w14:textId="77777777" w:rsidR="00823871" w:rsidRDefault="00823871" w:rsidP="00823871">
      <w:pPr>
        <w:tabs>
          <w:tab w:val="left" w:pos="2943"/>
        </w:tabs>
        <w:spacing w:line="240" w:lineRule="auto"/>
      </w:pPr>
      <w:r>
        <w:t>ICER</w:t>
      </w:r>
      <w:r>
        <w:tab/>
        <w:t>Incremental Cost-Effectiveness Ratio</w:t>
      </w:r>
    </w:p>
    <w:p w14:paraId="7AE46DDB" w14:textId="6CCA0D23" w:rsidR="00823871" w:rsidRDefault="00823871" w:rsidP="00823871">
      <w:pPr>
        <w:tabs>
          <w:tab w:val="left" w:pos="2943"/>
        </w:tabs>
        <w:spacing w:line="240" w:lineRule="auto"/>
      </w:pPr>
      <w:r>
        <w:t>IHR</w:t>
      </w:r>
      <w:r>
        <w:tab/>
      </w:r>
      <w:r w:rsidR="00974B74">
        <w:t>Intermediate</w:t>
      </w:r>
      <w:r>
        <w:t xml:space="preserve"> to </w:t>
      </w:r>
      <w:r w:rsidR="00974B74">
        <w:t>High Risk</w:t>
      </w:r>
    </w:p>
    <w:p w14:paraId="28576F8F" w14:textId="7A36A4F1" w:rsidR="00823871" w:rsidRDefault="00823871" w:rsidP="00823871">
      <w:pPr>
        <w:tabs>
          <w:tab w:val="left" w:pos="2943"/>
        </w:tabs>
        <w:spacing w:line="240" w:lineRule="auto"/>
      </w:pPr>
      <w:r>
        <w:t>IQR</w:t>
      </w:r>
      <w:r>
        <w:tab/>
      </w:r>
      <w:r w:rsidR="00974B74">
        <w:t>Interquartile Range</w:t>
      </w:r>
    </w:p>
    <w:p w14:paraId="3D5F844F" w14:textId="796122A9" w:rsidR="00823871" w:rsidRDefault="00823871" w:rsidP="00823871">
      <w:pPr>
        <w:tabs>
          <w:tab w:val="left" w:pos="2943"/>
        </w:tabs>
        <w:spacing w:line="240" w:lineRule="auto"/>
      </w:pPr>
      <w:r>
        <w:t>LR</w:t>
      </w:r>
      <w:r>
        <w:tab/>
      </w:r>
      <w:r w:rsidR="00974B74">
        <w:t>Low Risk</w:t>
      </w:r>
    </w:p>
    <w:p w14:paraId="1463AFDB" w14:textId="77777777" w:rsidR="00823871" w:rsidRDefault="00823871" w:rsidP="00823871">
      <w:pPr>
        <w:tabs>
          <w:tab w:val="left" w:pos="2943"/>
        </w:tabs>
        <w:spacing w:line="240" w:lineRule="auto"/>
      </w:pPr>
      <w:r>
        <w:t>LY</w:t>
      </w:r>
      <w:r>
        <w:tab/>
        <w:t>Life years</w:t>
      </w:r>
    </w:p>
    <w:p w14:paraId="4F5E2047" w14:textId="77777777" w:rsidR="00823871" w:rsidRDefault="00823871" w:rsidP="00823871">
      <w:pPr>
        <w:tabs>
          <w:tab w:val="left" w:pos="2943"/>
        </w:tabs>
        <w:spacing w:line="240" w:lineRule="auto"/>
      </w:pPr>
      <w:r>
        <w:t>MBS</w:t>
      </w:r>
      <w:r>
        <w:tab/>
        <w:t>Medicare Benefits Schedule</w:t>
      </w:r>
    </w:p>
    <w:p w14:paraId="690914B7" w14:textId="77777777" w:rsidR="00823871" w:rsidRDefault="00823871" w:rsidP="00823871">
      <w:pPr>
        <w:tabs>
          <w:tab w:val="left" w:pos="2943"/>
        </w:tabs>
        <w:spacing w:line="240" w:lineRule="auto"/>
      </w:pPr>
      <w:proofErr w:type="spellStart"/>
      <w:r>
        <w:t>MCRCPCa</w:t>
      </w:r>
      <w:proofErr w:type="spellEnd"/>
      <w:r>
        <w:tab/>
        <w:t>Metastatic Castrate Resistant Prostate Cancer</w:t>
      </w:r>
    </w:p>
    <w:p w14:paraId="1C6C90EA" w14:textId="77777777" w:rsidR="00823871" w:rsidRDefault="00823871" w:rsidP="00823871">
      <w:pPr>
        <w:tabs>
          <w:tab w:val="left" w:pos="2943"/>
        </w:tabs>
        <w:spacing w:line="240" w:lineRule="auto"/>
      </w:pPr>
      <w:r>
        <w:t>MD</w:t>
      </w:r>
      <w:r>
        <w:tab/>
        <w:t>Mean Difference</w:t>
      </w:r>
    </w:p>
    <w:p w14:paraId="0C003215" w14:textId="77777777" w:rsidR="00823871" w:rsidRDefault="00823871" w:rsidP="00823871">
      <w:pPr>
        <w:tabs>
          <w:tab w:val="left" w:pos="2943"/>
        </w:tabs>
        <w:spacing w:line="240" w:lineRule="auto"/>
      </w:pPr>
      <w:proofErr w:type="gramStart"/>
      <w:r>
        <w:t>ml</w:t>
      </w:r>
      <w:proofErr w:type="gramEnd"/>
      <w:r>
        <w:tab/>
        <w:t>Millilitre</w:t>
      </w:r>
    </w:p>
    <w:p w14:paraId="7E8E17A2" w14:textId="77777777" w:rsidR="00823871" w:rsidRDefault="00823871" w:rsidP="00823871">
      <w:pPr>
        <w:tabs>
          <w:tab w:val="left" w:pos="2943"/>
        </w:tabs>
        <w:spacing w:line="240" w:lineRule="auto"/>
      </w:pPr>
      <w:proofErr w:type="spellStart"/>
      <w:proofErr w:type="gramStart"/>
      <w:r>
        <w:t>mpMRI</w:t>
      </w:r>
      <w:proofErr w:type="spellEnd"/>
      <w:proofErr w:type="gramEnd"/>
      <w:r>
        <w:tab/>
      </w:r>
      <w:proofErr w:type="spellStart"/>
      <w:r>
        <w:t>Multiparametric</w:t>
      </w:r>
      <w:proofErr w:type="spellEnd"/>
      <w:r>
        <w:t xml:space="preserve"> MRI</w:t>
      </w:r>
    </w:p>
    <w:p w14:paraId="2C2D910C" w14:textId="0DA8B768" w:rsidR="00823871" w:rsidRDefault="00823871" w:rsidP="00823871">
      <w:pPr>
        <w:tabs>
          <w:tab w:val="left" w:pos="2943"/>
        </w:tabs>
        <w:spacing w:line="240" w:lineRule="auto"/>
      </w:pPr>
      <w:r>
        <w:t>MRGB</w:t>
      </w:r>
      <w:r>
        <w:tab/>
      </w:r>
      <w:r w:rsidR="00974B74">
        <w:t>Magnetic Resonance Guided Biopsy</w:t>
      </w:r>
    </w:p>
    <w:p w14:paraId="6B22421D" w14:textId="77777777" w:rsidR="00823871" w:rsidRDefault="00823871" w:rsidP="00823871">
      <w:pPr>
        <w:tabs>
          <w:tab w:val="left" w:pos="2943"/>
        </w:tabs>
        <w:spacing w:line="240" w:lineRule="auto"/>
      </w:pPr>
      <w:r>
        <w:t>MRI</w:t>
      </w:r>
      <w:r>
        <w:tab/>
        <w:t>Magnetic Resonance Imaging</w:t>
      </w:r>
    </w:p>
    <w:p w14:paraId="1C4F3AB0" w14:textId="77777777" w:rsidR="00823871" w:rsidRDefault="00823871" w:rsidP="00823871">
      <w:pPr>
        <w:tabs>
          <w:tab w:val="left" w:pos="2943"/>
        </w:tabs>
        <w:spacing w:line="240" w:lineRule="auto"/>
      </w:pPr>
      <w:r>
        <w:t>MRIGB</w:t>
      </w:r>
      <w:r>
        <w:tab/>
        <w:t>MRI Guided Biopsy</w:t>
      </w:r>
    </w:p>
    <w:p w14:paraId="268B37D9" w14:textId="77777777" w:rsidR="00823871" w:rsidRDefault="00823871" w:rsidP="00823871">
      <w:pPr>
        <w:tabs>
          <w:tab w:val="left" w:pos="2943"/>
        </w:tabs>
        <w:spacing w:line="240" w:lineRule="auto"/>
      </w:pPr>
      <w:r>
        <w:t>MSAC</w:t>
      </w:r>
      <w:r>
        <w:tab/>
        <w:t>Medical Services Advisory Committee</w:t>
      </w:r>
    </w:p>
    <w:p w14:paraId="45EA455E" w14:textId="26790B57" w:rsidR="00823871" w:rsidRDefault="00823871" w:rsidP="00823871">
      <w:pPr>
        <w:tabs>
          <w:tab w:val="left" w:pos="2943"/>
        </w:tabs>
        <w:spacing w:line="240" w:lineRule="auto"/>
      </w:pPr>
      <w:r>
        <w:t>NA</w:t>
      </w:r>
      <w:r>
        <w:tab/>
      </w:r>
      <w:r w:rsidR="00974B74">
        <w:t>Not Applicable</w:t>
      </w:r>
    </w:p>
    <w:p w14:paraId="4773F034" w14:textId="77777777" w:rsidR="00823871" w:rsidRDefault="00823871" w:rsidP="00823871">
      <w:pPr>
        <w:tabs>
          <w:tab w:val="left" w:pos="2943"/>
        </w:tabs>
        <w:spacing w:line="240" w:lineRule="auto"/>
      </w:pPr>
      <w:proofErr w:type="gramStart"/>
      <w:r>
        <w:t>ng</w:t>
      </w:r>
      <w:proofErr w:type="gramEnd"/>
      <w:r>
        <w:tab/>
      </w:r>
      <w:proofErr w:type="spellStart"/>
      <w:r>
        <w:t>Nanogram</w:t>
      </w:r>
      <w:proofErr w:type="spellEnd"/>
    </w:p>
    <w:p w14:paraId="45D2D88D" w14:textId="77777777" w:rsidR="00823871" w:rsidRDefault="00823871" w:rsidP="00823871">
      <w:pPr>
        <w:tabs>
          <w:tab w:val="left" w:pos="2943"/>
        </w:tabs>
        <w:spacing w:line="240" w:lineRule="auto"/>
      </w:pPr>
      <w:r>
        <w:t>NHCDC</w:t>
      </w:r>
      <w:r>
        <w:tab/>
        <w:t>National Hospital Cost Data Collection</w:t>
      </w:r>
    </w:p>
    <w:p w14:paraId="44CA7503" w14:textId="77777777" w:rsidR="00823871" w:rsidRDefault="00823871" w:rsidP="00823871">
      <w:pPr>
        <w:tabs>
          <w:tab w:val="left" w:pos="2943"/>
        </w:tabs>
        <w:spacing w:line="240" w:lineRule="auto"/>
      </w:pPr>
      <w:r>
        <w:t>NHMRC</w:t>
      </w:r>
      <w:r>
        <w:tab/>
        <w:t>National Health and Medical Research Council</w:t>
      </w:r>
    </w:p>
    <w:p w14:paraId="25F7BB20" w14:textId="77777777" w:rsidR="00823871" w:rsidRDefault="00823871" w:rsidP="00823871">
      <w:pPr>
        <w:tabs>
          <w:tab w:val="left" w:pos="2943"/>
        </w:tabs>
        <w:spacing w:line="240" w:lineRule="auto"/>
      </w:pPr>
      <w:r>
        <w:t>NHS</w:t>
      </w:r>
      <w:r>
        <w:tab/>
        <w:t>United Kingdom, National Health System</w:t>
      </w:r>
    </w:p>
    <w:p w14:paraId="2BD27598" w14:textId="43FA7D64" w:rsidR="00823871" w:rsidRDefault="00823871" w:rsidP="00823871">
      <w:pPr>
        <w:tabs>
          <w:tab w:val="left" w:pos="2943"/>
        </w:tabs>
        <w:spacing w:line="240" w:lineRule="auto"/>
      </w:pPr>
      <w:r>
        <w:t>NR</w:t>
      </w:r>
      <w:r>
        <w:tab/>
      </w:r>
      <w:r w:rsidR="00974B74">
        <w:t>Not Reported</w:t>
      </w:r>
    </w:p>
    <w:p w14:paraId="43F6202F" w14:textId="77777777" w:rsidR="00823871" w:rsidRDefault="00823871" w:rsidP="00823871">
      <w:pPr>
        <w:tabs>
          <w:tab w:val="left" w:pos="2943"/>
        </w:tabs>
        <w:spacing w:line="240" w:lineRule="auto"/>
      </w:pPr>
      <w:r>
        <w:t>PASC</w:t>
      </w:r>
      <w:r>
        <w:tab/>
        <w:t>Protocol Advisory Sub-Committee</w:t>
      </w:r>
    </w:p>
    <w:p w14:paraId="543D8E5A" w14:textId="77777777" w:rsidR="00823871" w:rsidRDefault="00823871" w:rsidP="00823871">
      <w:pPr>
        <w:tabs>
          <w:tab w:val="left" w:pos="2943"/>
        </w:tabs>
        <w:spacing w:line="240" w:lineRule="auto"/>
      </w:pPr>
      <w:r>
        <w:t>PBS</w:t>
      </w:r>
      <w:r>
        <w:tab/>
        <w:t>Pharmaceutical Benefits Scheme</w:t>
      </w:r>
    </w:p>
    <w:p w14:paraId="588B0662" w14:textId="77777777" w:rsidR="00823871" w:rsidRDefault="00823871" w:rsidP="00823871">
      <w:pPr>
        <w:tabs>
          <w:tab w:val="left" w:pos="2943"/>
        </w:tabs>
        <w:spacing w:line="240" w:lineRule="auto"/>
      </w:pPr>
      <w:proofErr w:type="spellStart"/>
      <w:r>
        <w:t>PCa</w:t>
      </w:r>
      <w:proofErr w:type="spellEnd"/>
      <w:r>
        <w:tab/>
        <w:t>Prostate Cancer</w:t>
      </w:r>
    </w:p>
    <w:p w14:paraId="6880C8D2" w14:textId="7D028707" w:rsidR="00823871" w:rsidRDefault="00823871" w:rsidP="00823871">
      <w:pPr>
        <w:tabs>
          <w:tab w:val="left" w:pos="2943"/>
        </w:tabs>
        <w:spacing w:line="240" w:lineRule="auto"/>
      </w:pPr>
      <w:r>
        <w:t>PCA3</w:t>
      </w:r>
      <w:r>
        <w:tab/>
      </w:r>
      <w:r w:rsidR="00974B74">
        <w:t xml:space="preserve">Prostate Cancer Gene </w:t>
      </w:r>
      <w:r>
        <w:t>3</w:t>
      </w:r>
    </w:p>
    <w:p w14:paraId="2FA51DB8" w14:textId="15421D30" w:rsidR="00823871" w:rsidRDefault="00823871" w:rsidP="00823871">
      <w:pPr>
        <w:tabs>
          <w:tab w:val="left" w:pos="2943"/>
        </w:tabs>
        <w:spacing w:line="240" w:lineRule="auto"/>
      </w:pPr>
      <w:r>
        <w:lastRenderedPageBreak/>
        <w:t>PHI</w:t>
      </w:r>
      <w:r>
        <w:tab/>
      </w:r>
      <w:r w:rsidR="00974B74">
        <w:t>Prostate Health Index</w:t>
      </w:r>
    </w:p>
    <w:p w14:paraId="6C71F83A" w14:textId="77777777" w:rsidR="00823871" w:rsidRDefault="00823871" w:rsidP="00823871">
      <w:pPr>
        <w:tabs>
          <w:tab w:val="left" w:pos="2943"/>
        </w:tabs>
        <w:spacing w:line="240" w:lineRule="auto"/>
      </w:pPr>
      <w:r>
        <w:t>PICO</w:t>
      </w:r>
      <w:r>
        <w:tab/>
        <w:t>Patient Intervention Comparator Outcome</w:t>
      </w:r>
    </w:p>
    <w:p w14:paraId="6B4CC7D9" w14:textId="77777777" w:rsidR="00823871" w:rsidRDefault="00823871" w:rsidP="00823871">
      <w:pPr>
        <w:tabs>
          <w:tab w:val="left" w:pos="2943"/>
        </w:tabs>
        <w:spacing w:line="240" w:lineRule="auto"/>
      </w:pPr>
      <w:r>
        <w:t>PI-RADS</w:t>
      </w:r>
      <w:r>
        <w:tab/>
        <w:t>Prostate Imaging Reporting and Data System</w:t>
      </w:r>
    </w:p>
    <w:p w14:paraId="7B9BB68E" w14:textId="77777777" w:rsidR="00823871" w:rsidRDefault="00823871" w:rsidP="00823871">
      <w:pPr>
        <w:tabs>
          <w:tab w:val="left" w:pos="2943"/>
        </w:tabs>
        <w:spacing w:line="240" w:lineRule="auto"/>
      </w:pPr>
      <w:r>
        <w:t>PSA</w:t>
      </w:r>
      <w:r>
        <w:tab/>
        <w:t>Prostate Specific Antigen</w:t>
      </w:r>
    </w:p>
    <w:p w14:paraId="1FB766FD" w14:textId="1B2FE19D" w:rsidR="00823871" w:rsidRDefault="00823871" w:rsidP="00823871">
      <w:pPr>
        <w:tabs>
          <w:tab w:val="left" w:pos="2943"/>
        </w:tabs>
        <w:spacing w:line="240" w:lineRule="auto"/>
      </w:pPr>
      <w:r>
        <w:t>QALY</w:t>
      </w:r>
      <w:r>
        <w:tab/>
        <w:t>Quali</w:t>
      </w:r>
      <w:r w:rsidR="00E87958">
        <w:t>ty Adjusted Life-Y</w:t>
      </w:r>
      <w:r>
        <w:t>ears</w:t>
      </w:r>
    </w:p>
    <w:p w14:paraId="59F6C60F" w14:textId="4D7BEA23" w:rsidR="00823871" w:rsidRDefault="00823871" w:rsidP="00823871">
      <w:pPr>
        <w:tabs>
          <w:tab w:val="left" w:pos="2943"/>
        </w:tabs>
        <w:spacing w:line="240" w:lineRule="auto"/>
      </w:pPr>
      <w:r>
        <w:t>QALYG</w:t>
      </w:r>
      <w:r>
        <w:tab/>
      </w:r>
      <w:r w:rsidR="00E87958">
        <w:t>Quality Adjusted Life-Years G</w:t>
      </w:r>
      <w:r>
        <w:t>ained</w:t>
      </w:r>
    </w:p>
    <w:p w14:paraId="6B191898" w14:textId="77777777" w:rsidR="00823871" w:rsidRDefault="00823871" w:rsidP="00823871">
      <w:pPr>
        <w:tabs>
          <w:tab w:val="left" w:pos="2943"/>
        </w:tabs>
        <w:spacing w:line="240" w:lineRule="auto"/>
      </w:pPr>
      <w:r>
        <w:t>RANZCR</w:t>
      </w:r>
      <w:r>
        <w:tab/>
        <w:t>Royal Australian New Zealand College of Radiologists</w:t>
      </w:r>
    </w:p>
    <w:p w14:paraId="3CD175AE" w14:textId="1D62AB50" w:rsidR="00823871" w:rsidRDefault="00823871" w:rsidP="00823871">
      <w:pPr>
        <w:tabs>
          <w:tab w:val="left" w:pos="2943"/>
        </w:tabs>
        <w:spacing w:line="240" w:lineRule="auto"/>
      </w:pPr>
      <w:r>
        <w:t>RP</w:t>
      </w:r>
      <w:r>
        <w:tab/>
      </w:r>
      <w:r w:rsidR="00974B74">
        <w:t>Radical Prostatectomy</w:t>
      </w:r>
    </w:p>
    <w:p w14:paraId="4A9C74CB" w14:textId="3F1221A4" w:rsidR="00823871" w:rsidRDefault="00823871" w:rsidP="00823871">
      <w:pPr>
        <w:tabs>
          <w:tab w:val="left" w:pos="2943"/>
        </w:tabs>
        <w:spacing w:line="240" w:lineRule="auto"/>
      </w:pPr>
      <w:r>
        <w:t>SD</w:t>
      </w:r>
      <w:r>
        <w:tab/>
      </w:r>
      <w:r w:rsidR="00974B74">
        <w:t>Standard Deviation</w:t>
      </w:r>
    </w:p>
    <w:p w14:paraId="6F396EC1" w14:textId="58A73A2F" w:rsidR="00823871" w:rsidRDefault="00823871" w:rsidP="00823871">
      <w:pPr>
        <w:tabs>
          <w:tab w:val="left" w:pos="2943"/>
        </w:tabs>
        <w:spacing w:line="240" w:lineRule="auto"/>
      </w:pPr>
      <w:r>
        <w:t>T2W</w:t>
      </w:r>
      <w:r>
        <w:tab/>
        <w:t xml:space="preserve">T2 </w:t>
      </w:r>
      <w:r w:rsidR="00974B74">
        <w:t>Weighted</w:t>
      </w:r>
    </w:p>
    <w:p w14:paraId="095AC83F" w14:textId="77777777" w:rsidR="00823871" w:rsidRDefault="00823871" w:rsidP="00823871">
      <w:pPr>
        <w:tabs>
          <w:tab w:val="left" w:pos="2943"/>
        </w:tabs>
        <w:spacing w:line="240" w:lineRule="auto"/>
      </w:pPr>
      <w:r>
        <w:t>TGA</w:t>
      </w:r>
      <w:r>
        <w:tab/>
        <w:t>Therapeutic Goods Administration</w:t>
      </w:r>
    </w:p>
    <w:p w14:paraId="7AC0BC2D" w14:textId="77777777" w:rsidR="00823871" w:rsidRDefault="00823871" w:rsidP="00823871">
      <w:pPr>
        <w:tabs>
          <w:tab w:val="left" w:pos="2943"/>
        </w:tabs>
        <w:spacing w:line="240" w:lineRule="auto"/>
      </w:pPr>
      <w:r>
        <w:t>TPUSGB</w:t>
      </w:r>
      <w:r>
        <w:tab/>
        <w:t>Trans-perineal Ultrasound Guided Biopsy</w:t>
      </w:r>
    </w:p>
    <w:p w14:paraId="4EFFF964" w14:textId="77777777" w:rsidR="00823871" w:rsidRDefault="00823871" w:rsidP="00823871">
      <w:pPr>
        <w:tabs>
          <w:tab w:val="left" w:pos="2943"/>
        </w:tabs>
        <w:spacing w:line="240" w:lineRule="auto"/>
      </w:pPr>
      <w:r>
        <w:t>TRUSGB</w:t>
      </w:r>
      <w:r>
        <w:tab/>
        <w:t>Trans-rectal Ultrasound Guided Biopsy</w:t>
      </w:r>
    </w:p>
    <w:p w14:paraId="4D0F5282" w14:textId="31FA03C6" w:rsidR="00823871" w:rsidRDefault="00823871" w:rsidP="00823871">
      <w:pPr>
        <w:tabs>
          <w:tab w:val="left" w:pos="2943"/>
        </w:tabs>
        <w:spacing w:line="240" w:lineRule="auto"/>
      </w:pPr>
      <w:r>
        <w:t>TURP</w:t>
      </w:r>
      <w:r>
        <w:tab/>
      </w:r>
      <w:r w:rsidR="00974B74">
        <w:t xml:space="preserve">Transurethral Resection </w:t>
      </w:r>
      <w:proofErr w:type="gramStart"/>
      <w:r w:rsidR="00974B74">
        <w:t>Of</w:t>
      </w:r>
      <w:proofErr w:type="gramEnd"/>
      <w:r w:rsidR="00974B74">
        <w:t xml:space="preserve"> The Prostate</w:t>
      </w:r>
    </w:p>
    <w:p w14:paraId="5FDD359E" w14:textId="77777777" w:rsidR="00823871" w:rsidRDefault="00823871" w:rsidP="00823871">
      <w:pPr>
        <w:tabs>
          <w:tab w:val="left" w:pos="2943"/>
        </w:tabs>
        <w:spacing w:line="240" w:lineRule="auto"/>
      </w:pPr>
      <w:r>
        <w:t>USD</w:t>
      </w:r>
      <w:r>
        <w:tab/>
        <w:t>United States dollars</w:t>
      </w:r>
    </w:p>
    <w:p w14:paraId="445ED9EC" w14:textId="77777777" w:rsidR="00823871" w:rsidRDefault="00823871" w:rsidP="00823871">
      <w:pPr>
        <w:tabs>
          <w:tab w:val="left" w:pos="2943"/>
        </w:tabs>
        <w:spacing w:line="240" w:lineRule="auto"/>
      </w:pPr>
      <w:r>
        <w:t>USGB</w:t>
      </w:r>
      <w:r>
        <w:tab/>
        <w:t>Ultrasound Guided Biopsy</w:t>
      </w:r>
    </w:p>
    <w:p w14:paraId="587DBE6C" w14:textId="05DAFF51" w:rsidR="00823871" w:rsidRDefault="00823871" w:rsidP="00823871">
      <w:pPr>
        <w:tabs>
          <w:tab w:val="left" w:pos="2943"/>
        </w:tabs>
        <w:spacing w:line="240" w:lineRule="auto"/>
      </w:pPr>
      <w:r>
        <w:t>UTI</w:t>
      </w:r>
      <w:r>
        <w:tab/>
        <w:t>Urinary Tract Infection</w:t>
      </w:r>
    </w:p>
    <w:p w14:paraId="3FEDFDA9" w14:textId="77777777" w:rsidR="001061AB" w:rsidRPr="00183E4D" w:rsidRDefault="001061AB" w:rsidP="001061AB">
      <w:pPr>
        <w:pStyle w:val="Heading1"/>
      </w:pPr>
      <w:bookmarkStart w:id="149" w:name="_Toc445463427"/>
      <w:bookmarkStart w:id="150" w:name="_Toc460513886"/>
      <w:bookmarkStart w:id="151" w:name="_Ref124760357"/>
      <w:r w:rsidRPr="00183E4D">
        <w:lastRenderedPageBreak/>
        <w:t xml:space="preserve">Section </w:t>
      </w:r>
      <w:proofErr w:type="gramStart"/>
      <w:r w:rsidRPr="00183E4D">
        <w:t>A</w:t>
      </w:r>
      <w:proofErr w:type="gramEnd"/>
      <w:r w:rsidRPr="00183E4D">
        <w:tab/>
        <w:t>Context</w:t>
      </w:r>
      <w:bookmarkEnd w:id="149"/>
      <w:bookmarkEnd w:id="150"/>
    </w:p>
    <w:p w14:paraId="28290AB2" w14:textId="416CFF9C" w:rsidR="001061AB" w:rsidRDefault="001061AB" w:rsidP="001061AB">
      <w:pPr>
        <w:shd w:val="clear" w:color="auto" w:fill="FFFFFF" w:themeFill="background1"/>
      </w:pPr>
      <w:r w:rsidRPr="00A65F6D">
        <w:t xml:space="preserve">This contracted assessment of </w:t>
      </w:r>
      <w:proofErr w:type="spellStart"/>
      <w:r>
        <w:t>multiparametric</w:t>
      </w:r>
      <w:proofErr w:type="spellEnd"/>
      <w:r>
        <w:t xml:space="preserve"> MRI (</w:t>
      </w:r>
      <w:proofErr w:type="spellStart"/>
      <w:r w:rsidRPr="00A65F6D">
        <w:rPr>
          <w:shd w:val="clear" w:color="auto" w:fill="FFFFFF" w:themeFill="background1"/>
        </w:rPr>
        <w:t>mpMRI</w:t>
      </w:r>
      <w:proofErr w:type="spellEnd"/>
      <w:r>
        <w:rPr>
          <w:shd w:val="clear" w:color="auto" w:fill="FFFFFF" w:themeFill="background1"/>
        </w:rPr>
        <w:t>)</w:t>
      </w:r>
      <w:r w:rsidRPr="00A65F6D">
        <w:rPr>
          <w:shd w:val="clear" w:color="auto" w:fill="FFFFFF" w:themeFill="background1"/>
        </w:rPr>
        <w:t xml:space="preserve"> scans for diagnosis of prostate cancer</w:t>
      </w:r>
      <w:r w:rsidR="0005426D">
        <w:rPr>
          <w:shd w:val="clear" w:color="auto" w:fill="FFFFFF" w:themeFill="background1"/>
        </w:rPr>
        <w:t xml:space="preserve"> (</w:t>
      </w:r>
      <w:proofErr w:type="spellStart"/>
      <w:r w:rsidR="0005426D">
        <w:rPr>
          <w:shd w:val="clear" w:color="auto" w:fill="FFFFFF" w:themeFill="background1"/>
        </w:rPr>
        <w:t>PCa</w:t>
      </w:r>
      <w:proofErr w:type="spellEnd"/>
      <w:r w:rsidR="0005426D">
        <w:rPr>
          <w:shd w:val="clear" w:color="auto" w:fill="FFFFFF" w:themeFill="background1"/>
        </w:rPr>
        <w:t>)</w:t>
      </w:r>
      <w:r w:rsidRPr="00A65F6D">
        <w:rPr>
          <w:shd w:val="clear" w:color="auto" w:fill="FFFFFF" w:themeFill="background1"/>
        </w:rPr>
        <w:t xml:space="preserve"> </w:t>
      </w:r>
      <w:r w:rsidRPr="00A65F6D">
        <w:t>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498C2162" w14:textId="410EA42D" w:rsidR="001061AB" w:rsidRPr="00183E4D" w:rsidRDefault="001061AB" w:rsidP="001061AB">
      <w:pPr>
        <w:shd w:val="clear" w:color="auto" w:fill="FFFFFF" w:themeFill="background1"/>
      </w:pPr>
      <w:r w:rsidRPr="00A65F6D">
        <w:rPr>
          <w:shd w:val="clear" w:color="auto" w:fill="FFFFFF" w:themeFill="background1"/>
        </w:rPr>
        <w:t>ASERNIP-S</w:t>
      </w:r>
      <w:r w:rsidR="00AC4B8A">
        <w:t xml:space="preserve"> of the Royal Australasian College of Surgeons</w:t>
      </w:r>
      <w:r w:rsidRPr="00A65F6D">
        <w:t xml:space="preserve"> has been commissioned by the Australian Government Department of Health to conduct a systematic literature review and economic evaluation of </w:t>
      </w:r>
      <w:proofErr w:type="spellStart"/>
      <w:r w:rsidRPr="00A65F6D">
        <w:rPr>
          <w:shd w:val="clear" w:color="auto" w:fill="FFFFFF" w:themeFill="background1"/>
        </w:rPr>
        <w:t>mpMRI</w:t>
      </w:r>
      <w:proofErr w:type="spellEnd"/>
      <w:r w:rsidRPr="00A65F6D">
        <w:rPr>
          <w:shd w:val="clear" w:color="auto" w:fill="FFFFFF" w:themeFill="background1"/>
        </w:rPr>
        <w:t xml:space="preserve"> prostate diagnostic scans for diagnosis of </w:t>
      </w:r>
      <w:proofErr w:type="spellStart"/>
      <w:r w:rsidR="0005426D">
        <w:t>PCa</w:t>
      </w:r>
      <w:proofErr w:type="spellEnd"/>
      <w:r w:rsidRPr="00A65F6D">
        <w:t>. This assessment has been undertaken in order to inform MSAC’s decision-making regarding whether the proposed medical service should be publicly funded.</w:t>
      </w:r>
      <w:r>
        <w:t xml:space="preserve"> It should be noted that a related service, MRI-guided prostate biopsy is also being assessed. It is currently being assessed as </w:t>
      </w:r>
      <w:r w:rsidR="00066802">
        <w:t>CA</w:t>
      </w:r>
      <w:r w:rsidR="00462D15">
        <w:t xml:space="preserve"> </w:t>
      </w:r>
      <w:r>
        <w:t>1424.</w:t>
      </w:r>
    </w:p>
    <w:p w14:paraId="1FE99AD3" w14:textId="10C9804A" w:rsidR="001061AB" w:rsidRPr="00183E4D" w:rsidRDefault="001061AB" w:rsidP="001061AB">
      <w:r w:rsidRPr="00183E4D">
        <w:t xml:space="preserve">The proposed use of </w:t>
      </w:r>
      <w:proofErr w:type="spellStart"/>
      <w:r w:rsidRPr="00A65F6D">
        <w:rPr>
          <w:shd w:val="clear" w:color="auto" w:fill="FFFFFF" w:themeFill="background1"/>
        </w:rPr>
        <w:t>mpMRI</w:t>
      </w:r>
      <w:proofErr w:type="spellEnd"/>
      <w:r w:rsidRPr="00A65F6D">
        <w:rPr>
          <w:shd w:val="clear" w:color="auto" w:fill="FFFFFF" w:themeFill="background1"/>
        </w:rPr>
        <w:t xml:space="preserve"> prostate diagnostic scans for diagnosis of </w:t>
      </w:r>
      <w:proofErr w:type="spellStart"/>
      <w:r w:rsidR="006818E1">
        <w:t>PCa</w:t>
      </w:r>
      <w:proofErr w:type="spellEnd"/>
      <w:r w:rsidRPr="00183E4D">
        <w:t xml:space="preserve"> in Australian clinical practice was outlined in a </w:t>
      </w:r>
      <w:r w:rsidR="007F498C">
        <w:t>P</w:t>
      </w:r>
      <w:r w:rsidR="007654E3">
        <w:t>rotocol</w:t>
      </w:r>
      <w:r w:rsidRPr="00183E4D">
        <w:t xml:space="preserve"> that was </w:t>
      </w:r>
      <w:r>
        <w:t xml:space="preserve">presented to, and accepted by, the </w:t>
      </w:r>
      <w:r w:rsidR="00F079C1">
        <w:t>Protocol</w:t>
      </w:r>
      <w:r w:rsidRPr="00183E4D">
        <w:t xml:space="preserve"> Advisory </w:t>
      </w:r>
      <w:r w:rsidRPr="001875F6">
        <w:t>Sub</w:t>
      </w:r>
      <w:r>
        <w:t>-</w:t>
      </w:r>
      <w:r w:rsidRPr="001875F6">
        <w:t>Committee (PASC)</w:t>
      </w:r>
      <w:r w:rsidR="00EB4730">
        <w:t xml:space="preserve"> </w:t>
      </w:r>
      <w:r w:rsidR="008E0B00">
        <w:fldChar w:fldCharType="begin"/>
      </w:r>
      <w:r w:rsidR="008E0B00">
        <w:instrText xml:space="preserve"> ADDIN EN.CITE &lt;EndNote&gt;&lt;Cite&gt;&lt;Author&gt;DoH&lt;/Author&gt;&lt;Year&gt;2016&lt;/Year&gt;&lt;RecNum&gt;212&lt;/RecNum&gt;&lt;DisplayText&gt;(DoH 2016a)&lt;/DisplayText&gt;&lt;record&gt;&lt;rec-number&gt;212&lt;/rec-number&gt;&lt;foreign-keys&gt;&lt;key app="EN" db-id="xzzrstesqpaavfe0te5p2zssvee5ervas2vt" timestamp="1469588963"&gt;212&lt;/key&gt;&lt;/foreign-keys&gt;&lt;ref-type name="Journal Article"&gt;17&lt;/ref-type&gt;&lt;contributors&gt;&lt;authors&gt;&lt;author&gt;DoH&lt;/author&gt;&lt;/authors&gt;&lt;/contributors&gt;&lt;titles&gt;&lt;title&gt;Protocol to guide the assessment of mpMRI prostate diagnostic scans for diagnosis of prostate cancer&lt;/title&gt;&lt;/titles&gt;&lt;dates&gt;&lt;year&gt;2016&lt;/year&gt;&lt;/dates&gt;&lt;urls&gt;&lt;/urls&gt;&lt;/record&gt;&lt;/Cite&gt;&lt;/EndNote&gt;</w:instrText>
      </w:r>
      <w:r w:rsidR="008E0B00">
        <w:fldChar w:fldCharType="separate"/>
      </w:r>
      <w:r w:rsidR="008E0B00">
        <w:rPr>
          <w:noProof/>
        </w:rPr>
        <w:t>(</w:t>
      </w:r>
      <w:hyperlink w:anchor="_ENREF_39" w:tooltip="DoH, 2016 #212" w:history="1">
        <w:r w:rsidR="008E0B00">
          <w:rPr>
            <w:noProof/>
          </w:rPr>
          <w:t>DoH 2016a</w:t>
        </w:r>
      </w:hyperlink>
      <w:r w:rsidR="008E0B00">
        <w:rPr>
          <w:noProof/>
        </w:rPr>
        <w:t>)</w:t>
      </w:r>
      <w:r w:rsidR="008E0B00">
        <w:fldChar w:fldCharType="end"/>
      </w:r>
      <w:r w:rsidRPr="001875F6">
        <w:t xml:space="preserve">. The </w:t>
      </w:r>
      <w:r w:rsidR="007F498C">
        <w:t>P</w:t>
      </w:r>
      <w:r w:rsidR="007654E3">
        <w:t>rotocol</w:t>
      </w:r>
      <w:r w:rsidRPr="001875F6">
        <w:t xml:space="preserve"> was released for public comment on 30-31 June 2015</w:t>
      </w:r>
      <w:r w:rsidRPr="00183E4D">
        <w:t>.</w:t>
      </w:r>
    </w:p>
    <w:p w14:paraId="5FE54B8B" w14:textId="3B02D866" w:rsidR="001061AB" w:rsidRPr="00183E4D" w:rsidRDefault="001061AB" w:rsidP="008813E6">
      <w:pPr>
        <w:pStyle w:val="Heading2"/>
        <w:numPr>
          <w:ilvl w:val="0"/>
          <w:numId w:val="7"/>
        </w:numPr>
      </w:pPr>
      <w:bookmarkStart w:id="152" w:name="_Toc445463428"/>
      <w:bookmarkStart w:id="153" w:name="_Toc460513887"/>
      <w:r>
        <w:t xml:space="preserve">Items in the agreed </w:t>
      </w:r>
      <w:bookmarkEnd w:id="152"/>
      <w:r w:rsidR="007654E3">
        <w:t>protocol</w:t>
      </w:r>
      <w:bookmarkEnd w:id="153"/>
    </w:p>
    <w:p w14:paraId="5A2E6D33" w14:textId="1A511E19" w:rsidR="005E4BBA" w:rsidRPr="007F7859" w:rsidRDefault="001061AB" w:rsidP="001061AB">
      <w:pPr>
        <w:rPr>
          <w:vanish/>
        </w:rPr>
      </w:pPr>
      <w:r>
        <w:t xml:space="preserve">This </w:t>
      </w:r>
      <w:r w:rsidRPr="00A65F6D">
        <w:rPr>
          <w:shd w:val="clear" w:color="auto" w:fill="FFFFFF" w:themeFill="background1"/>
        </w:rPr>
        <w:t>contracted</w:t>
      </w:r>
      <w:r w:rsidRPr="00183E4D">
        <w:t xml:space="preserve"> assessment of </w:t>
      </w:r>
      <w:proofErr w:type="spellStart"/>
      <w:r w:rsidRPr="00A65F6D">
        <w:rPr>
          <w:shd w:val="clear" w:color="auto" w:fill="FFFFFF" w:themeFill="background1"/>
        </w:rPr>
        <w:t>mpMRI</w:t>
      </w:r>
      <w:proofErr w:type="spellEnd"/>
      <w:r w:rsidRPr="00A65F6D">
        <w:rPr>
          <w:shd w:val="clear" w:color="auto" w:fill="FFFFFF" w:themeFill="background1"/>
        </w:rPr>
        <w:t xml:space="preserve"> prostate diagnostic scans for diagnosis of </w:t>
      </w:r>
      <w:proofErr w:type="spellStart"/>
      <w:r w:rsidR="006818E1">
        <w:t>PCa</w:t>
      </w:r>
      <w:proofErr w:type="spellEnd"/>
      <w:r>
        <w:t xml:space="preserve"> addresses </w:t>
      </w:r>
      <w:r w:rsidRPr="00A65F6D">
        <w:rPr>
          <w:shd w:val="clear" w:color="auto" w:fill="FFFFFF" w:themeFill="background1"/>
        </w:rPr>
        <w:t>all</w:t>
      </w:r>
      <w:r w:rsidRPr="00183E4D">
        <w:t xml:space="preserve"> of the</w:t>
      </w:r>
      <w:r w:rsidR="00C94365">
        <w:t xml:space="preserve"> Population, Intervention, Comparator, Outcomes</w:t>
      </w:r>
      <w:r w:rsidRPr="00183E4D">
        <w:t xml:space="preserve"> </w:t>
      </w:r>
      <w:r w:rsidR="00C94365">
        <w:t>(</w:t>
      </w:r>
      <w:r w:rsidRPr="00183E4D">
        <w:t>PICO</w:t>
      </w:r>
      <w:r w:rsidR="00C94365">
        <w:t>)</w:t>
      </w:r>
      <w:r w:rsidRPr="00183E4D">
        <w:t xml:space="preserve"> elements that were </w:t>
      </w:r>
      <w:r>
        <w:t>pre-</w:t>
      </w:r>
      <w:r w:rsidRPr="00183E4D">
        <w:t xml:space="preserve">specified in the </w:t>
      </w:r>
      <w:r w:rsidR="007F498C">
        <w:t>P</w:t>
      </w:r>
      <w:r w:rsidR="007654E3">
        <w:t>rotocol</w:t>
      </w:r>
      <w:r>
        <w:t xml:space="preserve"> </w:t>
      </w:r>
      <w:r w:rsidRPr="00A65F6D">
        <w:rPr>
          <w:shd w:val="clear" w:color="auto" w:fill="FFFFFF" w:themeFill="background1"/>
        </w:rPr>
        <w:t>ratified by</w:t>
      </w:r>
      <w:r w:rsidRPr="00D52A25">
        <w:t xml:space="preserve"> </w:t>
      </w:r>
      <w:r>
        <w:t>PASC</w:t>
      </w:r>
      <w:r w:rsidRPr="00183E4D">
        <w:t>.</w:t>
      </w:r>
      <w:r w:rsidR="002A2E63" w:rsidRPr="002A2E63">
        <w:t xml:space="preserve"> </w:t>
      </w:r>
    </w:p>
    <w:p w14:paraId="02FD5AF7" w14:textId="77777777" w:rsidR="001061AB" w:rsidRPr="007F7859" w:rsidRDefault="001061AB" w:rsidP="008813E6">
      <w:pPr>
        <w:pStyle w:val="Heading2"/>
        <w:numPr>
          <w:ilvl w:val="0"/>
          <w:numId w:val="7"/>
        </w:numPr>
      </w:pPr>
      <w:bookmarkStart w:id="154" w:name="_Toc445463429"/>
      <w:bookmarkStart w:id="155" w:name="_Toc460513888"/>
      <w:bookmarkStart w:id="156" w:name="_Toc381796441"/>
      <w:r w:rsidRPr="007F7859">
        <w:t>Proposed Medical Service</w:t>
      </w:r>
      <w:bookmarkEnd w:id="154"/>
      <w:bookmarkEnd w:id="155"/>
    </w:p>
    <w:p w14:paraId="4C975C51" w14:textId="4A0C459E" w:rsidR="001061AB" w:rsidRPr="00280F06" w:rsidRDefault="001061AB" w:rsidP="001061AB">
      <w:pPr>
        <w:rPr>
          <w:b/>
          <w:lang w:val="en-GB"/>
        </w:rPr>
      </w:pPr>
      <w:bookmarkStart w:id="157" w:name="_Toc444781433"/>
      <w:bookmarkEnd w:id="156"/>
      <w:r>
        <w:rPr>
          <w:b/>
          <w:lang w:val="en-GB"/>
        </w:rPr>
        <w:t>A2.1</w:t>
      </w:r>
      <w:r>
        <w:rPr>
          <w:b/>
          <w:lang w:val="en-GB"/>
        </w:rPr>
        <w:tab/>
      </w:r>
      <w:r w:rsidR="009B3F50">
        <w:rPr>
          <w:b/>
          <w:lang w:val="en-GB"/>
        </w:rPr>
        <w:tab/>
      </w:r>
      <w:r w:rsidRPr="00280F06">
        <w:rPr>
          <w:b/>
          <w:lang w:val="en-GB"/>
        </w:rPr>
        <w:t>Description</w:t>
      </w:r>
      <w:bookmarkEnd w:id="157"/>
      <w:r>
        <w:rPr>
          <w:b/>
          <w:lang w:val="en-GB"/>
        </w:rPr>
        <w:t xml:space="preserve"> of intervention</w:t>
      </w:r>
    </w:p>
    <w:p w14:paraId="65BD7E2C" w14:textId="305B951D" w:rsidR="001061AB" w:rsidRDefault="001061AB" w:rsidP="001061AB">
      <w:r>
        <w:t xml:space="preserve">The proposed service for Application 1397 is </w:t>
      </w:r>
      <w:proofErr w:type="spellStart"/>
      <w:r>
        <w:t>mpMRI</w:t>
      </w:r>
      <w:proofErr w:type="spellEnd"/>
      <w:r>
        <w:t xml:space="preserve"> for cancer detection in patients with suspicion of </w:t>
      </w:r>
      <w:proofErr w:type="spellStart"/>
      <w:r w:rsidR="0005426D">
        <w:t>PCa</w:t>
      </w:r>
      <w:proofErr w:type="spellEnd"/>
      <w:r>
        <w:t xml:space="preserve"> and disease monitoring in patients with known disease who are on active surveillance </w:t>
      </w:r>
      <w:r w:rsidR="00CE60C4">
        <w:t xml:space="preserve">(AS) </w:t>
      </w:r>
      <w:r>
        <w:t>programs.</w:t>
      </w:r>
    </w:p>
    <w:p w14:paraId="319E3A4C" w14:textId="70A31665" w:rsidR="001061AB" w:rsidRPr="00906F52" w:rsidRDefault="00AF7A84" w:rsidP="001061AB">
      <w:r>
        <w:t>M</w:t>
      </w:r>
      <w:r w:rsidR="001061AB" w:rsidRPr="00280F06">
        <w:t>agnetic resonance imaging</w:t>
      </w:r>
      <w:r w:rsidR="001061AB">
        <w:t xml:space="preserve"> (MRI)</w:t>
      </w:r>
      <w:r>
        <w:t xml:space="preserve"> uses</w:t>
      </w:r>
      <w:r w:rsidR="001061AB" w:rsidRPr="00280F06">
        <w:t xml:space="preserve"> a magnet </w:t>
      </w:r>
      <w:r>
        <w:t>and</w:t>
      </w:r>
      <w:r w:rsidR="001061AB" w:rsidRPr="00280F06">
        <w:t xml:space="preserve"> radio-waves </w:t>
      </w:r>
      <w:r>
        <w:t>are</w:t>
      </w:r>
      <w:r w:rsidRPr="00280F06">
        <w:t xml:space="preserve"> </w:t>
      </w:r>
      <w:r w:rsidR="001061AB" w:rsidRPr="00280F06">
        <w:t>to produce images of soft tissues.</w:t>
      </w:r>
      <w:r w:rsidR="001061AB" w:rsidRPr="00906F52">
        <w:t xml:space="preserve"> MRI utilises strong, uniform magnetic fields to investigate the anatomy, perfusion, tissue characterisation and function of different organs and systems within the human body. When hydrogen protons present in human cells are exposed to this magnetic field, they align along its rotational axis in a uniform plane. In order to generate an image, a sequence of smaller magnetic pulses is targeted towards the area of interest, exciting the protons, which then release </w:t>
      </w:r>
      <w:r w:rsidR="001061AB" w:rsidRPr="00906F52">
        <w:lastRenderedPageBreak/>
        <w:t>radiofrequency signals upon relaxation. These signals are converted into an image, which represents the concentration of hydrogen protons in different tissue, making MRI particularly useful for imaging soft tissues with a high concentration of water.</w:t>
      </w:r>
    </w:p>
    <w:p w14:paraId="1E2F470F" w14:textId="32AE3029" w:rsidR="001061AB" w:rsidRDefault="001061AB" w:rsidP="001061AB">
      <w:r w:rsidRPr="00280F06">
        <w:t xml:space="preserve">In </w:t>
      </w:r>
      <w:proofErr w:type="spellStart"/>
      <w:r>
        <w:t>mp</w:t>
      </w:r>
      <w:r w:rsidRPr="00280F06">
        <w:t>MRI</w:t>
      </w:r>
      <w:proofErr w:type="spellEnd"/>
      <w:r w:rsidRPr="00280F06">
        <w:t xml:space="preserve">, three pulse sequences are used: T2 weighted (T2W), diffusion weighted </w:t>
      </w:r>
      <w:r w:rsidR="009A4E7A">
        <w:t xml:space="preserve">imaging </w:t>
      </w:r>
      <w:r w:rsidRPr="00280F06">
        <w:t xml:space="preserve">(DWI) and dynamic-contrast enhanced (DCE). These are combined and analysed together. </w:t>
      </w:r>
    </w:p>
    <w:p w14:paraId="16C5CEF0" w14:textId="5AC4021A" w:rsidR="001061AB" w:rsidRPr="00280F06" w:rsidRDefault="001061AB" w:rsidP="001061AB">
      <w:r w:rsidRPr="00906F52">
        <w:t xml:space="preserve">The magnetic field strength within conventional MRI scanners are either 1.0T (Teslas), 1.5T or 3T, with higher strength fields producing higher resolution images. The use of higher strength fields allows for images with a higher spatial resolution and more clearly defined anatomical structures, but increases the chance imaging artefacts that can obscure the image. </w:t>
      </w:r>
      <w:r w:rsidRPr="00280F06">
        <w:t xml:space="preserve">Both 1.5 and 3.0 Tesla MRI scanners are available in Australia; either one may be used to carry out </w:t>
      </w:r>
      <w:proofErr w:type="spellStart"/>
      <w:r w:rsidRPr="00280F06">
        <w:t>multiparametric</w:t>
      </w:r>
      <w:proofErr w:type="spellEnd"/>
      <w:r w:rsidRPr="00280F06">
        <w:t xml:space="preserve"> scans </w:t>
      </w:r>
      <w:r w:rsidR="008E0B00">
        <w:fldChar w:fldCharType="begin"/>
      </w:r>
      <w:r w:rsidR="008E0B00">
        <w:instrText xml:space="preserve"> ADDIN EN.CITE &lt;EndNote&gt;&lt;Cite&gt;&lt;Author&gt;HealthPACT&lt;/Author&gt;&lt;Year&gt;2015&lt;/Year&gt;&lt;RecNum&gt;11&lt;/RecNum&gt;&lt;DisplayText&gt;(HealthPACT 2015)&lt;/DisplayText&gt;&lt;record&gt;&lt;rec-number&gt;11&lt;/rec-number&gt;&lt;foreign-keys&gt;&lt;key app="EN" db-id="2p9terxr22fx91epzebpfdwuzrwtw2a2ep2t" timestamp="1472684600"&gt;11&lt;/key&gt;&lt;/foreign-keys&gt;&lt;ref-type name="Web Page"&gt;12&lt;/ref-type&gt;&lt;contributors&gt;&lt;authors&gt;&lt;author&gt;HealthPACT&lt;/author&gt;&lt;/authors&gt;&lt;/contributors&gt;&lt;titles&gt;&lt;title&gt;MRI screening for prostate cancer&lt;/title&gt;&lt;/titles&gt;&lt;volume&gt;2016&lt;/volume&gt;&lt;number&gt;1 September&lt;/number&gt;&lt;dates&gt;&lt;year&gt;2015&lt;/year&gt;&lt;/dates&gt;&lt;pub-location&gt;Brisbane, Australia&lt;/pub-location&gt;&lt;publisher&gt;State of Queensland (Queensland Department of Health)&lt;/publisher&gt;&lt;urls&gt;&lt;related-urls&gt;&lt;url&gt;https://www.health.qld.gov.au/healthpact/docs/briefs/WP203.pdf&lt;/url&gt;&lt;/related-urls&gt;&lt;/urls&gt;&lt;access-date&gt;22 Jul 2016&lt;/access-date&gt;&lt;/record&gt;&lt;/Cite&gt;&lt;/EndNote&gt;</w:instrText>
      </w:r>
      <w:r w:rsidR="008E0B00">
        <w:fldChar w:fldCharType="separate"/>
      </w:r>
      <w:r w:rsidR="008E0B00">
        <w:rPr>
          <w:noProof/>
        </w:rPr>
        <w:t>(</w:t>
      </w:r>
      <w:hyperlink w:anchor="_ENREF_61" w:tooltip="HealthPACT, 2015 #11" w:history="1">
        <w:r w:rsidR="008E0B00">
          <w:rPr>
            <w:noProof/>
          </w:rPr>
          <w:t>HealthPACT 2015</w:t>
        </w:r>
      </w:hyperlink>
      <w:r w:rsidR="008E0B00">
        <w:rPr>
          <w:noProof/>
        </w:rPr>
        <w:t>)</w:t>
      </w:r>
      <w:r w:rsidR="008E0B00">
        <w:fldChar w:fldCharType="end"/>
      </w:r>
      <w:r w:rsidRPr="00280F06">
        <w:t xml:space="preserve">. However, although the new generation 1.5 Tesla MRI scanners may be adequate for </w:t>
      </w:r>
      <w:proofErr w:type="spellStart"/>
      <w:r w:rsidRPr="00280F06">
        <w:t>mpMRI</w:t>
      </w:r>
      <w:proofErr w:type="spellEnd"/>
      <w:r w:rsidRPr="00280F06">
        <w:t xml:space="preserve">, the older generation machines are not, as they are unable to acquire the </w:t>
      </w:r>
      <w:r>
        <w:t>DWI</w:t>
      </w:r>
      <w:r w:rsidR="00B7542E">
        <w:t xml:space="preserve"> </w:t>
      </w:r>
      <w:r w:rsidR="008E0B00">
        <w:fldChar w:fldCharType="begin"/>
      </w:r>
      <w:r w:rsidR="008E0B00">
        <w:instrText xml:space="preserve"> ADDIN EN.CITE &lt;EndNote&gt;&lt;Cite&gt;&lt;Author&gt;DoH&lt;/Author&gt;&lt;Year&gt;2016&lt;/Year&gt;&lt;RecNum&gt;212&lt;/RecNum&gt;&lt;DisplayText&gt;(DoH 2016a)&lt;/DisplayText&gt;&lt;record&gt;&lt;rec-number&gt;212&lt;/rec-number&gt;&lt;foreign-keys&gt;&lt;key app="EN" db-id="xzzrstesqpaavfe0te5p2zssvee5ervas2vt" timestamp="1469588963"&gt;212&lt;/key&gt;&lt;/foreign-keys&gt;&lt;ref-type name="Journal Article"&gt;17&lt;/ref-type&gt;&lt;contributors&gt;&lt;authors&gt;&lt;author&gt;DoH&lt;/author&gt;&lt;/authors&gt;&lt;/contributors&gt;&lt;titles&gt;&lt;title&gt;Protocol to guide the assessment of mpMRI prostate diagnostic scans for diagnosis of prostate cancer&lt;/title&gt;&lt;/titles&gt;&lt;dates&gt;&lt;year&gt;2016&lt;/year&gt;&lt;/dates&gt;&lt;urls&gt;&lt;/urls&gt;&lt;/record&gt;&lt;/Cite&gt;&lt;/EndNote&gt;</w:instrText>
      </w:r>
      <w:r w:rsidR="008E0B00">
        <w:fldChar w:fldCharType="separate"/>
      </w:r>
      <w:r w:rsidR="008E0B00">
        <w:rPr>
          <w:noProof/>
        </w:rPr>
        <w:t>(</w:t>
      </w:r>
      <w:hyperlink w:anchor="_ENREF_39" w:tooltip="DoH, 2016 #212" w:history="1">
        <w:r w:rsidR="008E0B00">
          <w:rPr>
            <w:noProof/>
          </w:rPr>
          <w:t>DoH 2016a</w:t>
        </w:r>
      </w:hyperlink>
      <w:r w:rsidR="008E0B00">
        <w:rPr>
          <w:noProof/>
        </w:rPr>
        <w:t>)</w:t>
      </w:r>
      <w:r w:rsidR="008E0B00">
        <w:fldChar w:fldCharType="end"/>
      </w:r>
      <w:r w:rsidRPr="00280F06">
        <w:t xml:space="preserve">. DWI is a measure of the tissue density of a lesion in the prostate and is a vital tool in diagnosis of cancer within the prostate, as </w:t>
      </w:r>
      <w:r w:rsidR="005F38B9">
        <w:rPr>
          <w:rFonts w:cs="Calibri"/>
        </w:rPr>
        <w:t>greater than</w:t>
      </w:r>
      <w:r w:rsidR="005F38B9" w:rsidRPr="00280F06">
        <w:t xml:space="preserve"> </w:t>
      </w:r>
      <w:r w:rsidRPr="00280F06">
        <w:t>95</w:t>
      </w:r>
      <w:r w:rsidR="00B65BFD">
        <w:t xml:space="preserve"> per cent</w:t>
      </w:r>
      <w:r w:rsidRPr="00280F06">
        <w:t xml:space="preserve"> of prostate cancers are dense</w:t>
      </w:r>
      <w:r w:rsidR="0005426D">
        <w:t>r</w:t>
      </w:r>
      <w:r w:rsidRPr="00280F06">
        <w:t xml:space="preserve"> than normal prostate tissue.</w:t>
      </w:r>
    </w:p>
    <w:p w14:paraId="3DA0816A" w14:textId="41D6B4A2" w:rsidR="001061AB" w:rsidRDefault="001061AB" w:rsidP="001061AB">
      <w:r w:rsidRPr="00763378">
        <w:t xml:space="preserve">During </w:t>
      </w:r>
      <w:r w:rsidR="009A4E7A">
        <w:t>imaging</w:t>
      </w:r>
      <w:r w:rsidRPr="00763378">
        <w:t xml:space="preserve"> patients are required </w:t>
      </w:r>
      <w:r>
        <w:t xml:space="preserve">to </w:t>
      </w:r>
      <w:r w:rsidRPr="00763378">
        <w:t xml:space="preserve">lie </w:t>
      </w:r>
      <w:r>
        <w:t xml:space="preserve">in the </w:t>
      </w:r>
      <w:r w:rsidRPr="00763378">
        <w:t xml:space="preserve">MRI machine, </w:t>
      </w:r>
      <w:r>
        <w:t>moving</w:t>
      </w:r>
      <w:r w:rsidRPr="00763378">
        <w:t xml:space="preserve"> as little as possib</w:t>
      </w:r>
      <w:r>
        <w:t>le.</w:t>
      </w:r>
      <w:r w:rsidRPr="00763378">
        <w:t xml:space="preserve"> </w:t>
      </w:r>
      <w:r>
        <w:t xml:space="preserve">Prostate imaging can be conducted with or without an </w:t>
      </w:r>
      <w:proofErr w:type="spellStart"/>
      <w:r>
        <w:t>endorectal</w:t>
      </w:r>
      <w:proofErr w:type="spellEnd"/>
      <w:r>
        <w:t xml:space="preserve"> coil in Australia; the Applicant advises that an </w:t>
      </w:r>
      <w:proofErr w:type="spellStart"/>
      <w:r>
        <w:t>endorectal</w:t>
      </w:r>
      <w:proofErr w:type="spellEnd"/>
      <w:r>
        <w:t xml:space="preserve"> coil is rarely used in New Zealand</w:t>
      </w:r>
      <w:r w:rsidR="00EB4730">
        <w:t xml:space="preserve"> </w:t>
      </w:r>
      <w:r w:rsidR="008E0B00">
        <w:fldChar w:fldCharType="begin"/>
      </w:r>
      <w:r w:rsidR="008E0B00">
        <w:instrText xml:space="preserve"> ADDIN EN.CITE &lt;EndNote&gt;&lt;Cite&gt;&lt;Author&gt;DoH&lt;/Author&gt;&lt;Year&gt;2016&lt;/Year&gt;&lt;RecNum&gt;212&lt;/RecNum&gt;&lt;DisplayText&gt;(DoH 2016a)&lt;/DisplayText&gt;&lt;record&gt;&lt;rec-number&gt;212&lt;/rec-number&gt;&lt;foreign-keys&gt;&lt;key app="EN" db-id="xzzrstesqpaavfe0te5p2zssvee5ervas2vt" timestamp="1469588963"&gt;212&lt;/key&gt;&lt;/foreign-keys&gt;&lt;ref-type name="Journal Article"&gt;17&lt;/ref-type&gt;&lt;contributors&gt;&lt;authors&gt;&lt;author&gt;DoH&lt;/author&gt;&lt;/authors&gt;&lt;/contributors&gt;&lt;titles&gt;&lt;title&gt;Protocol to guide the assessment of mpMRI prostate diagnostic scans for diagnosis of prostate cancer&lt;/title&gt;&lt;/titles&gt;&lt;dates&gt;&lt;year&gt;2016&lt;/year&gt;&lt;/dates&gt;&lt;urls&gt;&lt;/urls&gt;&lt;/record&gt;&lt;/Cite&gt;&lt;/EndNote&gt;</w:instrText>
      </w:r>
      <w:r w:rsidR="008E0B00">
        <w:fldChar w:fldCharType="separate"/>
      </w:r>
      <w:r w:rsidR="008E0B00">
        <w:rPr>
          <w:noProof/>
        </w:rPr>
        <w:t>(</w:t>
      </w:r>
      <w:hyperlink w:anchor="_ENREF_39" w:tooltip="DoH, 2016 #212" w:history="1">
        <w:r w:rsidR="008E0B00">
          <w:rPr>
            <w:noProof/>
          </w:rPr>
          <w:t>DoH 2016a</w:t>
        </w:r>
      </w:hyperlink>
      <w:r w:rsidR="008E0B00">
        <w:rPr>
          <w:noProof/>
        </w:rPr>
        <w:t>)</w:t>
      </w:r>
      <w:r w:rsidR="008E0B00">
        <w:fldChar w:fldCharType="end"/>
      </w:r>
      <w:r>
        <w:t>.</w:t>
      </w:r>
    </w:p>
    <w:p w14:paraId="51918A23" w14:textId="77777777" w:rsidR="001061AB" w:rsidRPr="0026720F" w:rsidRDefault="001061AB" w:rsidP="001061AB">
      <w:proofErr w:type="spellStart"/>
      <w:proofErr w:type="gramStart"/>
      <w:r>
        <w:t>mpMRI</w:t>
      </w:r>
      <w:proofErr w:type="spellEnd"/>
      <w:proofErr w:type="gramEnd"/>
      <w:r>
        <w:t xml:space="preserve"> is scored using the </w:t>
      </w:r>
      <w:r w:rsidRPr="000F0A1D">
        <w:rPr>
          <w:lang w:val="en"/>
        </w:rPr>
        <w:t xml:space="preserve">Prostate Imaging Reporting and Data System </w:t>
      </w:r>
      <w:r>
        <w:t xml:space="preserve">(PI-RADS) v2 scoring system, which uses a five-point assessment scale to indicate the likelihood that </w:t>
      </w:r>
      <w:proofErr w:type="spellStart"/>
      <w:r>
        <w:t>mpMRI</w:t>
      </w:r>
      <w:proofErr w:type="spellEnd"/>
      <w:r>
        <w:t xml:space="preserve"> findings correlate with the presence of clinically significant cancer at a particular location in the prostate. </w:t>
      </w:r>
      <w:r w:rsidRPr="0026720F">
        <w:t>The PI-RADS v2 assessment categories are defined with</w:t>
      </w:r>
      <w:r>
        <w:t xml:space="preserve"> </w:t>
      </w:r>
      <w:r w:rsidRPr="0026720F">
        <w:t>the following scores:</w:t>
      </w:r>
    </w:p>
    <w:p w14:paraId="576D3742" w14:textId="29A0A1C7" w:rsidR="001061AB" w:rsidRDefault="001061AB" w:rsidP="00A3402C">
      <w:pPr>
        <w:pStyle w:val="ListParagraph"/>
        <w:numPr>
          <w:ilvl w:val="0"/>
          <w:numId w:val="46"/>
        </w:numPr>
      </w:pPr>
      <w:r w:rsidRPr="0026720F">
        <w:t xml:space="preserve">Very low (clinically significant </w:t>
      </w:r>
      <w:proofErr w:type="spellStart"/>
      <w:r w:rsidR="006818E1">
        <w:t>PCa</w:t>
      </w:r>
      <w:proofErr w:type="spellEnd"/>
      <w:r w:rsidRPr="0026720F">
        <w:t xml:space="preserve"> is highly unlikely to</w:t>
      </w:r>
      <w:r>
        <w:t xml:space="preserve"> </w:t>
      </w:r>
      <w:r w:rsidRPr="0026720F">
        <w:t>be present)</w:t>
      </w:r>
    </w:p>
    <w:p w14:paraId="13EDB0F3" w14:textId="17624E5A" w:rsidR="001061AB" w:rsidRDefault="001061AB" w:rsidP="00A3402C">
      <w:pPr>
        <w:pStyle w:val="ListParagraph"/>
        <w:numPr>
          <w:ilvl w:val="0"/>
          <w:numId w:val="46"/>
        </w:numPr>
      </w:pPr>
      <w:r>
        <w:t xml:space="preserve">Low </w:t>
      </w:r>
      <w:r w:rsidRPr="0026720F">
        <w:t xml:space="preserve">(clinically significant </w:t>
      </w:r>
      <w:proofErr w:type="spellStart"/>
      <w:r w:rsidR="006818E1">
        <w:t>PCa</w:t>
      </w:r>
      <w:proofErr w:type="spellEnd"/>
      <w:r w:rsidRPr="0026720F">
        <w:t xml:space="preserve"> is unlikely to be present)</w:t>
      </w:r>
    </w:p>
    <w:p w14:paraId="20AA292E" w14:textId="7B7E74FE" w:rsidR="001061AB" w:rsidRDefault="001061AB" w:rsidP="00A3402C">
      <w:pPr>
        <w:pStyle w:val="ListParagraph"/>
        <w:numPr>
          <w:ilvl w:val="0"/>
          <w:numId w:val="46"/>
        </w:numPr>
      </w:pPr>
      <w:r>
        <w:t xml:space="preserve">Intermediate </w:t>
      </w:r>
      <w:r w:rsidRPr="0026720F">
        <w:t xml:space="preserve">(the presence of clinically </w:t>
      </w:r>
      <w:proofErr w:type="spellStart"/>
      <w:r w:rsidR="006818E1">
        <w:t>PCa</w:t>
      </w:r>
      <w:proofErr w:type="spellEnd"/>
      <w:r w:rsidRPr="0026720F">
        <w:t xml:space="preserve"> disease is</w:t>
      </w:r>
      <w:r>
        <w:t xml:space="preserve"> </w:t>
      </w:r>
      <w:r w:rsidRPr="0026720F">
        <w:t>equivocal)</w:t>
      </w:r>
    </w:p>
    <w:p w14:paraId="3AFA8774" w14:textId="701E30E0" w:rsidR="001061AB" w:rsidRDefault="001061AB" w:rsidP="00A3402C">
      <w:pPr>
        <w:pStyle w:val="ListParagraph"/>
        <w:numPr>
          <w:ilvl w:val="0"/>
          <w:numId w:val="46"/>
        </w:numPr>
      </w:pPr>
      <w:r>
        <w:t xml:space="preserve">High </w:t>
      </w:r>
      <w:r w:rsidRPr="0026720F">
        <w:t xml:space="preserve">(clinically significant </w:t>
      </w:r>
      <w:proofErr w:type="spellStart"/>
      <w:r w:rsidR="006818E1">
        <w:t>PCa</w:t>
      </w:r>
      <w:proofErr w:type="spellEnd"/>
      <w:r w:rsidRPr="0026720F">
        <w:t xml:space="preserve"> is likely to be present)</w:t>
      </w:r>
    </w:p>
    <w:p w14:paraId="382B3A64" w14:textId="0130F08F" w:rsidR="001061AB" w:rsidRDefault="001061AB" w:rsidP="00A3402C">
      <w:pPr>
        <w:pStyle w:val="ListParagraph"/>
        <w:numPr>
          <w:ilvl w:val="0"/>
          <w:numId w:val="46"/>
        </w:numPr>
      </w:pPr>
      <w:r>
        <w:t xml:space="preserve">Very high </w:t>
      </w:r>
      <w:r w:rsidRPr="0026720F">
        <w:t xml:space="preserve">(clinically significant </w:t>
      </w:r>
      <w:proofErr w:type="spellStart"/>
      <w:r w:rsidR="006818E1">
        <w:t>PCa</w:t>
      </w:r>
      <w:proofErr w:type="spellEnd"/>
      <w:r w:rsidRPr="0026720F">
        <w:t xml:space="preserve"> is highly likely to</w:t>
      </w:r>
      <w:r>
        <w:t xml:space="preserve"> </w:t>
      </w:r>
      <w:r w:rsidRPr="0026720F">
        <w:t>be present)</w:t>
      </w:r>
    </w:p>
    <w:p w14:paraId="6D6BF294" w14:textId="29FEFE14" w:rsidR="001061AB" w:rsidRPr="00763378" w:rsidRDefault="00BF1A27" w:rsidP="001061AB">
      <w:r>
        <w:t xml:space="preserve">The assessment </w:t>
      </w:r>
      <w:r w:rsidR="009A4E7A">
        <w:t>category</w:t>
      </w:r>
      <w:r>
        <w:t xml:space="preserve"> for each lesion is determined by scoring DW</w:t>
      </w:r>
      <w:r w:rsidR="009A4E7A">
        <w:t>I</w:t>
      </w:r>
      <w:r>
        <w:t xml:space="preserve">, T2 and DCE MRI sequences. </w:t>
      </w:r>
      <w:r w:rsidR="009A4E7A">
        <w:t xml:space="preserve">The </w:t>
      </w:r>
      <w:r>
        <w:t>DW</w:t>
      </w:r>
      <w:r w:rsidR="009A4E7A">
        <w:t>I</w:t>
      </w:r>
      <w:r>
        <w:t xml:space="preserve"> and T2 sequences are scored using a </w:t>
      </w:r>
      <w:r w:rsidR="001061AB">
        <w:t>five-point scale</w:t>
      </w:r>
      <w:r w:rsidR="009A4E7A">
        <w:t>, whereas</w:t>
      </w:r>
      <w:r w:rsidR="00DF78F8">
        <w:t xml:space="preserve"> a</w:t>
      </w:r>
      <w:r w:rsidR="001061AB">
        <w:t xml:space="preserve"> two-point scale (positive or negative) is used for scoring DCE </w:t>
      </w:r>
      <w:r w:rsidR="008E0B00">
        <w:fldChar w:fldCharType="begin">
          <w:fldData xml:space="preserve">PEVuZE5vdGU+PENpdGU+PEF1dGhvcj5CYXJlbnRzejwvQXV0aG9yPjxZZWFyPjIwMTY8L1llYXI+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==
</w:fldData>
        </w:fldChar>
      </w:r>
      <w:r w:rsidR="008E0B00">
        <w:instrText xml:space="preserve"> ADDIN EN.CITE </w:instrText>
      </w:r>
      <w:r w:rsidR="008E0B00">
        <w:fldChar w:fldCharType="begin">
          <w:fldData xml:space="preserve">PEVuZE5vdGU+PENpdGU+PEF1dGhvcj5CYXJlbnRzejwvQXV0aG9yPjxZZWFyPjIwMTY8L1llYXI+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==
</w:fldData>
        </w:fldChar>
      </w:r>
      <w:r w:rsidR="008E0B00">
        <w:instrText xml:space="preserve"> ADDIN EN.CITE.DATA </w:instrText>
      </w:r>
      <w:r w:rsidR="008E0B00">
        <w:fldChar w:fldCharType="end"/>
      </w:r>
      <w:r w:rsidR="008E0B00">
        <w:fldChar w:fldCharType="separate"/>
      </w:r>
      <w:r w:rsidR="008E0B00">
        <w:rPr>
          <w:noProof/>
        </w:rPr>
        <w:t>(</w:t>
      </w:r>
      <w:hyperlink w:anchor="_ENREF_14" w:tooltip="Barentsz, 2016 #12" w:history="1">
        <w:r w:rsidR="008E0B00">
          <w:rPr>
            <w:noProof/>
          </w:rPr>
          <w:t>Barentsz et al. 2016</w:t>
        </w:r>
      </w:hyperlink>
      <w:r w:rsidR="008E0B00">
        <w:rPr>
          <w:noProof/>
        </w:rPr>
        <w:t>)</w:t>
      </w:r>
      <w:r w:rsidR="008E0B00">
        <w:fldChar w:fldCharType="end"/>
      </w:r>
      <w:r w:rsidR="001061AB">
        <w:t>.</w:t>
      </w:r>
    </w:p>
    <w:p w14:paraId="61461951" w14:textId="586EA4D2" w:rsidR="001061AB" w:rsidRPr="006C1299" w:rsidRDefault="001061AB" w:rsidP="001061AB">
      <w:r w:rsidRPr="006C1299">
        <w:t xml:space="preserve">Biopsy </w:t>
      </w:r>
      <w:r w:rsidR="00A1785C">
        <w:t xml:space="preserve">to confirm the presence of </w:t>
      </w:r>
      <w:proofErr w:type="spellStart"/>
      <w:r w:rsidR="00A1785C">
        <w:t>PCa</w:t>
      </w:r>
      <w:proofErr w:type="spellEnd"/>
      <w:r w:rsidR="00A1785C">
        <w:t xml:space="preserve"> </w:t>
      </w:r>
      <w:r w:rsidRPr="006C1299">
        <w:t xml:space="preserve">is the current practice for </w:t>
      </w:r>
      <w:r w:rsidR="00A1785C">
        <w:t>both</w:t>
      </w:r>
      <w:r w:rsidRPr="006C1299">
        <w:t xml:space="preserve"> patient </w:t>
      </w:r>
      <w:r w:rsidR="00A1785C">
        <w:t>populations</w:t>
      </w:r>
      <w:r w:rsidR="00F079C1">
        <w:t>.</w:t>
      </w:r>
      <w:r w:rsidR="00A1785C">
        <w:t xml:space="preserve"> </w:t>
      </w:r>
      <w:r>
        <w:t xml:space="preserve">As </w:t>
      </w:r>
      <w:r w:rsidR="007D7D96">
        <w:t>defined</w:t>
      </w:r>
      <w:r>
        <w:t xml:space="preserve"> in the </w:t>
      </w:r>
      <w:r w:rsidR="00A551F8">
        <w:t xml:space="preserve">proposed </w:t>
      </w:r>
      <w:r>
        <w:t xml:space="preserve">clinical algorithm, </w:t>
      </w:r>
      <w:proofErr w:type="spellStart"/>
      <w:r>
        <w:t>mpMRI</w:t>
      </w:r>
      <w:proofErr w:type="spellEnd"/>
      <w:r>
        <w:t xml:space="preserve"> would be used before biopsy to identify patient</w:t>
      </w:r>
      <w:r w:rsidR="00A1785C">
        <w:t>s</w:t>
      </w:r>
      <w:r>
        <w:t xml:space="preserve"> who do not have clinically significant cancer and will not require biopsy (Figure 1).</w:t>
      </w:r>
    </w:p>
    <w:p w14:paraId="59461483" w14:textId="77777777" w:rsidR="001061AB" w:rsidRPr="00183E4D" w:rsidRDefault="001061AB" w:rsidP="008813E6">
      <w:pPr>
        <w:pStyle w:val="Heading2"/>
        <w:numPr>
          <w:ilvl w:val="0"/>
          <w:numId w:val="7"/>
        </w:numPr>
      </w:pPr>
      <w:bookmarkStart w:id="158" w:name="_Toc381796450"/>
      <w:bookmarkStart w:id="159" w:name="_Toc445463430"/>
      <w:bookmarkStart w:id="160" w:name="_Toc460513889"/>
      <w:bookmarkStart w:id="161" w:name="_Toc327540865"/>
      <w:bookmarkStart w:id="162" w:name="_Toc379118069"/>
      <w:bookmarkStart w:id="163" w:name="_Toc381796447"/>
      <w:r w:rsidRPr="00183E4D">
        <w:lastRenderedPageBreak/>
        <w:t>Proposal for Public Funding</w:t>
      </w:r>
      <w:bookmarkEnd w:id="158"/>
      <w:bookmarkEnd w:id="159"/>
      <w:bookmarkEnd w:id="160"/>
    </w:p>
    <w:p w14:paraId="708DC87E" w14:textId="36B69583" w:rsidR="001061AB" w:rsidRPr="00183E4D" w:rsidRDefault="001061AB" w:rsidP="001061AB">
      <w:r w:rsidRPr="00183E4D">
        <w:t>The proposed MBS item descriptor is summarised in</w:t>
      </w:r>
      <w:bookmarkStart w:id="164" w:name="_Ref373485347"/>
      <w:bookmarkStart w:id="165" w:name="_Ref373485342"/>
      <w:r w:rsidRPr="00183E4D">
        <w:t xml:space="preserve"> </w:t>
      </w:r>
      <w:r w:rsidRPr="00183E4D">
        <w:rPr>
          <w:highlight w:val="cyan"/>
        </w:rPr>
        <w:fldChar w:fldCharType="begin"/>
      </w:r>
      <w:r w:rsidRPr="00183E4D">
        <w:instrText xml:space="preserve"> REF _Ref394849669 \h </w:instrText>
      </w:r>
      <w:r w:rsidRPr="00183E4D">
        <w:rPr>
          <w:highlight w:val="cyan"/>
        </w:rPr>
      </w:r>
      <w:r w:rsidRPr="00183E4D">
        <w:rPr>
          <w:highlight w:val="cyan"/>
        </w:rPr>
        <w:fldChar w:fldCharType="separate"/>
      </w:r>
      <w:r w:rsidR="0029649D" w:rsidRPr="00466B3D">
        <w:t xml:space="preserve">Table </w:t>
      </w:r>
      <w:r w:rsidR="0029649D">
        <w:rPr>
          <w:noProof/>
        </w:rPr>
        <w:t>14</w:t>
      </w:r>
      <w:r w:rsidRPr="00183E4D">
        <w:rPr>
          <w:highlight w:val="cyan"/>
        </w:rPr>
        <w:fldChar w:fldCharType="end"/>
      </w:r>
      <w:r w:rsidRPr="00183E4D">
        <w:t>.</w:t>
      </w:r>
    </w:p>
    <w:p w14:paraId="0A5180FD" w14:textId="15929E74" w:rsidR="001061AB" w:rsidRPr="00466B3D" w:rsidRDefault="001061AB" w:rsidP="00466B3D">
      <w:pPr>
        <w:pStyle w:val="Caption"/>
      </w:pPr>
      <w:bookmarkStart w:id="166" w:name="_Ref394849669"/>
      <w:bookmarkStart w:id="167" w:name="_Toc455648024"/>
      <w:bookmarkStart w:id="168" w:name="_Toc460514514"/>
      <w:bookmarkEnd w:id="164"/>
      <w:bookmarkEnd w:id="165"/>
      <w:r w:rsidRPr="00466B3D">
        <w:t xml:space="preserve">Table </w:t>
      </w:r>
      <w:fldSimple w:instr=" SEQ Table \* ARABIC ">
        <w:r w:rsidR="0029649D">
          <w:rPr>
            <w:noProof/>
          </w:rPr>
          <w:t>14</w:t>
        </w:r>
      </w:fldSimple>
      <w:bookmarkEnd w:id="166"/>
      <w:r w:rsidRPr="00466B3D">
        <w:tab/>
        <w:t>Proposed MBS item descriptor</w:t>
      </w:r>
      <w:bookmarkEnd w:id="167"/>
      <w:bookmarkEnd w:id="168"/>
    </w:p>
    <w:tbl>
      <w:tblPr>
        <w:tblW w:w="9112" w:type="dxa"/>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Caption w:val="Table 3: Proposed MBS item descriptor for multiparametric MRI (mpMRI) scans of the prostate"/>
        <w:tblDescription w:val="Proposed MBS item descriptor for multiparametric MRI (mpMRI) scans of the prostate"/>
      </w:tblPr>
      <w:tblGrid>
        <w:gridCol w:w="9112"/>
      </w:tblGrid>
      <w:tr w:rsidR="005067C5" w:rsidRPr="00C317BE" w14:paraId="1CA5BD41" w14:textId="77777777" w:rsidTr="00C317BE">
        <w:tc>
          <w:tcPr>
            <w:tcW w:w="9111" w:type="dxa"/>
            <w:tcBorders>
              <w:top w:val="single" w:sz="4" w:space="0" w:color="000000"/>
              <w:left w:val="single" w:sz="4" w:space="0" w:color="000000"/>
              <w:bottom w:val="single" w:sz="4" w:space="0" w:color="000000"/>
              <w:right w:val="single" w:sz="4" w:space="0" w:color="000000"/>
            </w:tcBorders>
          </w:tcPr>
          <w:p w14:paraId="7625A131" w14:textId="77777777" w:rsidR="005067C5" w:rsidRPr="00C317BE" w:rsidRDefault="005067C5" w:rsidP="00DE75F6">
            <w:pPr>
              <w:pStyle w:val="Tableheading1"/>
            </w:pPr>
            <w:r w:rsidRPr="00C317BE">
              <w:t>Category 5 – Diagnostic Imaging Services</w:t>
            </w:r>
          </w:p>
        </w:tc>
      </w:tr>
      <w:tr w:rsidR="005067C5" w:rsidRPr="004318C9" w14:paraId="5B2EBB75" w14:textId="77777777" w:rsidTr="00C317BE">
        <w:tc>
          <w:tcPr>
            <w:tcW w:w="9111" w:type="dxa"/>
            <w:tcBorders>
              <w:top w:val="single" w:sz="4" w:space="0" w:color="000000"/>
              <w:left w:val="single" w:sz="4" w:space="0" w:color="000000"/>
              <w:bottom w:val="single" w:sz="4" w:space="0" w:color="000000"/>
              <w:right w:val="single" w:sz="4" w:space="0" w:color="000000"/>
            </w:tcBorders>
          </w:tcPr>
          <w:p w14:paraId="1D5A2209" w14:textId="77777777" w:rsidR="005067C5" w:rsidRPr="00F864D9" w:rsidRDefault="005067C5" w:rsidP="00DE75F6">
            <w:pPr>
              <w:pStyle w:val="Tabletext1"/>
            </w:pPr>
            <w:r w:rsidRPr="00F864D9">
              <w:t>MBS [item number]</w:t>
            </w:r>
          </w:p>
          <w:p w14:paraId="25D86852" w14:textId="77777777" w:rsidR="005067C5" w:rsidRDefault="005067C5" w:rsidP="00DE75F6">
            <w:pPr>
              <w:pStyle w:val="Tabletext1"/>
            </w:pPr>
            <w:proofErr w:type="spellStart"/>
            <w:r w:rsidRPr="004318C9">
              <w:t>Mul</w:t>
            </w:r>
            <w:r>
              <w:t>t</w:t>
            </w:r>
            <w:r w:rsidRPr="004318C9">
              <w:t>iparametric</w:t>
            </w:r>
            <w:proofErr w:type="spellEnd"/>
            <w:r w:rsidRPr="004318C9">
              <w:t xml:space="preserve"> Magnetic Resonance Imaging (</w:t>
            </w:r>
            <w:proofErr w:type="spellStart"/>
            <w:r w:rsidRPr="004318C9">
              <w:t>mpMRI</w:t>
            </w:r>
            <w:proofErr w:type="spellEnd"/>
            <w:r w:rsidRPr="004318C9">
              <w:t xml:space="preserve">) </w:t>
            </w:r>
            <w:r w:rsidRPr="00AA1BF8">
              <w:t>performed under the professional supervision of an eligible provider at an eligible location where the patient is referred by</w:t>
            </w:r>
            <w:r>
              <w:t xml:space="preserve"> </w:t>
            </w:r>
            <w:r w:rsidRPr="008464AF">
              <w:t>an urologist, radiation oncologist, or medical oncologist</w:t>
            </w:r>
            <w:r>
              <w:t xml:space="preserve"> and where:</w:t>
            </w:r>
          </w:p>
          <w:p w14:paraId="7A26DC57" w14:textId="77777777" w:rsidR="005067C5" w:rsidRPr="00F864D9" w:rsidRDefault="005067C5" w:rsidP="00DE75F6">
            <w:pPr>
              <w:pStyle w:val="Tabletext1"/>
            </w:pPr>
            <w:r>
              <w:t xml:space="preserve">a) </w:t>
            </w:r>
            <w:r w:rsidRPr="00F864D9">
              <w:t>a standardised image acquisition protocol involving T2 weighted imaging, Diffusion Weighted Imaging, and Dynamic Contrast Enhancement (unless contraindicated) is used; and</w:t>
            </w:r>
          </w:p>
          <w:p w14:paraId="3FDFEB8B" w14:textId="77777777" w:rsidR="005067C5" w:rsidRPr="00F864D9" w:rsidRDefault="005067C5" w:rsidP="00DE75F6">
            <w:pPr>
              <w:pStyle w:val="Tabletext1"/>
            </w:pPr>
            <w:r>
              <w:t xml:space="preserve">b) </w:t>
            </w:r>
            <w:proofErr w:type="gramStart"/>
            <w:r w:rsidRPr="00F864D9">
              <w:t>the</w:t>
            </w:r>
            <w:proofErr w:type="gramEnd"/>
            <w:r w:rsidRPr="00F864D9">
              <w:t xml:space="preserve"> man is suspected of having prostate cancer on the basis of a high or concerning PSA.</w:t>
            </w:r>
          </w:p>
          <w:p w14:paraId="0C5C0998" w14:textId="77777777" w:rsidR="005067C5" w:rsidRDefault="005067C5" w:rsidP="00DE75F6">
            <w:pPr>
              <w:pStyle w:val="Tabletext1"/>
            </w:pPr>
            <w:r>
              <w:t>S</w:t>
            </w:r>
            <w:r w:rsidRPr="004318C9">
              <w:t xml:space="preserve">can of the prostate </w:t>
            </w:r>
            <w:r>
              <w:t>for:</w:t>
            </w:r>
          </w:p>
          <w:p w14:paraId="41E8B461" w14:textId="77777777" w:rsidR="005067C5" w:rsidRPr="00576049" w:rsidRDefault="005067C5" w:rsidP="00DE75F6">
            <w:pPr>
              <w:pStyle w:val="Tabletext1"/>
            </w:pPr>
            <w:r>
              <w:t>– detection of cancer</w:t>
            </w:r>
            <w:r w:rsidRPr="00576049">
              <w:t xml:space="preserve"> </w:t>
            </w:r>
            <w:r>
              <w:t>(R)(Contrast)</w:t>
            </w:r>
          </w:p>
          <w:p w14:paraId="175CD4DE" w14:textId="77777777" w:rsidR="005067C5" w:rsidRPr="00F864D9" w:rsidRDefault="005067C5" w:rsidP="00DE75F6">
            <w:pPr>
              <w:pStyle w:val="Tabletext1"/>
            </w:pPr>
            <w:r w:rsidRPr="00F864D9">
              <w:t>Fee: [Applicant advises that current fee charged is $600]</w:t>
            </w:r>
          </w:p>
          <w:p w14:paraId="5F5F0424" w14:textId="77777777" w:rsidR="005067C5" w:rsidRPr="00927DBB" w:rsidRDefault="005067C5" w:rsidP="00DE75F6">
            <w:pPr>
              <w:pStyle w:val="Tabletext1"/>
            </w:pPr>
            <w:r w:rsidRPr="00F864D9">
              <w:t>[Relevant explanatory notes]</w:t>
            </w:r>
            <w:r w:rsidRPr="004318C9">
              <w:t xml:space="preserve"> </w:t>
            </w:r>
          </w:p>
        </w:tc>
      </w:tr>
      <w:tr w:rsidR="005067C5" w:rsidRPr="004318C9" w14:paraId="1961479F" w14:textId="77777777" w:rsidTr="00C317BE">
        <w:tc>
          <w:tcPr>
            <w:tcW w:w="9111" w:type="dxa"/>
            <w:tcBorders>
              <w:top w:val="single" w:sz="4" w:space="0" w:color="000000"/>
              <w:left w:val="single" w:sz="4" w:space="0" w:color="000000"/>
              <w:bottom w:val="single" w:sz="4" w:space="0" w:color="000000"/>
              <w:right w:val="single" w:sz="4" w:space="0" w:color="000000"/>
            </w:tcBorders>
          </w:tcPr>
          <w:p w14:paraId="2ADA644D" w14:textId="77777777" w:rsidR="005067C5" w:rsidRPr="00F864D9" w:rsidRDefault="005067C5" w:rsidP="00DE75F6">
            <w:pPr>
              <w:pStyle w:val="Tabletext1"/>
            </w:pPr>
            <w:r w:rsidRPr="00F864D9">
              <w:t>MBS [item number]</w:t>
            </w:r>
          </w:p>
          <w:p w14:paraId="1746ADED" w14:textId="77777777" w:rsidR="005067C5" w:rsidRPr="008464AF" w:rsidRDefault="005067C5" w:rsidP="00DE75F6">
            <w:pPr>
              <w:pStyle w:val="Tabletext1"/>
            </w:pPr>
            <w:proofErr w:type="spellStart"/>
            <w:r w:rsidRPr="008464AF">
              <w:t>Multiparametric</w:t>
            </w:r>
            <w:proofErr w:type="spellEnd"/>
            <w:r w:rsidRPr="008464AF">
              <w:t xml:space="preserve"> Magnetic Resonance Imaging (</w:t>
            </w:r>
            <w:proofErr w:type="spellStart"/>
            <w:r w:rsidRPr="008464AF">
              <w:t>mpMRI</w:t>
            </w:r>
            <w:proofErr w:type="spellEnd"/>
            <w:r w:rsidRPr="008464AF">
              <w:t>) performed under the professional supervision of an eligible provider at an eligible location where the patient is referred by an urologist, radiation oncologist, or medical oncologist and where:</w:t>
            </w:r>
          </w:p>
          <w:p w14:paraId="0D8B094F" w14:textId="77777777" w:rsidR="005067C5" w:rsidRPr="00F864D9" w:rsidRDefault="005067C5" w:rsidP="00DE75F6">
            <w:pPr>
              <w:pStyle w:val="Tabletext1"/>
            </w:pPr>
            <w:r>
              <w:t xml:space="preserve">a) </w:t>
            </w:r>
            <w:r w:rsidRPr="00F864D9">
              <w:t>a standardised image acquisition protocol involving T2 weighted imaging, Diffusion Weighted Imaging, and Dynamic Contrast Enhancement (unless contraindicated) is used; and</w:t>
            </w:r>
          </w:p>
          <w:p w14:paraId="29F0D59F" w14:textId="77777777" w:rsidR="005067C5" w:rsidRPr="00F864D9" w:rsidRDefault="005067C5" w:rsidP="00DE75F6">
            <w:pPr>
              <w:pStyle w:val="Tabletext1"/>
            </w:pPr>
            <w:r>
              <w:t xml:space="preserve">b) </w:t>
            </w:r>
            <w:proofErr w:type="gramStart"/>
            <w:r w:rsidRPr="00F864D9">
              <w:t>the</w:t>
            </w:r>
            <w:proofErr w:type="gramEnd"/>
            <w:r w:rsidRPr="00F864D9">
              <w:t xml:space="preserve"> man has an existing diagnosis of low or intermediate risk prostate cancer and is undertaking Active Surveillance.</w:t>
            </w:r>
          </w:p>
          <w:p w14:paraId="173FF7E6" w14:textId="77777777" w:rsidR="005067C5" w:rsidRPr="008464AF" w:rsidRDefault="005067C5" w:rsidP="00DE75F6">
            <w:pPr>
              <w:pStyle w:val="Tabletext1"/>
            </w:pPr>
            <w:r w:rsidRPr="008464AF">
              <w:t>Scan of the prostate for:</w:t>
            </w:r>
          </w:p>
          <w:p w14:paraId="0C1602CE" w14:textId="77777777" w:rsidR="005067C5" w:rsidRDefault="005067C5" w:rsidP="00DE75F6">
            <w:pPr>
              <w:pStyle w:val="Tabletext1"/>
            </w:pPr>
            <w:r w:rsidRPr="008464AF">
              <w:t xml:space="preserve">– </w:t>
            </w:r>
            <w:r>
              <w:t>assessment</w:t>
            </w:r>
            <w:r w:rsidRPr="008464AF">
              <w:t xml:space="preserve"> of cancer (R)(Contrast)</w:t>
            </w:r>
          </w:p>
          <w:p w14:paraId="437660EB" w14:textId="77777777" w:rsidR="005067C5" w:rsidRPr="00F864D9" w:rsidRDefault="005067C5" w:rsidP="00DE75F6">
            <w:pPr>
              <w:pStyle w:val="Tabletext1"/>
            </w:pPr>
            <w:r w:rsidRPr="00F864D9">
              <w:t>Fee: [Applicant advises that current fee charged is $600]</w:t>
            </w:r>
          </w:p>
          <w:p w14:paraId="2F70E72C" w14:textId="77777777" w:rsidR="005067C5" w:rsidRPr="00927DBB" w:rsidRDefault="005067C5" w:rsidP="00DE75F6">
            <w:pPr>
              <w:pStyle w:val="Tabletext1"/>
            </w:pPr>
            <w:r w:rsidRPr="00F864D9">
              <w:t>[Relevant explanatory notes]</w:t>
            </w:r>
            <w:r w:rsidRPr="004318C9">
              <w:t xml:space="preserve"> </w:t>
            </w:r>
          </w:p>
        </w:tc>
      </w:tr>
    </w:tbl>
    <w:p w14:paraId="05DAA163" w14:textId="77777777" w:rsidR="001061AB" w:rsidRDefault="001061AB" w:rsidP="001061AB">
      <w:pPr>
        <w:rPr>
          <w:highlight w:val="yellow"/>
        </w:rPr>
      </w:pPr>
    </w:p>
    <w:p w14:paraId="2F6DF37C" w14:textId="77777777" w:rsidR="001061AB" w:rsidRDefault="001061AB" w:rsidP="008813E6">
      <w:pPr>
        <w:pStyle w:val="Heading2"/>
        <w:numPr>
          <w:ilvl w:val="0"/>
          <w:numId w:val="7"/>
        </w:numPr>
      </w:pPr>
      <w:bookmarkStart w:id="169" w:name="_Toc445463431"/>
      <w:bookmarkStart w:id="170" w:name="_Toc460513890"/>
      <w:bookmarkStart w:id="171" w:name="_Toc379118076"/>
      <w:bookmarkStart w:id="172" w:name="_Toc381796455"/>
      <w:bookmarkStart w:id="173" w:name="_Toc379118072"/>
      <w:bookmarkStart w:id="174" w:name="_Toc355274709"/>
      <w:bookmarkEnd w:id="161"/>
      <w:bookmarkEnd w:id="162"/>
      <w:bookmarkEnd w:id="163"/>
      <w:r>
        <w:t>Proposed Population</w:t>
      </w:r>
      <w:bookmarkEnd w:id="169"/>
      <w:bookmarkEnd w:id="170"/>
    </w:p>
    <w:p w14:paraId="68F8CE6B" w14:textId="4B0301EC" w:rsidR="00113200" w:rsidRPr="009842B9" w:rsidRDefault="001061AB" w:rsidP="001061AB">
      <w:pPr>
        <w:rPr>
          <w:rFonts w:cs="Calibri"/>
        </w:rPr>
      </w:pPr>
      <w:r w:rsidRPr="00ED3ADF">
        <w:rPr>
          <w:rFonts w:cs="Calibri"/>
        </w:rPr>
        <w:t xml:space="preserve">While the cause(s) of </w:t>
      </w:r>
      <w:proofErr w:type="spellStart"/>
      <w:r w:rsidR="0005426D">
        <w:t>PCa</w:t>
      </w:r>
      <w:proofErr w:type="spellEnd"/>
      <w:r w:rsidRPr="00ED3ADF">
        <w:rPr>
          <w:rFonts w:cs="Calibri"/>
        </w:rPr>
        <w:t xml:space="preserve"> are not yet completely understood</w:t>
      </w:r>
      <w:r w:rsidR="00247D3A">
        <w:rPr>
          <w:rFonts w:cs="Calibri"/>
        </w:rPr>
        <w:t xml:space="preserve">, </w:t>
      </w:r>
      <w:r w:rsidRPr="00ED3ADF">
        <w:rPr>
          <w:rFonts w:cs="Calibri"/>
        </w:rPr>
        <w:t>age, family history, lifestyle, ethnic background, and environmental factors</w:t>
      </w:r>
      <w:r w:rsidR="00247D3A">
        <w:rPr>
          <w:rFonts w:cs="Calibri"/>
        </w:rPr>
        <w:t xml:space="preserve"> may </w:t>
      </w:r>
      <w:r w:rsidR="00DF78F8">
        <w:rPr>
          <w:rFonts w:cs="Calibri"/>
        </w:rPr>
        <w:t>pl</w:t>
      </w:r>
      <w:r w:rsidR="00247D3A">
        <w:rPr>
          <w:rFonts w:cs="Calibri"/>
        </w:rPr>
        <w:t>ay a role</w:t>
      </w:r>
      <w:r w:rsidRPr="00ED3ADF">
        <w:rPr>
          <w:rFonts w:cs="Calibri"/>
        </w:rPr>
        <w:t xml:space="preserve">. </w:t>
      </w:r>
      <w:r w:rsidR="00A1785C">
        <w:rPr>
          <w:rFonts w:cs="Calibri"/>
        </w:rPr>
        <w:t>A</w:t>
      </w:r>
      <w:r w:rsidR="00A1785C" w:rsidRPr="00ED3ADF">
        <w:rPr>
          <w:rFonts w:cs="Calibri"/>
        </w:rPr>
        <w:t>mongst Australian men</w:t>
      </w:r>
      <w:r w:rsidR="00A1785C">
        <w:t xml:space="preserve"> </w:t>
      </w:r>
      <w:proofErr w:type="spellStart"/>
      <w:r w:rsidR="006818E1">
        <w:t>PCa</w:t>
      </w:r>
      <w:proofErr w:type="spellEnd"/>
      <w:r w:rsidRPr="00ED3ADF">
        <w:rPr>
          <w:rFonts w:cs="Calibri"/>
        </w:rPr>
        <w:t xml:space="preserve"> is the fourth leading cause of death after heart disease, lung cancer,</w:t>
      </w:r>
      <w:r w:rsidR="00876784">
        <w:rPr>
          <w:rFonts w:cs="Calibri"/>
        </w:rPr>
        <w:t xml:space="preserve"> and cerebrovascular diseases. In 201</w:t>
      </w:r>
      <w:r w:rsidR="00113200">
        <w:rPr>
          <w:rFonts w:cs="Calibri"/>
        </w:rPr>
        <w:t>3</w:t>
      </w:r>
      <w:r w:rsidR="00876784">
        <w:rPr>
          <w:rFonts w:cs="Calibri"/>
        </w:rPr>
        <w:t>, t</w:t>
      </w:r>
      <w:r w:rsidRPr="00ED3ADF">
        <w:rPr>
          <w:rFonts w:cs="Calibri"/>
        </w:rPr>
        <w:t>here were nearly 3,</w:t>
      </w:r>
      <w:r w:rsidR="00113200">
        <w:rPr>
          <w:rFonts w:cs="Calibri"/>
        </w:rPr>
        <w:t>112</w:t>
      </w:r>
      <w:r w:rsidRPr="00ED3ADF">
        <w:rPr>
          <w:rFonts w:cs="Calibri"/>
        </w:rPr>
        <w:t xml:space="preserve"> deaths from </w:t>
      </w:r>
      <w:proofErr w:type="spellStart"/>
      <w:r w:rsidR="0005426D">
        <w:t>PCa</w:t>
      </w:r>
      <w:proofErr w:type="spellEnd"/>
      <w:r w:rsidRPr="00ED3ADF">
        <w:rPr>
          <w:rFonts w:cs="Calibri"/>
        </w:rPr>
        <w:t xml:space="preserve">, and the age-standardised mortality rate for </w:t>
      </w:r>
      <w:proofErr w:type="spellStart"/>
      <w:r w:rsidR="0005426D">
        <w:t>PCa</w:t>
      </w:r>
      <w:proofErr w:type="spellEnd"/>
      <w:r w:rsidRPr="00ED3ADF">
        <w:rPr>
          <w:rFonts w:cs="Calibri"/>
        </w:rPr>
        <w:t xml:space="preserve"> was </w:t>
      </w:r>
      <w:r w:rsidR="00113200">
        <w:rPr>
          <w:rFonts w:cs="Calibri"/>
        </w:rPr>
        <w:t>27</w:t>
      </w:r>
      <w:r w:rsidRPr="00ED3ADF">
        <w:rPr>
          <w:rFonts w:cs="Calibri"/>
        </w:rPr>
        <w:t xml:space="preserve"> per 100,000</w:t>
      </w:r>
      <w:r w:rsidR="00113200">
        <w:rPr>
          <w:rFonts w:cs="Calibri"/>
        </w:rPr>
        <w:t xml:space="preserve"> males</w:t>
      </w:r>
      <w:r w:rsidR="00CA2D63">
        <w:rPr>
          <w:rFonts w:cs="Calibri"/>
        </w:rPr>
        <w:t xml:space="preserve"> </w:t>
      </w:r>
      <w:r w:rsidR="008E0B00">
        <w:rPr>
          <w:rFonts w:cs="Calibri"/>
        </w:rPr>
        <w:fldChar w:fldCharType="begin"/>
      </w:r>
      <w:r w:rsidR="008E0B00">
        <w:rPr>
          <w:rFonts w:cs="Calibri"/>
        </w:rPr>
        <w:instrText xml:space="preserve"> ADDIN EN.CITE &lt;EndNote&gt;&lt;Cite&gt;&lt;Author&gt;AIHW&lt;/Author&gt;&lt;Year&gt;2016&lt;/Year&gt;&lt;RecNum&gt;13&lt;/RecNum&gt;&lt;DisplayText&gt;(AIHW 2016)&lt;/DisplayText&gt;&lt;record&gt;&lt;rec-number&gt;13&lt;/rec-number&gt;&lt;foreign-keys&gt;&lt;key app="EN" db-id="2p9terxr22fx91epzebpfdwuzrwtw2a2ep2t" timestamp="1472684601"&gt;13&lt;/key&gt;&lt;/foreign-keys&gt;&lt;ref-type name="Web Page"&gt;12&lt;/ref-type&gt;&lt;contributors&gt;&lt;authors&gt;&lt;author&gt;AIHW&lt;/author&gt;&lt;/authors&gt;&lt;/contributors&gt;&lt;titles&gt;&lt;title&gt;Prostate cancer in Australia&lt;/title&gt;&lt;/titles&gt;&lt;volume&gt;2016&lt;/volume&gt;&lt;number&gt;July 19&lt;/number&gt;&lt;dates&gt;&lt;year&gt;2016&lt;/year&gt;&lt;/dates&gt;&lt;pub-location&gt;Canberra&lt;/pub-location&gt;&lt;publisher&gt;AIHW&lt;/publisher&gt;&lt;urls&gt;&lt;related-urls&gt;&lt;url&gt;http://www.aihw.gov.au/cancer/prostate/#inca&lt;/url&gt;&lt;/related-urls&gt;&lt;/urls&gt;&lt;/record&gt;&lt;/Cite&gt;&lt;/EndNote&gt;</w:instrText>
      </w:r>
      <w:r w:rsidR="008E0B00">
        <w:rPr>
          <w:rFonts w:cs="Calibri"/>
        </w:rPr>
        <w:fldChar w:fldCharType="separate"/>
      </w:r>
      <w:r w:rsidR="008E0B00">
        <w:rPr>
          <w:rFonts w:cs="Calibri"/>
          <w:noProof/>
        </w:rPr>
        <w:t>(</w:t>
      </w:r>
      <w:hyperlink w:anchor="_ENREF_5" w:tooltip="AIHW, 2016 #13" w:history="1">
        <w:r w:rsidR="008E0B00">
          <w:rPr>
            <w:rFonts w:cs="Calibri"/>
            <w:noProof/>
          </w:rPr>
          <w:t>AIHW 2016</w:t>
        </w:r>
      </w:hyperlink>
      <w:r w:rsidR="008E0B00">
        <w:rPr>
          <w:rFonts w:cs="Calibri"/>
          <w:noProof/>
        </w:rPr>
        <w:t>)</w:t>
      </w:r>
      <w:r w:rsidR="008E0B00">
        <w:rPr>
          <w:rFonts w:cs="Calibri"/>
        </w:rPr>
        <w:fldChar w:fldCharType="end"/>
      </w:r>
      <w:r w:rsidR="00113200">
        <w:rPr>
          <w:rFonts w:cs="Calibri"/>
        </w:rPr>
        <w:t>.</w:t>
      </w:r>
      <w:r w:rsidR="0085254A">
        <w:rPr>
          <w:rFonts w:cs="Calibri"/>
        </w:rPr>
        <w:t xml:space="preserve"> </w:t>
      </w:r>
      <w:r w:rsidR="00113200" w:rsidRPr="00113200">
        <w:rPr>
          <w:rFonts w:cs="Calibri"/>
          <w:lang w:val="en"/>
        </w:rPr>
        <w:t>In 2012, there were</w:t>
      </w:r>
      <w:r w:rsidR="00247D3A">
        <w:rPr>
          <w:rFonts w:cs="Calibri"/>
          <w:lang w:val="en"/>
        </w:rPr>
        <w:t xml:space="preserve"> </w:t>
      </w:r>
      <w:r w:rsidR="00113200" w:rsidRPr="00113200">
        <w:rPr>
          <w:rFonts w:cs="Calibri"/>
          <w:lang w:val="en"/>
        </w:rPr>
        <w:t xml:space="preserve">20,065 new cases of </w:t>
      </w:r>
      <w:proofErr w:type="spellStart"/>
      <w:r w:rsidR="0005426D">
        <w:t>PCa</w:t>
      </w:r>
      <w:proofErr w:type="spellEnd"/>
      <w:r w:rsidR="00113200" w:rsidRPr="00113200">
        <w:rPr>
          <w:rFonts w:cs="Calibri"/>
          <w:lang w:val="en"/>
        </w:rPr>
        <w:t xml:space="preserve"> diagnosed in Australia.</w:t>
      </w:r>
      <w:r w:rsidR="00113200">
        <w:rPr>
          <w:rFonts w:cs="Calibri"/>
          <w:lang w:val="en"/>
        </w:rPr>
        <w:t xml:space="preserve"> T</w:t>
      </w:r>
      <w:r w:rsidR="00113200" w:rsidRPr="00876784">
        <w:rPr>
          <w:rFonts w:cs="Calibri"/>
          <w:lang w:val="en"/>
        </w:rPr>
        <w:t>he age</w:t>
      </w:r>
      <w:r w:rsidR="00113200" w:rsidRPr="0066172B">
        <w:rPr>
          <w:rFonts w:cs="Calibri"/>
        </w:rPr>
        <w:t>-standardised</w:t>
      </w:r>
      <w:r w:rsidR="00113200" w:rsidRPr="00876784">
        <w:rPr>
          <w:rFonts w:cs="Calibri"/>
          <w:lang w:val="en"/>
        </w:rPr>
        <w:t xml:space="preserve"> incidence rate was</w:t>
      </w:r>
      <w:r w:rsidR="00247D3A">
        <w:rPr>
          <w:rFonts w:cs="Calibri"/>
          <w:lang w:val="en"/>
        </w:rPr>
        <w:t xml:space="preserve"> </w:t>
      </w:r>
      <w:r w:rsidR="00113200" w:rsidRPr="00876784">
        <w:rPr>
          <w:rFonts w:cs="Calibri"/>
          <w:lang w:val="en"/>
        </w:rPr>
        <w:t>163 cases per 100,000 males</w:t>
      </w:r>
      <w:r w:rsidR="00F864D9">
        <w:rPr>
          <w:rFonts w:cs="Calibri"/>
          <w:lang w:val="en"/>
        </w:rPr>
        <w:t xml:space="preserve"> </w:t>
      </w:r>
      <w:r w:rsidR="008E0B00">
        <w:rPr>
          <w:rFonts w:cs="Calibri"/>
          <w:lang w:val="en"/>
        </w:rPr>
        <w:fldChar w:fldCharType="begin"/>
      </w:r>
      <w:r w:rsidR="008E0B00">
        <w:rPr>
          <w:rFonts w:cs="Calibri"/>
          <w:lang w:val="en"/>
        </w:rPr>
        <w:instrText xml:space="preserve"> ADDIN EN.CITE &lt;EndNote&gt;&lt;Cite&gt;&lt;Author&gt;AIHW&lt;/Author&gt;&lt;Year&gt;2016&lt;/Year&gt;&lt;RecNum&gt;13&lt;/RecNum&gt;&lt;DisplayText&gt;(AIHW 2016)&lt;/DisplayText&gt;&lt;record&gt;&lt;rec-number&gt;13&lt;/rec-number&gt;&lt;foreign-keys&gt;&lt;key app="EN" db-id="2p9terxr22fx91epzebpfdwuzrwtw2a2ep2t" timestamp="1472684601"&gt;13&lt;/key&gt;&lt;/foreign-keys&gt;&lt;ref-type name="Web Page"&gt;12&lt;/ref-type&gt;&lt;contributors&gt;&lt;authors&gt;&lt;author&gt;AIHW&lt;/author&gt;&lt;/authors&gt;&lt;/contributors&gt;&lt;titles&gt;&lt;title&gt;Prostate cancer in Australia&lt;/title&gt;&lt;/titles&gt;&lt;volume&gt;2016&lt;/volume&gt;&lt;number&gt;July 19&lt;/number&gt;&lt;dates&gt;&lt;year&gt;2016&lt;/year&gt;&lt;/dates&gt;&lt;pub-location&gt;Canberra&lt;/pub-location&gt;&lt;publisher&gt;AIHW&lt;/publisher&gt;&lt;urls&gt;&lt;related-urls&gt;&lt;url&gt;http://www.aihw.gov.au/cancer/prostate/#inca&lt;/url&gt;&lt;/related-urls&gt;&lt;/urls&gt;&lt;/record&gt;&lt;/Cite&gt;&lt;/EndNote&gt;</w:instrText>
      </w:r>
      <w:r w:rsidR="008E0B00">
        <w:rPr>
          <w:rFonts w:cs="Calibri"/>
          <w:lang w:val="en"/>
        </w:rPr>
        <w:fldChar w:fldCharType="separate"/>
      </w:r>
      <w:r w:rsidR="008E0B00">
        <w:rPr>
          <w:rFonts w:cs="Calibri"/>
          <w:noProof/>
          <w:lang w:val="en"/>
        </w:rPr>
        <w:t>(</w:t>
      </w:r>
      <w:hyperlink w:anchor="_ENREF_5" w:tooltip="AIHW, 2016 #13" w:history="1">
        <w:r w:rsidR="008E0B00">
          <w:rPr>
            <w:rFonts w:cs="Calibri"/>
            <w:noProof/>
            <w:lang w:val="en"/>
          </w:rPr>
          <w:t>AIHW 2016</w:t>
        </w:r>
      </w:hyperlink>
      <w:r w:rsidR="008E0B00">
        <w:rPr>
          <w:rFonts w:cs="Calibri"/>
          <w:noProof/>
          <w:lang w:val="en"/>
        </w:rPr>
        <w:t>)</w:t>
      </w:r>
      <w:r w:rsidR="008E0B00">
        <w:rPr>
          <w:rFonts w:cs="Calibri"/>
          <w:lang w:val="en"/>
        </w:rPr>
        <w:fldChar w:fldCharType="end"/>
      </w:r>
      <w:r w:rsidR="00113200" w:rsidRPr="00876784">
        <w:rPr>
          <w:rFonts w:cs="Calibri"/>
          <w:lang w:val="en"/>
        </w:rPr>
        <w:t>.</w:t>
      </w:r>
    </w:p>
    <w:p w14:paraId="55B16242" w14:textId="2C13D602" w:rsidR="001061AB" w:rsidRDefault="001061AB" w:rsidP="001061AB">
      <w:r>
        <w:t>An</w:t>
      </w:r>
      <w:r w:rsidRPr="005B1DC4">
        <w:t xml:space="preserve"> MBS listing </w:t>
      </w:r>
      <w:r>
        <w:t xml:space="preserve">is </w:t>
      </w:r>
      <w:r w:rsidRPr="005B1DC4">
        <w:t>requested</w:t>
      </w:r>
      <w:r>
        <w:t xml:space="preserve"> for</w:t>
      </w:r>
      <w:r w:rsidRPr="005B1DC4">
        <w:t xml:space="preserve"> </w:t>
      </w:r>
      <w:proofErr w:type="spellStart"/>
      <w:r w:rsidRPr="005B1DC4">
        <w:t>multiparametric</w:t>
      </w:r>
      <w:proofErr w:type="spellEnd"/>
      <w:r w:rsidRPr="005B1DC4">
        <w:t xml:space="preserve"> MRI (</w:t>
      </w:r>
      <w:proofErr w:type="spellStart"/>
      <w:r w:rsidRPr="005B1DC4">
        <w:t>mpMRI</w:t>
      </w:r>
      <w:proofErr w:type="spellEnd"/>
      <w:r w:rsidRPr="005B1DC4">
        <w:t>) scans of the prostate</w:t>
      </w:r>
      <w:r>
        <w:t xml:space="preserve"> for two populations:</w:t>
      </w:r>
    </w:p>
    <w:p w14:paraId="11136083" w14:textId="7051C341" w:rsidR="001061AB" w:rsidRDefault="001061AB" w:rsidP="00A3402C">
      <w:pPr>
        <w:pStyle w:val="ListParagraph"/>
        <w:numPr>
          <w:ilvl w:val="0"/>
          <w:numId w:val="28"/>
        </w:numPr>
      </w:pPr>
      <w:r w:rsidRPr="008B4730">
        <w:t xml:space="preserve">men who are suspected of having </w:t>
      </w:r>
      <w:proofErr w:type="spellStart"/>
      <w:r w:rsidR="006818E1">
        <w:t>PCa</w:t>
      </w:r>
      <w:proofErr w:type="spellEnd"/>
      <w:r w:rsidRPr="008B4730">
        <w:t xml:space="preserve"> on the ba</w:t>
      </w:r>
      <w:r>
        <w:t>sis of a high or concerning PSA; and</w:t>
      </w:r>
    </w:p>
    <w:p w14:paraId="2F6A2F99" w14:textId="1556CC00" w:rsidR="001061AB" w:rsidRDefault="001061AB" w:rsidP="00A3402C">
      <w:pPr>
        <w:pStyle w:val="ListParagraph"/>
        <w:numPr>
          <w:ilvl w:val="0"/>
          <w:numId w:val="28"/>
        </w:numPr>
      </w:pPr>
      <w:proofErr w:type="gramStart"/>
      <w:r w:rsidRPr="008B4730">
        <w:t>men</w:t>
      </w:r>
      <w:proofErr w:type="gramEnd"/>
      <w:r w:rsidRPr="008B4730">
        <w:t xml:space="preserve"> diagnosed with low or intermediate risk </w:t>
      </w:r>
      <w:proofErr w:type="spellStart"/>
      <w:r w:rsidR="006818E1">
        <w:t>PCa</w:t>
      </w:r>
      <w:proofErr w:type="spellEnd"/>
      <w:r w:rsidRPr="008B4730">
        <w:t xml:space="preserve"> undertaking AS.</w:t>
      </w:r>
    </w:p>
    <w:p w14:paraId="17B0C84B" w14:textId="77777777" w:rsidR="001061AB" w:rsidRPr="002B20C4" w:rsidRDefault="001061AB" w:rsidP="001061AB">
      <w:pPr>
        <w:pStyle w:val="Heading2"/>
        <w:rPr>
          <w:sz w:val="24"/>
          <w:szCs w:val="24"/>
        </w:rPr>
      </w:pPr>
      <w:bookmarkStart w:id="175" w:name="_Toc460513891"/>
      <w:bookmarkStart w:id="176" w:name="_Toc444781435"/>
      <w:r w:rsidRPr="002B20C4">
        <w:rPr>
          <w:sz w:val="24"/>
          <w:szCs w:val="24"/>
        </w:rPr>
        <w:lastRenderedPageBreak/>
        <w:t>A4.1</w:t>
      </w:r>
      <w:r w:rsidRPr="002B20C4">
        <w:rPr>
          <w:sz w:val="24"/>
          <w:szCs w:val="24"/>
        </w:rPr>
        <w:tab/>
      </w:r>
      <w:r w:rsidRPr="002B20C4">
        <w:rPr>
          <w:sz w:val="24"/>
          <w:szCs w:val="24"/>
        </w:rPr>
        <w:tab/>
        <w:t>Utilisation</w:t>
      </w:r>
      <w:bookmarkEnd w:id="175"/>
    </w:p>
    <w:p w14:paraId="74009233" w14:textId="77777777" w:rsidR="001061AB" w:rsidRDefault="001061AB" w:rsidP="001061AB">
      <w:pPr>
        <w:pStyle w:val="Heading3"/>
      </w:pPr>
      <w:bookmarkStart w:id="177" w:name="_Toc460513892"/>
      <w:r>
        <w:t>A4.1.1</w:t>
      </w:r>
      <w:r>
        <w:tab/>
        <w:t>Men with suspected prostate cancer</w:t>
      </w:r>
      <w:bookmarkEnd w:id="176"/>
      <w:bookmarkEnd w:id="177"/>
    </w:p>
    <w:p w14:paraId="7C819946" w14:textId="783445D1" w:rsidR="00F87192" w:rsidRDefault="00F864D9" w:rsidP="001061AB">
      <w:pPr>
        <w:rPr>
          <w:rFonts w:cs="Calibri"/>
        </w:rPr>
      </w:pPr>
      <w:r>
        <w:rPr>
          <w:rFonts w:cs="Calibri"/>
        </w:rPr>
        <w:t>A</w:t>
      </w:r>
      <w:r w:rsidR="001061AB">
        <w:rPr>
          <w:rFonts w:cs="Calibri"/>
        </w:rPr>
        <w:t xml:space="preserve"> method for estimating the number of eligible men is to assume that all men who currently receive a prostate biopsy would have an </w:t>
      </w:r>
      <w:proofErr w:type="spellStart"/>
      <w:r w:rsidR="001061AB">
        <w:rPr>
          <w:rFonts w:cs="Calibri"/>
        </w:rPr>
        <w:t>mpMRI</w:t>
      </w:r>
      <w:proofErr w:type="spellEnd"/>
      <w:r w:rsidR="001061AB">
        <w:rPr>
          <w:rFonts w:cs="Calibri"/>
        </w:rPr>
        <w:t xml:space="preserve"> scan if the service was listed on the MBS. </w:t>
      </w:r>
    </w:p>
    <w:p w14:paraId="70260EB6" w14:textId="1F2E28CC" w:rsidR="001061AB" w:rsidRDefault="00F87192" w:rsidP="001061AB">
      <w:pPr>
        <w:rPr>
          <w:rFonts w:cs="Calibri"/>
        </w:rPr>
      </w:pPr>
      <w:r>
        <w:rPr>
          <w:rFonts w:cs="Calibri"/>
        </w:rPr>
        <w:t xml:space="preserve">The estimate used in this analysis to determine the number of eligible patients is based on the assumption that all patients who received a biopsy would have opted for an </w:t>
      </w:r>
      <w:proofErr w:type="spellStart"/>
      <w:r>
        <w:rPr>
          <w:rFonts w:cs="Calibri"/>
        </w:rPr>
        <w:t>mpMRI</w:t>
      </w:r>
      <w:proofErr w:type="spellEnd"/>
      <w:r>
        <w:rPr>
          <w:rFonts w:cs="Calibri"/>
        </w:rPr>
        <w:t xml:space="preserve"> had this service been available. </w:t>
      </w:r>
      <w:r w:rsidR="001061AB">
        <w:rPr>
          <w:rFonts w:cs="Calibri"/>
        </w:rPr>
        <w:t xml:space="preserve">Between July 2014 and June 2015, there were 20,149 services claimed on the MBS for ultrasound-guided prostate biopsy (MBS item 37219). From this, there would potentially be </w:t>
      </w:r>
      <w:r w:rsidR="005E4BBA">
        <w:rPr>
          <w:rFonts w:cs="Calibri"/>
        </w:rPr>
        <w:t>13,554</w:t>
      </w:r>
      <w:r w:rsidR="005E4BBA">
        <w:rPr>
          <w:rStyle w:val="FootnoteReference"/>
          <w:rFonts w:cs="Calibri"/>
        </w:rPr>
        <w:footnoteReference w:id="1"/>
      </w:r>
      <w:r w:rsidR="001061AB">
        <w:rPr>
          <w:rFonts w:cs="Calibri"/>
        </w:rPr>
        <w:t xml:space="preserve"> </w:t>
      </w:r>
      <w:proofErr w:type="spellStart"/>
      <w:r w:rsidR="001061AB">
        <w:rPr>
          <w:rFonts w:cs="Calibri"/>
        </w:rPr>
        <w:t>mpMRI</w:t>
      </w:r>
      <w:proofErr w:type="spellEnd"/>
      <w:r w:rsidR="001061AB">
        <w:rPr>
          <w:rFonts w:cs="Calibri"/>
        </w:rPr>
        <w:t xml:space="preserve"> services for men with suspected </w:t>
      </w:r>
      <w:proofErr w:type="spellStart"/>
      <w:r w:rsidR="001327C8">
        <w:t>PCa</w:t>
      </w:r>
      <w:proofErr w:type="spellEnd"/>
      <w:r w:rsidR="001061AB">
        <w:rPr>
          <w:rFonts w:cs="Calibri"/>
        </w:rPr>
        <w:t xml:space="preserve">. This is likely an underestimation of utilisation, as men who refused a prostate biopsy may </w:t>
      </w:r>
      <w:r w:rsidR="00A551F8">
        <w:rPr>
          <w:rFonts w:cs="Calibri"/>
        </w:rPr>
        <w:t>opt</w:t>
      </w:r>
      <w:r w:rsidR="001061AB">
        <w:rPr>
          <w:rFonts w:cs="Calibri"/>
        </w:rPr>
        <w:t xml:space="preserve"> to undergo </w:t>
      </w:r>
      <w:proofErr w:type="spellStart"/>
      <w:r w:rsidR="001061AB">
        <w:rPr>
          <w:rFonts w:cs="Calibri"/>
        </w:rPr>
        <w:t>mpMRI</w:t>
      </w:r>
      <w:proofErr w:type="spellEnd"/>
      <w:r w:rsidR="001061AB">
        <w:rPr>
          <w:rFonts w:cs="Calibri"/>
        </w:rPr>
        <w:t xml:space="preserve"> scanning</w:t>
      </w:r>
      <w:r w:rsidR="00A551F8">
        <w:rPr>
          <w:rFonts w:cs="Calibri"/>
        </w:rPr>
        <w:t xml:space="preserve"> if the proposed items are listed</w:t>
      </w:r>
      <w:r w:rsidR="001061AB">
        <w:rPr>
          <w:rFonts w:cs="Calibri"/>
        </w:rPr>
        <w:t>.</w:t>
      </w:r>
    </w:p>
    <w:p w14:paraId="7F0F5D71" w14:textId="7E872D52" w:rsidR="001061AB" w:rsidRDefault="00A70CB6" w:rsidP="001061AB">
      <w:pPr>
        <w:rPr>
          <w:rFonts w:cs="Calibri"/>
        </w:rPr>
      </w:pPr>
      <w:r>
        <w:rPr>
          <w:rFonts w:cs="Calibri"/>
        </w:rPr>
        <w:t xml:space="preserve">Applicant advice informs that </w:t>
      </w:r>
      <w:r w:rsidR="0078341F">
        <w:rPr>
          <w:rFonts w:cs="Calibri"/>
        </w:rPr>
        <w:t>50 per cent</w:t>
      </w:r>
      <w:r>
        <w:rPr>
          <w:rFonts w:cs="Calibri"/>
        </w:rPr>
        <w:t xml:space="preserve"> of men with suspected </w:t>
      </w:r>
      <w:proofErr w:type="spellStart"/>
      <w:r w:rsidR="001327C8">
        <w:t>PCa</w:t>
      </w:r>
      <w:proofErr w:type="spellEnd"/>
      <w:r w:rsidR="003343B8">
        <w:rPr>
          <w:rFonts w:cs="Calibri"/>
        </w:rPr>
        <w:t xml:space="preserve"> are high-</w:t>
      </w:r>
      <w:r>
        <w:rPr>
          <w:rFonts w:cs="Calibri"/>
        </w:rPr>
        <w:t xml:space="preserve">concern and </w:t>
      </w:r>
      <w:r w:rsidR="0078341F">
        <w:rPr>
          <w:rFonts w:cs="Calibri"/>
        </w:rPr>
        <w:t>50 per cent</w:t>
      </w:r>
      <w:r w:rsidR="003343B8">
        <w:rPr>
          <w:rFonts w:cs="Calibri"/>
        </w:rPr>
        <w:t xml:space="preserve"> are low-</w:t>
      </w:r>
      <w:r>
        <w:rPr>
          <w:rFonts w:cs="Calibri"/>
        </w:rPr>
        <w:t xml:space="preserve">concern. </w:t>
      </w:r>
      <w:r w:rsidR="00E71D79" w:rsidRPr="0078341F">
        <w:rPr>
          <w:rFonts w:cs="Calibri"/>
        </w:rPr>
        <w:t>Approximately,</w:t>
      </w:r>
      <w:r w:rsidR="0078341F" w:rsidRPr="0078341F">
        <w:rPr>
          <w:rFonts w:cs="Calibri"/>
        </w:rPr>
        <w:t xml:space="preserve"> 30</w:t>
      </w:r>
      <w:r w:rsidR="00A551F8">
        <w:rPr>
          <w:rFonts w:cs="Calibri"/>
        </w:rPr>
        <w:t xml:space="preserve"> to </w:t>
      </w:r>
      <w:r w:rsidR="0078341F" w:rsidRPr="0078341F">
        <w:rPr>
          <w:rFonts w:cs="Calibri"/>
        </w:rPr>
        <w:t>40</w:t>
      </w:r>
      <w:r w:rsidR="0078341F">
        <w:rPr>
          <w:rFonts w:cs="Calibri"/>
        </w:rPr>
        <w:t xml:space="preserve"> per cent</w:t>
      </w:r>
      <w:r w:rsidR="003343B8">
        <w:rPr>
          <w:rFonts w:cs="Calibri"/>
        </w:rPr>
        <w:t xml:space="preserve"> of low-</w:t>
      </w:r>
      <w:r w:rsidR="00A9704F">
        <w:rPr>
          <w:rFonts w:cs="Calibri"/>
        </w:rPr>
        <w:t>concern</w:t>
      </w:r>
      <w:r w:rsidR="00A9704F" w:rsidRPr="0078341F">
        <w:rPr>
          <w:rFonts w:cs="Calibri"/>
        </w:rPr>
        <w:t xml:space="preserve"> </w:t>
      </w:r>
      <w:r w:rsidR="0078341F" w:rsidRPr="0078341F">
        <w:rPr>
          <w:rFonts w:cs="Calibri"/>
        </w:rPr>
        <w:t xml:space="preserve">patients will have </w:t>
      </w:r>
      <w:proofErr w:type="spellStart"/>
      <w:r w:rsidR="001327C8">
        <w:t>PCa</w:t>
      </w:r>
      <w:proofErr w:type="spellEnd"/>
      <w:r w:rsidR="0078341F" w:rsidRPr="0078341F">
        <w:rPr>
          <w:rFonts w:cs="Calibri"/>
        </w:rPr>
        <w:t xml:space="preserve"> and 5-10</w:t>
      </w:r>
      <w:r w:rsidR="0078341F">
        <w:rPr>
          <w:rFonts w:cs="Calibri"/>
        </w:rPr>
        <w:t xml:space="preserve"> per cent</w:t>
      </w:r>
      <w:r w:rsidR="0078341F" w:rsidRPr="0078341F">
        <w:rPr>
          <w:rFonts w:cs="Calibri"/>
        </w:rPr>
        <w:t xml:space="preserve"> of low</w:t>
      </w:r>
      <w:r w:rsidR="003343B8">
        <w:rPr>
          <w:rFonts w:cs="Calibri"/>
        </w:rPr>
        <w:t>-</w:t>
      </w:r>
      <w:r w:rsidR="00A9704F">
        <w:rPr>
          <w:rFonts w:cs="Calibri"/>
        </w:rPr>
        <w:t>concern</w:t>
      </w:r>
      <w:r w:rsidR="00A9704F" w:rsidRPr="0078341F">
        <w:rPr>
          <w:rFonts w:cs="Calibri"/>
        </w:rPr>
        <w:t xml:space="preserve"> </w:t>
      </w:r>
      <w:r w:rsidR="003343B8">
        <w:rPr>
          <w:rFonts w:cs="Calibri"/>
        </w:rPr>
        <w:t>patients (13-33% of low-</w:t>
      </w:r>
      <w:r w:rsidR="00A9704F">
        <w:rPr>
          <w:rFonts w:cs="Calibri"/>
        </w:rPr>
        <w:t>concern</w:t>
      </w:r>
      <w:r w:rsidR="00A9704F" w:rsidRPr="0078341F">
        <w:rPr>
          <w:rFonts w:cs="Calibri"/>
        </w:rPr>
        <w:t xml:space="preserve"> </w:t>
      </w:r>
      <w:r w:rsidR="0078341F" w:rsidRPr="0078341F">
        <w:rPr>
          <w:rFonts w:cs="Calibri"/>
        </w:rPr>
        <w:t>patients with cancer) will have clinically significant cancer. In high</w:t>
      </w:r>
      <w:r w:rsidR="003343B8">
        <w:rPr>
          <w:rFonts w:cs="Calibri"/>
        </w:rPr>
        <w:t>-</w:t>
      </w:r>
      <w:r w:rsidR="00A9704F">
        <w:rPr>
          <w:rFonts w:cs="Calibri"/>
        </w:rPr>
        <w:t>concern</w:t>
      </w:r>
      <w:r w:rsidR="00A9704F" w:rsidRPr="0078341F">
        <w:rPr>
          <w:rFonts w:cs="Calibri"/>
        </w:rPr>
        <w:t xml:space="preserve"> </w:t>
      </w:r>
      <w:r w:rsidR="0078341F" w:rsidRPr="0078341F">
        <w:rPr>
          <w:rFonts w:cs="Calibri"/>
        </w:rPr>
        <w:t>patients, 50</w:t>
      </w:r>
      <w:r w:rsidR="00FB18F0">
        <w:rPr>
          <w:rFonts w:cs="Calibri"/>
        </w:rPr>
        <w:t xml:space="preserve"> per cent</w:t>
      </w:r>
      <w:r w:rsidR="0078341F" w:rsidRPr="0078341F">
        <w:rPr>
          <w:rFonts w:cs="Calibri"/>
        </w:rPr>
        <w:t xml:space="preserve"> will have cancer and 90</w:t>
      </w:r>
      <w:r w:rsidR="00FB18F0">
        <w:rPr>
          <w:rFonts w:cs="Calibri"/>
        </w:rPr>
        <w:t xml:space="preserve"> per cent</w:t>
      </w:r>
      <w:r w:rsidR="0078341F" w:rsidRPr="0078341F">
        <w:rPr>
          <w:rFonts w:cs="Calibri"/>
        </w:rPr>
        <w:t xml:space="preserve"> of these will have clinically significant cancer</w:t>
      </w:r>
      <w:r w:rsidR="005F5D13">
        <w:rPr>
          <w:rFonts w:cs="Calibri"/>
        </w:rPr>
        <w:t xml:space="preserve"> </w:t>
      </w:r>
      <w:r w:rsidR="008E0B00">
        <w:rPr>
          <w:rFonts w:cs="Calibri"/>
        </w:rPr>
        <w:fldChar w:fldCharType="begin"/>
      </w:r>
      <w:r w:rsidR="008E0B00">
        <w:rPr>
          <w:rFonts w:cs="Calibri"/>
        </w:rPr>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rPr>
          <w:rFonts w:cs="Calibri"/>
        </w:rPr>
        <w:fldChar w:fldCharType="separate"/>
      </w:r>
      <w:r w:rsidR="008E0B00">
        <w:rPr>
          <w:rFonts w:cs="Calibri"/>
          <w:noProof/>
        </w:rPr>
        <w:t>(</w:t>
      </w:r>
      <w:hyperlink w:anchor="_ENREF_9" w:tooltip="Applicant, 2016 #9" w:history="1">
        <w:r w:rsidR="008E0B00">
          <w:rPr>
            <w:rFonts w:cs="Calibri"/>
            <w:noProof/>
          </w:rPr>
          <w:t>Applicant 2016</w:t>
        </w:r>
      </w:hyperlink>
      <w:r w:rsidR="008E0B00">
        <w:rPr>
          <w:rFonts w:cs="Calibri"/>
          <w:noProof/>
        </w:rPr>
        <w:t>)</w:t>
      </w:r>
      <w:r w:rsidR="008E0B00">
        <w:rPr>
          <w:rFonts w:cs="Calibri"/>
        </w:rPr>
        <w:fldChar w:fldCharType="end"/>
      </w:r>
      <w:r w:rsidR="0078341F" w:rsidRPr="0078341F">
        <w:rPr>
          <w:rFonts w:cs="Calibri"/>
        </w:rPr>
        <w:t>.</w:t>
      </w:r>
    </w:p>
    <w:p w14:paraId="0B80A586" w14:textId="77777777" w:rsidR="001061AB" w:rsidRDefault="001061AB" w:rsidP="001061AB">
      <w:pPr>
        <w:pStyle w:val="Heading3"/>
      </w:pPr>
      <w:bookmarkStart w:id="178" w:name="_Toc444781436"/>
      <w:bookmarkStart w:id="179" w:name="_Toc460513893"/>
      <w:r>
        <w:t>A4.1.2</w:t>
      </w:r>
      <w:r>
        <w:tab/>
        <w:t>M</w:t>
      </w:r>
      <w:r w:rsidRPr="00425BBA">
        <w:t>en diagnosed with low or intermediate risk prostate cancer undertaking active surveillance</w:t>
      </w:r>
      <w:bookmarkEnd w:id="178"/>
      <w:bookmarkEnd w:id="179"/>
    </w:p>
    <w:p w14:paraId="63E37BA8" w14:textId="0DDA2BC7" w:rsidR="00424955" w:rsidRDefault="00424955" w:rsidP="001061AB">
      <w:pPr>
        <w:rPr>
          <w:rFonts w:cs="Calibri"/>
        </w:rPr>
      </w:pPr>
      <w:r>
        <w:rPr>
          <w:rFonts w:cs="Calibri"/>
        </w:rPr>
        <w:t>A</w:t>
      </w:r>
      <w:r w:rsidRPr="00DD483D">
        <w:rPr>
          <w:rFonts w:cs="Calibri"/>
        </w:rPr>
        <w:t>ctive surveillance (sometimes called</w:t>
      </w:r>
      <w:r>
        <w:rPr>
          <w:rFonts w:cs="Calibri"/>
        </w:rPr>
        <w:t xml:space="preserve"> </w:t>
      </w:r>
      <w:r w:rsidRPr="00DD483D">
        <w:rPr>
          <w:rFonts w:cs="Calibri"/>
        </w:rPr>
        <w:t xml:space="preserve">watchful waiting) </w:t>
      </w:r>
      <w:r>
        <w:rPr>
          <w:rFonts w:cs="Calibri"/>
        </w:rPr>
        <w:t>involves</w:t>
      </w:r>
      <w:r w:rsidRPr="00DD483D">
        <w:rPr>
          <w:rFonts w:cs="Calibri"/>
        </w:rPr>
        <w:t xml:space="preserve"> deferred treatment along</w:t>
      </w:r>
      <w:r>
        <w:rPr>
          <w:rFonts w:cs="Calibri"/>
        </w:rPr>
        <w:t xml:space="preserve"> </w:t>
      </w:r>
      <w:r w:rsidRPr="00DD483D">
        <w:rPr>
          <w:rFonts w:cs="Calibri"/>
        </w:rPr>
        <w:t>with disease monitoring, usually with PSA testing, DRE,</w:t>
      </w:r>
      <w:r>
        <w:rPr>
          <w:rFonts w:cs="Calibri"/>
        </w:rPr>
        <w:t xml:space="preserve"> </w:t>
      </w:r>
      <w:r w:rsidRPr="00DD483D">
        <w:rPr>
          <w:rFonts w:cs="Calibri"/>
        </w:rPr>
        <w:t>and sometimes repeat biopsy</w:t>
      </w:r>
      <w:r w:rsidR="00CA2D63">
        <w:rPr>
          <w:rFonts w:cs="Calibri"/>
        </w:rPr>
        <w:t xml:space="preserve"> </w:t>
      </w:r>
      <w:r w:rsidR="008E0B00">
        <w:rPr>
          <w:rFonts w:cs="Calibri"/>
        </w:rPr>
        <w:fldChar w:fldCharType="begin">
          <w:fldData xml:space="preserve">PEVuZE5vdGU+PENpdGU+PEF1dGhvcj5FYmVyaGFyZHQ8L0F1dGhvcj48WWVhcj4yMDEzPC9ZZWFy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</w:fldData>
        </w:fldChar>
      </w:r>
      <w:r w:rsidR="008E0B00">
        <w:rPr>
          <w:rFonts w:cs="Calibri"/>
        </w:rPr>
        <w:instrText xml:space="preserve"> ADDIN EN.CITE </w:instrText>
      </w:r>
      <w:r w:rsidR="008E0B00">
        <w:rPr>
          <w:rFonts w:cs="Calibri"/>
        </w:rPr>
        <w:fldChar w:fldCharType="begin">
          <w:fldData xml:space="preserve">PEVuZE5vdGU+PENpdGU+PEF1dGhvcj5FYmVyaGFyZHQ8L0F1dGhvcj48WWVhcj4yMDEzPC9ZZWFy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</w:fldData>
        </w:fldChar>
      </w:r>
      <w:r w:rsidR="008E0B00">
        <w:rPr>
          <w:rFonts w:cs="Calibri"/>
        </w:rPr>
        <w:instrText xml:space="preserve"> ADDIN EN.CITE.DATA </w:instrText>
      </w:r>
      <w:r w:rsidR="008E0B00">
        <w:rPr>
          <w:rFonts w:cs="Calibri"/>
        </w:rPr>
      </w:r>
      <w:r w:rsidR="008E0B00">
        <w:rPr>
          <w:rFonts w:cs="Calibri"/>
        </w:rPr>
        <w:fldChar w:fldCharType="end"/>
      </w:r>
      <w:r w:rsidR="008E0B00">
        <w:rPr>
          <w:rFonts w:cs="Calibri"/>
        </w:rPr>
      </w:r>
      <w:r w:rsidR="008E0B00">
        <w:rPr>
          <w:rFonts w:cs="Calibri"/>
        </w:rPr>
        <w:fldChar w:fldCharType="separate"/>
      </w:r>
      <w:r w:rsidR="008E0B00">
        <w:rPr>
          <w:rFonts w:cs="Calibri"/>
          <w:noProof/>
        </w:rPr>
        <w:t>(</w:t>
      </w:r>
      <w:hyperlink w:anchor="_ENREF_43" w:tooltip="Eberhardt, 2013 #14" w:history="1">
        <w:r w:rsidR="008E0B00">
          <w:rPr>
            <w:rFonts w:cs="Calibri"/>
            <w:noProof/>
          </w:rPr>
          <w:t>Eberhardt et al. 2013</w:t>
        </w:r>
      </w:hyperlink>
      <w:r w:rsidR="008E0B00">
        <w:rPr>
          <w:rFonts w:cs="Calibri"/>
          <w:noProof/>
        </w:rPr>
        <w:t>)</w:t>
      </w:r>
      <w:r w:rsidR="008E0B00">
        <w:rPr>
          <w:rFonts w:cs="Calibri"/>
        </w:rPr>
        <w:fldChar w:fldCharType="end"/>
      </w:r>
      <w:r w:rsidRPr="00DD483D">
        <w:rPr>
          <w:rFonts w:cs="Calibri"/>
        </w:rPr>
        <w:t>.</w:t>
      </w:r>
      <w:r>
        <w:rPr>
          <w:rFonts w:cs="Calibri"/>
        </w:rPr>
        <w:t xml:space="preserve"> </w:t>
      </w:r>
    </w:p>
    <w:p w14:paraId="615AC7B1" w14:textId="1E64B67B" w:rsidR="001061AB" w:rsidRDefault="001061AB" w:rsidP="001061AB">
      <w:pPr>
        <w:rPr>
          <w:rFonts w:cs="Calibri"/>
        </w:rPr>
      </w:pPr>
      <w:r>
        <w:rPr>
          <w:rFonts w:cs="Calibri"/>
        </w:rPr>
        <w:t xml:space="preserve">Data from the Victorian Prostate </w:t>
      </w:r>
      <w:r w:rsidRPr="00917D6E">
        <w:rPr>
          <w:rFonts w:cs="Calibri"/>
        </w:rPr>
        <w:t>Cancer Registry</w:t>
      </w:r>
      <w:r>
        <w:rPr>
          <w:rFonts w:cs="Calibri"/>
        </w:rPr>
        <w:t xml:space="preserve"> indicates that 15.3</w:t>
      </w:r>
      <w:r w:rsidR="00FB18F0">
        <w:rPr>
          <w:rFonts w:cs="Calibri"/>
        </w:rPr>
        <w:t xml:space="preserve"> per cent</w:t>
      </w:r>
      <w:r>
        <w:rPr>
          <w:rFonts w:cs="Calibri"/>
        </w:rPr>
        <w:t xml:space="preserve"> of patients newly diagnosed with </w:t>
      </w:r>
      <w:proofErr w:type="spellStart"/>
      <w:r w:rsidR="001327C8">
        <w:t>PCa</w:t>
      </w:r>
      <w:proofErr w:type="spellEnd"/>
      <w:r>
        <w:rPr>
          <w:rFonts w:cs="Calibri"/>
        </w:rPr>
        <w:t xml:space="preserve"> are opting to manage</w:t>
      </w:r>
      <w:r w:rsidR="006D7FDC">
        <w:rPr>
          <w:rFonts w:cs="Calibri"/>
        </w:rPr>
        <w:t xml:space="preserve"> their disease</w:t>
      </w:r>
      <w:r>
        <w:rPr>
          <w:rFonts w:cs="Calibri"/>
        </w:rPr>
        <w:t xml:space="preserve"> with </w:t>
      </w:r>
      <w:r w:rsidR="00CE60C4">
        <w:rPr>
          <w:rFonts w:cs="Calibri"/>
        </w:rPr>
        <w:t>AS</w:t>
      </w:r>
      <w:r>
        <w:rPr>
          <w:rFonts w:cs="Calibri"/>
        </w:rPr>
        <w:t xml:space="preserve"> </w:t>
      </w:r>
      <w:r w:rsidR="008E0B00">
        <w:rPr>
          <w:rFonts w:cs="Calibri"/>
        </w:rPr>
        <w:fldChar w:fldCharType="begin">
          <w:fldData xml:space="preserve">PEVuZE5vdGU+PENpdGU+PEF1dGhvcj5XZWVyYWtvb248L0F1dGhvcj48WWVhcj4yMDE1PC9ZZWFy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</w:fldData>
        </w:fldChar>
      </w:r>
      <w:r w:rsidR="008E0B00">
        <w:rPr>
          <w:rFonts w:cs="Calibri"/>
        </w:rPr>
        <w:instrText xml:space="preserve"> ADDIN EN.CITE </w:instrText>
      </w:r>
      <w:r w:rsidR="008E0B00">
        <w:rPr>
          <w:rFonts w:cs="Calibri"/>
        </w:rPr>
        <w:fldChar w:fldCharType="begin">
          <w:fldData xml:space="preserve">PEVuZE5vdGU+PENpdGU+PEF1dGhvcj5XZWVyYWtvb248L0F1dGhvcj48WWVhcj4yMDE1PC9ZZWFy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</w:fldData>
        </w:fldChar>
      </w:r>
      <w:r w:rsidR="008E0B00">
        <w:rPr>
          <w:rFonts w:cs="Calibri"/>
        </w:rPr>
        <w:instrText xml:space="preserve"> ADDIN EN.CITE.DATA </w:instrText>
      </w:r>
      <w:r w:rsidR="008E0B00">
        <w:rPr>
          <w:rFonts w:cs="Calibri"/>
        </w:rPr>
      </w:r>
      <w:r w:rsidR="008E0B00">
        <w:rPr>
          <w:rFonts w:cs="Calibri"/>
        </w:rPr>
        <w:fldChar w:fldCharType="end"/>
      </w:r>
      <w:r w:rsidR="008E0B00">
        <w:rPr>
          <w:rFonts w:cs="Calibri"/>
        </w:rPr>
      </w:r>
      <w:r w:rsidR="008E0B00">
        <w:rPr>
          <w:rFonts w:cs="Calibri"/>
        </w:rPr>
        <w:fldChar w:fldCharType="separate"/>
      </w:r>
      <w:r w:rsidR="008E0B00">
        <w:rPr>
          <w:rFonts w:cs="Calibri"/>
          <w:noProof/>
        </w:rPr>
        <w:t>(</w:t>
      </w:r>
      <w:hyperlink w:anchor="_ENREF_178" w:tooltip="Weerakoon, 2015 #15" w:history="1">
        <w:r w:rsidR="008E0B00">
          <w:rPr>
            <w:rFonts w:cs="Calibri"/>
            <w:noProof/>
          </w:rPr>
          <w:t>Weerakoon et al. 2015</w:t>
        </w:r>
      </w:hyperlink>
      <w:r w:rsidR="008E0B00">
        <w:rPr>
          <w:rFonts w:cs="Calibri"/>
          <w:noProof/>
        </w:rPr>
        <w:t>)</w:t>
      </w:r>
      <w:r w:rsidR="008E0B00">
        <w:rPr>
          <w:rFonts w:cs="Calibri"/>
        </w:rPr>
        <w:fldChar w:fldCharType="end"/>
      </w:r>
      <w:r>
        <w:rPr>
          <w:rFonts w:cs="Calibri"/>
        </w:rPr>
        <w:t xml:space="preserve">. Applying this to the prevalence data, there may be approximately 13,190 men undergoing </w:t>
      </w:r>
      <w:r w:rsidR="00CE60C4">
        <w:rPr>
          <w:rFonts w:cs="Calibri"/>
        </w:rPr>
        <w:t>AS</w:t>
      </w:r>
      <w:r>
        <w:rPr>
          <w:rFonts w:cs="Calibri"/>
        </w:rPr>
        <w:t xml:space="preserve"> for </w:t>
      </w:r>
      <w:proofErr w:type="spellStart"/>
      <w:r w:rsidR="001327C8">
        <w:t>PCa</w:t>
      </w:r>
      <w:proofErr w:type="spellEnd"/>
      <w:r>
        <w:rPr>
          <w:rFonts w:cs="Calibri"/>
        </w:rPr>
        <w:t>.</w:t>
      </w:r>
      <w:r w:rsidR="00591D03">
        <w:rPr>
          <w:rFonts w:cs="Calibri"/>
        </w:rPr>
        <w:t xml:space="preserve"> It should be noted that as</w:t>
      </w:r>
      <w:r>
        <w:rPr>
          <w:rFonts w:cs="Calibri"/>
        </w:rPr>
        <w:t xml:space="preserve"> </w:t>
      </w:r>
      <w:proofErr w:type="spellStart"/>
      <w:r w:rsidR="00CE60C4">
        <w:rPr>
          <w:rFonts w:cs="Calibri"/>
        </w:rPr>
        <w:t>AS</w:t>
      </w:r>
      <w:proofErr w:type="spellEnd"/>
      <w:r w:rsidR="00591D03">
        <w:rPr>
          <w:rFonts w:cs="Calibri"/>
        </w:rPr>
        <w:t xml:space="preserve"> is an emerging strategy t</w:t>
      </w:r>
      <w:r>
        <w:rPr>
          <w:rFonts w:cs="Calibri"/>
        </w:rPr>
        <w:t xml:space="preserve">his </w:t>
      </w:r>
      <w:r w:rsidR="00591D03">
        <w:rPr>
          <w:rFonts w:cs="Calibri"/>
        </w:rPr>
        <w:t xml:space="preserve">number </w:t>
      </w:r>
      <w:r w:rsidR="00E6379F">
        <w:rPr>
          <w:rFonts w:cs="Calibri"/>
        </w:rPr>
        <w:t xml:space="preserve">may underestimate future utilisation of AS </w:t>
      </w:r>
      <w:proofErr w:type="spellStart"/>
      <w:r w:rsidR="00E6379F">
        <w:rPr>
          <w:rFonts w:cs="Calibri"/>
        </w:rPr>
        <w:t>as</w:t>
      </w:r>
      <w:proofErr w:type="spellEnd"/>
      <w:r w:rsidR="00E6379F">
        <w:rPr>
          <w:rFonts w:cs="Calibri"/>
        </w:rPr>
        <w:t xml:space="preserve"> a treatment for </w:t>
      </w:r>
      <w:proofErr w:type="spellStart"/>
      <w:r w:rsidR="00E6379F">
        <w:rPr>
          <w:rFonts w:cs="Calibri"/>
        </w:rPr>
        <w:t>PCa</w:t>
      </w:r>
      <w:proofErr w:type="spellEnd"/>
      <w:r>
        <w:rPr>
          <w:rFonts w:cs="Calibri"/>
        </w:rPr>
        <w:t>.</w:t>
      </w:r>
    </w:p>
    <w:p w14:paraId="72ABAC1C" w14:textId="3D888EE4" w:rsidR="001061AB" w:rsidRDefault="001061AB" w:rsidP="001061AB">
      <w:pPr>
        <w:rPr>
          <w:rFonts w:cs="Calibri"/>
        </w:rPr>
      </w:pPr>
      <w:r>
        <w:rPr>
          <w:rFonts w:cs="Calibri"/>
        </w:rPr>
        <w:t xml:space="preserve">Under the proposed protocol for </w:t>
      </w:r>
      <w:proofErr w:type="spellStart"/>
      <w:r>
        <w:rPr>
          <w:rFonts w:cs="Calibri"/>
        </w:rPr>
        <w:t>mpMRI</w:t>
      </w:r>
      <w:proofErr w:type="spellEnd"/>
      <w:r>
        <w:rPr>
          <w:rFonts w:cs="Calibri"/>
        </w:rPr>
        <w:t xml:space="preserve"> in </w:t>
      </w:r>
      <w:r w:rsidR="00CE60C4">
        <w:rPr>
          <w:rFonts w:cs="Calibri"/>
        </w:rPr>
        <w:t>AS</w:t>
      </w:r>
      <w:r w:rsidRPr="009C5B59">
        <w:rPr>
          <w:rFonts w:cs="Calibri"/>
        </w:rPr>
        <w:t xml:space="preserve"> (see Figure 4),</w:t>
      </w:r>
      <w:r>
        <w:rPr>
          <w:rFonts w:cs="Calibri"/>
        </w:rPr>
        <w:t xml:space="preserve"> men would have a scheduled </w:t>
      </w:r>
      <w:proofErr w:type="spellStart"/>
      <w:r>
        <w:rPr>
          <w:rFonts w:cs="Calibri"/>
        </w:rPr>
        <w:t>mpMRI</w:t>
      </w:r>
      <w:proofErr w:type="spellEnd"/>
      <w:r>
        <w:rPr>
          <w:rFonts w:cs="Calibri"/>
        </w:rPr>
        <w:t xml:space="preserve"> scan at 12 months and then every three years thereafter. Men may also have an </w:t>
      </w:r>
      <w:proofErr w:type="spellStart"/>
      <w:r>
        <w:rPr>
          <w:rFonts w:cs="Calibri"/>
        </w:rPr>
        <w:t>mpMRI</w:t>
      </w:r>
      <w:proofErr w:type="spellEnd"/>
      <w:r>
        <w:rPr>
          <w:rFonts w:cs="Calibri"/>
        </w:rPr>
        <w:t xml:space="preserve"> scan at any </w:t>
      </w:r>
      <w:r>
        <w:rPr>
          <w:rFonts w:cs="Calibri"/>
        </w:rPr>
        <w:lastRenderedPageBreak/>
        <w:t>other time due to concern</w:t>
      </w:r>
      <w:r w:rsidR="003343B8">
        <w:rPr>
          <w:rFonts w:cs="Calibri"/>
        </w:rPr>
        <w:t>s</w:t>
      </w:r>
      <w:r>
        <w:rPr>
          <w:rFonts w:cs="Calibri"/>
        </w:rPr>
        <w:t xml:space="preserve"> about clinical or PSA changes. Assuming that, on average, men on </w:t>
      </w:r>
      <w:r w:rsidR="00CE60C4">
        <w:rPr>
          <w:rFonts w:cs="Calibri"/>
        </w:rPr>
        <w:t>AS</w:t>
      </w:r>
      <w:r>
        <w:rPr>
          <w:rFonts w:cs="Calibri"/>
        </w:rPr>
        <w:t xml:space="preserve"> will have an </w:t>
      </w:r>
      <w:proofErr w:type="spellStart"/>
      <w:r>
        <w:rPr>
          <w:rFonts w:cs="Calibri"/>
        </w:rPr>
        <w:t>mpMRI</w:t>
      </w:r>
      <w:proofErr w:type="spellEnd"/>
      <w:r>
        <w:rPr>
          <w:rFonts w:cs="Calibri"/>
        </w:rPr>
        <w:t xml:space="preserve"> scan once every two years, this would equate to 6,595 </w:t>
      </w:r>
      <w:proofErr w:type="spellStart"/>
      <w:r w:rsidR="006D7FDC">
        <w:rPr>
          <w:rFonts w:cs="Calibri"/>
        </w:rPr>
        <w:t>mpMRI</w:t>
      </w:r>
      <w:proofErr w:type="spellEnd"/>
      <w:r w:rsidR="006D7FDC">
        <w:rPr>
          <w:rFonts w:cs="Calibri"/>
        </w:rPr>
        <w:t xml:space="preserve"> </w:t>
      </w:r>
      <w:r>
        <w:rPr>
          <w:rFonts w:cs="Calibri"/>
        </w:rPr>
        <w:t xml:space="preserve">services </w:t>
      </w:r>
      <w:r w:rsidR="00023843">
        <w:rPr>
          <w:rFonts w:cs="Calibri"/>
        </w:rPr>
        <w:t xml:space="preserve">per </w:t>
      </w:r>
      <w:r w:rsidR="00876784">
        <w:rPr>
          <w:rFonts w:cs="Calibri"/>
        </w:rPr>
        <w:t>year.</w:t>
      </w:r>
    </w:p>
    <w:p w14:paraId="0771B354" w14:textId="1774099E" w:rsidR="00424955" w:rsidRDefault="00956C9B" w:rsidP="00876784">
      <w:pPr>
        <w:rPr>
          <w:rFonts w:cs="Calibri"/>
        </w:rPr>
      </w:pPr>
      <w:r>
        <w:rPr>
          <w:rFonts w:cs="Calibri"/>
        </w:rPr>
        <w:t xml:space="preserve">Applicant advice informs that </w:t>
      </w:r>
      <w:r w:rsidR="00424955">
        <w:rPr>
          <w:rFonts w:cs="Calibri"/>
        </w:rPr>
        <w:t>14 per cent</w:t>
      </w:r>
      <w:r>
        <w:rPr>
          <w:rFonts w:cs="Calibri"/>
        </w:rPr>
        <w:t xml:space="preserve"> of men on </w:t>
      </w:r>
      <w:r w:rsidR="00CE60C4">
        <w:rPr>
          <w:rFonts w:cs="Calibri"/>
        </w:rPr>
        <w:t>AS</w:t>
      </w:r>
      <w:r>
        <w:rPr>
          <w:rFonts w:cs="Calibri"/>
        </w:rPr>
        <w:t xml:space="preserve"> are high</w:t>
      </w:r>
      <w:r w:rsidR="00591D03">
        <w:rPr>
          <w:rFonts w:cs="Calibri"/>
        </w:rPr>
        <w:t>-</w:t>
      </w:r>
      <w:r>
        <w:rPr>
          <w:rFonts w:cs="Calibri"/>
        </w:rPr>
        <w:t xml:space="preserve">concern and </w:t>
      </w:r>
      <w:r w:rsidR="00424955">
        <w:rPr>
          <w:rFonts w:cs="Calibri"/>
        </w:rPr>
        <w:t>86 per cent</w:t>
      </w:r>
      <w:r>
        <w:rPr>
          <w:rFonts w:cs="Calibri"/>
        </w:rPr>
        <w:t xml:space="preserve"> are low</w:t>
      </w:r>
      <w:r w:rsidR="00591D03">
        <w:rPr>
          <w:rFonts w:cs="Calibri"/>
        </w:rPr>
        <w:t>-</w:t>
      </w:r>
      <w:r>
        <w:rPr>
          <w:rFonts w:cs="Calibri"/>
        </w:rPr>
        <w:t xml:space="preserve">concern. </w:t>
      </w:r>
      <w:r w:rsidR="00A551F8">
        <w:t>A</w:t>
      </w:r>
      <w:r w:rsidR="00424955">
        <w:t>pproximately 30-35</w:t>
      </w:r>
      <w:r w:rsidR="00876784">
        <w:rPr>
          <w:rFonts w:cs="Calibri"/>
        </w:rPr>
        <w:t xml:space="preserve"> per cent</w:t>
      </w:r>
      <w:r w:rsidR="00424955">
        <w:t xml:space="preserve"> will experience an upgrade to their disease status</w:t>
      </w:r>
      <w:r w:rsidR="005F5D13">
        <w:t xml:space="preserve"> </w:t>
      </w:r>
      <w:r w:rsidR="008E0B00">
        <w:fldChar w:fldCharType="begin"/>
      </w:r>
      <w:r w:rsidR="008E0B00">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fldChar w:fldCharType="separate"/>
      </w:r>
      <w:r w:rsidR="008E0B00">
        <w:rPr>
          <w:noProof/>
        </w:rPr>
        <w:t>(</w:t>
      </w:r>
      <w:hyperlink w:anchor="_ENREF_9" w:tooltip="Applicant, 2016 #9" w:history="1">
        <w:r w:rsidR="008E0B00">
          <w:rPr>
            <w:noProof/>
          </w:rPr>
          <w:t>Applicant 2016</w:t>
        </w:r>
      </w:hyperlink>
      <w:r w:rsidR="008E0B00">
        <w:rPr>
          <w:noProof/>
        </w:rPr>
        <w:t>)</w:t>
      </w:r>
      <w:r w:rsidR="008E0B00">
        <w:fldChar w:fldCharType="end"/>
      </w:r>
      <w:r w:rsidR="00424955">
        <w:t xml:space="preserve">. </w:t>
      </w:r>
    </w:p>
    <w:p w14:paraId="3EF6B412" w14:textId="6A04E272" w:rsidR="001061AB" w:rsidRPr="00F175A8" w:rsidRDefault="001061AB" w:rsidP="00F175A8">
      <w:pPr>
        <w:pStyle w:val="Heading3"/>
      </w:pPr>
      <w:bookmarkStart w:id="180" w:name="_Toc444781437"/>
      <w:bookmarkStart w:id="181" w:name="_Toc460513894"/>
      <w:r w:rsidRPr="00F175A8">
        <w:t>A4.2</w:t>
      </w:r>
      <w:r w:rsidRPr="00F175A8">
        <w:tab/>
      </w:r>
      <w:r w:rsidR="00591D03" w:rsidRPr="00F175A8">
        <w:tab/>
      </w:r>
      <w:r w:rsidRPr="00F175A8">
        <w:t>Administration, dose, frequency of administration, duration of treatment</w:t>
      </w:r>
      <w:bookmarkEnd w:id="180"/>
      <w:bookmarkEnd w:id="181"/>
    </w:p>
    <w:p w14:paraId="1966E0CC" w14:textId="4C519587" w:rsidR="001061AB" w:rsidRDefault="001061AB" w:rsidP="001061AB">
      <w:r>
        <w:t xml:space="preserve">An </w:t>
      </w:r>
      <w:proofErr w:type="spellStart"/>
      <w:r>
        <w:t>mpMRI</w:t>
      </w:r>
      <w:proofErr w:type="spellEnd"/>
      <w:r>
        <w:t xml:space="preserve"> scan of the prostate is an image acquisition protocol using T2W, DWI and DCE, as outlined above</w:t>
      </w:r>
      <w:r w:rsidR="0077335D">
        <w:t xml:space="preserve"> in A2.1</w:t>
      </w:r>
      <w:r>
        <w:t xml:space="preserve">. </w:t>
      </w:r>
      <w:r w:rsidR="00F079C1">
        <w:t xml:space="preserve">The Applicant </w:t>
      </w:r>
      <w:r w:rsidR="005F5D13">
        <w:t>has advised</w:t>
      </w:r>
      <w:r w:rsidR="00F079C1">
        <w:t xml:space="preserve"> that the approximate duration of a 3T </w:t>
      </w:r>
      <w:proofErr w:type="spellStart"/>
      <w:r w:rsidR="00F079C1">
        <w:t>mpMRI</w:t>
      </w:r>
      <w:proofErr w:type="spellEnd"/>
      <w:r w:rsidR="00F079C1">
        <w:t xml:space="preserve"> scan of the prostate is 35 minutes, and the duration of a 1.5T scan is approximately 45 minutes.</w:t>
      </w:r>
    </w:p>
    <w:p w14:paraId="1ACAA5D0" w14:textId="632D5197" w:rsidR="001061AB" w:rsidRDefault="001061AB" w:rsidP="001061AB">
      <w:r w:rsidRPr="005442C1">
        <w:t xml:space="preserve">Following negative </w:t>
      </w:r>
      <w:proofErr w:type="spellStart"/>
      <w:r w:rsidRPr="005442C1">
        <w:t>mpMRI</w:t>
      </w:r>
      <w:proofErr w:type="spellEnd"/>
      <w:r w:rsidRPr="005442C1">
        <w:t xml:space="preserve">, </w:t>
      </w:r>
      <w:r w:rsidR="00A551F8">
        <w:t>Population 1</w:t>
      </w:r>
      <w:r w:rsidR="00A551F8" w:rsidRPr="005442C1">
        <w:t xml:space="preserve"> </w:t>
      </w:r>
      <w:r w:rsidRPr="005442C1">
        <w:t>patient</w:t>
      </w:r>
      <w:r w:rsidR="00A551F8">
        <w:t>s</w:t>
      </w:r>
      <w:r w:rsidRPr="005442C1">
        <w:t xml:space="preserve"> would remain under observation with PSA repeated at six month periods.</w:t>
      </w:r>
      <w:r>
        <w:t xml:space="preserve"> Active surveillance patients </w:t>
      </w:r>
      <w:r w:rsidR="00C34F24">
        <w:t xml:space="preserve">would </w:t>
      </w:r>
      <w:r>
        <w:t xml:space="preserve">be scanned at 12 months, and then every three years. </w:t>
      </w:r>
    </w:p>
    <w:p w14:paraId="6B47DCC6" w14:textId="3FC86AF6" w:rsidR="001061AB" w:rsidRPr="00763378" w:rsidRDefault="001061AB" w:rsidP="001061AB">
      <w:r>
        <w:t>All</w:t>
      </w:r>
      <w:r>
        <w:rPr>
          <w:rFonts w:cs="Calibri"/>
        </w:rPr>
        <w:t xml:space="preserve"> </w:t>
      </w:r>
      <w:proofErr w:type="spellStart"/>
      <w:r>
        <w:rPr>
          <w:rFonts w:cs="Calibri"/>
        </w:rPr>
        <w:t>mpMRI</w:t>
      </w:r>
      <w:proofErr w:type="spellEnd"/>
      <w:r>
        <w:rPr>
          <w:rFonts w:cs="Calibri"/>
        </w:rPr>
        <w:t xml:space="preserve"> scans of the prostate are performed in a radiology department. The proposed service </w:t>
      </w:r>
      <w:r w:rsidR="0061071D">
        <w:rPr>
          <w:rFonts w:cs="Calibri"/>
        </w:rPr>
        <w:t xml:space="preserve">would </w:t>
      </w:r>
      <w:r>
        <w:rPr>
          <w:rFonts w:cs="Calibri"/>
        </w:rPr>
        <w:t xml:space="preserve">require </w:t>
      </w:r>
      <w:r w:rsidRPr="00FA5895">
        <w:rPr>
          <w:rFonts w:cs="Calibri"/>
        </w:rPr>
        <w:t>spec</w:t>
      </w:r>
      <w:r>
        <w:rPr>
          <w:rFonts w:cs="Calibri"/>
        </w:rPr>
        <w:t xml:space="preserve">ialist referral </w:t>
      </w:r>
      <w:r w:rsidRPr="00FA5895">
        <w:rPr>
          <w:rFonts w:cs="Calibri"/>
        </w:rPr>
        <w:t xml:space="preserve">from </w:t>
      </w:r>
      <w:r>
        <w:rPr>
          <w:rFonts w:cs="Calibri"/>
        </w:rPr>
        <w:t xml:space="preserve">an </w:t>
      </w:r>
      <w:r w:rsidRPr="00FA5895">
        <w:rPr>
          <w:rFonts w:cs="Calibri"/>
        </w:rPr>
        <w:t>urologist, radiation on</w:t>
      </w:r>
      <w:r>
        <w:rPr>
          <w:rFonts w:cs="Calibri"/>
        </w:rPr>
        <w:t>cologist, or medical oncologist</w:t>
      </w:r>
      <w:r w:rsidRPr="00FA5895">
        <w:rPr>
          <w:rFonts w:cs="Calibri"/>
        </w:rPr>
        <w:t>.</w:t>
      </w:r>
      <w:r>
        <w:rPr>
          <w:rFonts w:cs="Calibri"/>
        </w:rPr>
        <w:t xml:space="preserve"> </w:t>
      </w:r>
    </w:p>
    <w:p w14:paraId="3EED8B52" w14:textId="185A7B38" w:rsidR="001061AB" w:rsidRPr="00D926AA" w:rsidRDefault="001061AB" w:rsidP="001061AB">
      <w:r w:rsidRPr="00763378">
        <w:t>Current legislative requirements stipulate that Medicare eligible MRI items must be reported on by a trained and credentialed specialist in diagnostic radiology who satisfies the Chief Executive Medicare that the specialist radiologist is a participant in the Royal Australian and New Zealand College of Radiologist's (RANZCR) Qu</w:t>
      </w:r>
      <w:r w:rsidR="00D54FE7">
        <w:t>ality and Accreditation Program</w:t>
      </w:r>
      <w:r w:rsidR="00CA2D63">
        <w:t xml:space="preserve"> </w:t>
      </w:r>
      <w:r w:rsidR="008E0B00">
        <w:fldChar w:fldCharType="begin"/>
      </w:r>
      <w:r w:rsidR="008E0B00">
        <w:instrText xml:space="preserve"> ADDIN EN.CITE &lt;EndNote&gt;&lt;Cite&gt;&lt;Author&gt;Australian Government&lt;/Author&gt;&lt;Year&gt;2013&lt;/Year&gt;&lt;RecNum&gt;16&lt;/RecNum&gt;&lt;DisplayText&gt;(Australian Government 2013)&lt;/DisplayText&gt;&lt;record&gt;&lt;rec-number&gt;16&lt;/rec-number&gt;&lt;foreign-keys&gt;&lt;key app="EN" db-id="2p9terxr22fx91epzebpfdwuzrwtw2a2ep2t" timestamp="1472684601"&gt;16&lt;/key&gt;&lt;/foreign-keys&gt;&lt;ref-type name="Web Page"&gt;12&lt;/ref-type&gt;&lt;contributors&gt;&lt;authors&gt;&lt;author&gt;Australian Government,&lt;/author&gt;&lt;/authors&gt;&lt;/contributors&gt;&lt;titles&gt;&lt;title&gt;Health Insurance (Diagnostic Imaging Services Table) Regulation 2013,  Division 2.5-Group I5: magnetic resonance imaging: 2.5.4  MRI and MRA services-eligible provider&lt;/title&gt;&lt;/titles&gt;&lt;volume&gt;2016&lt;/volume&gt;&lt;number&gt;1 September&lt;/number&gt;&lt;dates&gt;&lt;year&gt;2013&lt;/year&gt;&lt;/dates&gt;&lt;publisher&gt;Australian Government&lt;/publisher&gt;&lt;urls&gt;&lt;related-urls&gt;&lt;url&gt;https://www.legislation.gov.au/Details/F2013L01979&lt;/url&gt;&lt;/related-urls&gt;&lt;/urls&gt;&lt;/record&gt;&lt;/Cite&gt;&lt;/EndNote&gt;</w:instrText>
      </w:r>
      <w:r w:rsidR="008E0B00">
        <w:fldChar w:fldCharType="separate"/>
      </w:r>
      <w:r w:rsidR="008E0B00">
        <w:rPr>
          <w:noProof/>
        </w:rPr>
        <w:t>(</w:t>
      </w:r>
      <w:hyperlink w:anchor="_ENREF_10" w:tooltip="Australian Government, 2013 #16" w:history="1">
        <w:r w:rsidR="008E0B00">
          <w:rPr>
            <w:noProof/>
          </w:rPr>
          <w:t>Australian Government 2013</w:t>
        </w:r>
      </w:hyperlink>
      <w:r w:rsidR="008E0B00">
        <w:rPr>
          <w:noProof/>
        </w:rPr>
        <w:t>)</w:t>
      </w:r>
      <w:r w:rsidR="008E0B00">
        <w:fldChar w:fldCharType="end"/>
      </w:r>
      <w:r w:rsidRPr="00763378">
        <w:t>.</w:t>
      </w:r>
    </w:p>
    <w:p w14:paraId="3A069824" w14:textId="77777777" w:rsidR="001061AB" w:rsidRPr="00D926AA" w:rsidRDefault="001061AB" w:rsidP="008813E6">
      <w:pPr>
        <w:pStyle w:val="Heading2"/>
        <w:numPr>
          <w:ilvl w:val="0"/>
          <w:numId w:val="7"/>
        </w:numPr>
      </w:pPr>
      <w:bookmarkStart w:id="182" w:name="_Toc445463432"/>
      <w:bookmarkStart w:id="183" w:name="_Toc460513895"/>
      <w:r w:rsidRPr="00D926AA">
        <w:t>Comparator</w:t>
      </w:r>
      <w:bookmarkEnd w:id="171"/>
      <w:bookmarkEnd w:id="172"/>
      <w:r w:rsidRPr="00D926AA">
        <w:t xml:space="preserve"> Details</w:t>
      </w:r>
      <w:bookmarkEnd w:id="182"/>
      <w:bookmarkEnd w:id="183"/>
    </w:p>
    <w:p w14:paraId="2A075E44" w14:textId="4BEBCF02" w:rsidR="001061AB" w:rsidRPr="00ED3ADF" w:rsidRDefault="001061AB" w:rsidP="001061AB">
      <w:r w:rsidRPr="00ED3ADF">
        <w:t xml:space="preserve">Currently in Australia, the signs of </w:t>
      </w:r>
      <w:proofErr w:type="spellStart"/>
      <w:r w:rsidR="006818E1">
        <w:t>PCa</w:t>
      </w:r>
      <w:proofErr w:type="spellEnd"/>
      <w:r w:rsidRPr="00ED3ADF">
        <w:t xml:space="preserve"> are detected with a prostate-s</w:t>
      </w:r>
      <w:r>
        <w:t>pecific antigen test (PSA test)</w:t>
      </w:r>
      <w:r w:rsidRPr="00ED3ADF">
        <w:t xml:space="preserve"> and/or a digital rectal examination (DRE). </w:t>
      </w:r>
    </w:p>
    <w:p w14:paraId="77B83197" w14:textId="2D2AFAF7" w:rsidR="001061AB" w:rsidRPr="00ED3ADF" w:rsidRDefault="0061071D" w:rsidP="001061AB">
      <w:r>
        <w:t xml:space="preserve">The PSA </w:t>
      </w:r>
      <w:r w:rsidR="001061AB" w:rsidRPr="00ED3ADF">
        <w:t xml:space="preserve">test quantifies the amount of PSA in the blood stream. The PSA may be present in the blood stream for many reasons – including infection or trauma to the prostate, benign prostatic enlargement (BPE), and </w:t>
      </w:r>
      <w:proofErr w:type="spellStart"/>
      <w:r w:rsidR="006818E1">
        <w:t>PCa</w:t>
      </w:r>
      <w:proofErr w:type="spellEnd"/>
      <w:r w:rsidR="001061AB" w:rsidRPr="00ED3ADF">
        <w:t>. Consequently, the PSA test has a low specificity</w:t>
      </w:r>
      <w:r w:rsidR="00CE74B7">
        <w:t xml:space="preserve"> of</w:t>
      </w:r>
      <w:r w:rsidR="001061AB" w:rsidRPr="00ED3ADF">
        <w:t xml:space="preserve"> approximately 25</w:t>
      </w:r>
      <w:r w:rsidR="00FB18F0">
        <w:t xml:space="preserve"> to </w:t>
      </w:r>
      <w:r w:rsidR="001061AB" w:rsidRPr="00ED3ADF">
        <w:t>30</w:t>
      </w:r>
      <w:r w:rsidR="00FB18F0">
        <w:t xml:space="preserve"> per cent</w:t>
      </w:r>
      <w:r w:rsidR="005F5D13">
        <w:t xml:space="preserve"> </w:t>
      </w:r>
      <w:r w:rsidR="008E0B00">
        <w:fldChar w:fldCharType="begin"/>
      </w:r>
      <w:r w:rsidR="008E0B00">
        <w:instrText xml:space="preserve"> ADDIN EN.CITE &lt;EndNote&gt;&lt;Cite&gt;&lt;Author&gt;DoH&lt;/Author&gt;&lt;Year&gt;2016&lt;/Year&gt;&lt;RecNum&gt;212&lt;/RecNum&gt;&lt;DisplayText&gt;(DoH 2016a)&lt;/DisplayText&gt;&lt;record&gt;&lt;rec-number&gt;212&lt;/rec-number&gt;&lt;foreign-keys&gt;&lt;key app="EN" db-id="xzzrstesqpaavfe0te5p2zssvee5ervas2vt" timestamp="1469588963"&gt;212&lt;/key&gt;&lt;/foreign-keys&gt;&lt;ref-type name="Journal Article"&gt;17&lt;/ref-type&gt;&lt;contributors&gt;&lt;authors&gt;&lt;author&gt;DoH&lt;/author&gt;&lt;/authors&gt;&lt;/contributors&gt;&lt;titles&gt;&lt;title&gt;Protocol to guide the assessment of mpMRI prostate diagnostic scans for diagnosis of prostate cancer&lt;/title&gt;&lt;/titles&gt;&lt;dates&gt;&lt;year&gt;2016&lt;/year&gt;&lt;/dates&gt;&lt;urls&gt;&lt;/urls&gt;&lt;/record&gt;&lt;/Cite&gt;&lt;/EndNote&gt;</w:instrText>
      </w:r>
      <w:r w:rsidR="008E0B00">
        <w:fldChar w:fldCharType="separate"/>
      </w:r>
      <w:r w:rsidR="008E0B00">
        <w:rPr>
          <w:noProof/>
        </w:rPr>
        <w:t>(</w:t>
      </w:r>
      <w:hyperlink w:anchor="_ENREF_39" w:tooltip="DoH, 2016 #212" w:history="1">
        <w:r w:rsidR="008E0B00">
          <w:rPr>
            <w:noProof/>
          </w:rPr>
          <w:t>DoH 2016a</w:t>
        </w:r>
      </w:hyperlink>
      <w:r w:rsidR="008E0B00">
        <w:rPr>
          <w:noProof/>
        </w:rPr>
        <w:t>)</w:t>
      </w:r>
      <w:r w:rsidR="008E0B00">
        <w:fldChar w:fldCharType="end"/>
      </w:r>
      <w:r w:rsidR="00CE74B7">
        <w:t xml:space="preserve">. </w:t>
      </w:r>
      <w:r w:rsidR="001061AB" w:rsidRPr="00ED3ADF">
        <w:t xml:space="preserve">Overall, an elevated level of PSA may be indicative of an elevated risk of </w:t>
      </w:r>
      <w:proofErr w:type="spellStart"/>
      <w:r w:rsidR="006818E1">
        <w:t>PCa</w:t>
      </w:r>
      <w:proofErr w:type="spellEnd"/>
      <w:r w:rsidR="001061AB" w:rsidRPr="00ED3ADF">
        <w:t xml:space="preserve">, but this </w:t>
      </w:r>
      <w:r w:rsidR="001061AB">
        <w:t>ha</w:t>
      </w:r>
      <w:r w:rsidR="001061AB" w:rsidRPr="00ED3ADF">
        <w:t>s n</w:t>
      </w:r>
      <w:r w:rsidR="001061AB">
        <w:t>ot been confirmed</w:t>
      </w:r>
      <w:r w:rsidR="001061AB" w:rsidRPr="00ED3ADF">
        <w:t xml:space="preserve"> </w:t>
      </w:r>
      <w:r w:rsidR="008E0B00">
        <w:fldChar w:fldCharType="begin">
          <w:fldData xml:space="preserve">PEVuZE5vdGU+PENpdGU+PEF1dGhvcj5CYXJlbnRzejwvQXV0aG9yPjxZZWFyPjIwMTI8L1llYXI+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</w:fldData>
        </w:fldChar>
      </w:r>
      <w:r w:rsidR="008E0B00">
        <w:instrText xml:space="preserve"> ADDIN EN.CITE </w:instrText>
      </w:r>
      <w:r w:rsidR="008E0B00">
        <w:fldChar w:fldCharType="begin">
          <w:fldData xml:space="preserve">PEVuZE5vdGU+PENpdGU+PEF1dGhvcj5CYXJlbnRzejwvQXV0aG9yPjxZZWFyPjIwMTI8L1llYXI+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13" w:tooltip="Barentsz, 2012 #17" w:history="1">
        <w:r w:rsidR="008E0B00">
          <w:rPr>
            <w:noProof/>
          </w:rPr>
          <w:t>Barentsz et al. 2012</w:t>
        </w:r>
      </w:hyperlink>
      <w:r w:rsidR="008E0B00">
        <w:rPr>
          <w:noProof/>
        </w:rPr>
        <w:t xml:space="preserve">; </w:t>
      </w:r>
      <w:hyperlink w:anchor="_ENREF_61" w:tooltip="HealthPACT, 2015 #11" w:history="1">
        <w:r w:rsidR="008E0B00">
          <w:rPr>
            <w:noProof/>
          </w:rPr>
          <w:t>HealthPACT 2015</w:t>
        </w:r>
      </w:hyperlink>
      <w:r w:rsidR="008E0B00">
        <w:rPr>
          <w:noProof/>
        </w:rPr>
        <w:t>)</w:t>
      </w:r>
      <w:r w:rsidR="008E0B00">
        <w:fldChar w:fldCharType="end"/>
      </w:r>
      <w:r w:rsidR="001061AB" w:rsidRPr="00ED3ADF">
        <w:t>.</w:t>
      </w:r>
    </w:p>
    <w:p w14:paraId="7053545B" w14:textId="0BAAF9CE" w:rsidR="001061AB" w:rsidRPr="00ED3ADF" w:rsidRDefault="0061071D" w:rsidP="001061AB">
      <w:r>
        <w:t xml:space="preserve">The </w:t>
      </w:r>
      <w:r w:rsidR="001061AB" w:rsidRPr="00ED3ADF">
        <w:t>DRE</w:t>
      </w:r>
      <w:r>
        <w:t xml:space="preserve"> test</w:t>
      </w:r>
      <w:r w:rsidR="001061AB" w:rsidRPr="00ED3ADF">
        <w:t xml:space="preserve"> involves inserting a finger into the rectum to palpate the prostate; swellings, hardenings or lumps may be signs of </w:t>
      </w:r>
      <w:proofErr w:type="spellStart"/>
      <w:r w:rsidR="001327C8">
        <w:t>PCa</w:t>
      </w:r>
      <w:proofErr w:type="spellEnd"/>
      <w:r w:rsidR="001061AB" w:rsidRPr="00ED3ADF">
        <w:t xml:space="preserve">. </w:t>
      </w:r>
      <w:r w:rsidR="00CE74B7">
        <w:t>W</w:t>
      </w:r>
      <w:r w:rsidR="002D3ADB">
        <w:t>hile</w:t>
      </w:r>
      <w:r w:rsidR="001061AB" w:rsidRPr="00ED3ADF">
        <w:t xml:space="preserve"> DRE has a low sensitivity, its positive predictive value is high – hard lumps detected by DRE are likely to be </w:t>
      </w:r>
      <w:proofErr w:type="spellStart"/>
      <w:r w:rsidR="002D3ADB">
        <w:t>PCa</w:t>
      </w:r>
      <w:proofErr w:type="spellEnd"/>
      <w:r w:rsidR="00CE74B7">
        <w:t xml:space="preserve"> </w:t>
      </w:r>
      <w:r w:rsidR="008E0B00">
        <w:fldChar w:fldCharType="begin"/>
      </w:r>
      <w:r w:rsidR="008E0B00">
        <w:instrText xml:space="preserve"> ADDIN EN.CITE &lt;EndNote&gt;&lt;Cite&gt;&lt;Author&gt;DoH&lt;/Author&gt;&lt;Year&gt;2016&lt;/Year&gt;&lt;RecNum&gt;212&lt;/RecNum&gt;&lt;DisplayText&gt;(DoH 2016a)&lt;/DisplayText&gt;&lt;record&gt;&lt;rec-number&gt;212&lt;/rec-number&gt;&lt;foreign-keys&gt;&lt;key app="EN" db-id="xzzrstesqpaavfe0te5p2zssvee5ervas2vt" timestamp="1469588963"&gt;212&lt;/key&gt;&lt;/foreign-keys&gt;&lt;ref-type name="Journal Article"&gt;17&lt;/ref-type&gt;&lt;contributors&gt;&lt;authors&gt;&lt;author&gt;DoH&lt;/author&gt;&lt;/authors&gt;&lt;/contributors&gt;&lt;titles&gt;&lt;title&gt;Protocol to guide the assessment of mpMRI prostate diagnostic scans for diagnosis of prostate cancer&lt;/title&gt;&lt;/titles&gt;&lt;dates&gt;&lt;year&gt;2016&lt;/year&gt;&lt;/dates&gt;&lt;urls&gt;&lt;/urls&gt;&lt;/record&gt;&lt;/Cite&gt;&lt;/EndNote&gt;</w:instrText>
      </w:r>
      <w:r w:rsidR="008E0B00">
        <w:fldChar w:fldCharType="separate"/>
      </w:r>
      <w:r w:rsidR="008E0B00">
        <w:rPr>
          <w:noProof/>
        </w:rPr>
        <w:t>(</w:t>
      </w:r>
      <w:hyperlink w:anchor="_ENREF_39" w:tooltip="DoH, 2016 #212" w:history="1">
        <w:r w:rsidR="008E0B00">
          <w:rPr>
            <w:noProof/>
          </w:rPr>
          <w:t>DoH 2016a</w:t>
        </w:r>
      </w:hyperlink>
      <w:r w:rsidR="008E0B00">
        <w:rPr>
          <w:noProof/>
        </w:rPr>
        <w:t>)</w:t>
      </w:r>
      <w:r w:rsidR="008E0B00">
        <w:fldChar w:fldCharType="end"/>
      </w:r>
      <w:r w:rsidR="002D3ADB">
        <w:t>.</w:t>
      </w:r>
    </w:p>
    <w:p w14:paraId="47D8137B" w14:textId="290033E4" w:rsidR="001061AB" w:rsidRDefault="0061071D" w:rsidP="001061AB">
      <w:r>
        <w:t>As reported above</w:t>
      </w:r>
      <w:r w:rsidR="001061AB" w:rsidRPr="00ED3ADF">
        <w:t xml:space="preserve">, PSA and DRE tests are not diagnostic; a diagnosis of </w:t>
      </w:r>
      <w:proofErr w:type="spellStart"/>
      <w:r w:rsidR="001327C8">
        <w:t>PCa</w:t>
      </w:r>
      <w:proofErr w:type="spellEnd"/>
      <w:r w:rsidR="001061AB" w:rsidRPr="00ED3ADF">
        <w:t xml:space="preserve"> is made on the basis of biopsy results. </w:t>
      </w:r>
      <w:r w:rsidR="001061AB" w:rsidRPr="00370B76">
        <w:t>Biopsy</w:t>
      </w:r>
      <w:r w:rsidR="001061AB">
        <w:t xml:space="preserve">, while not the direct comparator, is the current clinical practice for this patient </w:t>
      </w:r>
      <w:r w:rsidR="001061AB">
        <w:lastRenderedPageBreak/>
        <w:t>group with concerning PSA/DRE. Biopsy has therefore been addressed in this assessment</w:t>
      </w:r>
      <w:r w:rsidR="004F0F4D">
        <w:t xml:space="preserve"> in the comparator and reference test sections</w:t>
      </w:r>
      <w:r w:rsidR="001061AB">
        <w:t>.</w:t>
      </w:r>
    </w:p>
    <w:p w14:paraId="4770293A" w14:textId="0CE522D4" w:rsidR="001061AB" w:rsidRPr="00370B76" w:rsidRDefault="001061AB" w:rsidP="001061AB">
      <w:r w:rsidRPr="00ED3ADF">
        <w:t xml:space="preserve">During a biopsy, a needle is </w:t>
      </w:r>
      <w:r w:rsidR="004F0F4D">
        <w:t>inserted trans</w:t>
      </w:r>
      <w:r w:rsidR="0061071D">
        <w:t>-</w:t>
      </w:r>
      <w:r w:rsidR="004F0F4D">
        <w:t>rectally or trans</w:t>
      </w:r>
      <w:r w:rsidR="0061071D">
        <w:t>-</w:t>
      </w:r>
      <w:proofErr w:type="spellStart"/>
      <w:r w:rsidR="004F0F4D">
        <w:t>perineally</w:t>
      </w:r>
      <w:proofErr w:type="spellEnd"/>
      <w:r w:rsidRPr="00ED3ADF">
        <w:t xml:space="preserve"> in</w:t>
      </w:r>
      <w:r w:rsidR="00726BA2">
        <w:t xml:space="preserve">to the prostate </w:t>
      </w:r>
      <w:r w:rsidRPr="00ED3ADF">
        <w:t>and a set of random samples of tissue (using between 12-36 needles) are taken from the prostate</w:t>
      </w:r>
      <w:r w:rsidR="007052C4">
        <w:t xml:space="preserve"> </w:t>
      </w:r>
      <w:r w:rsidR="008E0B00">
        <w:fldChar w:fldCharType="begin"/>
      </w:r>
      <w:r w:rsidR="008E0B00">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fldChar w:fldCharType="separate"/>
      </w:r>
      <w:r w:rsidR="008E0B00">
        <w:rPr>
          <w:noProof/>
        </w:rPr>
        <w:t>(</w:t>
      </w:r>
      <w:hyperlink w:anchor="_ENREF_9" w:tooltip="Applicant, 2016 #9" w:history="1">
        <w:r w:rsidR="008E0B00">
          <w:rPr>
            <w:noProof/>
          </w:rPr>
          <w:t>Applicant 2016</w:t>
        </w:r>
      </w:hyperlink>
      <w:r w:rsidR="008E0B00">
        <w:rPr>
          <w:noProof/>
        </w:rPr>
        <w:t>)</w:t>
      </w:r>
      <w:r w:rsidR="008E0B00">
        <w:fldChar w:fldCharType="end"/>
      </w:r>
      <w:r w:rsidRPr="00ED3ADF">
        <w:t>.</w:t>
      </w:r>
      <w:r>
        <w:t xml:space="preserve"> </w:t>
      </w:r>
      <w:r w:rsidRPr="00ED3ADF">
        <w:t xml:space="preserve">The samples are then analysed under a microscope, to see if cancer cells are present </w:t>
      </w:r>
      <w:r w:rsidR="008E0B00">
        <w:fldChar w:fldCharType="begin">
          <w:fldData xml:space="preserve">PEVuZE5vdGU+PENpdGU+PEF1dGhvcj5BSUhXPC9BdXRob3I+PFllYXI+MjAxMzwvWWVhcj48UmVj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</w:fldData>
        </w:fldChar>
      </w:r>
      <w:r w:rsidR="008E0B00">
        <w:instrText xml:space="preserve"> ADDIN EN.CITE </w:instrText>
      </w:r>
      <w:r w:rsidR="008E0B00">
        <w:fldChar w:fldCharType="begin">
          <w:fldData xml:space="preserve">PEVuZE5vdGU+PENpdGU+PEF1dGhvcj5BSUhXPC9BdXRob3I+PFllYXI+MjAxMzwvWWVhcj48UmVj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</w:fldData>
        </w:fldChar>
      </w:r>
      <w:r w:rsidR="008E0B00">
        <w:instrText xml:space="preserve"> ADDIN EN.CITE.DATA </w:instrText>
      </w:r>
      <w:r w:rsidR="008E0B00">
        <w:fldChar w:fldCharType="end"/>
      </w:r>
      <w:r w:rsidR="008E0B00">
        <w:fldChar w:fldCharType="separate"/>
      </w:r>
      <w:r w:rsidR="008E0B00">
        <w:rPr>
          <w:noProof/>
        </w:rPr>
        <w:t>(</w:t>
      </w:r>
      <w:hyperlink w:anchor="_ENREF_4" w:tooltip="AIHW, 2013 #173" w:history="1">
        <w:r w:rsidR="008E0B00">
          <w:rPr>
            <w:noProof/>
          </w:rPr>
          <w:t>AIHW 2013</w:t>
        </w:r>
      </w:hyperlink>
      <w:r w:rsidR="008E0B00">
        <w:rPr>
          <w:noProof/>
        </w:rPr>
        <w:t xml:space="preserve">; </w:t>
      </w:r>
      <w:hyperlink w:anchor="_ENREF_148" w:tooltip="Siddiqui, 2015 #94" w:history="1">
        <w:r w:rsidR="008E0B00">
          <w:rPr>
            <w:noProof/>
          </w:rPr>
          <w:t>Siddiqui et al. 2015</w:t>
        </w:r>
      </w:hyperlink>
      <w:r w:rsidR="008E0B00">
        <w:rPr>
          <w:noProof/>
        </w:rPr>
        <w:t>)</w:t>
      </w:r>
      <w:r w:rsidR="008E0B00">
        <w:fldChar w:fldCharType="end"/>
      </w:r>
      <w:r w:rsidRPr="00ED3ADF">
        <w:t xml:space="preserve">. </w:t>
      </w:r>
      <w:r w:rsidR="006818E1">
        <w:t>C</w:t>
      </w:r>
      <w:r w:rsidRPr="00ED3ADF">
        <w:t>ancers</w:t>
      </w:r>
      <w:r w:rsidR="006818E1">
        <w:t xml:space="preserve"> of the prostate</w:t>
      </w:r>
      <w:r w:rsidRPr="00ED3ADF">
        <w:t xml:space="preserve"> are graded using the Gleason system: Gleason score of 6 or less is considered low risk, a Gleason score of 7 is considered intermediate risk, and a score of 8 or above is considered to be high risk </w:t>
      </w:r>
      <w:r w:rsidR="008E0B00">
        <w:fldChar w:fldCharType="begin"/>
      </w:r>
      <w:r w:rsidR="008E0B00">
        <w:instrText xml:space="preserve"> ADDIN EN.CITE &lt;EndNote&gt;&lt;Cite&gt;&lt;Author&gt;HealthPACT&lt;/Author&gt;&lt;Year&gt;2015&lt;/Year&gt;&lt;RecNum&gt;11&lt;/RecNum&gt;&lt;DisplayText&gt;(HealthPACT 2015)&lt;/DisplayText&gt;&lt;record&gt;&lt;rec-number&gt;11&lt;/rec-number&gt;&lt;foreign-keys&gt;&lt;key app="EN" db-id="2p9terxr22fx91epzebpfdwuzrwtw2a2ep2t" timestamp="1472684600"&gt;11&lt;/key&gt;&lt;/foreign-keys&gt;&lt;ref-type name="Web Page"&gt;12&lt;/ref-type&gt;&lt;contributors&gt;&lt;authors&gt;&lt;author&gt;HealthPACT&lt;/author&gt;&lt;/authors&gt;&lt;/contributors&gt;&lt;titles&gt;&lt;title&gt;MRI screening for prostate cancer&lt;/title&gt;&lt;/titles&gt;&lt;volume&gt;2016&lt;/volume&gt;&lt;number&gt;1 September&lt;/number&gt;&lt;dates&gt;&lt;year&gt;2015&lt;/year&gt;&lt;/dates&gt;&lt;pub-location&gt;Brisbane, Australia&lt;/pub-location&gt;&lt;publisher&gt;State of Queensland (Queensland Department of Health)&lt;/publisher&gt;&lt;urls&gt;&lt;related-urls&gt;&lt;url&gt;https://www.health.qld.gov.au/healthpact/docs/briefs/WP203.pdf&lt;/url&gt;&lt;/related-urls&gt;&lt;/urls&gt;&lt;access-date&gt;22 Jul 2016&lt;/access-date&gt;&lt;/record&gt;&lt;/Cite&gt;&lt;/EndNote&gt;</w:instrText>
      </w:r>
      <w:r w:rsidR="008E0B00">
        <w:fldChar w:fldCharType="separate"/>
      </w:r>
      <w:r w:rsidR="008E0B00">
        <w:rPr>
          <w:noProof/>
        </w:rPr>
        <w:t>(</w:t>
      </w:r>
      <w:hyperlink w:anchor="_ENREF_61" w:tooltip="HealthPACT, 2015 #11" w:history="1">
        <w:r w:rsidR="008E0B00">
          <w:rPr>
            <w:noProof/>
          </w:rPr>
          <w:t>HealthPACT 2015</w:t>
        </w:r>
      </w:hyperlink>
      <w:r w:rsidR="008E0B00">
        <w:rPr>
          <w:noProof/>
        </w:rPr>
        <w:t>)</w:t>
      </w:r>
      <w:r w:rsidR="008E0B00">
        <w:fldChar w:fldCharType="end"/>
      </w:r>
      <w:r w:rsidRPr="00ED3ADF">
        <w:t>. Another risk stratification measure in use is the TNM Classification of Malignant Tumours (TNM), where T describes the size of the tumour, N describes the affected lymph nodes, and M describes the metastases</w:t>
      </w:r>
      <w:r w:rsidR="007052C4">
        <w:t xml:space="preserve"> </w:t>
      </w:r>
      <w:r w:rsidR="008E0B00">
        <w:fldChar w:fldCharType="begin"/>
      </w:r>
      <w:r w:rsidR="008E0B00">
        <w:instrText xml:space="preserve"> ADDIN EN.CITE &lt;EndNote&gt;&lt;Cite&gt;&lt;Author&gt;Cancer Council Australia&lt;/Author&gt;&lt;Year&gt;2015&lt;/Year&gt;&lt;RecNum&gt;182&lt;/RecNum&gt;&lt;DisplayText&gt;(Cancer Council Australia 2015)&lt;/DisplayText&gt;&lt;record&gt;&lt;rec-number&gt;182&lt;/rec-number&gt;&lt;foreign-keys&gt;&lt;key app="EN" db-id="2p9terxr22fx91epzebpfdwuzrwtw2a2ep2t" timestamp="1472688607"&gt;182&lt;/key&gt;&lt;/foreign-keys&gt;&lt;ref-type name="Web Page"&gt;12&lt;/ref-type&gt;&lt;contributors&gt;&lt;authors&gt;&lt;author&gt;Cancer Council Australia,&lt;/author&gt;&lt;/authors&gt;&lt;/contributors&gt;&lt;titles&gt;&lt;title&gt;TNM system&lt;/title&gt;&lt;/titles&gt;&lt;volume&gt;2016&lt;/volume&gt;&lt;number&gt;1 September&lt;/number&gt;&lt;dates&gt;&lt;year&gt;2015&lt;/year&gt;&lt;/dates&gt;&lt;urls&gt;&lt;related-urls&gt;&lt;url&gt;http://www.cancer.org.au/about-cancer/types-of-cancer/tnm-system.html&lt;/url&gt;&lt;/related-urls&gt;&lt;/urls&gt;&lt;/record&gt;&lt;/Cite&gt;&lt;/EndNote&gt;</w:instrText>
      </w:r>
      <w:r w:rsidR="008E0B00">
        <w:fldChar w:fldCharType="separate"/>
      </w:r>
      <w:r w:rsidR="008E0B00">
        <w:rPr>
          <w:noProof/>
        </w:rPr>
        <w:t>(</w:t>
      </w:r>
      <w:hyperlink w:anchor="_ENREF_25" w:tooltip="Cancer Council Australia, 2015 #182" w:history="1">
        <w:r w:rsidR="008E0B00">
          <w:rPr>
            <w:noProof/>
          </w:rPr>
          <w:t>Cancer Council Australia 2015</w:t>
        </w:r>
      </w:hyperlink>
      <w:r w:rsidR="008E0B00">
        <w:rPr>
          <w:noProof/>
        </w:rPr>
        <w:t>)</w:t>
      </w:r>
      <w:r w:rsidR="008E0B00">
        <w:fldChar w:fldCharType="end"/>
      </w:r>
      <w:r w:rsidRPr="00ED3ADF">
        <w:t>.</w:t>
      </w:r>
    </w:p>
    <w:p w14:paraId="34EA8437" w14:textId="78E6878F" w:rsidR="001061AB" w:rsidRPr="00C841C8" w:rsidRDefault="001061AB" w:rsidP="001061AB">
      <w:r w:rsidRPr="00C841C8">
        <w:t xml:space="preserve">For men who are suspected of having </w:t>
      </w:r>
      <w:proofErr w:type="spellStart"/>
      <w:r w:rsidR="006818E1">
        <w:t>PCa</w:t>
      </w:r>
      <w:proofErr w:type="spellEnd"/>
      <w:r w:rsidRPr="00C841C8">
        <w:t xml:space="preserve"> on the basis of a high or concerning PSA, the comparators are:</w:t>
      </w:r>
    </w:p>
    <w:p w14:paraId="23DF0C45" w14:textId="70158092" w:rsidR="001061AB" w:rsidRPr="00C841C8" w:rsidRDefault="001061AB" w:rsidP="00A3402C">
      <w:pPr>
        <w:pStyle w:val="ListParagraph"/>
        <w:numPr>
          <w:ilvl w:val="0"/>
          <w:numId w:val="45"/>
        </w:numPr>
      </w:pPr>
      <w:r w:rsidRPr="00C841C8">
        <w:t>PSA</w:t>
      </w:r>
      <w:r w:rsidR="001E1FD1">
        <w:t>/DRE</w:t>
      </w:r>
      <w:r w:rsidRPr="00C841C8">
        <w:t xml:space="preserve"> + clinical judge</w:t>
      </w:r>
      <w:r w:rsidR="0029690D">
        <w:t>ment and US-guided trans</w:t>
      </w:r>
      <w:r w:rsidR="006F3F56">
        <w:t>-</w:t>
      </w:r>
      <w:r w:rsidR="0029690D">
        <w:t>rectal or trans</w:t>
      </w:r>
      <w:r w:rsidR="006F3F56">
        <w:t>-</w:t>
      </w:r>
      <w:r w:rsidRPr="00C841C8">
        <w:t xml:space="preserve">perineal </w:t>
      </w:r>
      <w:r w:rsidR="00DB2001">
        <w:t xml:space="preserve">guided </w:t>
      </w:r>
      <w:r w:rsidRPr="00C841C8">
        <w:t>biopsy (</w:t>
      </w:r>
      <w:r w:rsidR="00010606">
        <w:t>TRUSGB</w:t>
      </w:r>
      <w:r w:rsidRPr="00C841C8">
        <w:t xml:space="preserve"> or </w:t>
      </w:r>
      <w:r w:rsidR="00010606">
        <w:t>TPUSGB</w:t>
      </w:r>
      <w:r w:rsidRPr="00C841C8">
        <w:t>)</w:t>
      </w:r>
    </w:p>
    <w:p w14:paraId="3EE6882F" w14:textId="344BFEDD" w:rsidR="001061AB" w:rsidRPr="00C841C8" w:rsidRDefault="001061AB" w:rsidP="00DF78F8">
      <w:pPr>
        <w:pStyle w:val="ListParagraph"/>
      </w:pPr>
      <w:r w:rsidRPr="00C841C8">
        <w:t>PSA</w:t>
      </w:r>
      <w:r w:rsidR="001E1FD1">
        <w:t>/DRE</w:t>
      </w:r>
      <w:r w:rsidRPr="00C841C8">
        <w:t xml:space="preserve"> + clinical judgement alone, for patients who elect not to undergo </w:t>
      </w:r>
      <w:r w:rsidR="00010606">
        <w:t>TRUSGB</w:t>
      </w:r>
      <w:r w:rsidRPr="00C841C8">
        <w:t xml:space="preserve"> or </w:t>
      </w:r>
      <w:r w:rsidR="00010606">
        <w:t>TPUSGB</w:t>
      </w:r>
    </w:p>
    <w:p w14:paraId="2D035A1A" w14:textId="6E6ADBB3" w:rsidR="001061AB" w:rsidRPr="00C841C8" w:rsidRDefault="001061AB" w:rsidP="001061AB">
      <w:r w:rsidRPr="00C841C8">
        <w:t xml:space="preserve">For men diagnosed with low or intermediate risk </w:t>
      </w:r>
      <w:proofErr w:type="spellStart"/>
      <w:r w:rsidR="001327C8">
        <w:t>PCa</w:t>
      </w:r>
      <w:proofErr w:type="spellEnd"/>
      <w:r w:rsidRPr="00C841C8">
        <w:t xml:space="preserve"> undertaking </w:t>
      </w:r>
      <w:r w:rsidR="00CE60C4">
        <w:t>AS</w:t>
      </w:r>
      <w:r w:rsidRPr="00C841C8">
        <w:t xml:space="preserve">, the comparator is the current </w:t>
      </w:r>
      <w:r w:rsidR="00CE60C4">
        <w:t>AS</w:t>
      </w:r>
      <w:r>
        <w:t xml:space="preserve"> protocol with routine re-biopsies</w:t>
      </w:r>
      <w:r w:rsidRPr="00C841C8">
        <w:t>.</w:t>
      </w:r>
    </w:p>
    <w:p w14:paraId="74A467EA" w14:textId="54EF0208" w:rsidR="001061AB" w:rsidRDefault="001061AB" w:rsidP="001061AB">
      <w:bookmarkStart w:id="184" w:name="_Ref283049171"/>
      <w:bookmarkStart w:id="185" w:name="_Ref350151252"/>
      <w:bookmarkStart w:id="186" w:name="_Ref350151231"/>
      <w:bookmarkStart w:id="187" w:name="_Toc350258536"/>
      <w:bookmarkStart w:id="188" w:name="_Toc381969860"/>
      <w:r>
        <w:t>Current MBS item for u</w:t>
      </w:r>
      <w:r w:rsidR="00707A72">
        <w:t>ltrasound scans of the prostate are</w:t>
      </w:r>
      <w:r>
        <w:t xml:space="preserve"> include</w:t>
      </w:r>
      <w:r w:rsidR="00707A72">
        <w:t xml:space="preserve">d in </w:t>
      </w:r>
      <w:r w:rsidR="001C1655">
        <w:fldChar w:fldCharType="begin"/>
      </w:r>
      <w:r w:rsidR="001C1655">
        <w:instrText xml:space="preserve"> REF _Ref459185251 \h </w:instrText>
      </w:r>
      <w:r w:rsidR="001C1655">
        <w:fldChar w:fldCharType="separate"/>
      </w:r>
      <w:r w:rsidR="0029649D" w:rsidRPr="00CE5C05">
        <w:t xml:space="preserve">Table </w:t>
      </w:r>
      <w:r w:rsidR="0029649D">
        <w:rPr>
          <w:noProof/>
        </w:rPr>
        <w:t>15</w:t>
      </w:r>
      <w:r w:rsidR="001C1655">
        <w:fldChar w:fldCharType="end"/>
      </w:r>
      <w:r w:rsidR="001C1655">
        <w:t>.</w:t>
      </w:r>
    </w:p>
    <w:p w14:paraId="62337F5B" w14:textId="25D22007" w:rsidR="001061AB" w:rsidRPr="00CE5C05" w:rsidRDefault="001061AB" w:rsidP="00CE5C05">
      <w:pPr>
        <w:pStyle w:val="Caption"/>
      </w:pPr>
      <w:bookmarkStart w:id="189" w:name="_Ref459185251"/>
      <w:bookmarkStart w:id="190" w:name="_Toc455648025"/>
      <w:bookmarkStart w:id="191" w:name="_Toc460514515"/>
      <w:r w:rsidRPr="00CE5C05">
        <w:t xml:space="preserve">Table </w:t>
      </w:r>
      <w:fldSimple w:instr=" SEQ Table \* ARABIC ">
        <w:r w:rsidR="0029649D">
          <w:rPr>
            <w:noProof/>
          </w:rPr>
          <w:t>15</w:t>
        </w:r>
      </w:fldSimple>
      <w:bookmarkEnd w:id="184"/>
      <w:bookmarkEnd w:id="189"/>
      <w:r w:rsidRPr="00CE5C05">
        <w:tab/>
        <w:t>Current MBS item descriptors for scans of the prostate</w:t>
      </w:r>
      <w:bookmarkEnd w:id="190"/>
      <w:bookmarkEnd w:id="191"/>
    </w:p>
    <w:tbl>
      <w:tblPr>
        <w:tblW w:w="911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Caption w:val="Table 1: Current MBS item descriptors for scans of the prostate"/>
        <w:tblDescription w:val="Current MBS item descriptors for scans of the prostate"/>
      </w:tblPr>
      <w:tblGrid>
        <w:gridCol w:w="9112"/>
      </w:tblGrid>
      <w:tr w:rsidR="001061AB" w:rsidRPr="00C317BE" w14:paraId="44CF308D" w14:textId="77777777" w:rsidTr="00C317BE">
        <w:trPr>
          <w:trHeight w:val="397"/>
        </w:trPr>
        <w:tc>
          <w:tcPr>
            <w:tcW w:w="9134" w:type="dxa"/>
          </w:tcPr>
          <w:p w14:paraId="6CA9AFEE" w14:textId="77777777" w:rsidR="001061AB" w:rsidRPr="00C317BE" w:rsidRDefault="001061AB" w:rsidP="00DE75F6">
            <w:pPr>
              <w:pStyle w:val="Tableheading1"/>
            </w:pPr>
            <w:r w:rsidRPr="00C317BE">
              <w:t>Subgroup 4 - Urological</w:t>
            </w:r>
          </w:p>
        </w:tc>
      </w:tr>
      <w:tr w:rsidR="001061AB" w:rsidRPr="00A34E9C" w14:paraId="0C8FE68F" w14:textId="77777777" w:rsidTr="00C317BE">
        <w:trPr>
          <w:trHeight w:val="397"/>
        </w:trPr>
        <w:tc>
          <w:tcPr>
            <w:tcW w:w="9134" w:type="dxa"/>
          </w:tcPr>
          <w:p w14:paraId="5B866B0F" w14:textId="77777777" w:rsidR="001061AB" w:rsidRPr="00C317BE" w:rsidRDefault="001061AB" w:rsidP="00DE75F6">
            <w:pPr>
              <w:pStyle w:val="Tabletext1"/>
              <w:rPr>
                <w:rFonts w:eastAsia="Times New Roman+FPEF"/>
              </w:rPr>
            </w:pPr>
            <w:r w:rsidRPr="00C317BE">
              <w:rPr>
                <w:rFonts w:eastAsia="Times New Roman+FPEF"/>
              </w:rPr>
              <w:t>MBS item 55600</w:t>
            </w:r>
          </w:p>
          <w:p w14:paraId="4EC6167C" w14:textId="77777777" w:rsidR="001061AB" w:rsidRPr="0021641E" w:rsidRDefault="001061AB" w:rsidP="00DE75F6">
            <w:pPr>
              <w:pStyle w:val="Tabletext1"/>
              <w:rPr>
                <w:rFonts w:eastAsia="Times New Roman+FPEF"/>
              </w:rPr>
            </w:pPr>
            <w:r w:rsidRPr="0021641E">
              <w:rPr>
                <w:rFonts w:eastAsia="Times New Roman+FPEF"/>
              </w:rPr>
              <w:t>Prost</w:t>
            </w:r>
            <w:r>
              <w:rPr>
                <w:rFonts w:eastAsia="Times New Roman+FPEF"/>
              </w:rPr>
              <w:t>ate, bladder base and urethra,</w:t>
            </w:r>
            <w:r w:rsidRPr="0021641E">
              <w:rPr>
                <w:rFonts w:eastAsia="Times New Roman+FPEF"/>
              </w:rPr>
              <w:t xml:space="preserve"> ultrasound scan of, if performed:</w:t>
            </w:r>
          </w:p>
          <w:p w14:paraId="20596C70" w14:textId="77777777" w:rsidR="001061AB" w:rsidRPr="0021641E" w:rsidRDefault="001061AB" w:rsidP="00DE75F6">
            <w:pPr>
              <w:pStyle w:val="Tabletext1"/>
              <w:rPr>
                <w:rFonts w:eastAsia="Times New Roman+FPEF"/>
              </w:rPr>
            </w:pPr>
            <w:r w:rsidRPr="0021641E">
              <w:rPr>
                <w:rFonts w:eastAsia="Times New Roman+FPEF"/>
              </w:rPr>
              <w:t>(a) personally by a medical practitioner (not being the medical practitioner who assessed the patient as specified in paragraph (c))</w:t>
            </w:r>
            <w:r>
              <w:rPr>
                <w:rFonts w:eastAsia="Times New Roman+FPEF"/>
              </w:rPr>
              <w:t xml:space="preserve"> </w:t>
            </w:r>
            <w:r w:rsidRPr="0021641E">
              <w:rPr>
                <w:rFonts w:eastAsia="Times New Roman+FPEF"/>
              </w:rPr>
              <w:t>using one or more transducer probes that:</w:t>
            </w:r>
          </w:p>
          <w:p w14:paraId="21A1D2EA" w14:textId="77777777" w:rsidR="001061AB" w:rsidRPr="0021641E" w:rsidRDefault="001061AB" w:rsidP="00DE75F6">
            <w:pPr>
              <w:pStyle w:val="Tabletext1"/>
              <w:rPr>
                <w:rFonts w:eastAsia="Times New Roman+FPEF"/>
              </w:rPr>
            </w:pPr>
            <w:r w:rsidRPr="0021641E">
              <w:rPr>
                <w:rFonts w:eastAsia="Times New Roman+FPEF"/>
              </w:rPr>
              <w:t>(</w:t>
            </w:r>
            <w:proofErr w:type="spellStart"/>
            <w:r w:rsidRPr="0021641E">
              <w:rPr>
                <w:rFonts w:eastAsia="Times New Roman+FPEF"/>
              </w:rPr>
              <w:t>i</w:t>
            </w:r>
            <w:proofErr w:type="spellEnd"/>
            <w:r w:rsidRPr="0021641E">
              <w:rPr>
                <w:rFonts w:eastAsia="Times New Roman+FPEF"/>
              </w:rPr>
              <w:t>) have a nominal frequency of 7 to 7.5 MHz or a nominal frequency range that includes frequencies of 7 to 7.5 MHz; and</w:t>
            </w:r>
          </w:p>
          <w:p w14:paraId="582526C2" w14:textId="77777777" w:rsidR="001061AB" w:rsidRPr="0021641E" w:rsidRDefault="001061AB" w:rsidP="00DE75F6">
            <w:pPr>
              <w:pStyle w:val="Tabletext1"/>
              <w:rPr>
                <w:rFonts w:eastAsia="Times New Roman+FPEF"/>
              </w:rPr>
            </w:pPr>
            <w:r w:rsidRPr="0021641E">
              <w:rPr>
                <w:rFonts w:eastAsia="Times New Roman+FPEF"/>
              </w:rPr>
              <w:t>(ii) can obtain both axial and sagittal scans in 2 planes at right angles; and</w:t>
            </w:r>
          </w:p>
          <w:p w14:paraId="244CD2D2" w14:textId="77777777" w:rsidR="001061AB" w:rsidRPr="0021641E" w:rsidRDefault="001061AB" w:rsidP="00DE75F6">
            <w:pPr>
              <w:pStyle w:val="Tabletext1"/>
              <w:rPr>
                <w:rFonts w:eastAsia="Times New Roman+FPEF"/>
              </w:rPr>
            </w:pPr>
            <w:r w:rsidRPr="0021641E">
              <w:rPr>
                <w:rFonts w:eastAsia="Times New Roman+FPEF"/>
              </w:rPr>
              <w:t>(b) after a digital rectal examination of the prostate by that medical practitioner; and</w:t>
            </w:r>
          </w:p>
          <w:p w14:paraId="32407CCF" w14:textId="77777777" w:rsidR="001061AB" w:rsidRPr="0021641E" w:rsidRDefault="001061AB" w:rsidP="00DE75F6">
            <w:pPr>
              <w:pStyle w:val="Tabletext1"/>
              <w:rPr>
                <w:rFonts w:eastAsia="Times New Roman+FPEF"/>
              </w:rPr>
            </w:pPr>
            <w:r w:rsidRPr="0021641E">
              <w:rPr>
                <w:rFonts w:eastAsia="Times New Roman+FPEF"/>
              </w:rPr>
              <w:t>(c) on a patient who has been assessed by a specialist in urology, radiation oncology or medical oncology, a consultant physician</w:t>
            </w:r>
            <w:r>
              <w:rPr>
                <w:rFonts w:eastAsia="Times New Roman+FPEF"/>
              </w:rPr>
              <w:t xml:space="preserve"> </w:t>
            </w:r>
            <w:r w:rsidRPr="0021641E">
              <w:rPr>
                <w:rFonts w:eastAsia="Times New Roman+FPEF"/>
              </w:rPr>
              <w:t>in medical oncology, who has:</w:t>
            </w:r>
          </w:p>
          <w:p w14:paraId="6F00E5B7" w14:textId="77777777" w:rsidR="001061AB" w:rsidRPr="0021641E" w:rsidRDefault="001061AB" w:rsidP="00DE75F6">
            <w:pPr>
              <w:pStyle w:val="Tabletext1"/>
              <w:rPr>
                <w:rFonts w:eastAsia="Times New Roman+FPEF"/>
              </w:rPr>
            </w:pPr>
            <w:r w:rsidRPr="0021641E">
              <w:rPr>
                <w:rFonts w:eastAsia="Times New Roman+FPEF"/>
              </w:rPr>
              <w:t>(</w:t>
            </w:r>
            <w:proofErr w:type="spellStart"/>
            <w:r w:rsidRPr="0021641E">
              <w:rPr>
                <w:rFonts w:eastAsia="Times New Roman+FPEF"/>
              </w:rPr>
              <w:t>i</w:t>
            </w:r>
            <w:proofErr w:type="spellEnd"/>
            <w:r w:rsidRPr="0021641E">
              <w:rPr>
                <w:rFonts w:eastAsia="Times New Roman+FPEF"/>
              </w:rPr>
              <w:t>) examined the patient in the 60 days before the scan; and</w:t>
            </w:r>
          </w:p>
          <w:p w14:paraId="1079997D" w14:textId="77777777" w:rsidR="001061AB" w:rsidRPr="0021641E" w:rsidRDefault="001061AB" w:rsidP="00DE75F6">
            <w:pPr>
              <w:pStyle w:val="Tabletext1"/>
              <w:rPr>
                <w:rFonts w:eastAsia="Times New Roman+FPEF"/>
              </w:rPr>
            </w:pPr>
            <w:r w:rsidRPr="0021641E">
              <w:rPr>
                <w:rFonts w:eastAsia="Times New Roman+FPEF"/>
              </w:rPr>
              <w:t>(ii) recommended the scan for the management of the patient’s current prostatic disease (R) (K)</w:t>
            </w:r>
          </w:p>
          <w:p w14:paraId="24021B91" w14:textId="77777777" w:rsidR="001061AB" w:rsidRPr="0021641E" w:rsidRDefault="001061AB" w:rsidP="00DE75F6">
            <w:pPr>
              <w:pStyle w:val="Tabletext1"/>
              <w:rPr>
                <w:rFonts w:eastAsia="Times New Roman+FPEF" w:cs="Times New Roman Italic+FPEF"/>
                <w:i/>
                <w:iCs/>
              </w:rPr>
            </w:pPr>
            <w:r w:rsidRPr="0021641E">
              <w:rPr>
                <w:rFonts w:eastAsia="Times New Roman+FPEF" w:cs="Times New Roman Italic+FPEF"/>
                <w:i/>
                <w:iCs/>
              </w:rPr>
              <w:t>(See para DIQ of explanatory notes to this Category)</w:t>
            </w:r>
          </w:p>
          <w:p w14:paraId="7FE84444" w14:textId="77777777" w:rsidR="001061AB" w:rsidRPr="0021641E" w:rsidRDefault="001061AB" w:rsidP="00DE75F6">
            <w:pPr>
              <w:pStyle w:val="Tabletext1"/>
              <w:rPr>
                <w:lang w:val="en-US"/>
              </w:rPr>
            </w:pPr>
            <w:r w:rsidRPr="0021641E">
              <w:rPr>
                <w:rFonts w:eastAsia="Times New Roman+FPEF" w:cs="Times New Roman Bold+FPEF"/>
                <w:bCs/>
              </w:rPr>
              <w:t xml:space="preserve">Fee: </w:t>
            </w:r>
            <w:r w:rsidRPr="0021641E">
              <w:rPr>
                <w:rFonts w:eastAsia="Times New Roman+FPEF"/>
              </w:rPr>
              <w:t xml:space="preserve">$109.10 </w:t>
            </w:r>
            <w:r w:rsidRPr="0021641E">
              <w:rPr>
                <w:rFonts w:eastAsia="Times New Roman+FPEF" w:cs="Times New Roman Bold+FPEF"/>
                <w:bCs/>
              </w:rPr>
              <w:t xml:space="preserve">Benefit: </w:t>
            </w:r>
            <w:r w:rsidRPr="0021641E">
              <w:rPr>
                <w:rFonts w:eastAsia="Times New Roman+FPEF"/>
              </w:rPr>
              <w:t>75% = $81.85 85% = $92.75</w:t>
            </w:r>
          </w:p>
        </w:tc>
      </w:tr>
      <w:tr w:rsidR="001061AB" w:rsidRPr="00A34E9C" w14:paraId="62FA6EE9" w14:textId="77777777" w:rsidTr="00C317BE">
        <w:trPr>
          <w:trHeight w:val="397"/>
        </w:trPr>
        <w:tc>
          <w:tcPr>
            <w:tcW w:w="9134" w:type="dxa"/>
          </w:tcPr>
          <w:p w14:paraId="078CA730" w14:textId="77777777" w:rsidR="001061AB" w:rsidRPr="00C317BE" w:rsidRDefault="001061AB" w:rsidP="00DE75F6">
            <w:pPr>
              <w:pStyle w:val="Tabletext1"/>
              <w:rPr>
                <w:rFonts w:eastAsia="Times New Roman+FPEF"/>
              </w:rPr>
            </w:pPr>
            <w:r w:rsidRPr="00C317BE">
              <w:rPr>
                <w:rFonts w:eastAsia="Times New Roman+FPEF"/>
              </w:rPr>
              <w:t xml:space="preserve">MBS item 55601 </w:t>
            </w:r>
          </w:p>
          <w:p w14:paraId="39F6887F" w14:textId="77777777" w:rsidR="001061AB" w:rsidRPr="0021641E" w:rsidRDefault="001061AB" w:rsidP="00DE75F6">
            <w:pPr>
              <w:pStyle w:val="Tabletext1"/>
              <w:rPr>
                <w:rFonts w:eastAsia="Times New Roman+FPEF"/>
              </w:rPr>
            </w:pPr>
            <w:r w:rsidRPr="0021641E">
              <w:rPr>
                <w:rFonts w:eastAsia="Times New Roman+FPEF"/>
              </w:rPr>
              <w:t>PROSTATE, bladder base and urethra, ultrasound scan of, where performed:</w:t>
            </w:r>
          </w:p>
          <w:p w14:paraId="41DF427C" w14:textId="77777777" w:rsidR="001061AB" w:rsidRPr="0021641E" w:rsidRDefault="001061AB" w:rsidP="00DE75F6">
            <w:pPr>
              <w:pStyle w:val="Tabletext1"/>
              <w:rPr>
                <w:rFonts w:eastAsia="Times New Roman+FPEF"/>
              </w:rPr>
            </w:pPr>
            <w:r w:rsidRPr="0021641E">
              <w:rPr>
                <w:rFonts w:eastAsia="Times New Roman+FPEF"/>
              </w:rPr>
              <w:t xml:space="preserve">(a) personally by a medical practitioner (not being the medical practitioner who assessed the patient as specified in (c)) </w:t>
            </w:r>
            <w:r w:rsidRPr="0021641E">
              <w:rPr>
                <w:rFonts w:eastAsia="Times New Roman+FPEF"/>
              </w:rPr>
              <w:lastRenderedPageBreak/>
              <w:t>using a</w:t>
            </w:r>
            <w:r>
              <w:rPr>
                <w:rFonts w:eastAsia="Times New Roman+FPEF"/>
              </w:rPr>
              <w:t xml:space="preserve"> </w:t>
            </w:r>
            <w:r w:rsidRPr="0021641E">
              <w:rPr>
                <w:rFonts w:eastAsia="Times New Roman+FPEF"/>
              </w:rPr>
              <w:t>transducer probe or probes that:</w:t>
            </w:r>
          </w:p>
          <w:p w14:paraId="2D065A6D" w14:textId="77777777" w:rsidR="001061AB" w:rsidRPr="0021641E" w:rsidRDefault="001061AB" w:rsidP="00DE75F6">
            <w:pPr>
              <w:pStyle w:val="Tabletext1"/>
              <w:rPr>
                <w:rFonts w:eastAsia="Times New Roman+FPEF"/>
              </w:rPr>
            </w:pPr>
            <w:r w:rsidRPr="0021641E">
              <w:rPr>
                <w:rFonts w:eastAsia="Times New Roman+FPEF"/>
              </w:rPr>
              <w:t>(</w:t>
            </w:r>
            <w:proofErr w:type="spellStart"/>
            <w:r w:rsidRPr="0021641E">
              <w:rPr>
                <w:rFonts w:eastAsia="Times New Roman+FPEF"/>
              </w:rPr>
              <w:t>i</w:t>
            </w:r>
            <w:proofErr w:type="spellEnd"/>
            <w:r w:rsidRPr="0021641E">
              <w:rPr>
                <w:rFonts w:eastAsia="Times New Roman+FPEF"/>
              </w:rPr>
              <w:t>) have a nominal frequency of 7 to 7.5 megahertz or a nominal frequency range which includes frequencies of 7 to 7.5</w:t>
            </w:r>
          </w:p>
          <w:p w14:paraId="67C7D718" w14:textId="77777777" w:rsidR="001061AB" w:rsidRPr="0021641E" w:rsidRDefault="001061AB" w:rsidP="00DE75F6">
            <w:pPr>
              <w:pStyle w:val="Tabletext1"/>
              <w:rPr>
                <w:rFonts w:eastAsia="Times New Roman+FPEF"/>
              </w:rPr>
            </w:pPr>
            <w:r w:rsidRPr="0021641E">
              <w:rPr>
                <w:rFonts w:eastAsia="Times New Roman+FPEF"/>
              </w:rPr>
              <w:t>megahertz; and</w:t>
            </w:r>
          </w:p>
          <w:p w14:paraId="7893A934" w14:textId="77777777" w:rsidR="001061AB" w:rsidRPr="0021641E" w:rsidRDefault="001061AB" w:rsidP="00DE75F6">
            <w:pPr>
              <w:pStyle w:val="Tabletext1"/>
              <w:rPr>
                <w:rFonts w:eastAsia="Times New Roman+FPEF"/>
              </w:rPr>
            </w:pPr>
            <w:r w:rsidRPr="0021641E">
              <w:rPr>
                <w:rFonts w:eastAsia="Times New Roman+FPEF"/>
              </w:rPr>
              <w:t>(ii) can obtain both axial and sagittal scans in 2 planes at right angles; and</w:t>
            </w:r>
          </w:p>
          <w:p w14:paraId="53CF28E6" w14:textId="77777777" w:rsidR="001061AB" w:rsidRPr="0021641E" w:rsidRDefault="001061AB" w:rsidP="00DE75F6">
            <w:pPr>
              <w:pStyle w:val="Tabletext1"/>
              <w:rPr>
                <w:rFonts w:eastAsia="Times New Roman+FPEF"/>
              </w:rPr>
            </w:pPr>
            <w:r w:rsidRPr="0021641E">
              <w:rPr>
                <w:rFonts w:eastAsia="Times New Roman+FPEF"/>
              </w:rPr>
              <w:t>(b) following a digital rectal examination of the prostate by that medical practitioner; and</w:t>
            </w:r>
          </w:p>
          <w:p w14:paraId="4D60E6E1" w14:textId="77777777" w:rsidR="001061AB" w:rsidRPr="0021641E" w:rsidRDefault="001061AB" w:rsidP="00DE75F6">
            <w:pPr>
              <w:pStyle w:val="Tabletext1"/>
              <w:rPr>
                <w:rFonts w:eastAsia="Times New Roman+FPEF"/>
              </w:rPr>
            </w:pPr>
            <w:r w:rsidRPr="0021641E">
              <w:rPr>
                <w:rFonts w:eastAsia="Times New Roman+FPEF"/>
              </w:rPr>
              <w:t>(c) on a patient who has been assessed by a specialist in urology, radiation oncology or medical oncology or a consultant</w:t>
            </w:r>
          </w:p>
          <w:p w14:paraId="19863216" w14:textId="77777777" w:rsidR="001061AB" w:rsidRPr="0021641E" w:rsidRDefault="001061AB" w:rsidP="00DE75F6">
            <w:pPr>
              <w:pStyle w:val="Tabletext1"/>
              <w:rPr>
                <w:rFonts w:eastAsia="Times New Roman+FPEF"/>
              </w:rPr>
            </w:pPr>
            <w:r w:rsidRPr="0021641E">
              <w:rPr>
                <w:rFonts w:eastAsia="Times New Roman+FPEF"/>
              </w:rPr>
              <w:t>physician in medical oncology who has:</w:t>
            </w:r>
          </w:p>
          <w:p w14:paraId="4C3C427E" w14:textId="77777777" w:rsidR="001061AB" w:rsidRPr="0021641E" w:rsidRDefault="001061AB" w:rsidP="00DE75F6">
            <w:pPr>
              <w:pStyle w:val="Tabletext1"/>
              <w:rPr>
                <w:rFonts w:eastAsia="Times New Roman+FPEF"/>
              </w:rPr>
            </w:pPr>
            <w:r w:rsidRPr="0021641E">
              <w:rPr>
                <w:rFonts w:eastAsia="Times New Roman+FPEF"/>
              </w:rPr>
              <w:t>(</w:t>
            </w:r>
            <w:proofErr w:type="spellStart"/>
            <w:r w:rsidRPr="0021641E">
              <w:rPr>
                <w:rFonts w:eastAsia="Times New Roman+FPEF"/>
              </w:rPr>
              <w:t>i</w:t>
            </w:r>
            <w:proofErr w:type="spellEnd"/>
            <w:r w:rsidRPr="0021641E">
              <w:rPr>
                <w:rFonts w:eastAsia="Times New Roman+FPEF"/>
              </w:rPr>
              <w:t>) examined the patient in the 60 days prior to the scan; and</w:t>
            </w:r>
          </w:p>
          <w:p w14:paraId="3ECFC712" w14:textId="77777777" w:rsidR="001061AB" w:rsidRPr="0021641E" w:rsidRDefault="001061AB" w:rsidP="00DE75F6">
            <w:pPr>
              <w:pStyle w:val="Tabletext1"/>
              <w:rPr>
                <w:rFonts w:eastAsia="Times New Roman+FPEF"/>
              </w:rPr>
            </w:pPr>
            <w:r w:rsidRPr="0021641E">
              <w:rPr>
                <w:rFonts w:eastAsia="Times New Roman+FPEF"/>
              </w:rPr>
              <w:t>(ii) recommended the scan for the management of the patient's current prostatic disease (R) (NK)</w:t>
            </w:r>
          </w:p>
          <w:p w14:paraId="4414DB93" w14:textId="77777777" w:rsidR="001061AB" w:rsidRPr="0021641E" w:rsidRDefault="001061AB" w:rsidP="00DE75F6">
            <w:pPr>
              <w:pStyle w:val="Tabletext1"/>
              <w:rPr>
                <w:rFonts w:eastAsia="Times New Roman+FPEF" w:cs="Times New Roman Italic+FPEF"/>
                <w:i/>
                <w:iCs/>
              </w:rPr>
            </w:pPr>
            <w:r w:rsidRPr="0021641E">
              <w:rPr>
                <w:rFonts w:eastAsia="Times New Roman+FPEF" w:cs="Times New Roman Italic+FPEF"/>
                <w:i/>
                <w:iCs/>
              </w:rPr>
              <w:t>(See para DIQ of explanatory notes to this Category)</w:t>
            </w:r>
          </w:p>
          <w:p w14:paraId="6F386EAA" w14:textId="77777777" w:rsidR="001061AB" w:rsidRPr="0021641E" w:rsidRDefault="001061AB" w:rsidP="00DE75F6">
            <w:pPr>
              <w:pStyle w:val="Tabletext1"/>
              <w:rPr>
                <w:rFonts w:eastAsia="Times New Roman+FPEF"/>
              </w:rPr>
            </w:pPr>
            <w:r w:rsidRPr="0021641E">
              <w:rPr>
                <w:rFonts w:eastAsia="Times New Roman+FPEF" w:cs="Times New Roman Bold+FPEF"/>
                <w:bCs/>
              </w:rPr>
              <w:t xml:space="preserve">Fee: </w:t>
            </w:r>
            <w:r w:rsidRPr="0021641E">
              <w:rPr>
                <w:rFonts w:eastAsia="Times New Roman+FPEF"/>
              </w:rPr>
              <w:t xml:space="preserve">$54.55 </w:t>
            </w:r>
            <w:r w:rsidRPr="0021641E">
              <w:rPr>
                <w:rFonts w:eastAsia="Times New Roman+FPEF" w:cs="Times New Roman Bold+FPEF"/>
                <w:bCs/>
              </w:rPr>
              <w:t xml:space="preserve">Benefit: </w:t>
            </w:r>
            <w:r w:rsidRPr="0021641E">
              <w:rPr>
                <w:rFonts w:eastAsia="Times New Roman+FPEF"/>
              </w:rPr>
              <w:t>75% = $40.95 85% = $46.40</w:t>
            </w:r>
          </w:p>
        </w:tc>
      </w:tr>
      <w:tr w:rsidR="001061AB" w:rsidRPr="0021641E" w14:paraId="3979382C" w14:textId="77777777" w:rsidTr="00C317BE">
        <w:trPr>
          <w:trHeight w:val="397"/>
        </w:trPr>
        <w:tc>
          <w:tcPr>
            <w:tcW w:w="9134" w:type="dxa"/>
          </w:tcPr>
          <w:p w14:paraId="3C7DC3ED" w14:textId="77777777" w:rsidR="001061AB" w:rsidRPr="0021641E" w:rsidRDefault="001061AB" w:rsidP="00DE75F6">
            <w:pPr>
              <w:pStyle w:val="Tabletext1"/>
              <w:rPr>
                <w:rFonts w:eastAsia="Times New Roman+FPEF"/>
              </w:rPr>
            </w:pPr>
            <w:r w:rsidRPr="0021641E">
              <w:rPr>
                <w:rFonts w:eastAsia="Times New Roman+FPEF"/>
              </w:rPr>
              <w:lastRenderedPageBreak/>
              <w:t>MBS item 55603</w:t>
            </w:r>
          </w:p>
          <w:p w14:paraId="3FD2286D" w14:textId="77777777" w:rsidR="001061AB" w:rsidRPr="0021641E" w:rsidRDefault="001061AB" w:rsidP="00DE75F6">
            <w:pPr>
              <w:pStyle w:val="Tabletext1"/>
              <w:rPr>
                <w:rFonts w:eastAsia="Times New Roman+FPEF"/>
              </w:rPr>
            </w:pPr>
            <w:r w:rsidRPr="0021641E">
              <w:rPr>
                <w:rFonts w:eastAsia="Times New Roman+FPEF"/>
              </w:rPr>
              <w:t>PROSTATE, bladder base and urethra, ultrasound scan of, where performed:</w:t>
            </w:r>
          </w:p>
          <w:p w14:paraId="7C65A274" w14:textId="77777777" w:rsidR="001061AB" w:rsidRPr="0021641E" w:rsidRDefault="001061AB" w:rsidP="00DE75F6">
            <w:pPr>
              <w:pStyle w:val="Tabletext1"/>
              <w:rPr>
                <w:rFonts w:eastAsia="Times New Roman+FPEF"/>
              </w:rPr>
            </w:pPr>
            <w:r w:rsidRPr="0021641E">
              <w:rPr>
                <w:rFonts w:eastAsia="Times New Roman+FPEF"/>
              </w:rPr>
              <w:t>(a) personally by a medical practitioner who undertook the assessment referred to in (c) using a transducer probe or probes</w:t>
            </w:r>
            <w:r>
              <w:rPr>
                <w:rFonts w:eastAsia="Times New Roman+FPEF"/>
              </w:rPr>
              <w:t xml:space="preserve"> </w:t>
            </w:r>
            <w:r w:rsidRPr="0021641E">
              <w:rPr>
                <w:rFonts w:eastAsia="Times New Roman+FPEF"/>
              </w:rPr>
              <w:t>that:</w:t>
            </w:r>
          </w:p>
          <w:p w14:paraId="62163992" w14:textId="77777777" w:rsidR="001061AB" w:rsidRPr="0021641E" w:rsidRDefault="001061AB" w:rsidP="00DE75F6">
            <w:pPr>
              <w:pStyle w:val="Tabletext1"/>
              <w:rPr>
                <w:rFonts w:eastAsia="Times New Roman+FPEF"/>
              </w:rPr>
            </w:pPr>
            <w:r w:rsidRPr="0021641E">
              <w:rPr>
                <w:rFonts w:eastAsia="Times New Roman+FPEF"/>
              </w:rPr>
              <w:t>(</w:t>
            </w:r>
            <w:proofErr w:type="spellStart"/>
            <w:r w:rsidRPr="0021641E">
              <w:rPr>
                <w:rFonts w:eastAsia="Times New Roman+FPEF"/>
              </w:rPr>
              <w:t>i</w:t>
            </w:r>
            <w:proofErr w:type="spellEnd"/>
            <w:r w:rsidRPr="0021641E">
              <w:rPr>
                <w:rFonts w:eastAsia="Times New Roman+FPEF"/>
              </w:rPr>
              <w:t>) have a nominal frequency of 7 to 7.5 megahertz or a nominal frequency range which includes frequencies of 7 to 7.5</w:t>
            </w:r>
          </w:p>
          <w:p w14:paraId="09AB726E" w14:textId="77777777" w:rsidR="001061AB" w:rsidRPr="0021641E" w:rsidRDefault="001061AB" w:rsidP="00DE75F6">
            <w:pPr>
              <w:pStyle w:val="Tabletext1"/>
              <w:rPr>
                <w:rFonts w:eastAsia="Times New Roman+FPEF"/>
              </w:rPr>
            </w:pPr>
            <w:r w:rsidRPr="0021641E">
              <w:rPr>
                <w:rFonts w:eastAsia="Times New Roman+FPEF"/>
              </w:rPr>
              <w:t>megahertz; and</w:t>
            </w:r>
          </w:p>
          <w:p w14:paraId="11519804" w14:textId="77777777" w:rsidR="001061AB" w:rsidRPr="0021641E" w:rsidRDefault="001061AB" w:rsidP="00DE75F6">
            <w:pPr>
              <w:pStyle w:val="Tabletext1"/>
              <w:rPr>
                <w:rFonts w:eastAsia="Times New Roman+FPEF"/>
              </w:rPr>
            </w:pPr>
            <w:r w:rsidRPr="0021641E">
              <w:rPr>
                <w:rFonts w:eastAsia="Times New Roman+FPEF"/>
              </w:rPr>
              <w:t>(ii) can obtain both axial and sagittal scans in 2 planes at right angles; and</w:t>
            </w:r>
          </w:p>
          <w:p w14:paraId="024191D2" w14:textId="77777777" w:rsidR="001061AB" w:rsidRPr="0021641E" w:rsidRDefault="001061AB" w:rsidP="00DE75F6">
            <w:pPr>
              <w:pStyle w:val="Tabletext1"/>
              <w:rPr>
                <w:rFonts w:eastAsia="Times New Roman+FPEF"/>
              </w:rPr>
            </w:pPr>
            <w:r w:rsidRPr="0021641E">
              <w:rPr>
                <w:rFonts w:eastAsia="Times New Roman+FPEF"/>
              </w:rPr>
              <w:t>(b) following a digital rectal examination of the prostate by that medical practitioner; and</w:t>
            </w:r>
          </w:p>
          <w:p w14:paraId="2883D9E4" w14:textId="77777777" w:rsidR="001061AB" w:rsidRPr="0021641E" w:rsidRDefault="001061AB" w:rsidP="00DE75F6">
            <w:pPr>
              <w:pStyle w:val="Tabletext1"/>
              <w:rPr>
                <w:rFonts w:eastAsia="Times New Roman+FPEF"/>
              </w:rPr>
            </w:pPr>
            <w:r w:rsidRPr="0021641E">
              <w:rPr>
                <w:rFonts w:eastAsia="Times New Roman+FPEF"/>
              </w:rPr>
              <w:t>(c) on a patient who has been assessed by a specialist in urology, radiation oncology or medical oncology or a consultant</w:t>
            </w:r>
          </w:p>
          <w:p w14:paraId="654AC6EF" w14:textId="77777777" w:rsidR="001061AB" w:rsidRPr="0021641E" w:rsidRDefault="001061AB" w:rsidP="00DE75F6">
            <w:pPr>
              <w:pStyle w:val="Tabletext1"/>
              <w:rPr>
                <w:rFonts w:eastAsia="Times New Roman+FPEF"/>
              </w:rPr>
            </w:pPr>
            <w:r w:rsidRPr="0021641E">
              <w:rPr>
                <w:rFonts w:eastAsia="Times New Roman+FPEF"/>
              </w:rPr>
              <w:t>physician in medical oncology who has:</w:t>
            </w:r>
          </w:p>
          <w:p w14:paraId="00BEBE22" w14:textId="77777777" w:rsidR="001061AB" w:rsidRPr="0021641E" w:rsidRDefault="001061AB" w:rsidP="00DE75F6">
            <w:pPr>
              <w:pStyle w:val="Tabletext1"/>
              <w:rPr>
                <w:rFonts w:eastAsia="Times New Roman+FPEF"/>
              </w:rPr>
            </w:pPr>
            <w:r w:rsidRPr="0021641E">
              <w:rPr>
                <w:rFonts w:eastAsia="Times New Roman+FPEF"/>
              </w:rPr>
              <w:t>(</w:t>
            </w:r>
            <w:proofErr w:type="spellStart"/>
            <w:r w:rsidRPr="0021641E">
              <w:rPr>
                <w:rFonts w:eastAsia="Times New Roman+FPEF"/>
              </w:rPr>
              <w:t>i</w:t>
            </w:r>
            <w:proofErr w:type="spellEnd"/>
            <w:r w:rsidRPr="0021641E">
              <w:rPr>
                <w:rFonts w:eastAsia="Times New Roman+FPEF"/>
              </w:rPr>
              <w:t>)examined the patient in the 60 days prior to the scan; and</w:t>
            </w:r>
          </w:p>
          <w:p w14:paraId="3090C2C5" w14:textId="77777777" w:rsidR="001061AB" w:rsidRPr="0021641E" w:rsidRDefault="001061AB" w:rsidP="00DE75F6">
            <w:pPr>
              <w:pStyle w:val="Tabletext1"/>
              <w:rPr>
                <w:rFonts w:eastAsia="Times New Roman+FPEF"/>
              </w:rPr>
            </w:pPr>
            <w:r w:rsidRPr="0021641E">
              <w:rPr>
                <w:rFonts w:eastAsia="Times New Roman+FPEF"/>
              </w:rPr>
              <w:t>(ii)recommended the scan for the management of the patient's current prostatic disease (R) (K)</w:t>
            </w:r>
          </w:p>
          <w:p w14:paraId="3C8CBDAF" w14:textId="77777777" w:rsidR="001061AB" w:rsidRPr="0021641E" w:rsidRDefault="001061AB" w:rsidP="00DE75F6">
            <w:pPr>
              <w:pStyle w:val="Tabletext1"/>
              <w:rPr>
                <w:rFonts w:eastAsia="Times New Roman+FPEF" w:cs="Times New Roman Italic+FPEF"/>
                <w:i/>
                <w:iCs/>
              </w:rPr>
            </w:pPr>
            <w:r w:rsidRPr="0021641E">
              <w:rPr>
                <w:rFonts w:eastAsia="Times New Roman+FPEF" w:cs="Times New Roman Italic+FPEF"/>
                <w:i/>
                <w:iCs/>
              </w:rPr>
              <w:t>(See para DIQ of explanatory notes to this Category)</w:t>
            </w:r>
          </w:p>
          <w:p w14:paraId="7E55B7CD" w14:textId="77777777" w:rsidR="001061AB" w:rsidRPr="0021641E" w:rsidRDefault="001061AB" w:rsidP="00DE75F6">
            <w:pPr>
              <w:pStyle w:val="Tabletext1"/>
              <w:rPr>
                <w:rFonts w:eastAsia="Times New Roman+FPEF"/>
              </w:rPr>
            </w:pPr>
            <w:r w:rsidRPr="0021641E">
              <w:rPr>
                <w:rFonts w:eastAsia="Times New Roman+FPEF" w:cs="Times New Roman Bold+FPEF"/>
                <w:bCs/>
              </w:rPr>
              <w:t xml:space="preserve">Fee: </w:t>
            </w:r>
            <w:r w:rsidRPr="0021641E">
              <w:rPr>
                <w:rFonts w:eastAsia="Times New Roman+FPEF"/>
              </w:rPr>
              <w:t xml:space="preserve">$109.10 </w:t>
            </w:r>
            <w:r w:rsidRPr="0021641E">
              <w:rPr>
                <w:rFonts w:eastAsia="Times New Roman+FPEF" w:cs="Times New Roman Bold+FPEF"/>
                <w:bCs/>
              </w:rPr>
              <w:t xml:space="preserve">Benefit: </w:t>
            </w:r>
            <w:r w:rsidRPr="0021641E">
              <w:rPr>
                <w:rFonts w:eastAsia="Times New Roman+FPEF"/>
              </w:rPr>
              <w:t>75% = $81.85 85% = $92.75</w:t>
            </w:r>
          </w:p>
        </w:tc>
      </w:tr>
      <w:tr w:rsidR="001061AB" w:rsidRPr="0021641E" w14:paraId="4EED6A35" w14:textId="77777777" w:rsidTr="00C317BE">
        <w:trPr>
          <w:trHeight w:val="397"/>
        </w:trPr>
        <w:tc>
          <w:tcPr>
            <w:tcW w:w="9134" w:type="dxa"/>
          </w:tcPr>
          <w:p w14:paraId="7A6CBDD5" w14:textId="77777777" w:rsidR="001061AB" w:rsidRPr="0021641E" w:rsidRDefault="001061AB" w:rsidP="00DE75F6">
            <w:pPr>
              <w:pStyle w:val="Tabletext1"/>
              <w:rPr>
                <w:rFonts w:eastAsia="Times New Roman+FPEF"/>
              </w:rPr>
            </w:pPr>
            <w:r w:rsidRPr="0021641E">
              <w:rPr>
                <w:rFonts w:eastAsia="Times New Roman+FPEF"/>
              </w:rPr>
              <w:t>MBS item 55604</w:t>
            </w:r>
          </w:p>
          <w:p w14:paraId="38BB8A04" w14:textId="77777777" w:rsidR="001061AB" w:rsidRPr="0021641E" w:rsidRDefault="001061AB" w:rsidP="00DE75F6">
            <w:pPr>
              <w:pStyle w:val="Tabletext1"/>
              <w:rPr>
                <w:rFonts w:eastAsia="Times New Roman+FPEF"/>
              </w:rPr>
            </w:pPr>
            <w:r w:rsidRPr="0021641E">
              <w:rPr>
                <w:rFonts w:eastAsia="Times New Roman+FPEF"/>
              </w:rPr>
              <w:t>PROSTATE, bladder base and urethra, ultrasound scan of, where performed:</w:t>
            </w:r>
          </w:p>
          <w:p w14:paraId="0DAA9C0A" w14:textId="77777777" w:rsidR="001061AB" w:rsidRPr="0021641E" w:rsidRDefault="001061AB" w:rsidP="00DE75F6">
            <w:pPr>
              <w:pStyle w:val="Tabletext1"/>
              <w:rPr>
                <w:rFonts w:eastAsia="Times New Roman+FPEF"/>
              </w:rPr>
            </w:pPr>
            <w:r w:rsidRPr="0021641E">
              <w:rPr>
                <w:rFonts w:eastAsia="Times New Roman+FPEF"/>
              </w:rPr>
              <w:t>(a) personally by a medical practitioner who undertook the assessment referred to in (c) using a transducer probe or probes that:</w:t>
            </w:r>
          </w:p>
          <w:p w14:paraId="6530E447" w14:textId="77777777" w:rsidR="001061AB" w:rsidRPr="0021641E" w:rsidRDefault="001061AB" w:rsidP="00DE75F6">
            <w:pPr>
              <w:pStyle w:val="Tabletext1"/>
              <w:rPr>
                <w:rFonts w:eastAsia="Times New Roman+FPEF"/>
              </w:rPr>
            </w:pPr>
            <w:r w:rsidRPr="0021641E">
              <w:rPr>
                <w:rFonts w:eastAsia="Times New Roman+FPEF"/>
              </w:rPr>
              <w:t>(</w:t>
            </w:r>
            <w:proofErr w:type="spellStart"/>
            <w:r w:rsidRPr="0021641E">
              <w:rPr>
                <w:rFonts w:eastAsia="Times New Roman+FPEF"/>
              </w:rPr>
              <w:t>i</w:t>
            </w:r>
            <w:proofErr w:type="spellEnd"/>
            <w:r w:rsidRPr="0021641E">
              <w:rPr>
                <w:rFonts w:eastAsia="Times New Roman+FPEF"/>
              </w:rPr>
              <w:t>) have a nominal frequency of 7 to 7.5 megahertz or a nominal frequency range which includes frequencies of 7 to 7.5</w:t>
            </w:r>
          </w:p>
          <w:p w14:paraId="1FB25DEC" w14:textId="77777777" w:rsidR="001061AB" w:rsidRPr="0021641E" w:rsidRDefault="001061AB" w:rsidP="00DE75F6">
            <w:pPr>
              <w:pStyle w:val="Tabletext1"/>
              <w:rPr>
                <w:rFonts w:eastAsia="Times New Roman+FPEF"/>
              </w:rPr>
            </w:pPr>
            <w:r w:rsidRPr="0021641E">
              <w:rPr>
                <w:rFonts w:eastAsia="Times New Roman+FPEF"/>
              </w:rPr>
              <w:t>megahertz; and</w:t>
            </w:r>
          </w:p>
          <w:p w14:paraId="18C9F051" w14:textId="77777777" w:rsidR="001061AB" w:rsidRPr="0021641E" w:rsidRDefault="001061AB" w:rsidP="00DE75F6">
            <w:pPr>
              <w:pStyle w:val="Tabletext1"/>
              <w:rPr>
                <w:rFonts w:eastAsia="Times New Roman+FPEF"/>
              </w:rPr>
            </w:pPr>
            <w:r w:rsidRPr="0021641E">
              <w:rPr>
                <w:rFonts w:eastAsia="Times New Roman+FPEF"/>
              </w:rPr>
              <w:t>(ii) can obtain both axial and sagittal scans in 2 planes at right angles; and</w:t>
            </w:r>
          </w:p>
          <w:p w14:paraId="16151524" w14:textId="77777777" w:rsidR="001061AB" w:rsidRPr="0021641E" w:rsidRDefault="001061AB" w:rsidP="00DE75F6">
            <w:pPr>
              <w:pStyle w:val="Tabletext1"/>
              <w:rPr>
                <w:rFonts w:eastAsia="Times New Roman+FPEF"/>
              </w:rPr>
            </w:pPr>
            <w:r w:rsidRPr="0021641E">
              <w:rPr>
                <w:rFonts w:eastAsia="Times New Roman+FPEF"/>
              </w:rPr>
              <w:t>(b) following a digital rectal examination of the prostate by that medical practitioner; and</w:t>
            </w:r>
          </w:p>
          <w:p w14:paraId="41D8C505" w14:textId="77777777" w:rsidR="001061AB" w:rsidRPr="0021641E" w:rsidRDefault="001061AB" w:rsidP="00DE75F6">
            <w:pPr>
              <w:pStyle w:val="Tabletext1"/>
              <w:rPr>
                <w:rFonts w:eastAsia="Times New Roman+FPEF"/>
              </w:rPr>
            </w:pPr>
            <w:r w:rsidRPr="0021641E">
              <w:rPr>
                <w:rFonts w:eastAsia="Times New Roman+FPEF"/>
              </w:rPr>
              <w:t>(c) on a patient who has been assessed by a specialist in urology, radiation oncology or medical oncology or a consultant physician</w:t>
            </w:r>
          </w:p>
          <w:p w14:paraId="340B1A79" w14:textId="77777777" w:rsidR="001061AB" w:rsidRPr="0021641E" w:rsidRDefault="001061AB" w:rsidP="00DE75F6">
            <w:pPr>
              <w:pStyle w:val="Tabletext1"/>
              <w:rPr>
                <w:rFonts w:eastAsia="Times New Roman+FPEF"/>
              </w:rPr>
            </w:pPr>
            <w:r w:rsidRPr="0021641E">
              <w:rPr>
                <w:rFonts w:eastAsia="Times New Roman+FPEF"/>
              </w:rPr>
              <w:t>in medical oncology who has:</w:t>
            </w:r>
          </w:p>
          <w:p w14:paraId="29035CA4" w14:textId="77777777" w:rsidR="001061AB" w:rsidRPr="0021641E" w:rsidRDefault="001061AB" w:rsidP="00DE75F6">
            <w:pPr>
              <w:pStyle w:val="Tabletext1"/>
              <w:rPr>
                <w:rFonts w:eastAsia="Times New Roman+FPEF"/>
              </w:rPr>
            </w:pPr>
            <w:r w:rsidRPr="0021641E">
              <w:rPr>
                <w:rFonts w:eastAsia="Times New Roman+FPEF"/>
              </w:rPr>
              <w:t>(</w:t>
            </w:r>
            <w:proofErr w:type="spellStart"/>
            <w:r w:rsidRPr="0021641E">
              <w:rPr>
                <w:rFonts w:eastAsia="Times New Roman+FPEF"/>
              </w:rPr>
              <w:t>i</w:t>
            </w:r>
            <w:proofErr w:type="spellEnd"/>
            <w:r w:rsidRPr="0021641E">
              <w:rPr>
                <w:rFonts w:eastAsia="Times New Roman+FPEF"/>
              </w:rPr>
              <w:t>) examined the patient in the 60 days prior to the scan; and</w:t>
            </w:r>
          </w:p>
          <w:p w14:paraId="0105BA67" w14:textId="77777777" w:rsidR="001061AB" w:rsidRPr="0021641E" w:rsidRDefault="001061AB" w:rsidP="00DE75F6">
            <w:pPr>
              <w:pStyle w:val="Tabletext1"/>
              <w:rPr>
                <w:rFonts w:eastAsia="Times New Roman+FPEF"/>
              </w:rPr>
            </w:pPr>
            <w:r w:rsidRPr="0021641E">
              <w:rPr>
                <w:rFonts w:eastAsia="Times New Roman+FPEF"/>
              </w:rPr>
              <w:t>(ii) recommended the scan for the management of the patient's current prostatic disease (R) (NK)</w:t>
            </w:r>
          </w:p>
          <w:p w14:paraId="53CCA515" w14:textId="77777777" w:rsidR="001061AB" w:rsidRPr="0021641E" w:rsidRDefault="001061AB" w:rsidP="00DE75F6">
            <w:pPr>
              <w:pStyle w:val="Tabletext1"/>
              <w:rPr>
                <w:rFonts w:eastAsia="Times New Roman+FPEF" w:cs="Times New Roman Italic+FPEF"/>
                <w:i/>
                <w:iCs/>
              </w:rPr>
            </w:pPr>
            <w:r w:rsidRPr="0021641E">
              <w:rPr>
                <w:rFonts w:eastAsia="Times New Roman+FPEF" w:cs="Times New Roman Italic+FPEF"/>
                <w:i/>
                <w:iCs/>
              </w:rPr>
              <w:t>(See para DIQ of explanatory notes to this Category)</w:t>
            </w:r>
          </w:p>
          <w:p w14:paraId="6CE60226" w14:textId="77777777" w:rsidR="001061AB" w:rsidRPr="0021641E" w:rsidRDefault="001061AB" w:rsidP="00DE75F6">
            <w:pPr>
              <w:pStyle w:val="Tabletext1"/>
              <w:rPr>
                <w:rFonts w:eastAsia="Times New Roman+FPEF"/>
              </w:rPr>
            </w:pPr>
            <w:r w:rsidRPr="0021641E">
              <w:rPr>
                <w:rFonts w:eastAsia="Times New Roman+FPEF" w:cs="Times New Roman Bold+FPEF"/>
                <w:bCs/>
              </w:rPr>
              <w:t xml:space="preserve">Fee: </w:t>
            </w:r>
            <w:r w:rsidRPr="0021641E">
              <w:rPr>
                <w:rFonts w:eastAsia="Times New Roman+FPEF"/>
              </w:rPr>
              <w:t xml:space="preserve">$54.55 </w:t>
            </w:r>
            <w:r w:rsidRPr="0021641E">
              <w:rPr>
                <w:rFonts w:eastAsia="Times New Roman+FPEF" w:cs="Times New Roman Bold+FPEF"/>
                <w:bCs/>
              </w:rPr>
              <w:t xml:space="preserve">Benefit: </w:t>
            </w:r>
            <w:r w:rsidRPr="0021641E">
              <w:rPr>
                <w:rFonts w:eastAsia="Times New Roman+FPEF"/>
              </w:rPr>
              <w:t>75% = $40.95 85% = $46.40</w:t>
            </w:r>
          </w:p>
        </w:tc>
      </w:tr>
    </w:tbl>
    <w:p w14:paraId="7108EB8B" w14:textId="77777777" w:rsidR="00FE33E1" w:rsidRDefault="00FE33E1" w:rsidP="00F175A8">
      <w:pPr>
        <w:pStyle w:val="TableNotes"/>
      </w:pPr>
    </w:p>
    <w:p w14:paraId="5FE2C6F0" w14:textId="16D68A7E" w:rsidR="001061AB" w:rsidRPr="00C841C8" w:rsidRDefault="001061AB" w:rsidP="00891ED4">
      <w:pPr>
        <w:rPr>
          <w:b/>
          <w:bCs/>
        </w:rPr>
      </w:pPr>
      <w:r w:rsidRPr="00C841C8">
        <w:t xml:space="preserve">The current MBS item for the biopsy portion of ultrasound-guided biopsy of the prostate is </w:t>
      </w:r>
      <w:r w:rsidRPr="00891ED4">
        <w:t>summarised below</w:t>
      </w:r>
      <w:r w:rsidR="00891ED4" w:rsidRPr="00891ED4">
        <w:t xml:space="preserve"> </w:t>
      </w:r>
      <w:r w:rsidR="00891ED4" w:rsidRPr="00891ED4">
        <w:fldChar w:fldCharType="begin"/>
      </w:r>
      <w:r w:rsidR="00891ED4" w:rsidRPr="00891ED4">
        <w:instrText xml:space="preserve"> REF _Ref459185429 \h  \* MERGEFORMAT </w:instrText>
      </w:r>
      <w:r w:rsidR="00891ED4" w:rsidRPr="00891ED4">
        <w:fldChar w:fldCharType="separate"/>
      </w:r>
      <w:r w:rsidR="0029649D">
        <w:t>Table 16</w:t>
      </w:r>
      <w:r w:rsidR="00891ED4" w:rsidRPr="00891ED4">
        <w:fldChar w:fldCharType="end"/>
      </w:r>
      <w:r w:rsidR="00CE5C05" w:rsidRPr="00891ED4">
        <w:t>.</w:t>
      </w:r>
    </w:p>
    <w:p w14:paraId="19F6CCAB" w14:textId="45DE0776" w:rsidR="001061AB" w:rsidRPr="00CE5C05" w:rsidRDefault="00891ED4" w:rsidP="00891ED4">
      <w:pPr>
        <w:pStyle w:val="Caption"/>
      </w:pPr>
      <w:bookmarkStart w:id="192" w:name="_Ref459185429"/>
      <w:bookmarkStart w:id="193" w:name="_Toc455648026"/>
      <w:bookmarkStart w:id="194" w:name="_Toc460514516"/>
      <w:bookmarkEnd w:id="185"/>
      <w:r>
        <w:lastRenderedPageBreak/>
        <w:t xml:space="preserve">Table </w:t>
      </w:r>
      <w:fldSimple w:instr=" SEQ Table \* ARABIC ">
        <w:r w:rsidR="0029649D">
          <w:rPr>
            <w:noProof/>
          </w:rPr>
          <w:t>16</w:t>
        </w:r>
      </w:fldSimple>
      <w:bookmarkEnd w:id="192"/>
      <w:r w:rsidR="001061AB" w:rsidRPr="00CE5C05">
        <w:tab/>
        <w:t xml:space="preserve">Relevant MBS </w:t>
      </w:r>
      <w:bookmarkEnd w:id="186"/>
      <w:bookmarkEnd w:id="187"/>
      <w:bookmarkEnd w:id="188"/>
      <w:r w:rsidR="001061AB" w:rsidRPr="00CE5C05">
        <w:t>item descriptor for item 37219</w:t>
      </w:r>
      <w:bookmarkEnd w:id="193"/>
      <w:bookmarkEnd w:id="194"/>
    </w:p>
    <w:tbl>
      <w:tblPr>
        <w:tblW w:w="9112"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A0" w:firstRow="1" w:lastRow="0" w:firstColumn="1" w:lastColumn="0" w:noHBand="0" w:noVBand="0"/>
        <w:tblCaption w:val="Table 2: Current MBS item descriptor for item 37219"/>
        <w:tblDescription w:val="Current MBS item descriptor for item 37219"/>
      </w:tblPr>
      <w:tblGrid>
        <w:gridCol w:w="9112"/>
      </w:tblGrid>
      <w:tr w:rsidR="001061AB" w:rsidRPr="00C317BE" w14:paraId="72E0FC78" w14:textId="77777777" w:rsidTr="00C317BE">
        <w:trPr>
          <w:trHeight w:val="397"/>
        </w:trPr>
        <w:tc>
          <w:tcPr>
            <w:tcW w:w="9134" w:type="dxa"/>
          </w:tcPr>
          <w:p w14:paraId="2C1669AE" w14:textId="77777777" w:rsidR="001061AB" w:rsidRPr="00C317BE" w:rsidRDefault="001061AB" w:rsidP="000B2189">
            <w:pPr>
              <w:pStyle w:val="Tableheading1"/>
              <w:keepNext/>
            </w:pPr>
            <w:r w:rsidRPr="00C317BE">
              <w:t>Group T8 – Surgical Operations</w:t>
            </w:r>
          </w:p>
        </w:tc>
      </w:tr>
      <w:tr w:rsidR="001061AB" w:rsidRPr="00A34E9C" w14:paraId="07E12F09" w14:textId="77777777" w:rsidTr="00C317BE">
        <w:trPr>
          <w:trHeight w:val="397"/>
        </w:trPr>
        <w:tc>
          <w:tcPr>
            <w:tcW w:w="9134" w:type="dxa"/>
          </w:tcPr>
          <w:p w14:paraId="3C4273A4" w14:textId="77777777" w:rsidR="001061AB" w:rsidRPr="0047485D" w:rsidRDefault="001061AB" w:rsidP="000B2189">
            <w:pPr>
              <w:pStyle w:val="Tabletext1"/>
              <w:keepNext/>
              <w:rPr>
                <w:lang w:val="en-US"/>
              </w:rPr>
            </w:pPr>
            <w:r w:rsidRPr="0047485D">
              <w:rPr>
                <w:lang w:val="en-US"/>
              </w:rPr>
              <w:t>MBS item 37219</w:t>
            </w:r>
          </w:p>
          <w:p w14:paraId="5C5B3192" w14:textId="77777777" w:rsidR="001061AB" w:rsidRPr="0047485D" w:rsidRDefault="001061AB" w:rsidP="000B2189">
            <w:pPr>
              <w:pStyle w:val="Tabletext1"/>
              <w:keepNext/>
              <w:rPr>
                <w:rFonts w:cs="Times New Roman"/>
              </w:rPr>
            </w:pPr>
            <w:r w:rsidRPr="0047485D">
              <w:rPr>
                <w:rFonts w:cs="Times New Roman"/>
              </w:rPr>
              <w:t xml:space="preserve">PROSTATE, needle biopsy of, using prostatic ultrasound techniques and obtaining 1 or more prostatic specimens, being a service associated with a service to which item 55600 or 55603 applies </w:t>
            </w:r>
          </w:p>
          <w:p w14:paraId="31898375" w14:textId="77777777" w:rsidR="001061AB" w:rsidRPr="0047485D" w:rsidRDefault="001061AB" w:rsidP="000B2189">
            <w:pPr>
              <w:pStyle w:val="Tabletext1"/>
              <w:keepNext/>
              <w:rPr>
                <w:rFonts w:cs="Times New Roman"/>
              </w:rPr>
            </w:pPr>
            <w:r w:rsidRPr="0047485D">
              <w:rPr>
                <w:rFonts w:cs="Times New Roman"/>
              </w:rPr>
              <w:t xml:space="preserve">Multiple services rule. </w:t>
            </w:r>
          </w:p>
          <w:p w14:paraId="0384FC0B" w14:textId="77777777" w:rsidR="001061AB" w:rsidRPr="0047485D" w:rsidRDefault="001061AB" w:rsidP="000B2189">
            <w:pPr>
              <w:pStyle w:val="Tabletext1"/>
              <w:keepNext/>
              <w:rPr>
                <w:rFonts w:cs="Times New Roman"/>
              </w:rPr>
            </w:pPr>
            <w:r w:rsidRPr="0047485D">
              <w:rPr>
                <w:rFonts w:cs="Times New Roman"/>
              </w:rPr>
              <w:t>(</w:t>
            </w:r>
            <w:proofErr w:type="spellStart"/>
            <w:r w:rsidRPr="0047485D">
              <w:rPr>
                <w:rFonts w:cs="Times New Roman"/>
              </w:rPr>
              <w:t>Anaes</w:t>
            </w:r>
            <w:proofErr w:type="spellEnd"/>
            <w:r w:rsidRPr="0047485D">
              <w:rPr>
                <w:rFonts w:cs="Times New Roman"/>
              </w:rPr>
              <w:t>.) (Assist.)</w:t>
            </w:r>
          </w:p>
          <w:p w14:paraId="1FC5F1FD" w14:textId="77777777" w:rsidR="001061AB" w:rsidRPr="0047485D" w:rsidRDefault="001061AB" w:rsidP="000B2189">
            <w:pPr>
              <w:pStyle w:val="Tabletext1"/>
              <w:keepNext/>
              <w:rPr>
                <w:rFonts w:cs="Times New Roman"/>
                <w:color w:val="222222"/>
              </w:rPr>
            </w:pPr>
            <w:r w:rsidRPr="0047485D">
              <w:rPr>
                <w:rFonts w:cs="Times New Roman"/>
                <w:bCs/>
              </w:rPr>
              <w:t>Fee:</w:t>
            </w:r>
            <w:r w:rsidRPr="0047485D">
              <w:rPr>
                <w:rFonts w:cs="Times New Roman"/>
              </w:rPr>
              <w:t xml:space="preserve"> $280.85 </w:t>
            </w:r>
            <w:r w:rsidRPr="0047485D">
              <w:rPr>
                <w:rFonts w:cs="Times New Roman"/>
                <w:bCs/>
              </w:rPr>
              <w:t>Benefit:</w:t>
            </w:r>
            <w:r w:rsidRPr="0047485D">
              <w:rPr>
                <w:rFonts w:cs="Times New Roman"/>
              </w:rPr>
              <w:t xml:space="preserve"> 75% = $210.65 85% = $238.75</w:t>
            </w:r>
          </w:p>
        </w:tc>
      </w:tr>
    </w:tbl>
    <w:p w14:paraId="5970C3BA" w14:textId="77777777" w:rsidR="00A3057B" w:rsidRDefault="00A3057B" w:rsidP="00F175A8">
      <w:pPr>
        <w:pStyle w:val="TableNotes"/>
      </w:pPr>
      <w:bookmarkStart w:id="195" w:name="_Toc445463433"/>
    </w:p>
    <w:p w14:paraId="05D490D4" w14:textId="77777777" w:rsidR="001061AB" w:rsidRPr="00183E4D" w:rsidRDefault="001061AB" w:rsidP="008813E6">
      <w:pPr>
        <w:pStyle w:val="Heading2"/>
        <w:numPr>
          <w:ilvl w:val="0"/>
          <w:numId w:val="7"/>
        </w:numPr>
      </w:pPr>
      <w:bookmarkStart w:id="196" w:name="_Toc460513896"/>
      <w:r>
        <w:t>Clinical Management Algorithm(s)</w:t>
      </w:r>
      <w:bookmarkEnd w:id="195"/>
      <w:bookmarkEnd w:id="196"/>
    </w:p>
    <w:p w14:paraId="46C4D41B" w14:textId="05AE6C58" w:rsidR="001061AB" w:rsidRPr="00B1324F" w:rsidRDefault="001061AB" w:rsidP="001061AB">
      <w:pPr>
        <w:rPr>
          <w:b/>
          <w:smallCaps/>
          <w:sz w:val="24"/>
          <w:szCs w:val="24"/>
        </w:rPr>
      </w:pPr>
      <w:r w:rsidRPr="00B1324F">
        <w:rPr>
          <w:b/>
          <w:smallCaps/>
          <w:sz w:val="24"/>
          <w:szCs w:val="24"/>
        </w:rPr>
        <w:t>A6.1</w:t>
      </w:r>
      <w:r w:rsidRPr="00B1324F">
        <w:rPr>
          <w:b/>
          <w:smallCaps/>
          <w:sz w:val="24"/>
          <w:szCs w:val="24"/>
        </w:rPr>
        <w:tab/>
      </w:r>
      <w:r w:rsidR="004146D6">
        <w:rPr>
          <w:b/>
          <w:smallCaps/>
          <w:sz w:val="24"/>
          <w:szCs w:val="24"/>
        </w:rPr>
        <w:tab/>
      </w:r>
      <w:r w:rsidRPr="00B1324F">
        <w:rPr>
          <w:b/>
          <w:smallCaps/>
          <w:sz w:val="24"/>
          <w:szCs w:val="24"/>
        </w:rPr>
        <w:t>Population 1</w:t>
      </w:r>
    </w:p>
    <w:p w14:paraId="0809E767" w14:textId="7B7D89B6" w:rsidR="001061AB" w:rsidRDefault="001061AB" w:rsidP="001061AB">
      <w:r>
        <w:t xml:space="preserve">Currently, the signs of </w:t>
      </w:r>
      <w:proofErr w:type="spellStart"/>
      <w:r w:rsidR="006818E1">
        <w:t>PCa</w:t>
      </w:r>
      <w:proofErr w:type="spellEnd"/>
      <w:r>
        <w:t xml:space="preserve"> are detected with a PSA</w:t>
      </w:r>
      <w:r w:rsidR="009B3F50">
        <w:t xml:space="preserve"> </w:t>
      </w:r>
      <w:r>
        <w:t>and/or a DRE</w:t>
      </w:r>
      <w:r w:rsidR="008134C1">
        <w:t xml:space="preserve"> test</w:t>
      </w:r>
      <w:r>
        <w:t xml:space="preserve">. Criteria for suspected </w:t>
      </w:r>
      <w:proofErr w:type="spellStart"/>
      <w:r w:rsidR="006818E1">
        <w:t>PCa</w:t>
      </w:r>
      <w:proofErr w:type="spellEnd"/>
      <w:r>
        <w:t>, for the purposes of this contracted assessment, are defined as:</w:t>
      </w:r>
    </w:p>
    <w:p w14:paraId="7EFF1ADA" w14:textId="06F4EF73" w:rsidR="001061AB" w:rsidRDefault="001061AB" w:rsidP="00A3402C">
      <w:pPr>
        <w:pStyle w:val="ListParagraph"/>
        <w:numPr>
          <w:ilvl w:val="0"/>
          <w:numId w:val="22"/>
        </w:numPr>
      </w:pPr>
      <w:r>
        <w:t xml:space="preserve">PSA </w:t>
      </w:r>
      <w:r w:rsidR="005F38B9">
        <w:rPr>
          <w:rFonts w:cs="Calibri"/>
        </w:rPr>
        <w:t>greater than</w:t>
      </w:r>
      <w:r>
        <w:t xml:space="preserve"> 3</w:t>
      </w:r>
      <w:r w:rsidR="001D697C" w:rsidRPr="001D697C">
        <w:rPr>
          <w:rFonts w:asciiTheme="minorHAnsi" w:hAnsiTheme="minorHAnsi"/>
        </w:rPr>
        <w:t>ng/ml</w:t>
      </w:r>
      <w:r>
        <w:t xml:space="preserve"> (or lower level if </w:t>
      </w:r>
      <w:r w:rsidR="0077335D">
        <w:t>less than</w:t>
      </w:r>
      <w:r w:rsidR="00CA2D63">
        <w:t xml:space="preserve"> 50 years of age </w:t>
      </w:r>
      <w:r w:rsidR="008E0B00">
        <w:fldChar w:fldCharType="begin"/>
      </w:r>
      <w:r w:rsidR="008E0B00">
        <w:instrText xml:space="preserve"> ADDIN EN.CITE &lt;EndNote&gt;&lt;Cite&gt;&lt;Author&gt;Barentsz&lt;/Author&gt;&lt;Year&gt;2012&lt;/Year&gt;&lt;RecNum&gt;17&lt;/RecNum&gt;&lt;DisplayText&gt;(Barentsz et al. 2012)&lt;/DisplayText&gt;&lt;record&gt;&lt;rec-number&gt;17&lt;/rec-number&gt;&lt;foreign-keys&gt;&lt;key app="EN" db-id="2p9terxr22fx91epzebpfdwuzrwtw2a2ep2t" timestamp="1472684601"&gt;17&lt;/key&gt;&lt;/foreign-keys&gt;&lt;ref-type name="Journal Article"&gt;17&lt;/ref-type&gt;&lt;contributors&gt;&lt;authors&gt;&lt;author&gt;Barentsz, J. O.&lt;/author&gt;&lt;author&gt;Richenberg, J.&lt;/author&gt;&lt;author&gt;Clements, R.&lt;/author&gt;&lt;author&gt;Choyke, P.&lt;/author&gt;&lt;author&gt;Verma, S.&lt;/author&gt;&lt;author&gt;Villeirs, G.&lt;/author&gt;&lt;author&gt;Rouviere, O.&lt;/author&gt;&lt;author&gt;Logager, V.&lt;/author&gt;&lt;author&gt;Futterer, J. J.&lt;/author&gt;&lt;/authors&gt;&lt;/contributors&gt;&lt;auth-address&gt;Department of Radiology, Radboud University Nijmegen Medical Center, Nijmegen, The Netherlands. j.barentsz@rad.umcn.nl&lt;/auth-address&gt;&lt;titles&gt;&lt;title&gt;ESUR prostate MR guidelines 2012&lt;/title&gt;&lt;secondary-title&gt;Eur Radiol&lt;/secondary-title&gt;&lt;alt-title&gt;Eur J Radiol&lt;/alt-title&gt;&lt;/titles&gt;&lt;periodical&gt;&lt;full-title&gt;Eur Radiol&lt;/full-title&gt;&lt;abbr-1&gt;European radiology&lt;/abbr-1&gt;&lt;/periodical&gt;&lt;pages&gt;746-57&lt;/pages&gt;&lt;volume&gt;22&lt;/volume&gt;&lt;number&gt;4&lt;/number&gt;&lt;edition&gt;2012/02/11&lt;/edition&gt;&lt;keywords&gt;&lt;keyword&gt;Europe&lt;/keyword&gt;&lt;keyword&gt;Humans&lt;/keyword&gt;&lt;keyword&gt;Magnetic Resonance Imaging/*standards&lt;/keyword&gt;&lt;keyword&gt;Male&lt;/keyword&gt;&lt;keyword&gt;Medical Oncology/*standards&lt;/keyword&gt;&lt;keyword&gt;Prostatic Neoplasms/*diagnosis&lt;/keyword&gt;&lt;keyword&gt;Radiology/*standards&lt;/keyword&gt;&lt;keyword&gt;Urology/*standards&lt;/keyword&gt;&lt;/keywords&gt;&lt;dates&gt;&lt;year&gt;2012&lt;/year&gt;&lt;pub-dates&gt;&lt;date&gt;Apr&lt;/date&gt;&lt;/pub-dates&gt;&lt;/dates&gt;&lt;isbn&gt;0938-7994&lt;/isbn&gt;&lt;accession-num&gt;22322308&lt;/accession-num&gt;&lt;urls&gt;&lt;/urls&gt;&lt;custom2&gt;Pmc3297750&lt;/custom2&gt;&lt;electronic-resource-num&gt;10.1007/s00330-011-2377-y&lt;/electronic-resource-num&gt;&lt;remote-database-provider&gt;NLM&lt;/remote-database-provider&gt;&lt;language&gt;eng&lt;/language&gt;&lt;/record&gt;&lt;/Cite&gt;&lt;/EndNote&gt;</w:instrText>
      </w:r>
      <w:r w:rsidR="008E0B00">
        <w:fldChar w:fldCharType="separate"/>
      </w:r>
      <w:r w:rsidR="008E0B00">
        <w:rPr>
          <w:noProof/>
        </w:rPr>
        <w:t>(</w:t>
      </w:r>
      <w:hyperlink w:anchor="_ENREF_13" w:tooltip="Barentsz, 2012 #17" w:history="1">
        <w:r w:rsidR="008E0B00">
          <w:rPr>
            <w:noProof/>
          </w:rPr>
          <w:t>Barentsz et al. 2012</w:t>
        </w:r>
      </w:hyperlink>
      <w:r w:rsidR="008E0B00">
        <w:rPr>
          <w:noProof/>
        </w:rPr>
        <w:t>)</w:t>
      </w:r>
      <w:r w:rsidR="008E0B00">
        <w:fldChar w:fldCharType="end"/>
      </w:r>
      <w:r w:rsidR="004146D6">
        <w:t>;</w:t>
      </w:r>
      <w:r w:rsidR="00E946A0">
        <w:t xml:space="preserve"> </w:t>
      </w:r>
      <w:r w:rsidRPr="00E946A0">
        <w:t>or</w:t>
      </w:r>
    </w:p>
    <w:p w14:paraId="1BB6257E" w14:textId="18F7C055" w:rsidR="001061AB" w:rsidRDefault="001061AB" w:rsidP="00A3402C">
      <w:pPr>
        <w:pStyle w:val="ListParagraph"/>
        <w:numPr>
          <w:ilvl w:val="0"/>
          <w:numId w:val="22"/>
        </w:numPr>
      </w:pPr>
      <w:r>
        <w:t xml:space="preserve">Positive </w:t>
      </w:r>
      <w:r w:rsidR="008134C1">
        <w:t>f</w:t>
      </w:r>
      <w:r>
        <w:t xml:space="preserve">amily </w:t>
      </w:r>
      <w:r w:rsidR="008134C1">
        <w:t>h</w:t>
      </w:r>
      <w:r>
        <w:t xml:space="preserve">istory (includes </w:t>
      </w:r>
      <w:r w:rsidR="008134C1">
        <w:t>breast cancer (</w:t>
      </w:r>
      <w:r>
        <w:t>BRCA</w:t>
      </w:r>
      <w:r w:rsidR="008134C1">
        <w:t>)</w:t>
      </w:r>
      <w:r>
        <w:t xml:space="preserve"> gene mutation)</w:t>
      </w:r>
      <w:r w:rsidR="004146D6">
        <w:t>;</w:t>
      </w:r>
      <w:r>
        <w:t xml:space="preserve"> or </w:t>
      </w:r>
    </w:p>
    <w:p w14:paraId="35C915D6" w14:textId="739A422F" w:rsidR="001061AB" w:rsidRDefault="001061AB" w:rsidP="00A3402C">
      <w:pPr>
        <w:pStyle w:val="ListParagraph"/>
        <w:numPr>
          <w:ilvl w:val="0"/>
          <w:numId w:val="22"/>
        </w:numPr>
      </w:pPr>
      <w:r>
        <w:t>Free/</w:t>
      </w:r>
      <w:r w:rsidR="008134C1">
        <w:t>t</w:t>
      </w:r>
      <w:r>
        <w:t xml:space="preserve">otal PSA ratio </w:t>
      </w:r>
      <w:r w:rsidR="0077335D">
        <w:t>less than</w:t>
      </w:r>
      <w:r>
        <w:t xml:space="preserve"> 25</w:t>
      </w:r>
      <w:r w:rsidR="00FB18F0">
        <w:t xml:space="preserve"> per cent</w:t>
      </w:r>
      <w:r w:rsidR="004146D6">
        <w:t>; or</w:t>
      </w:r>
    </w:p>
    <w:p w14:paraId="7E577C05" w14:textId="7FEA05F3" w:rsidR="001061AB" w:rsidRDefault="001061AB" w:rsidP="00A3402C">
      <w:pPr>
        <w:pStyle w:val="ListParagraph"/>
        <w:numPr>
          <w:ilvl w:val="0"/>
          <w:numId w:val="22"/>
        </w:numPr>
      </w:pPr>
      <w:r>
        <w:t>Positive DRE</w:t>
      </w:r>
      <w:r w:rsidR="004146D6">
        <w:t>.</w:t>
      </w:r>
    </w:p>
    <w:p w14:paraId="7D3DBE61" w14:textId="5C9C815E" w:rsidR="001061AB" w:rsidRDefault="008134C1" w:rsidP="001061AB">
      <w:r>
        <w:t xml:space="preserve">The </w:t>
      </w:r>
      <w:r w:rsidR="001061AB">
        <w:t xml:space="preserve">PSA and DRE </w:t>
      </w:r>
      <w:r>
        <w:t xml:space="preserve">tests </w:t>
      </w:r>
      <w:r w:rsidR="001061AB">
        <w:t xml:space="preserve">are not diagnostic; diagnosis is obtained via either </w:t>
      </w:r>
      <w:r w:rsidR="00010606">
        <w:t>TRUSGB</w:t>
      </w:r>
      <w:r w:rsidR="001061AB">
        <w:t xml:space="preserve"> or </w:t>
      </w:r>
      <w:r w:rsidR="00010606">
        <w:t>TPUSGB</w:t>
      </w:r>
      <w:r w:rsidR="001061AB">
        <w:t xml:space="preserve">. </w:t>
      </w:r>
      <w:r w:rsidR="00FD0DDB">
        <w:t xml:space="preserve">The current clinical management algorithm is outlined in Figure 1. </w:t>
      </w:r>
      <w:r w:rsidR="001061AB">
        <w:t xml:space="preserve">Patients who receive a negative biopsy result will remain under observation and have a follow-up PSA test after six months. Patients with a biopsy result indicating intermediate or low risk cancer will be offered </w:t>
      </w:r>
      <w:r w:rsidR="00CE60C4">
        <w:t>AS</w:t>
      </w:r>
      <w:r w:rsidR="001061AB">
        <w:t xml:space="preserve">, which is detailed in </w:t>
      </w:r>
      <w:r w:rsidR="001061AB" w:rsidRPr="00505704">
        <w:t>Figure 3. Patients with a biopsy result indicating high risk or intermediate risk cancer will be offered</w:t>
      </w:r>
      <w:r w:rsidR="001061AB">
        <w:t xml:space="preserve"> surgery or a radiotherapy/hormone therapy combination.</w:t>
      </w:r>
    </w:p>
    <w:p w14:paraId="44BD851A" w14:textId="77777777" w:rsidR="001061AB" w:rsidRDefault="001061AB" w:rsidP="00CE5C05">
      <w:pPr>
        <w:pStyle w:val="Caption"/>
      </w:pPr>
      <w:bookmarkStart w:id="197" w:name="_Ref379455005"/>
      <w:bookmarkStart w:id="198" w:name="_Ref379454995"/>
      <w:bookmarkStart w:id="199" w:name="_Toc381969891"/>
      <w:bookmarkStart w:id="200" w:name="_Toc455648064"/>
      <w:bookmarkStart w:id="201" w:name="_Toc460514608"/>
      <w:r w:rsidRPr="00183E4D">
        <w:lastRenderedPageBreak/>
        <w:t xml:space="preserve">Figure </w:t>
      </w:r>
      <w:fldSimple w:instr=" SEQ Figure \* ARABIC ">
        <w:r w:rsidR="0029649D">
          <w:rPr>
            <w:noProof/>
          </w:rPr>
          <w:t>1</w:t>
        </w:r>
      </w:fldSimple>
      <w:bookmarkEnd w:id="197"/>
      <w:r w:rsidRPr="00183E4D">
        <w:tab/>
      </w:r>
      <w:bookmarkEnd w:id="198"/>
      <w:bookmarkEnd w:id="199"/>
      <w:r w:rsidRPr="005944F4">
        <w:t>Current clinical management algorithm without the proposed intervention</w:t>
      </w:r>
      <w:bookmarkEnd w:id="200"/>
      <w:bookmarkEnd w:id="201"/>
    </w:p>
    <w:p w14:paraId="35A805A5" w14:textId="58EB0409" w:rsidR="001061AB" w:rsidRDefault="001061AB" w:rsidP="001061AB">
      <w:pPr>
        <w:spacing w:after="0"/>
        <w:rPr>
          <w:noProof/>
        </w:rPr>
      </w:pPr>
      <w:r>
        <w:rPr>
          <w:noProof/>
        </w:rPr>
        <w:drawing>
          <wp:inline distT="0" distB="0" distL="0" distR="0" wp14:anchorId="2EBDC7E0" wp14:editId="41A9A6EE">
            <wp:extent cx="5427878" cy="2665229"/>
            <wp:effectExtent l="0" t="0" r="1905" b="1905"/>
            <wp:docPr id="3" name="Picture 3" title="Figure 1: Current clinical management algorithm without the proposed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rithm current 31Jul15.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38088" cy="2670242"/>
                    </a:xfrm>
                    <a:prstGeom prst="rect">
                      <a:avLst/>
                    </a:prstGeom>
                  </pic:spPr>
                </pic:pic>
              </a:graphicData>
            </a:graphic>
          </wp:inline>
        </w:drawing>
      </w:r>
    </w:p>
    <w:p w14:paraId="09ED648F" w14:textId="1B769A29" w:rsidR="001061AB" w:rsidRPr="008134C1" w:rsidRDefault="0066172B" w:rsidP="00DF78F8">
      <w:pPr>
        <w:pStyle w:val="TableNotes"/>
      </w:pPr>
      <w:r w:rsidRPr="008134C1">
        <w:t>PSA</w:t>
      </w:r>
      <w:r w:rsidR="008134C1" w:rsidRPr="008134C1">
        <w:t xml:space="preserve"> </w:t>
      </w:r>
      <w:r w:rsidRPr="008134C1">
        <w:t>=</w:t>
      </w:r>
      <w:r w:rsidR="008134C1" w:rsidRPr="008134C1">
        <w:t xml:space="preserve"> </w:t>
      </w:r>
      <w:r w:rsidRPr="008134C1">
        <w:t>prostate</w:t>
      </w:r>
      <w:r w:rsidR="00E54571" w:rsidRPr="008134C1">
        <w:t>-</w:t>
      </w:r>
      <w:r w:rsidRPr="008134C1">
        <w:t>specific antigen test</w:t>
      </w:r>
      <w:r w:rsidR="008134C1" w:rsidRPr="008134C1">
        <w:t>,</w:t>
      </w:r>
      <w:r w:rsidRPr="008134C1">
        <w:t xml:space="preserve"> DRE</w:t>
      </w:r>
      <w:r w:rsidR="008134C1" w:rsidRPr="008134C1">
        <w:t xml:space="preserve"> </w:t>
      </w:r>
      <w:r w:rsidRPr="008134C1">
        <w:t>=</w:t>
      </w:r>
      <w:r w:rsidR="008134C1" w:rsidRPr="008134C1">
        <w:t xml:space="preserve"> </w:t>
      </w:r>
      <w:r w:rsidRPr="008134C1">
        <w:t>digital rectal examination</w:t>
      </w:r>
      <w:r w:rsidR="008134C1" w:rsidRPr="008134C1">
        <w:t>,</w:t>
      </w:r>
      <w:r w:rsidRPr="008134C1">
        <w:t xml:space="preserve"> TRUSGB</w:t>
      </w:r>
      <w:r w:rsidR="008134C1" w:rsidRPr="008134C1">
        <w:t xml:space="preserve"> </w:t>
      </w:r>
      <w:r w:rsidRPr="008134C1">
        <w:t>=</w:t>
      </w:r>
      <w:r w:rsidR="008134C1" w:rsidRPr="008134C1">
        <w:t xml:space="preserve"> </w:t>
      </w:r>
      <w:r w:rsidRPr="008134C1">
        <w:t>trans</w:t>
      </w:r>
      <w:r w:rsidR="008134C1" w:rsidRPr="008134C1">
        <w:t>-</w:t>
      </w:r>
      <w:r w:rsidRPr="008134C1">
        <w:t>rectal ultrasound guided biopsy</w:t>
      </w:r>
      <w:r w:rsidR="008134C1" w:rsidRPr="008134C1">
        <w:t>,</w:t>
      </w:r>
      <w:r w:rsidRPr="008134C1">
        <w:t xml:space="preserve"> TPUSGB</w:t>
      </w:r>
      <w:r w:rsidR="008134C1" w:rsidRPr="008134C1">
        <w:t xml:space="preserve"> </w:t>
      </w:r>
      <w:r w:rsidRPr="008134C1">
        <w:t>=</w:t>
      </w:r>
      <w:r w:rsidR="008134C1" w:rsidRPr="008134C1">
        <w:t xml:space="preserve"> </w:t>
      </w:r>
      <w:r w:rsidRPr="008134C1">
        <w:t>trans</w:t>
      </w:r>
      <w:r w:rsidR="008134C1" w:rsidRPr="008134C1">
        <w:t>-</w:t>
      </w:r>
      <w:r w:rsidRPr="008134C1">
        <w:t xml:space="preserve">perineal ultrasound guided biopsy. </w:t>
      </w:r>
    </w:p>
    <w:p w14:paraId="73377EB7" w14:textId="2591ED27" w:rsidR="001061AB" w:rsidRDefault="001061AB" w:rsidP="001061AB">
      <w:r>
        <w:t xml:space="preserve">Under the proposed clinical management </w:t>
      </w:r>
      <w:r w:rsidRPr="00D74C7C">
        <w:t>algorithm</w:t>
      </w:r>
      <w:r w:rsidR="00994945">
        <w:t>,</w:t>
      </w:r>
      <w:r w:rsidRPr="00D74C7C">
        <w:t xml:space="preserve"> patients with suspected </w:t>
      </w:r>
      <w:proofErr w:type="spellStart"/>
      <w:r w:rsidR="006818E1">
        <w:t>PCa</w:t>
      </w:r>
      <w:proofErr w:type="spellEnd"/>
      <w:r w:rsidRPr="00D74C7C">
        <w:t xml:space="preserve"> would be </w:t>
      </w:r>
      <w:r>
        <w:t xml:space="preserve">imaged </w:t>
      </w:r>
      <w:r w:rsidRPr="00D74C7C">
        <w:t xml:space="preserve">using </w:t>
      </w:r>
      <w:proofErr w:type="spellStart"/>
      <w:r w:rsidRPr="00D74C7C">
        <w:t>mpMRI</w:t>
      </w:r>
      <w:proofErr w:type="spellEnd"/>
      <w:r w:rsidRPr="00D74C7C">
        <w:t>.</w:t>
      </w:r>
      <w:r>
        <w:t xml:space="preserve"> </w:t>
      </w:r>
      <w:r w:rsidR="00FD0DDB">
        <w:t>The proposed clinical management algorithm is outlined in Figure 2.</w:t>
      </w:r>
    </w:p>
    <w:p w14:paraId="3305183C" w14:textId="3F365912" w:rsidR="001061AB" w:rsidRDefault="001061AB" w:rsidP="001061AB">
      <w:r w:rsidRPr="00D74C7C">
        <w:t xml:space="preserve">Patients with PI-RADS scores 1, 2, </w:t>
      </w:r>
      <w:r>
        <w:t>or</w:t>
      </w:r>
      <w:r w:rsidRPr="00D74C7C">
        <w:t xml:space="preserve"> 3 with </w:t>
      </w:r>
      <w:r w:rsidR="0058672B">
        <w:t>low-concern</w:t>
      </w:r>
      <w:r w:rsidRPr="00D74C7C">
        <w:t xml:space="preserve">, will return to primary care and may remain under observation. </w:t>
      </w:r>
      <w:r>
        <w:t xml:space="preserve">These patients will avoid a biopsy under the proposed algorithm. </w:t>
      </w:r>
      <w:r w:rsidRPr="00D74C7C">
        <w:t>Patients with PI-RADS score</w:t>
      </w:r>
      <w:r>
        <w:t xml:space="preserve"> of 1, 2</w:t>
      </w:r>
      <w:r w:rsidR="003E4794">
        <w:t>,</w:t>
      </w:r>
      <w:r>
        <w:t xml:space="preserve"> or</w:t>
      </w:r>
      <w:r w:rsidRPr="00D74C7C">
        <w:t xml:space="preserve"> 3 with </w:t>
      </w:r>
      <w:r>
        <w:t xml:space="preserve">very </w:t>
      </w:r>
      <w:r w:rsidRPr="00D74C7C">
        <w:t>high</w:t>
      </w:r>
      <w:r w:rsidR="00F625D7">
        <w:t>-</w:t>
      </w:r>
      <w:r w:rsidRPr="00D74C7C">
        <w:t xml:space="preserve"> </w:t>
      </w:r>
      <w:r>
        <w:t>or intermediate</w:t>
      </w:r>
      <w:r w:rsidR="00F625D7">
        <w:t>-</w:t>
      </w:r>
      <w:r>
        <w:t>concern will have a systematic biopsy under both the current and proposed algorithms. P</w:t>
      </w:r>
      <w:r w:rsidRPr="00D74C7C">
        <w:t xml:space="preserve">atients with PI-RADS scores 4 </w:t>
      </w:r>
      <w:r w:rsidR="00994945">
        <w:t>or</w:t>
      </w:r>
      <w:r w:rsidR="00994945" w:rsidRPr="00D74C7C">
        <w:t xml:space="preserve"> </w:t>
      </w:r>
      <w:r w:rsidRPr="00D74C7C">
        <w:t>5</w:t>
      </w:r>
      <w:r>
        <w:t>, regardless of clinical concern,</w:t>
      </w:r>
      <w:r w:rsidRPr="00D74C7C">
        <w:t xml:space="preserve"> will have a</w:t>
      </w:r>
      <w:r w:rsidR="00010606">
        <w:t xml:space="preserve"> </w:t>
      </w:r>
      <w:r w:rsidR="00010606" w:rsidRPr="00A904A6">
        <w:t>magnetic resonance guided biopsy</w:t>
      </w:r>
      <w:r w:rsidR="00010606">
        <w:t xml:space="preserve"> (MRIGB)</w:t>
      </w:r>
      <w:r>
        <w:t xml:space="preserve"> of the lesion (</w:t>
      </w:r>
      <w:r w:rsidR="00010606">
        <w:t xml:space="preserve">either MRI/US fusion, in-gantry </w:t>
      </w:r>
      <w:r>
        <w:t>or cognitive</w:t>
      </w:r>
      <w:r w:rsidR="00010606">
        <w:t xml:space="preserve"> targeting methods</w:t>
      </w:r>
      <w:r>
        <w:t>) in place of a systematic biopsy under current management. High</w:t>
      </w:r>
      <w:r w:rsidR="00F625D7">
        <w:t>-</w:t>
      </w:r>
      <w:r>
        <w:t xml:space="preserve"> or intermediate</w:t>
      </w:r>
      <w:r w:rsidR="00F625D7">
        <w:t>-</w:t>
      </w:r>
      <w:r>
        <w:t>concern is defined as:</w:t>
      </w:r>
    </w:p>
    <w:p w14:paraId="657F82E5" w14:textId="448D0099" w:rsidR="001061AB" w:rsidRDefault="001061AB" w:rsidP="00A3402C">
      <w:pPr>
        <w:pStyle w:val="ListParagraph"/>
        <w:numPr>
          <w:ilvl w:val="0"/>
          <w:numId w:val="23"/>
        </w:numPr>
      </w:pPr>
      <w:r>
        <w:t>Positive family history/ BRCA gene mutation</w:t>
      </w:r>
      <w:r w:rsidR="004146D6">
        <w:t>;</w:t>
      </w:r>
      <w:r>
        <w:t xml:space="preserve"> or </w:t>
      </w:r>
    </w:p>
    <w:p w14:paraId="67CD87DF" w14:textId="705CD80D" w:rsidR="001061AB" w:rsidRDefault="001061AB" w:rsidP="00A3402C">
      <w:pPr>
        <w:pStyle w:val="ListParagraph"/>
        <w:numPr>
          <w:ilvl w:val="0"/>
          <w:numId w:val="23"/>
        </w:numPr>
      </w:pPr>
      <w:r>
        <w:t>Free/</w:t>
      </w:r>
      <w:r w:rsidR="008134C1">
        <w:t>t</w:t>
      </w:r>
      <w:r>
        <w:t xml:space="preserve">otal PSA </w:t>
      </w:r>
      <w:r w:rsidR="008134C1">
        <w:t>r</w:t>
      </w:r>
      <w:r>
        <w:t xml:space="preserve">atio </w:t>
      </w:r>
      <w:r w:rsidR="005F38B9">
        <w:t>less than</w:t>
      </w:r>
      <w:r>
        <w:t xml:space="preserve"> 12</w:t>
      </w:r>
      <w:r w:rsidR="00FB18F0">
        <w:t xml:space="preserve"> per cent</w:t>
      </w:r>
      <w:r w:rsidR="004146D6">
        <w:t>;</w:t>
      </w:r>
      <w:r>
        <w:t xml:space="preserve"> or </w:t>
      </w:r>
    </w:p>
    <w:p w14:paraId="52E25971" w14:textId="014F1AFF" w:rsidR="001061AB" w:rsidRDefault="001061AB" w:rsidP="00A3402C">
      <w:pPr>
        <w:pStyle w:val="ListParagraph"/>
        <w:numPr>
          <w:ilvl w:val="0"/>
          <w:numId w:val="23"/>
        </w:numPr>
      </w:pPr>
      <w:r>
        <w:t xml:space="preserve">PSA density </w:t>
      </w:r>
      <w:r w:rsidR="005F38B9">
        <w:rPr>
          <w:rFonts w:cs="Calibri"/>
        </w:rPr>
        <w:t>greater than</w:t>
      </w:r>
      <w:r>
        <w:t xml:space="preserve"> 0.15. </w:t>
      </w:r>
    </w:p>
    <w:p w14:paraId="508E1F50" w14:textId="62FE2F51" w:rsidR="001061AB" w:rsidRDefault="001061AB" w:rsidP="001061AB">
      <w:r>
        <w:t>Low</w:t>
      </w:r>
      <w:r w:rsidR="006761C1">
        <w:t>-</w:t>
      </w:r>
      <w:r>
        <w:t xml:space="preserve">concern is defined as patients who have suspected </w:t>
      </w:r>
      <w:proofErr w:type="spellStart"/>
      <w:r w:rsidR="006818E1">
        <w:t>PCa</w:t>
      </w:r>
      <w:proofErr w:type="spellEnd"/>
      <w:r>
        <w:t xml:space="preserve"> but do not meet the criteria for high</w:t>
      </w:r>
      <w:r w:rsidR="00F625D7">
        <w:t>-</w:t>
      </w:r>
      <w:r>
        <w:t xml:space="preserve"> or intermediate</w:t>
      </w:r>
      <w:r w:rsidR="00F625D7">
        <w:t>-</w:t>
      </w:r>
      <w:r>
        <w:t>concern.</w:t>
      </w:r>
    </w:p>
    <w:p w14:paraId="7754230A" w14:textId="10426DB0" w:rsidR="001061AB" w:rsidRDefault="001061AB" w:rsidP="006761C1">
      <w:r w:rsidRPr="00D74C7C">
        <w:t xml:space="preserve">Based on the results of the biopsy, patients </w:t>
      </w:r>
      <w:r w:rsidR="003E4794">
        <w:t>would</w:t>
      </w:r>
      <w:r w:rsidR="003E4794" w:rsidRPr="00D74C7C">
        <w:t xml:space="preserve"> </w:t>
      </w:r>
      <w:r w:rsidRPr="00D74C7C">
        <w:t>either:</w:t>
      </w:r>
    </w:p>
    <w:p w14:paraId="71D134CF" w14:textId="4BD44089" w:rsidR="001061AB" w:rsidRDefault="004146D6" w:rsidP="00A3402C">
      <w:pPr>
        <w:pStyle w:val="ListParagraph"/>
        <w:numPr>
          <w:ilvl w:val="0"/>
          <w:numId w:val="21"/>
        </w:numPr>
      </w:pPr>
      <w:r>
        <w:t>R</w:t>
      </w:r>
      <w:r w:rsidR="001061AB">
        <w:t>eturn to primary care under observation, with a follow-up PSA test after six months; or</w:t>
      </w:r>
    </w:p>
    <w:p w14:paraId="01E3E4E9" w14:textId="78680B7B" w:rsidR="001061AB" w:rsidRDefault="004146D6" w:rsidP="00A3402C">
      <w:pPr>
        <w:pStyle w:val="ListParagraph"/>
        <w:numPr>
          <w:ilvl w:val="0"/>
          <w:numId w:val="21"/>
        </w:numPr>
      </w:pPr>
      <w:r>
        <w:t>B</w:t>
      </w:r>
      <w:r w:rsidR="001061AB">
        <w:t xml:space="preserve">egin </w:t>
      </w:r>
      <w:r w:rsidR="00CE60C4">
        <w:t>AS</w:t>
      </w:r>
      <w:r w:rsidR="001061AB">
        <w:t xml:space="preserve"> of their disease; or</w:t>
      </w:r>
    </w:p>
    <w:p w14:paraId="1ED16DED" w14:textId="682068E0" w:rsidR="001061AB" w:rsidRDefault="004146D6" w:rsidP="00A3402C">
      <w:pPr>
        <w:pStyle w:val="ListParagraph"/>
        <w:numPr>
          <w:ilvl w:val="0"/>
          <w:numId w:val="21"/>
        </w:numPr>
      </w:pPr>
      <w:r>
        <w:t>H</w:t>
      </w:r>
      <w:r w:rsidR="001061AB">
        <w:t xml:space="preserve">ave surgery or </w:t>
      </w:r>
      <w:r w:rsidR="001061AB" w:rsidRPr="00D74C7C">
        <w:t>a radiotherapy/hormone therapy combination</w:t>
      </w:r>
      <w:r w:rsidR="001061AB">
        <w:t xml:space="preserve"> for their cancer.</w:t>
      </w:r>
    </w:p>
    <w:p w14:paraId="6372E82D" w14:textId="69BD3015" w:rsidR="001061AB" w:rsidRDefault="001061AB" w:rsidP="001061AB">
      <w:r>
        <w:t xml:space="preserve">The impact of the change in management from </w:t>
      </w:r>
      <w:r w:rsidR="00010606">
        <w:t>TRUSGB</w:t>
      </w:r>
      <w:r>
        <w:t xml:space="preserve"> to </w:t>
      </w:r>
      <w:r w:rsidR="00010606">
        <w:t>MRIGB</w:t>
      </w:r>
      <w:r>
        <w:t xml:space="preserve"> is the subject of </w:t>
      </w:r>
      <w:r w:rsidR="00066802">
        <w:t>CA</w:t>
      </w:r>
      <w:r w:rsidR="00462D15">
        <w:t xml:space="preserve"> </w:t>
      </w:r>
      <w:r>
        <w:t>1424.</w:t>
      </w:r>
    </w:p>
    <w:p w14:paraId="4A41F757" w14:textId="02C7AF55" w:rsidR="001061AB" w:rsidRPr="005944F4" w:rsidRDefault="001061AB" w:rsidP="001061AB">
      <w:pPr>
        <w:pStyle w:val="Caption"/>
        <w:spacing w:after="60"/>
        <w:rPr>
          <w:b w:val="0"/>
        </w:rPr>
      </w:pPr>
      <w:bookmarkStart w:id="202" w:name="_Ref456771278"/>
      <w:bookmarkStart w:id="203" w:name="_Toc455648065"/>
      <w:bookmarkStart w:id="204" w:name="_Toc460514609"/>
      <w:r w:rsidRPr="005944F4">
        <w:lastRenderedPageBreak/>
        <w:t xml:space="preserve">Figure </w:t>
      </w:r>
      <w:fldSimple w:instr=" SEQ Figure \* ARABIC ">
        <w:r w:rsidR="0029649D">
          <w:rPr>
            <w:noProof/>
          </w:rPr>
          <w:t>2</w:t>
        </w:r>
      </w:fldSimple>
      <w:bookmarkEnd w:id="202"/>
      <w:r w:rsidR="005E4B1E">
        <w:rPr>
          <w:noProof/>
        </w:rPr>
        <w:tab/>
      </w:r>
      <w:r>
        <w:t>Proposed</w:t>
      </w:r>
      <w:r w:rsidRPr="005944F4">
        <w:t xml:space="preserve"> clinical management algorithm</w:t>
      </w:r>
      <w:r>
        <w:t xml:space="preserve"> for diagnostic </w:t>
      </w:r>
      <w:proofErr w:type="spellStart"/>
      <w:r>
        <w:t>mpMRI</w:t>
      </w:r>
      <w:bookmarkEnd w:id="203"/>
      <w:bookmarkEnd w:id="204"/>
      <w:proofErr w:type="spellEnd"/>
    </w:p>
    <w:p w14:paraId="5FBA9B25" w14:textId="0E09D14B" w:rsidR="001061AB" w:rsidRPr="002842BA" w:rsidRDefault="001061AB" w:rsidP="00747376">
      <w:pPr>
        <w:pStyle w:val="TableNotes"/>
        <w:rPr>
          <w:lang w:val="en-GB" w:eastAsia="ja-JP"/>
        </w:rPr>
      </w:pPr>
      <w:r w:rsidRPr="00E055EF">
        <w:rPr>
          <w:noProof/>
        </w:rPr>
        <w:drawing>
          <wp:inline distT="0" distB="0" distL="0" distR="0" wp14:anchorId="2475C809" wp14:editId="5587D75C">
            <wp:extent cx="5676595" cy="3809262"/>
            <wp:effectExtent l="0" t="0" r="635" b="1270"/>
            <wp:docPr id="7" name="Picture 7" title="Figure 2: Proposed clinical management algorithm for diagnostic mp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8946" cy="3810839"/>
                    </a:xfrm>
                    <a:prstGeom prst="rect">
                      <a:avLst/>
                    </a:prstGeom>
                    <a:noFill/>
                    <a:ln>
                      <a:noFill/>
                    </a:ln>
                  </pic:spPr>
                </pic:pic>
              </a:graphicData>
            </a:graphic>
          </wp:inline>
        </w:drawing>
      </w:r>
      <w:r w:rsidRPr="002842BA">
        <w:rPr>
          <w:lang w:val="en-GB" w:eastAsia="ja-JP"/>
        </w:rPr>
        <w:t xml:space="preserve"> PSA</w:t>
      </w:r>
      <w:r w:rsidR="008134C1">
        <w:rPr>
          <w:lang w:val="en-GB" w:eastAsia="ja-JP"/>
        </w:rPr>
        <w:t xml:space="preserve"> </w:t>
      </w:r>
      <w:r w:rsidRPr="002842BA">
        <w:rPr>
          <w:lang w:val="en-GB" w:eastAsia="ja-JP"/>
        </w:rPr>
        <w:t>=</w:t>
      </w:r>
      <w:r w:rsidR="008134C1">
        <w:rPr>
          <w:lang w:val="en-GB" w:eastAsia="ja-JP"/>
        </w:rPr>
        <w:t xml:space="preserve"> </w:t>
      </w:r>
      <w:r w:rsidRPr="002842BA">
        <w:rPr>
          <w:lang w:val="en-GB" w:eastAsia="ja-JP"/>
        </w:rPr>
        <w:t>prostate</w:t>
      </w:r>
      <w:r w:rsidR="00E54571">
        <w:rPr>
          <w:lang w:val="en-GB" w:eastAsia="ja-JP"/>
        </w:rPr>
        <w:t>-</w:t>
      </w:r>
      <w:r w:rsidRPr="002842BA">
        <w:rPr>
          <w:lang w:val="en-GB" w:eastAsia="ja-JP"/>
        </w:rPr>
        <w:t>specific antigen test</w:t>
      </w:r>
      <w:r w:rsidR="008134C1">
        <w:rPr>
          <w:lang w:val="en-GB" w:eastAsia="ja-JP"/>
        </w:rPr>
        <w:t>,</w:t>
      </w:r>
      <w:r w:rsidRPr="002842BA">
        <w:rPr>
          <w:lang w:val="en-GB" w:eastAsia="ja-JP"/>
        </w:rPr>
        <w:t xml:space="preserve"> DRE</w:t>
      </w:r>
      <w:r w:rsidR="008134C1">
        <w:rPr>
          <w:lang w:val="en-GB" w:eastAsia="ja-JP"/>
        </w:rPr>
        <w:t xml:space="preserve"> </w:t>
      </w:r>
      <w:r w:rsidRPr="002842BA">
        <w:rPr>
          <w:lang w:val="en-GB" w:eastAsia="ja-JP"/>
        </w:rPr>
        <w:t>=</w:t>
      </w:r>
      <w:r w:rsidR="008134C1">
        <w:rPr>
          <w:lang w:val="en-GB" w:eastAsia="ja-JP"/>
        </w:rPr>
        <w:t xml:space="preserve"> </w:t>
      </w:r>
      <w:r w:rsidRPr="002842BA">
        <w:rPr>
          <w:lang w:val="en-GB" w:eastAsia="ja-JP"/>
        </w:rPr>
        <w:t>digital rectal examination</w:t>
      </w:r>
      <w:r w:rsidR="008134C1">
        <w:rPr>
          <w:lang w:val="en-GB" w:eastAsia="ja-JP"/>
        </w:rPr>
        <w:t>,</w:t>
      </w:r>
      <w:r w:rsidRPr="002842BA">
        <w:rPr>
          <w:lang w:val="en-GB" w:eastAsia="ja-JP"/>
        </w:rPr>
        <w:t xml:space="preserve"> PI-RADS</w:t>
      </w:r>
      <w:r w:rsidR="008134C1">
        <w:rPr>
          <w:lang w:val="en-GB" w:eastAsia="ja-JP"/>
        </w:rPr>
        <w:t xml:space="preserve"> </w:t>
      </w:r>
      <w:r w:rsidRPr="002842BA">
        <w:rPr>
          <w:lang w:val="en-GB" w:eastAsia="ja-JP"/>
        </w:rPr>
        <w:t>=</w:t>
      </w:r>
      <w:r w:rsidR="008134C1">
        <w:rPr>
          <w:lang w:val="en-GB" w:eastAsia="ja-JP"/>
        </w:rPr>
        <w:t xml:space="preserve"> </w:t>
      </w:r>
      <w:r w:rsidRPr="002842BA">
        <w:rPr>
          <w:lang w:val="en-GB" w:eastAsia="ja-JP"/>
        </w:rPr>
        <w:t>Prostate Imaging-Reporting and Data System</w:t>
      </w:r>
      <w:r w:rsidR="008134C1">
        <w:rPr>
          <w:lang w:val="en-GB" w:eastAsia="ja-JP"/>
        </w:rPr>
        <w:t>,</w:t>
      </w:r>
      <w:r w:rsidRPr="002842BA">
        <w:rPr>
          <w:lang w:val="en-GB" w:eastAsia="ja-JP"/>
        </w:rPr>
        <w:t xml:space="preserve"> MR</w:t>
      </w:r>
      <w:r w:rsidR="008134C1">
        <w:rPr>
          <w:lang w:val="en-GB" w:eastAsia="ja-JP"/>
        </w:rPr>
        <w:t xml:space="preserve"> </w:t>
      </w:r>
      <w:r w:rsidRPr="002842BA">
        <w:rPr>
          <w:lang w:val="en-GB" w:eastAsia="ja-JP"/>
        </w:rPr>
        <w:t>=</w:t>
      </w:r>
      <w:r w:rsidR="008134C1">
        <w:rPr>
          <w:lang w:val="en-GB" w:eastAsia="ja-JP"/>
        </w:rPr>
        <w:t xml:space="preserve"> </w:t>
      </w:r>
      <w:r w:rsidRPr="002842BA">
        <w:rPr>
          <w:lang w:val="en-GB" w:eastAsia="ja-JP"/>
        </w:rPr>
        <w:t>magnetic resonance</w:t>
      </w:r>
      <w:r w:rsidR="008134C1">
        <w:rPr>
          <w:lang w:val="en-GB" w:eastAsia="ja-JP"/>
        </w:rPr>
        <w:t>,</w:t>
      </w:r>
      <w:r w:rsidRPr="002842BA">
        <w:rPr>
          <w:lang w:val="en-GB" w:eastAsia="ja-JP"/>
        </w:rPr>
        <w:t xml:space="preserve"> </w:t>
      </w:r>
      <w:proofErr w:type="spellStart"/>
      <w:r w:rsidRPr="002842BA">
        <w:rPr>
          <w:lang w:val="en-GB" w:eastAsia="ja-JP"/>
        </w:rPr>
        <w:t>mpMRI</w:t>
      </w:r>
      <w:proofErr w:type="spellEnd"/>
      <w:r w:rsidR="008134C1">
        <w:rPr>
          <w:lang w:val="en-GB" w:eastAsia="ja-JP"/>
        </w:rPr>
        <w:t xml:space="preserve"> </w:t>
      </w:r>
      <w:r w:rsidRPr="002842BA">
        <w:rPr>
          <w:lang w:val="en-GB" w:eastAsia="ja-JP"/>
        </w:rPr>
        <w:t>=</w:t>
      </w:r>
      <w:r w:rsidR="008134C1">
        <w:rPr>
          <w:lang w:val="en-GB" w:eastAsia="ja-JP"/>
        </w:rPr>
        <w:t xml:space="preserve"> </w:t>
      </w:r>
      <w:proofErr w:type="spellStart"/>
      <w:r w:rsidRPr="002842BA">
        <w:rPr>
          <w:lang w:val="en-GB" w:eastAsia="ja-JP"/>
        </w:rPr>
        <w:t>multiparametric</w:t>
      </w:r>
      <w:proofErr w:type="spellEnd"/>
      <w:r w:rsidRPr="002842BA">
        <w:rPr>
          <w:lang w:val="en-GB" w:eastAsia="ja-JP"/>
        </w:rPr>
        <w:t xml:space="preserve"> magnetic resonance imaging</w:t>
      </w:r>
      <w:r w:rsidR="008134C1">
        <w:rPr>
          <w:lang w:val="en-GB" w:eastAsia="ja-JP"/>
        </w:rPr>
        <w:t>,</w:t>
      </w:r>
      <w:r w:rsidRPr="002842BA">
        <w:rPr>
          <w:lang w:val="en-GB" w:eastAsia="ja-JP"/>
        </w:rPr>
        <w:t xml:space="preserve"> MR</w:t>
      </w:r>
      <w:r w:rsidR="00F079C1">
        <w:rPr>
          <w:lang w:val="en-GB" w:eastAsia="ja-JP"/>
        </w:rPr>
        <w:t>I</w:t>
      </w:r>
      <w:r w:rsidRPr="002842BA">
        <w:rPr>
          <w:lang w:val="en-GB" w:eastAsia="ja-JP"/>
        </w:rPr>
        <w:t>GB</w:t>
      </w:r>
      <w:r w:rsidR="008134C1">
        <w:rPr>
          <w:lang w:val="en-GB" w:eastAsia="ja-JP"/>
        </w:rPr>
        <w:t xml:space="preserve"> </w:t>
      </w:r>
      <w:r w:rsidRPr="002842BA">
        <w:rPr>
          <w:lang w:val="en-GB" w:eastAsia="ja-JP"/>
        </w:rPr>
        <w:t>=</w:t>
      </w:r>
      <w:r w:rsidR="008134C1">
        <w:rPr>
          <w:lang w:val="en-GB" w:eastAsia="ja-JP"/>
        </w:rPr>
        <w:t xml:space="preserve"> </w:t>
      </w:r>
      <w:r w:rsidRPr="002842BA">
        <w:rPr>
          <w:lang w:val="en-GB" w:eastAsia="ja-JP"/>
        </w:rPr>
        <w:t>magnetic resonance guided biopsy</w:t>
      </w:r>
      <w:r w:rsidR="008134C1">
        <w:rPr>
          <w:lang w:val="en-GB" w:eastAsia="ja-JP"/>
        </w:rPr>
        <w:t>,</w:t>
      </w:r>
      <w:r w:rsidRPr="002842BA">
        <w:rPr>
          <w:lang w:val="en-GB" w:eastAsia="ja-JP"/>
        </w:rPr>
        <w:t xml:space="preserve"> US</w:t>
      </w:r>
      <w:r w:rsidR="008134C1">
        <w:rPr>
          <w:lang w:val="en-GB" w:eastAsia="ja-JP"/>
        </w:rPr>
        <w:t xml:space="preserve"> </w:t>
      </w:r>
      <w:r w:rsidRPr="002842BA">
        <w:rPr>
          <w:lang w:val="en-GB" w:eastAsia="ja-JP"/>
        </w:rPr>
        <w:t>=</w:t>
      </w:r>
      <w:r w:rsidR="008134C1">
        <w:rPr>
          <w:lang w:val="en-GB" w:eastAsia="ja-JP"/>
        </w:rPr>
        <w:t xml:space="preserve"> </w:t>
      </w:r>
      <w:r w:rsidRPr="002842BA">
        <w:rPr>
          <w:lang w:val="en-GB" w:eastAsia="ja-JP"/>
        </w:rPr>
        <w:t xml:space="preserve">ultrasound. </w:t>
      </w:r>
    </w:p>
    <w:p w14:paraId="14DED2C7" w14:textId="65978C13" w:rsidR="001061AB" w:rsidRPr="002842BA" w:rsidRDefault="0092669A" w:rsidP="00747376">
      <w:pPr>
        <w:pStyle w:val="TableNotes"/>
        <w:rPr>
          <w:lang w:val="en-GB" w:eastAsia="ja-JP"/>
        </w:rPr>
      </w:pPr>
      <w:r>
        <w:rPr>
          <w:lang w:val="en-GB" w:eastAsia="ja-JP"/>
        </w:rPr>
        <w:t xml:space="preserve">Note: </w:t>
      </w:r>
      <w:r w:rsidR="001061AB" w:rsidRPr="002842BA">
        <w:rPr>
          <w:lang w:val="en-GB" w:eastAsia="ja-JP"/>
        </w:rPr>
        <w:t xml:space="preserve">Indications of increased cancer </w:t>
      </w:r>
      <w:r w:rsidR="00A9704F">
        <w:rPr>
          <w:lang w:val="en-GB" w:eastAsia="ja-JP"/>
        </w:rPr>
        <w:t>concern</w:t>
      </w:r>
      <w:r w:rsidR="00A9704F" w:rsidRPr="002842BA">
        <w:rPr>
          <w:lang w:val="en-GB" w:eastAsia="ja-JP"/>
        </w:rPr>
        <w:t xml:space="preserve"> </w:t>
      </w:r>
      <w:r w:rsidR="001061AB" w:rsidRPr="002842BA">
        <w:rPr>
          <w:lang w:val="en-GB" w:eastAsia="ja-JP"/>
        </w:rPr>
        <w:t>may include patient’s age, positive family history, abnormal DRE, PSA doubling time &lt;2 years, PSA density &gt;0.15, free/total PSA ratio &lt;25%, Prostate Health Index &gt;25, known BRCA1 or BRCA2 gene mutation.</w:t>
      </w:r>
    </w:p>
    <w:p w14:paraId="5F739AE7" w14:textId="77777777" w:rsidR="001061AB" w:rsidRPr="00B1324F" w:rsidRDefault="001061AB" w:rsidP="001061AB">
      <w:pPr>
        <w:rPr>
          <w:b/>
          <w:smallCaps/>
          <w:sz w:val="24"/>
          <w:szCs w:val="24"/>
        </w:rPr>
      </w:pPr>
      <w:r w:rsidRPr="00B1324F">
        <w:rPr>
          <w:b/>
          <w:smallCaps/>
          <w:sz w:val="24"/>
          <w:szCs w:val="24"/>
        </w:rPr>
        <w:t>A6.2</w:t>
      </w:r>
      <w:r w:rsidRPr="00B1324F">
        <w:rPr>
          <w:b/>
          <w:smallCaps/>
          <w:sz w:val="24"/>
          <w:szCs w:val="24"/>
        </w:rPr>
        <w:tab/>
        <w:t>Population 2</w:t>
      </w:r>
    </w:p>
    <w:p w14:paraId="710A8388" w14:textId="3E9CCFC2" w:rsidR="001061AB" w:rsidRDefault="001061AB" w:rsidP="001061AB">
      <w:r>
        <w:t xml:space="preserve">Men who have a diagnosis of intermediate or low risk cancer may choose to participate in </w:t>
      </w:r>
      <w:r w:rsidR="00CE60C4">
        <w:t>AS</w:t>
      </w:r>
      <w:r>
        <w:t xml:space="preserve">. During </w:t>
      </w:r>
      <w:r w:rsidR="00CE60C4">
        <w:t>AS</w:t>
      </w:r>
      <w:r>
        <w:t xml:space="preserve">, men undergo scheduled testing (PSA, PSA kinetics and DRE) over a period of five years or more. Those on </w:t>
      </w:r>
      <w:r w:rsidR="00CE60C4">
        <w:t>AS</w:t>
      </w:r>
      <w:r>
        <w:t xml:space="preserve"> also have </w:t>
      </w:r>
      <w:r w:rsidR="006761C1">
        <w:t xml:space="preserve">a </w:t>
      </w:r>
      <w:r>
        <w:t xml:space="preserve">scheduled prostate </w:t>
      </w:r>
      <w:r w:rsidR="006761C1">
        <w:t xml:space="preserve">biopsy </w:t>
      </w:r>
      <w:r>
        <w:t xml:space="preserve">at 12 months and then every three years thereafter. At any point in time, if there is concern about clinical or PSA/DRE changes, men may opt to have an additional prostate biopsy. Based on the results of these biopsies, men will either continue on </w:t>
      </w:r>
      <w:r w:rsidR="00CE60C4">
        <w:t>AS</w:t>
      </w:r>
      <w:r>
        <w:t xml:space="preserve"> or be offered </w:t>
      </w:r>
      <w:r w:rsidRPr="000D1E16">
        <w:t>surgery or a radiotherapy/hormone therapy combination for their cancer.</w:t>
      </w:r>
      <w:r>
        <w:t xml:space="preserve"> </w:t>
      </w:r>
      <w:r w:rsidR="00CE60C4">
        <w:t>AS</w:t>
      </w:r>
      <w:r>
        <w:t xml:space="preserve"> </w:t>
      </w:r>
      <w:r w:rsidRPr="004C0831">
        <w:t xml:space="preserve">protocol </w:t>
      </w:r>
      <w:r w:rsidR="006761C1">
        <w:t xml:space="preserve">detailed </w:t>
      </w:r>
      <w:r>
        <w:t>in Figure</w:t>
      </w:r>
      <w:r w:rsidRPr="004C0831">
        <w:t xml:space="preserve"> 3 </w:t>
      </w:r>
      <w:r w:rsidR="006761C1">
        <w:t>is</w:t>
      </w:r>
      <w:r w:rsidRPr="004C0831">
        <w:t xml:space="preserve"> based on the Applicant’s advice and the recent NICE guidelines </w:t>
      </w:r>
      <w:r w:rsidR="008E0B00">
        <w:fldChar w:fldCharType="begin"/>
      </w:r>
      <w:r w:rsidR="008E0B00">
        <w:instrText xml:space="preserve"> ADDIN EN.CITE &lt;EndNote&gt;&lt;Cite&gt;&lt;Author&gt;Applicant&lt;/Author&gt;&lt;Year&gt;2016&lt;/Year&gt;&lt;RecNum&gt;9&lt;/RecNum&gt;&lt;DisplayText&gt;(Applicant 2016; NICE 2014)&lt;/DisplayText&gt;&lt;record&gt;&lt;rec-number&gt;9&lt;/rec-number&gt;&lt;foreign-keys&gt;&lt;key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Cite&gt;&lt;Author&gt;NICE&lt;/Author&gt;&lt;Year&gt;2014&lt;/Year&gt;&lt;RecNum&gt;18&lt;/RecNum&gt;&lt;record&gt;&lt;rec-number&gt;18&lt;/rec-number&gt;&lt;foreign-keys&gt;&lt;key app="EN" db-id="2p9terxr22fx91epzebpfdwuzrwtw2a2ep2t" timestamp="1472684602"&gt;18&lt;/key&gt;&lt;/foreign-keys&gt;&lt;ref-type name="Web Page"&gt;12&lt;/ref-type&gt;&lt;contributors&gt;&lt;authors&gt;&lt;author&gt;NICE&lt;/author&gt;&lt;/authors&gt;&lt;/contributors&gt;&lt;titles&gt;&lt;title&gt;Prostate Cancer: diagnosis and treatment. Clinical guideline. Full guideline January 2014. &lt;/title&gt;&lt;/titles&gt;&lt;number&gt;22 Jul 2016&lt;/number&gt;&lt;dates&gt;&lt;year&gt;2014&lt;/year&gt;&lt;/dates&gt;&lt;pub-location&gt;London&lt;/pub-location&gt;&lt;publisher&gt;NICE&lt;/publisher&gt;&lt;urls&gt;&lt;/urls&gt;&lt;/record&gt;&lt;/Cite&gt;&lt;/EndNote&gt;</w:instrText>
      </w:r>
      <w:r w:rsidR="008E0B00">
        <w:fldChar w:fldCharType="separate"/>
      </w:r>
      <w:r w:rsidR="008E0B00">
        <w:rPr>
          <w:noProof/>
        </w:rPr>
        <w:t>(</w:t>
      </w:r>
      <w:hyperlink w:anchor="_ENREF_9" w:tooltip="Applicant, 2016 #9" w:history="1">
        <w:r w:rsidR="008E0B00">
          <w:rPr>
            <w:noProof/>
          </w:rPr>
          <w:t>Applicant 2016</w:t>
        </w:r>
      </w:hyperlink>
      <w:r w:rsidR="008E0B00">
        <w:rPr>
          <w:noProof/>
        </w:rPr>
        <w:t xml:space="preserve">; </w:t>
      </w:r>
      <w:hyperlink w:anchor="_ENREF_103" w:tooltip="NICE, 2014 #18" w:history="1">
        <w:r w:rsidR="008E0B00">
          <w:rPr>
            <w:noProof/>
          </w:rPr>
          <w:t>NICE 2014</w:t>
        </w:r>
      </w:hyperlink>
      <w:r w:rsidR="008E0B00">
        <w:rPr>
          <w:noProof/>
        </w:rPr>
        <w:t>)</w:t>
      </w:r>
      <w:r w:rsidR="008E0B00">
        <w:fldChar w:fldCharType="end"/>
      </w:r>
      <w:r w:rsidRPr="004C0831">
        <w:t>.</w:t>
      </w:r>
    </w:p>
    <w:p w14:paraId="3B64DCA9" w14:textId="01B9EE6B" w:rsidR="001061AB" w:rsidRDefault="001061AB" w:rsidP="001061AB">
      <w:r>
        <w:t xml:space="preserve">If the proposed </w:t>
      </w:r>
      <w:proofErr w:type="spellStart"/>
      <w:r>
        <w:t>mpMRI</w:t>
      </w:r>
      <w:proofErr w:type="spellEnd"/>
      <w:r>
        <w:t xml:space="preserve"> service is added to the </w:t>
      </w:r>
      <w:r w:rsidR="00CE60C4">
        <w:t>AS</w:t>
      </w:r>
      <w:r>
        <w:t xml:space="preserve"> protocol it </w:t>
      </w:r>
      <w:r w:rsidR="006761C1">
        <w:t xml:space="preserve">would </w:t>
      </w:r>
      <w:r>
        <w:t xml:space="preserve">be used as an additional test prior to prostate biopsy. Men who are due for their scheduled biopsy and men who have </w:t>
      </w:r>
      <w:r w:rsidRPr="004C0831">
        <w:t>concern about clinical or PSA/DRE changes</w:t>
      </w:r>
      <w:r>
        <w:t xml:space="preserve"> would first have an </w:t>
      </w:r>
      <w:proofErr w:type="spellStart"/>
      <w:r>
        <w:t>mpMRI</w:t>
      </w:r>
      <w:proofErr w:type="spellEnd"/>
      <w:r>
        <w:t xml:space="preserve"> scan. The criteria for concern are the </w:t>
      </w:r>
      <w:r w:rsidR="0050112F">
        <w:t xml:space="preserve">same as for clinical scenario 1. </w:t>
      </w:r>
      <w:r w:rsidRPr="00994945">
        <w:t>Men with PI-RADS scores 1, 2, and 3 with low</w:t>
      </w:r>
      <w:r w:rsidR="00994945">
        <w:t>-concern would</w:t>
      </w:r>
      <w:r w:rsidR="00994945" w:rsidRPr="00D74C7C">
        <w:t xml:space="preserve"> </w:t>
      </w:r>
      <w:r w:rsidRPr="00D74C7C">
        <w:t xml:space="preserve">return to </w:t>
      </w:r>
      <w:r w:rsidR="00CE60C4">
        <w:t>AS</w:t>
      </w:r>
      <w:r>
        <w:t xml:space="preserve"> and avoid biopsy under the proposed algorithm</w:t>
      </w:r>
      <w:r w:rsidRPr="00D74C7C">
        <w:t xml:space="preserve">. </w:t>
      </w:r>
      <w:r>
        <w:t>Men</w:t>
      </w:r>
      <w:r w:rsidRPr="00D74C7C">
        <w:t xml:space="preserve"> with </w:t>
      </w:r>
      <w:r>
        <w:t>high</w:t>
      </w:r>
      <w:r w:rsidR="006761C1">
        <w:t>-</w:t>
      </w:r>
      <w:r w:rsidR="00F625D7">
        <w:t xml:space="preserve"> or intermediate- </w:t>
      </w:r>
      <w:r w:rsidR="00A9704F">
        <w:t xml:space="preserve">concern </w:t>
      </w:r>
      <w:r>
        <w:t>and men with low</w:t>
      </w:r>
      <w:r w:rsidR="006761C1">
        <w:t>-</w:t>
      </w:r>
      <w:r w:rsidR="00A9704F">
        <w:t xml:space="preserve">concern </w:t>
      </w:r>
      <w:r>
        <w:t>and a PI-RADS score of 4</w:t>
      </w:r>
      <w:r w:rsidR="00994945">
        <w:t xml:space="preserve"> or </w:t>
      </w:r>
      <w:r>
        <w:t xml:space="preserve">5 </w:t>
      </w:r>
      <w:r w:rsidR="00994945">
        <w:t xml:space="preserve">would </w:t>
      </w:r>
      <w:r>
        <w:t xml:space="preserve">continue with a re-biopsy. Patients with a </w:t>
      </w:r>
      <w:r>
        <w:lastRenderedPageBreak/>
        <w:t>PI-RADS score of 4</w:t>
      </w:r>
      <w:r w:rsidR="00994945">
        <w:t xml:space="preserve"> or </w:t>
      </w:r>
      <w:r>
        <w:t>5 would have an</w:t>
      </w:r>
      <w:r w:rsidR="00F625D7">
        <w:t xml:space="preserve"> </w:t>
      </w:r>
      <w:r w:rsidR="00AE2522">
        <w:t>MRIGB</w:t>
      </w:r>
      <w:r>
        <w:t xml:space="preserve"> biopsy, while patients with a PI-RADS score of 1-3 (high</w:t>
      </w:r>
      <w:r w:rsidR="006761C1">
        <w:t>-</w:t>
      </w:r>
      <w:r w:rsidR="00F625D7">
        <w:t xml:space="preserve"> or intermediate-</w:t>
      </w:r>
      <w:r w:rsidR="00A9704F">
        <w:t>concern</w:t>
      </w:r>
      <w:r>
        <w:t xml:space="preserve">) would have a systematic biopsy. </w:t>
      </w:r>
      <w:r w:rsidRPr="004C0831">
        <w:t xml:space="preserve">Based on the results of these biopsies, men </w:t>
      </w:r>
      <w:r w:rsidR="00994945">
        <w:t>would</w:t>
      </w:r>
      <w:r w:rsidR="00994945" w:rsidRPr="004C0831">
        <w:t xml:space="preserve"> </w:t>
      </w:r>
      <w:r w:rsidRPr="004C0831">
        <w:t xml:space="preserve">either continue on </w:t>
      </w:r>
      <w:r w:rsidR="00CE60C4">
        <w:t>AS</w:t>
      </w:r>
      <w:r w:rsidRPr="004C0831">
        <w:t xml:space="preserve"> or be offered surgery or a radiotherapy/hormone therapy combination for their cancer.</w:t>
      </w:r>
      <w:r>
        <w:t xml:space="preserve"> The details of the proposed protocol for </w:t>
      </w:r>
      <w:r w:rsidR="00CE60C4">
        <w:t>AS</w:t>
      </w:r>
      <w:r>
        <w:t xml:space="preserve"> are presented in </w:t>
      </w:r>
      <w:r w:rsidR="00922135">
        <w:fldChar w:fldCharType="begin"/>
      </w:r>
      <w:r w:rsidR="00922135">
        <w:instrText xml:space="preserve"> REF _Ref458429699 \h </w:instrText>
      </w:r>
      <w:r w:rsidR="00922135">
        <w:fldChar w:fldCharType="separate"/>
      </w:r>
      <w:r w:rsidR="0029649D" w:rsidRPr="00922135">
        <w:t xml:space="preserve">Figure </w:t>
      </w:r>
      <w:r w:rsidR="0029649D">
        <w:rPr>
          <w:noProof/>
        </w:rPr>
        <w:t>4</w:t>
      </w:r>
      <w:r w:rsidR="00922135">
        <w:fldChar w:fldCharType="end"/>
      </w:r>
      <w:r>
        <w:t xml:space="preserve">. </w:t>
      </w:r>
      <w:r w:rsidR="0050112F">
        <w:t>The impact of the change in management from TRUSGB to MRIGB is the subject of CA 1424.</w:t>
      </w:r>
    </w:p>
    <w:p w14:paraId="4BC31B04" w14:textId="1EEABCBD" w:rsidR="001061AB" w:rsidRPr="007371CD" w:rsidRDefault="001061AB" w:rsidP="00747376">
      <w:pPr>
        <w:pStyle w:val="Caption"/>
      </w:pPr>
      <w:bookmarkStart w:id="205" w:name="_Ref456879618"/>
      <w:bookmarkStart w:id="206" w:name="_Toc455648066"/>
      <w:bookmarkStart w:id="207" w:name="_Toc460514610"/>
      <w:r w:rsidRPr="00747376">
        <w:t xml:space="preserve">Figure </w:t>
      </w:r>
      <w:r w:rsidR="002A3910" w:rsidRPr="00747376">
        <w:fldChar w:fldCharType="begin"/>
      </w:r>
      <w:r w:rsidR="002A3910" w:rsidRPr="00DF78F8">
        <w:instrText xml:space="preserve"> SEQ Figure \* ARABIC </w:instrText>
      </w:r>
      <w:r w:rsidR="002A3910" w:rsidRPr="00747376">
        <w:fldChar w:fldCharType="separate"/>
      </w:r>
      <w:proofErr w:type="gramStart"/>
      <w:r w:rsidR="0029649D">
        <w:rPr>
          <w:noProof/>
        </w:rPr>
        <w:t>3</w:t>
      </w:r>
      <w:r w:rsidR="002A3910" w:rsidRPr="00747376">
        <w:fldChar w:fldCharType="end"/>
      </w:r>
      <w:bookmarkEnd w:id="205"/>
      <w:r w:rsidR="00922135" w:rsidRPr="00747376">
        <w:tab/>
      </w:r>
      <w:r w:rsidRPr="00747376">
        <w:t>Current protocol</w:t>
      </w:r>
      <w:proofErr w:type="gramEnd"/>
      <w:r w:rsidRPr="00747376">
        <w:t xml:space="preserve"> for </w:t>
      </w:r>
      <w:r w:rsidR="00BF5057" w:rsidRPr="00747376">
        <w:t>a</w:t>
      </w:r>
      <w:r w:rsidRPr="00747376">
        <w:t xml:space="preserve">ctive </w:t>
      </w:r>
      <w:r w:rsidR="00BF5057" w:rsidRPr="00747376">
        <w:t>s</w:t>
      </w:r>
      <w:r w:rsidRPr="007371CD">
        <w:t>urveillance without the proposed intervention</w:t>
      </w:r>
      <w:bookmarkEnd w:id="206"/>
      <w:bookmarkEnd w:id="207"/>
    </w:p>
    <w:p w14:paraId="16F03D6D" w14:textId="77777777" w:rsidR="001061AB" w:rsidRDefault="001061AB" w:rsidP="001061AB">
      <w:pPr>
        <w:spacing w:before="120" w:after="120"/>
        <w:jc w:val="center"/>
      </w:pPr>
      <w:r>
        <w:rPr>
          <w:noProof/>
        </w:rPr>
        <w:drawing>
          <wp:inline distT="0" distB="0" distL="0" distR="0" wp14:anchorId="575DD94F" wp14:editId="46669353">
            <wp:extent cx="5697524" cy="1809750"/>
            <wp:effectExtent l="0" t="0" r="0" b="0"/>
            <wp:docPr id="8" name="Picture 8" title="Figure 3 Current protocol for Active Surveillance without the proposed inter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 surveillance current.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05240" cy="1812201"/>
                    </a:xfrm>
                    <a:prstGeom prst="rect">
                      <a:avLst/>
                    </a:prstGeom>
                  </pic:spPr>
                </pic:pic>
              </a:graphicData>
            </a:graphic>
          </wp:inline>
        </w:drawing>
      </w:r>
    </w:p>
    <w:p w14:paraId="49ADA549" w14:textId="6BD63C9B" w:rsidR="006C4425" w:rsidRPr="00DF78F8" w:rsidRDefault="001061AB" w:rsidP="00747376">
      <w:pPr>
        <w:pStyle w:val="TableNotes"/>
      </w:pPr>
      <w:r w:rsidRPr="00DF78F8">
        <w:t>PSA</w:t>
      </w:r>
      <w:r w:rsidR="008134C1">
        <w:t xml:space="preserve"> </w:t>
      </w:r>
      <w:r w:rsidRPr="00DF78F8">
        <w:t>=</w:t>
      </w:r>
      <w:r w:rsidR="008134C1">
        <w:t xml:space="preserve"> </w:t>
      </w:r>
      <w:r w:rsidRPr="00DF78F8">
        <w:t>prostate-specific antigen test</w:t>
      </w:r>
      <w:r w:rsidR="008134C1">
        <w:t>,</w:t>
      </w:r>
      <w:r w:rsidRPr="00DF78F8">
        <w:t xml:space="preserve"> DRE</w:t>
      </w:r>
      <w:r w:rsidR="008134C1">
        <w:t xml:space="preserve"> </w:t>
      </w:r>
      <w:r w:rsidRPr="00DF78F8">
        <w:t>=</w:t>
      </w:r>
      <w:r w:rsidR="008134C1">
        <w:t xml:space="preserve"> </w:t>
      </w:r>
      <w:r w:rsidRPr="00DF78F8">
        <w:t xml:space="preserve">digital rectal examination. </w:t>
      </w:r>
      <w:bookmarkStart w:id="208" w:name="_Ref456879624"/>
      <w:bookmarkStart w:id="209" w:name="_Toc455648067"/>
    </w:p>
    <w:p w14:paraId="4D2FEBF1" w14:textId="2B6A4FE2" w:rsidR="001061AB" w:rsidRPr="00922135" w:rsidRDefault="00197EFD" w:rsidP="00922135">
      <w:pPr>
        <w:pStyle w:val="Caption"/>
      </w:pPr>
      <w:bookmarkStart w:id="210" w:name="_Ref458429699"/>
      <w:bookmarkStart w:id="211" w:name="_Toc460514611"/>
      <w:bookmarkEnd w:id="208"/>
      <w:r w:rsidRPr="00922135">
        <w:t xml:space="preserve">Figure </w:t>
      </w:r>
      <w:r w:rsidRPr="00922135">
        <w:fldChar w:fldCharType="begin"/>
      </w:r>
      <w:r w:rsidRPr="007F7859">
        <w:instrText xml:space="preserve"> SEQ Figure \* ARABIC </w:instrText>
      </w:r>
      <w:r w:rsidRPr="00922135">
        <w:fldChar w:fldCharType="separate"/>
      </w:r>
      <w:r w:rsidR="0029649D">
        <w:rPr>
          <w:noProof/>
        </w:rPr>
        <w:t>4</w:t>
      </w:r>
      <w:r w:rsidRPr="00922135">
        <w:fldChar w:fldCharType="end"/>
      </w:r>
      <w:bookmarkEnd w:id="210"/>
      <w:r w:rsidRPr="00922135">
        <w:tab/>
      </w:r>
      <w:r w:rsidR="001061AB" w:rsidRPr="00922135">
        <w:t xml:space="preserve">Proposed protocol for </w:t>
      </w:r>
      <w:r w:rsidR="00BF5057" w:rsidRPr="00922135">
        <w:t>a</w:t>
      </w:r>
      <w:r w:rsidR="001061AB" w:rsidRPr="00922135">
        <w:t xml:space="preserve">ctive </w:t>
      </w:r>
      <w:r w:rsidR="00BF5057" w:rsidRPr="00922135">
        <w:t>s</w:t>
      </w:r>
      <w:r w:rsidR="001061AB" w:rsidRPr="00922135">
        <w:t xml:space="preserve">urveillance with </w:t>
      </w:r>
      <w:proofErr w:type="spellStart"/>
      <w:r w:rsidR="001061AB" w:rsidRPr="00922135">
        <w:t>mpMRI</w:t>
      </w:r>
      <w:bookmarkEnd w:id="209"/>
      <w:bookmarkEnd w:id="211"/>
      <w:proofErr w:type="spellEnd"/>
    </w:p>
    <w:p w14:paraId="427B6B85" w14:textId="77777777" w:rsidR="001061AB" w:rsidRDefault="001061AB" w:rsidP="001061AB">
      <w:pPr>
        <w:spacing w:before="120" w:after="120"/>
        <w:jc w:val="center"/>
      </w:pPr>
      <w:r w:rsidRPr="00E055EF">
        <w:rPr>
          <w:noProof/>
        </w:rPr>
        <w:drawing>
          <wp:inline distT="0" distB="0" distL="0" distR="0" wp14:anchorId="682EB902" wp14:editId="631B77C6">
            <wp:extent cx="5601575" cy="3726593"/>
            <wp:effectExtent l="0" t="0" r="0" b="7620"/>
            <wp:docPr id="9" name="Picture 9" title="Figure 4 Proposed protocol for Active Surveillance with mpM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5850" cy="3729437"/>
                    </a:xfrm>
                    <a:prstGeom prst="rect">
                      <a:avLst/>
                    </a:prstGeom>
                    <a:noFill/>
                    <a:ln>
                      <a:noFill/>
                    </a:ln>
                  </pic:spPr>
                </pic:pic>
              </a:graphicData>
            </a:graphic>
          </wp:inline>
        </w:drawing>
      </w:r>
    </w:p>
    <w:p w14:paraId="38622385" w14:textId="77777777" w:rsidR="00B80F57" w:rsidRDefault="001061AB" w:rsidP="00B80F57">
      <w:pPr>
        <w:pStyle w:val="TableNotes"/>
        <w:rPr>
          <w:lang w:val="en-GB" w:eastAsia="ja-JP"/>
        </w:rPr>
      </w:pPr>
      <w:r w:rsidRPr="002842BA">
        <w:rPr>
          <w:lang w:val="en-GB" w:eastAsia="ja-JP"/>
        </w:rPr>
        <w:t>PSA</w:t>
      </w:r>
      <w:r w:rsidR="003E4794">
        <w:rPr>
          <w:lang w:val="en-GB" w:eastAsia="ja-JP"/>
        </w:rPr>
        <w:t xml:space="preserve"> </w:t>
      </w:r>
      <w:r w:rsidRPr="002842BA">
        <w:rPr>
          <w:lang w:val="en-GB" w:eastAsia="ja-JP"/>
        </w:rPr>
        <w:t>=</w:t>
      </w:r>
      <w:r w:rsidR="003E4794">
        <w:rPr>
          <w:lang w:val="en-GB" w:eastAsia="ja-JP"/>
        </w:rPr>
        <w:t xml:space="preserve"> </w:t>
      </w:r>
      <w:r w:rsidRPr="002842BA">
        <w:rPr>
          <w:lang w:val="en-GB" w:eastAsia="ja-JP"/>
        </w:rPr>
        <w:t>prostate</w:t>
      </w:r>
      <w:r w:rsidR="00E54571">
        <w:rPr>
          <w:lang w:val="en-GB" w:eastAsia="ja-JP"/>
        </w:rPr>
        <w:t>-</w:t>
      </w:r>
      <w:r w:rsidRPr="002842BA">
        <w:rPr>
          <w:lang w:val="en-GB" w:eastAsia="ja-JP"/>
        </w:rPr>
        <w:t>specific antigen test</w:t>
      </w:r>
      <w:r w:rsidR="003E4794">
        <w:rPr>
          <w:lang w:val="en-GB" w:eastAsia="ja-JP"/>
        </w:rPr>
        <w:t>,</w:t>
      </w:r>
      <w:r w:rsidRPr="002842BA">
        <w:rPr>
          <w:lang w:val="en-GB" w:eastAsia="ja-JP"/>
        </w:rPr>
        <w:t xml:space="preserve"> DRE</w:t>
      </w:r>
      <w:r w:rsidR="003E4794">
        <w:rPr>
          <w:lang w:val="en-GB" w:eastAsia="ja-JP"/>
        </w:rPr>
        <w:t xml:space="preserve"> </w:t>
      </w:r>
      <w:r w:rsidRPr="002842BA">
        <w:rPr>
          <w:lang w:val="en-GB" w:eastAsia="ja-JP"/>
        </w:rPr>
        <w:t>=</w:t>
      </w:r>
      <w:r w:rsidR="003E4794">
        <w:rPr>
          <w:lang w:val="en-GB" w:eastAsia="ja-JP"/>
        </w:rPr>
        <w:t xml:space="preserve"> </w:t>
      </w:r>
      <w:r w:rsidRPr="002842BA">
        <w:rPr>
          <w:lang w:val="en-GB" w:eastAsia="ja-JP"/>
        </w:rPr>
        <w:t>digital rectal examination PI-RADS</w:t>
      </w:r>
      <w:r w:rsidR="003E4794">
        <w:rPr>
          <w:lang w:val="en-GB" w:eastAsia="ja-JP"/>
        </w:rPr>
        <w:t xml:space="preserve"> </w:t>
      </w:r>
      <w:r w:rsidRPr="002842BA">
        <w:rPr>
          <w:lang w:val="en-GB" w:eastAsia="ja-JP"/>
        </w:rPr>
        <w:t>=</w:t>
      </w:r>
      <w:r w:rsidR="003E4794">
        <w:rPr>
          <w:lang w:val="en-GB" w:eastAsia="ja-JP"/>
        </w:rPr>
        <w:t xml:space="preserve"> </w:t>
      </w:r>
      <w:r w:rsidRPr="002842BA">
        <w:rPr>
          <w:lang w:val="en-GB" w:eastAsia="ja-JP"/>
        </w:rPr>
        <w:t>Prostate Imaging-Reporting and Data System</w:t>
      </w:r>
      <w:r w:rsidR="003E4794">
        <w:rPr>
          <w:lang w:val="en-GB" w:eastAsia="ja-JP"/>
        </w:rPr>
        <w:t>,</w:t>
      </w:r>
      <w:r w:rsidRPr="002842BA">
        <w:rPr>
          <w:lang w:val="en-GB" w:eastAsia="ja-JP"/>
        </w:rPr>
        <w:t xml:space="preserve"> MR</w:t>
      </w:r>
      <w:r w:rsidR="003E4794">
        <w:rPr>
          <w:lang w:val="en-GB" w:eastAsia="ja-JP"/>
        </w:rPr>
        <w:t xml:space="preserve"> </w:t>
      </w:r>
      <w:r w:rsidRPr="002842BA">
        <w:rPr>
          <w:lang w:val="en-GB" w:eastAsia="ja-JP"/>
        </w:rPr>
        <w:t>=</w:t>
      </w:r>
      <w:r w:rsidR="003E4794">
        <w:rPr>
          <w:lang w:val="en-GB" w:eastAsia="ja-JP"/>
        </w:rPr>
        <w:t xml:space="preserve"> </w:t>
      </w:r>
      <w:r w:rsidRPr="002842BA">
        <w:rPr>
          <w:lang w:val="en-GB" w:eastAsia="ja-JP"/>
        </w:rPr>
        <w:t>magnetic resonance</w:t>
      </w:r>
      <w:r w:rsidR="003E4794">
        <w:rPr>
          <w:lang w:val="en-GB" w:eastAsia="ja-JP"/>
        </w:rPr>
        <w:t>,</w:t>
      </w:r>
      <w:r w:rsidRPr="002842BA">
        <w:rPr>
          <w:lang w:val="en-GB" w:eastAsia="ja-JP"/>
        </w:rPr>
        <w:t xml:space="preserve"> </w:t>
      </w:r>
      <w:proofErr w:type="spellStart"/>
      <w:r w:rsidRPr="002842BA">
        <w:rPr>
          <w:lang w:val="en-GB" w:eastAsia="ja-JP"/>
        </w:rPr>
        <w:t>mpMRI</w:t>
      </w:r>
      <w:proofErr w:type="spellEnd"/>
      <w:r w:rsidR="003E4794">
        <w:rPr>
          <w:lang w:val="en-GB" w:eastAsia="ja-JP"/>
        </w:rPr>
        <w:t xml:space="preserve"> </w:t>
      </w:r>
      <w:r w:rsidRPr="002842BA">
        <w:rPr>
          <w:lang w:val="en-GB" w:eastAsia="ja-JP"/>
        </w:rPr>
        <w:t>=</w:t>
      </w:r>
      <w:r w:rsidR="003E4794">
        <w:rPr>
          <w:lang w:val="en-GB" w:eastAsia="ja-JP"/>
        </w:rPr>
        <w:t xml:space="preserve"> </w:t>
      </w:r>
      <w:proofErr w:type="spellStart"/>
      <w:r w:rsidRPr="002842BA">
        <w:rPr>
          <w:lang w:val="en-GB" w:eastAsia="ja-JP"/>
        </w:rPr>
        <w:t>multiparametric</w:t>
      </w:r>
      <w:proofErr w:type="spellEnd"/>
      <w:r w:rsidRPr="002842BA">
        <w:rPr>
          <w:lang w:val="en-GB" w:eastAsia="ja-JP"/>
        </w:rPr>
        <w:t xml:space="preserve"> magnetic resonance imaging</w:t>
      </w:r>
      <w:r w:rsidR="003E4794">
        <w:rPr>
          <w:lang w:val="en-GB" w:eastAsia="ja-JP"/>
        </w:rPr>
        <w:t>,</w:t>
      </w:r>
      <w:r w:rsidRPr="002842BA">
        <w:rPr>
          <w:lang w:val="en-GB" w:eastAsia="ja-JP"/>
        </w:rPr>
        <w:t xml:space="preserve"> US</w:t>
      </w:r>
      <w:r w:rsidR="003E4794">
        <w:rPr>
          <w:lang w:val="en-GB" w:eastAsia="ja-JP"/>
        </w:rPr>
        <w:t xml:space="preserve"> </w:t>
      </w:r>
      <w:r w:rsidRPr="002842BA">
        <w:rPr>
          <w:lang w:val="en-GB" w:eastAsia="ja-JP"/>
        </w:rPr>
        <w:t>=</w:t>
      </w:r>
      <w:r w:rsidR="003E4794">
        <w:rPr>
          <w:lang w:val="en-GB" w:eastAsia="ja-JP"/>
        </w:rPr>
        <w:t xml:space="preserve"> </w:t>
      </w:r>
      <w:r w:rsidRPr="002842BA">
        <w:rPr>
          <w:lang w:val="en-GB" w:eastAsia="ja-JP"/>
        </w:rPr>
        <w:t xml:space="preserve">ultrasound. </w:t>
      </w:r>
      <w:bookmarkStart w:id="212" w:name="_Toc445463434"/>
    </w:p>
    <w:p w14:paraId="25B5FF90" w14:textId="77777777" w:rsidR="00B80F57" w:rsidRDefault="00B80F57" w:rsidP="00B80F57">
      <w:pPr>
        <w:pStyle w:val="TableNotes"/>
        <w:rPr>
          <w:lang w:val="en-GB" w:eastAsia="ja-JP"/>
        </w:rPr>
      </w:pPr>
    </w:p>
    <w:p w14:paraId="2E400082" w14:textId="6F4AF9B5" w:rsidR="00B80F57" w:rsidRPr="00183E4D" w:rsidRDefault="00B80F57" w:rsidP="00B80F57">
      <w:pPr>
        <w:pStyle w:val="Heading2"/>
        <w:numPr>
          <w:ilvl w:val="0"/>
          <w:numId w:val="7"/>
        </w:numPr>
      </w:pPr>
      <w:bookmarkStart w:id="213" w:name="_Toc460513897"/>
      <w:r w:rsidRPr="00B80F57">
        <w:lastRenderedPageBreak/>
        <w:t>Key Differences in the Proposed Medical Service and the Main Comparator</w:t>
      </w:r>
      <w:bookmarkEnd w:id="213"/>
    </w:p>
    <w:p w14:paraId="049064BD" w14:textId="54D02AE0" w:rsidR="001061AB" w:rsidRDefault="001061AB" w:rsidP="001061AB">
      <w:pPr>
        <w:rPr>
          <w:b/>
        </w:rPr>
      </w:pPr>
      <w:bookmarkStart w:id="214" w:name="_Toc445463435"/>
      <w:bookmarkEnd w:id="212"/>
      <w:r>
        <w:rPr>
          <w:b/>
        </w:rPr>
        <w:t>A7.1</w:t>
      </w:r>
      <w:r>
        <w:rPr>
          <w:b/>
        </w:rPr>
        <w:tab/>
      </w:r>
      <w:r w:rsidR="004146D6">
        <w:rPr>
          <w:b/>
        </w:rPr>
        <w:tab/>
      </w:r>
      <w:r>
        <w:rPr>
          <w:b/>
        </w:rPr>
        <w:t>P</w:t>
      </w:r>
      <w:r w:rsidRPr="00E836F1">
        <w:rPr>
          <w:b/>
        </w:rPr>
        <w:t>atient indications</w:t>
      </w:r>
    </w:p>
    <w:p w14:paraId="32755065" w14:textId="7C9698A9" w:rsidR="001061AB" w:rsidRPr="00E836F1" w:rsidRDefault="001061AB" w:rsidP="001061AB">
      <w:r>
        <w:t xml:space="preserve">Indications for both </w:t>
      </w:r>
      <w:proofErr w:type="spellStart"/>
      <w:r>
        <w:t>mpMRI</w:t>
      </w:r>
      <w:proofErr w:type="spellEnd"/>
      <w:r>
        <w:t xml:space="preserve"> scan of prostate and biopsy of prostate are men with suspicious findings on PSA</w:t>
      </w:r>
      <w:r w:rsidR="00424137">
        <w:t xml:space="preserve"> </w:t>
      </w:r>
      <w:r w:rsidR="00F175A8">
        <w:t>and/</w:t>
      </w:r>
      <w:r w:rsidR="00424137">
        <w:t xml:space="preserve">or </w:t>
      </w:r>
      <w:r w:rsidR="001E1FD1">
        <w:t>DRE</w:t>
      </w:r>
      <w:r>
        <w:t xml:space="preserve"> test</w:t>
      </w:r>
      <w:r w:rsidR="00424137">
        <w:t>s</w:t>
      </w:r>
      <w:r>
        <w:t xml:space="preserve"> with </w:t>
      </w:r>
      <w:r w:rsidRPr="00525678">
        <w:rPr>
          <w:rFonts w:cs="Arial"/>
        </w:rPr>
        <w:t xml:space="preserve">suspected </w:t>
      </w:r>
      <w:proofErr w:type="spellStart"/>
      <w:r w:rsidR="006818E1">
        <w:t>PCa</w:t>
      </w:r>
      <w:proofErr w:type="spellEnd"/>
      <w:r w:rsidR="00E015F9">
        <w:t>,</w:t>
      </w:r>
      <w:r w:rsidRPr="00525678">
        <w:rPr>
          <w:rFonts w:cs="Arial"/>
        </w:rPr>
        <w:t xml:space="preserve"> or men diagnosed with low or intermediate risk </w:t>
      </w:r>
      <w:proofErr w:type="spellStart"/>
      <w:r w:rsidR="006818E1">
        <w:t>PCa</w:t>
      </w:r>
      <w:proofErr w:type="spellEnd"/>
      <w:r w:rsidRPr="00525678">
        <w:rPr>
          <w:rFonts w:cs="Arial"/>
        </w:rPr>
        <w:t xml:space="preserve"> undertaking </w:t>
      </w:r>
      <w:r w:rsidR="00CE60C4">
        <w:rPr>
          <w:rFonts w:cs="Arial"/>
        </w:rPr>
        <w:t>AS</w:t>
      </w:r>
      <w:r>
        <w:rPr>
          <w:rFonts w:cs="Arial"/>
        </w:rPr>
        <w:t xml:space="preserve">. </w:t>
      </w:r>
    </w:p>
    <w:p w14:paraId="599A1333" w14:textId="77777777" w:rsidR="001061AB" w:rsidRDefault="001061AB" w:rsidP="001061AB">
      <w:pPr>
        <w:rPr>
          <w:b/>
        </w:rPr>
      </w:pPr>
      <w:r>
        <w:rPr>
          <w:b/>
        </w:rPr>
        <w:t>A7.2</w:t>
      </w:r>
      <w:r>
        <w:rPr>
          <w:b/>
        </w:rPr>
        <w:tab/>
      </w:r>
      <w:r w:rsidRPr="00E836F1">
        <w:rPr>
          <w:b/>
        </w:rPr>
        <w:t>Contraindications</w:t>
      </w:r>
    </w:p>
    <w:p w14:paraId="06DF6392" w14:textId="77777777" w:rsidR="001061AB" w:rsidRPr="00822B75" w:rsidRDefault="001061AB" w:rsidP="001061AB">
      <w:pPr>
        <w:rPr>
          <w:b/>
        </w:rPr>
      </w:pPr>
      <w:proofErr w:type="spellStart"/>
      <w:proofErr w:type="gramStart"/>
      <w:r w:rsidRPr="00822B75">
        <w:rPr>
          <w:b/>
        </w:rPr>
        <w:t>mpMRI</w:t>
      </w:r>
      <w:proofErr w:type="spellEnd"/>
      <w:proofErr w:type="gramEnd"/>
    </w:p>
    <w:p w14:paraId="42FB9BED" w14:textId="5F74C9C9" w:rsidR="001061AB" w:rsidRDefault="0066172B" w:rsidP="001061AB">
      <w:r>
        <w:t xml:space="preserve">Contraindications for </w:t>
      </w:r>
      <w:proofErr w:type="spellStart"/>
      <w:r>
        <w:t>mpMRI</w:t>
      </w:r>
      <w:proofErr w:type="spellEnd"/>
      <w:r>
        <w:t xml:space="preserve"> include</w:t>
      </w:r>
      <w:r w:rsidR="001061AB">
        <w:t xml:space="preserve"> claustrophobia; having internal ferromagnetic objects such as implants; hypotension; and</w:t>
      </w:r>
      <w:r w:rsidR="00E015F9">
        <w:t>,</w:t>
      </w:r>
      <w:r w:rsidR="001061AB">
        <w:t xml:space="preserve"> using </w:t>
      </w:r>
      <w:r w:rsidR="001061AB" w:rsidRPr="00951F6F">
        <w:t>diuretics or vasodilators</w:t>
      </w:r>
      <w:r w:rsidR="001061AB">
        <w:t>.</w:t>
      </w:r>
    </w:p>
    <w:p w14:paraId="49999C4D" w14:textId="77777777" w:rsidR="001061AB" w:rsidRPr="00020FE5" w:rsidRDefault="001061AB" w:rsidP="001061AB">
      <w:pPr>
        <w:rPr>
          <w:b/>
        </w:rPr>
      </w:pPr>
      <w:r w:rsidRPr="00020FE5">
        <w:rPr>
          <w:b/>
        </w:rPr>
        <w:t>Biopsy</w:t>
      </w:r>
    </w:p>
    <w:p w14:paraId="250E2192" w14:textId="7A95115C" w:rsidR="001061AB" w:rsidRPr="002F4703" w:rsidRDefault="001061AB" w:rsidP="001061AB">
      <w:pPr>
        <w:rPr>
          <w:rFonts w:cs="Arial"/>
        </w:rPr>
      </w:pPr>
      <w:r w:rsidRPr="002F4703">
        <w:rPr>
          <w:rFonts w:cs="Arial"/>
        </w:rPr>
        <w:t xml:space="preserve">Contraindications for </w:t>
      </w:r>
      <w:r w:rsidR="00010606">
        <w:rPr>
          <w:rFonts w:cs="Arial"/>
        </w:rPr>
        <w:t>TRUSGB</w:t>
      </w:r>
      <w:r w:rsidRPr="002F4703">
        <w:rPr>
          <w:rFonts w:cs="Arial"/>
        </w:rPr>
        <w:t xml:space="preserve"> of the prostate include an acute painful perianal disorder </w:t>
      </w:r>
      <w:r>
        <w:rPr>
          <w:rFonts w:cs="Arial"/>
        </w:rPr>
        <w:t>(anal fissure),</w:t>
      </w:r>
      <w:r w:rsidRPr="002F4703">
        <w:rPr>
          <w:rFonts w:cs="Arial"/>
        </w:rPr>
        <w:t xml:space="preserve"> a </w:t>
      </w:r>
      <w:r w:rsidR="0066172B" w:rsidRPr="002F4703">
        <w:rPr>
          <w:rFonts w:cs="Arial"/>
        </w:rPr>
        <w:t>haemorrhagic</w:t>
      </w:r>
      <w:r w:rsidRPr="002F4703">
        <w:rPr>
          <w:rFonts w:cs="Arial"/>
        </w:rPr>
        <w:t xml:space="preserve"> diathesis</w:t>
      </w:r>
      <w:r>
        <w:rPr>
          <w:rFonts w:cs="Arial"/>
        </w:rPr>
        <w:t xml:space="preserve"> (</w:t>
      </w:r>
      <w:r w:rsidRPr="002F4703">
        <w:rPr>
          <w:rFonts w:cs="Arial"/>
        </w:rPr>
        <w:t>unusual susceptibility to bleed</w:t>
      </w:r>
      <w:r>
        <w:rPr>
          <w:rFonts w:cs="Arial"/>
        </w:rPr>
        <w:t>), and diabetes mellitus which carries a risk of infection</w:t>
      </w:r>
      <w:r w:rsidR="008B3B23">
        <w:rPr>
          <w:rFonts w:cs="Arial"/>
        </w:rPr>
        <w:t xml:space="preserve"> </w:t>
      </w:r>
      <w:r w:rsidR="008E0B00">
        <w:rPr>
          <w:rFonts w:cs="Arial"/>
        </w:rPr>
        <w:fldChar w:fldCharType="begin">
          <w:fldData xml:space="preserve">PEVuZE5vdGU+PENpdGU+PEF1dGhvcj5TaW1zaXI8L0F1dGhvcj48WWVhcj4yMDEwPC9ZZWFyPjxS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</w:fldData>
        </w:fldChar>
      </w:r>
      <w:r w:rsidR="008E0B00">
        <w:rPr>
          <w:rFonts w:cs="Arial"/>
        </w:rPr>
        <w:instrText xml:space="preserve"> ADDIN EN.CITE </w:instrText>
      </w:r>
      <w:r w:rsidR="008E0B00">
        <w:rPr>
          <w:rFonts w:cs="Arial"/>
        </w:rPr>
        <w:fldChar w:fldCharType="begin">
          <w:fldData xml:space="preserve">PEVuZE5vdGU+PENpdGU+PEF1dGhvcj5TaW1zaXI8L0F1dGhvcj48WWVhcj4yMDEwPC9ZZWFyPjxS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</w:fldData>
        </w:fldChar>
      </w:r>
      <w:r w:rsidR="008E0B00">
        <w:rPr>
          <w:rFonts w:cs="Arial"/>
        </w:rPr>
        <w:instrText xml:space="preserve"> ADDIN EN.CITE.DATA </w:instrText>
      </w:r>
      <w:r w:rsidR="008E0B00">
        <w:rPr>
          <w:rFonts w:cs="Arial"/>
        </w:rPr>
      </w:r>
      <w:r w:rsidR="008E0B00">
        <w:rPr>
          <w:rFonts w:cs="Arial"/>
        </w:rPr>
        <w:fldChar w:fldCharType="end"/>
      </w:r>
      <w:r w:rsidR="008E0B00">
        <w:rPr>
          <w:rFonts w:cs="Arial"/>
        </w:rPr>
      </w:r>
      <w:r w:rsidR="008E0B00">
        <w:rPr>
          <w:rFonts w:cs="Arial"/>
        </w:rPr>
        <w:fldChar w:fldCharType="separate"/>
      </w:r>
      <w:r w:rsidR="008E0B00">
        <w:rPr>
          <w:rFonts w:cs="Arial"/>
          <w:noProof/>
        </w:rPr>
        <w:t>(</w:t>
      </w:r>
      <w:hyperlink w:anchor="_ENREF_150" w:tooltip="Simsir, 2010 #20" w:history="1">
        <w:r w:rsidR="008E0B00">
          <w:rPr>
            <w:rFonts w:cs="Arial"/>
            <w:noProof/>
          </w:rPr>
          <w:t>Simsir et al. 2010</w:t>
        </w:r>
      </w:hyperlink>
      <w:r w:rsidR="008E0B00">
        <w:rPr>
          <w:rFonts w:cs="Arial"/>
          <w:noProof/>
        </w:rPr>
        <w:t xml:space="preserve">; </w:t>
      </w:r>
      <w:hyperlink w:anchor="_ENREF_158" w:tooltip="Suzuki, 2009 #19" w:history="1">
        <w:r w:rsidR="008E0B00">
          <w:rPr>
            <w:rFonts w:cs="Arial"/>
            <w:noProof/>
          </w:rPr>
          <w:t>Suzuki et al. 2009</w:t>
        </w:r>
      </w:hyperlink>
      <w:r w:rsidR="008E0B00">
        <w:rPr>
          <w:rFonts w:cs="Arial"/>
          <w:noProof/>
        </w:rPr>
        <w:t>)</w:t>
      </w:r>
      <w:r w:rsidR="008E0B00">
        <w:rPr>
          <w:rFonts w:cs="Arial"/>
        </w:rPr>
        <w:fldChar w:fldCharType="end"/>
      </w:r>
      <w:r>
        <w:rPr>
          <w:rFonts w:cs="Arial"/>
        </w:rPr>
        <w:t>; as well as recent urogenital infection before biopsy</w:t>
      </w:r>
      <w:r w:rsidR="000426EB">
        <w:rPr>
          <w:rFonts w:cs="Arial"/>
        </w:rPr>
        <w:t xml:space="preserve"> </w:t>
      </w:r>
      <w:r w:rsidR="008E0B00">
        <w:rPr>
          <w:rFonts w:cs="Arial"/>
        </w:rPr>
        <w:fldChar w:fldCharType="begin">
          <w:fldData xml:space="preserve">PEVuZE5vdGU+PENpdGU+PEF1dGhvcj5Sb2JlcnRzPC9BdXRob3I+PFllYXI+MjAwMjwvWWVhcj48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</w:fldData>
        </w:fldChar>
      </w:r>
      <w:r w:rsidR="008E0B00">
        <w:rPr>
          <w:rFonts w:cs="Arial"/>
        </w:rPr>
        <w:instrText xml:space="preserve"> ADDIN EN.CITE </w:instrText>
      </w:r>
      <w:r w:rsidR="008E0B00">
        <w:rPr>
          <w:rFonts w:cs="Arial"/>
        </w:rPr>
        <w:fldChar w:fldCharType="begin">
          <w:fldData xml:space="preserve">PEVuZE5vdGU+PENpdGU+PEF1dGhvcj5Sb2JlcnRzPC9BdXRob3I+PFllYXI+MjAwMjwvWWVhcj48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</w:fldData>
        </w:fldChar>
      </w:r>
      <w:r w:rsidR="008E0B00">
        <w:rPr>
          <w:rFonts w:cs="Arial"/>
        </w:rPr>
        <w:instrText xml:space="preserve"> ADDIN EN.CITE.DATA </w:instrText>
      </w:r>
      <w:r w:rsidR="008E0B00">
        <w:rPr>
          <w:rFonts w:cs="Arial"/>
        </w:rPr>
      </w:r>
      <w:r w:rsidR="008E0B00">
        <w:rPr>
          <w:rFonts w:cs="Arial"/>
        </w:rPr>
        <w:fldChar w:fldCharType="end"/>
      </w:r>
      <w:r w:rsidR="008E0B00">
        <w:rPr>
          <w:rFonts w:cs="Arial"/>
        </w:rPr>
      </w:r>
      <w:r w:rsidR="008E0B00">
        <w:rPr>
          <w:rFonts w:cs="Arial"/>
        </w:rPr>
        <w:fldChar w:fldCharType="separate"/>
      </w:r>
      <w:r w:rsidR="008E0B00">
        <w:rPr>
          <w:rFonts w:cs="Arial"/>
          <w:noProof/>
        </w:rPr>
        <w:t>(</w:t>
      </w:r>
      <w:hyperlink w:anchor="_ENREF_127" w:tooltip="Roberts, 2002 #21" w:history="1">
        <w:r w:rsidR="008E0B00">
          <w:rPr>
            <w:rFonts w:cs="Arial"/>
            <w:noProof/>
          </w:rPr>
          <w:t>Roberts et al. 2002</w:t>
        </w:r>
      </w:hyperlink>
      <w:r w:rsidR="008E0B00">
        <w:rPr>
          <w:rFonts w:cs="Arial"/>
          <w:noProof/>
        </w:rPr>
        <w:t>)</w:t>
      </w:r>
      <w:r w:rsidR="008E0B00">
        <w:rPr>
          <w:rFonts w:cs="Arial"/>
        </w:rPr>
        <w:fldChar w:fldCharType="end"/>
      </w:r>
      <w:r>
        <w:rPr>
          <w:rFonts w:cs="Arial"/>
        </w:rPr>
        <w:t xml:space="preserve">. </w:t>
      </w:r>
      <w:r w:rsidRPr="002F4703">
        <w:rPr>
          <w:rFonts w:cs="Arial"/>
        </w:rPr>
        <w:t>Patients should be discouraged from taking aspirin or non</w:t>
      </w:r>
      <w:r w:rsidR="0066172B">
        <w:rPr>
          <w:rFonts w:cs="Arial"/>
        </w:rPr>
        <w:t>-</w:t>
      </w:r>
      <w:r w:rsidRPr="002F4703">
        <w:rPr>
          <w:rFonts w:cs="Arial"/>
        </w:rPr>
        <w:t>steroidal anti-inflammatory drugs for at least 10 days before the procedure, but recent use of these agents should not be considered an absolute contraindication for prostate biopsy</w:t>
      </w:r>
      <w:r w:rsidR="00C74420">
        <w:rPr>
          <w:rFonts w:cs="Arial"/>
        </w:rPr>
        <w:t xml:space="preserve"> </w:t>
      </w:r>
      <w:r w:rsidR="008E0B00">
        <w:rPr>
          <w:rFonts w:cs="Arial"/>
        </w:rPr>
        <w:fldChar w:fldCharType="begin"/>
      </w:r>
      <w:r w:rsidR="008E0B00">
        <w:rPr>
          <w:rFonts w:cs="Arial"/>
        </w:rPr>
        <w:instrText xml:space="preserve"> ADDIN EN.CITE &lt;EndNote&gt;&lt;Cite&gt;&lt;Author&gt;Rodriguez&lt;/Author&gt;&lt;Year&gt;1998&lt;/Year&gt;&lt;RecNum&gt;22&lt;/RecNum&gt;&lt;DisplayText&gt;(Rodriguez and Terris 1998)&lt;/DisplayText&gt;&lt;record&gt;&lt;rec-number&gt;22&lt;/rec-number&gt;&lt;foreign-keys&gt;&lt;key app="EN" db-id="2p9terxr22fx91epzebpfdwuzrwtw2a2ep2t" timestamp="1472684602"&gt;22&lt;/key&gt;&lt;/foreign-keys&gt;&lt;ref-type name="Journal Article"&gt;17&lt;/ref-type&gt;&lt;contributors&gt;&lt;authors&gt;&lt;author&gt;Rodriguez, L. V.&lt;/author&gt;&lt;author&gt;Terris, M. K.&lt;/author&gt;&lt;/authors&gt;&lt;/contributors&gt;&lt;auth-address&gt;Department of Urology, Stanford University Medical Center, California, USA.&lt;/auth-address&gt;&lt;titles&gt;&lt;title&gt;Risks and complications of transrectal ultrasound guided prostate needle biopsy: a prospective study and review of the literature&lt;/title&gt;&lt;secondary-title&gt;J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urology&lt;/abbr-1&gt;&lt;/alt-periodical&gt;&lt;pages&gt;2115-20&lt;/pages&gt;&lt;volume&gt;160&lt;/volume&gt;&lt;number&gt;6 Pt 1&lt;/number&gt;&lt;edition&gt;1998/11/17&lt;/edition&gt;&lt;keywords&gt;&lt;keyword&gt;Aged&lt;/keyword&gt;&lt;keyword&gt;Aged, 80 and over&lt;/keyword&gt;&lt;keyword&gt;Biopsy, Needle/*adverse effects/*methods&lt;/keyword&gt;&lt;keyword&gt;Humans&lt;/keyword&gt;&lt;keyword&gt;Male&lt;/keyword&gt;&lt;keyword&gt;Middle Aged&lt;/keyword&gt;&lt;keyword&gt;Multivariate Analysis&lt;/keyword&gt;&lt;keyword&gt;Postoperative Complications/epidemiology&lt;/keyword&gt;&lt;keyword&gt;Prospective Studies&lt;/keyword&gt;&lt;keyword&gt;Prostatic Neoplasms/*pathology/ultrasonography&lt;/keyword&gt;&lt;keyword&gt;Risk Factors&lt;/keyword&gt;&lt;/keywords&gt;&lt;dates&gt;&lt;year&gt;1998&lt;/year&gt;&lt;pub-dates&gt;&lt;date&gt;Dec&lt;/date&gt;&lt;/pub-dates&gt;&lt;/dates&gt;&lt;isbn&gt;0022-5347 (Print)&amp;#xD;0022-5347&lt;/isbn&gt;&lt;accession-num&gt;9817335&lt;/accession-num&gt;&lt;urls&gt;&lt;/urls&gt;&lt;remote-database-provider&gt;NLM&lt;/remote-database-provider&gt;&lt;language&gt;eng&lt;/language&gt;&lt;/record&gt;&lt;/Cite&gt;&lt;/EndNote&gt;</w:instrText>
      </w:r>
      <w:r w:rsidR="008E0B00">
        <w:rPr>
          <w:rFonts w:cs="Arial"/>
        </w:rPr>
        <w:fldChar w:fldCharType="separate"/>
      </w:r>
      <w:r w:rsidR="008E0B00">
        <w:rPr>
          <w:rFonts w:cs="Arial"/>
          <w:noProof/>
        </w:rPr>
        <w:t>(</w:t>
      </w:r>
      <w:hyperlink w:anchor="_ENREF_128" w:tooltip="Rodriguez, 1998 #22" w:history="1">
        <w:r w:rsidR="008E0B00">
          <w:rPr>
            <w:rFonts w:cs="Arial"/>
            <w:noProof/>
          </w:rPr>
          <w:t>Rodriguez and Terris 1998</w:t>
        </w:r>
      </w:hyperlink>
      <w:r w:rsidR="008E0B00">
        <w:rPr>
          <w:rFonts w:cs="Arial"/>
          <w:noProof/>
        </w:rPr>
        <w:t>)</w:t>
      </w:r>
      <w:r w:rsidR="008E0B00">
        <w:rPr>
          <w:rFonts w:cs="Arial"/>
        </w:rPr>
        <w:fldChar w:fldCharType="end"/>
      </w:r>
      <w:r w:rsidRPr="002F4703">
        <w:rPr>
          <w:rFonts w:cs="Arial"/>
        </w:rPr>
        <w:t>.</w:t>
      </w:r>
      <w:r>
        <w:rPr>
          <w:rFonts w:cs="Arial"/>
        </w:rPr>
        <w:t xml:space="preserve"> No c</w:t>
      </w:r>
      <w:r w:rsidRPr="002F4703">
        <w:rPr>
          <w:rFonts w:cs="Arial"/>
        </w:rPr>
        <w:t xml:space="preserve">ontraindications for </w:t>
      </w:r>
      <w:r w:rsidR="00010606">
        <w:rPr>
          <w:rFonts w:cs="Arial"/>
        </w:rPr>
        <w:t>TPUSGB</w:t>
      </w:r>
      <w:r w:rsidRPr="002F4703">
        <w:rPr>
          <w:rFonts w:cs="Arial"/>
        </w:rPr>
        <w:t xml:space="preserve"> of the prostate </w:t>
      </w:r>
      <w:r w:rsidR="00E015F9">
        <w:rPr>
          <w:rFonts w:cs="Arial"/>
        </w:rPr>
        <w:t>were</w:t>
      </w:r>
      <w:r w:rsidRPr="002F4703">
        <w:rPr>
          <w:rFonts w:cs="Arial"/>
        </w:rPr>
        <w:t xml:space="preserve"> identified.</w:t>
      </w:r>
    </w:p>
    <w:p w14:paraId="2A2AB196" w14:textId="5109A62C" w:rsidR="001061AB" w:rsidRDefault="001061AB" w:rsidP="001061AB">
      <w:pPr>
        <w:rPr>
          <w:b/>
        </w:rPr>
      </w:pPr>
      <w:r>
        <w:rPr>
          <w:b/>
        </w:rPr>
        <w:t>A7.3</w:t>
      </w:r>
      <w:r w:rsidR="004146D6">
        <w:rPr>
          <w:b/>
        </w:rPr>
        <w:tab/>
      </w:r>
      <w:r>
        <w:rPr>
          <w:b/>
        </w:rPr>
        <w:tab/>
      </w:r>
      <w:r w:rsidRPr="00E836F1">
        <w:rPr>
          <w:b/>
        </w:rPr>
        <w:t>Likelihood</w:t>
      </w:r>
      <w:r>
        <w:rPr>
          <w:b/>
        </w:rPr>
        <w:t xml:space="preserve"> and severity of</w:t>
      </w:r>
      <w:r w:rsidRPr="00E836F1">
        <w:rPr>
          <w:b/>
        </w:rPr>
        <w:t xml:space="preserve"> adverse events</w:t>
      </w:r>
    </w:p>
    <w:p w14:paraId="008D6883" w14:textId="7CA08ED0" w:rsidR="00E015F9" w:rsidRPr="00E015F9" w:rsidRDefault="00E015F9" w:rsidP="001061AB">
      <w:pPr>
        <w:rPr>
          <w:rFonts w:cs="Arial"/>
        </w:rPr>
      </w:pPr>
      <w:r>
        <w:rPr>
          <w:rFonts w:cs="Arial"/>
        </w:rPr>
        <w:t xml:space="preserve">The risk profiles for </w:t>
      </w:r>
      <w:proofErr w:type="spellStart"/>
      <w:r>
        <w:rPr>
          <w:rFonts w:cs="Arial"/>
        </w:rPr>
        <w:t>mpMRI</w:t>
      </w:r>
      <w:proofErr w:type="spellEnd"/>
      <w:r>
        <w:rPr>
          <w:rFonts w:cs="Arial"/>
        </w:rPr>
        <w:t xml:space="preserve"> and biopsy (any type) differ due to the nature of the techniques as </w:t>
      </w:r>
      <w:proofErr w:type="spellStart"/>
      <w:r>
        <w:rPr>
          <w:rFonts w:cs="Arial"/>
        </w:rPr>
        <w:t>mpMRI</w:t>
      </w:r>
      <w:proofErr w:type="spellEnd"/>
      <w:r>
        <w:rPr>
          <w:rFonts w:cs="Arial"/>
        </w:rPr>
        <w:t xml:space="preserve"> is non-invasive imaging technique and biopsy is an invasive procedure.</w:t>
      </w:r>
    </w:p>
    <w:p w14:paraId="61E44AB7" w14:textId="77777777" w:rsidR="001061AB" w:rsidRPr="00822B75" w:rsidRDefault="001061AB" w:rsidP="001061AB">
      <w:pPr>
        <w:rPr>
          <w:b/>
        </w:rPr>
      </w:pPr>
      <w:proofErr w:type="spellStart"/>
      <w:proofErr w:type="gramStart"/>
      <w:r w:rsidRPr="00822B75">
        <w:rPr>
          <w:b/>
        </w:rPr>
        <w:t>mpMRI</w:t>
      </w:r>
      <w:proofErr w:type="spellEnd"/>
      <w:proofErr w:type="gramEnd"/>
    </w:p>
    <w:p w14:paraId="0E1349F7" w14:textId="2B258161" w:rsidR="001061AB" w:rsidRDefault="001061AB" w:rsidP="001061AB">
      <w:r>
        <w:t xml:space="preserve">MRI is an established technique, the likelihood of adverse events is very low, the severity of adverse events is generally low, and MRI is considered safe for </w:t>
      </w:r>
      <w:r w:rsidR="00E015F9">
        <w:t>most</w:t>
      </w:r>
      <w:r>
        <w:t xml:space="preserve"> patients. The most relevant safety issues associated with </w:t>
      </w:r>
      <w:proofErr w:type="spellStart"/>
      <w:r>
        <w:t>mpMRI</w:t>
      </w:r>
      <w:proofErr w:type="spellEnd"/>
      <w:r>
        <w:t xml:space="preserve"> are the risks associated with internal ferromagnetic objects, and heat stress which is only seen as risky in patients with hypertension</w:t>
      </w:r>
      <w:r w:rsidRPr="00951F6F">
        <w:t xml:space="preserve"> </w:t>
      </w:r>
      <w:r>
        <w:t>and patients</w:t>
      </w:r>
      <w:r w:rsidRPr="00951F6F">
        <w:t xml:space="preserve"> </w:t>
      </w:r>
      <w:r>
        <w:t>taking</w:t>
      </w:r>
      <w:r w:rsidRPr="00951F6F">
        <w:t xml:space="preserve"> diuretics or vasodilators</w:t>
      </w:r>
      <w:r>
        <w:t xml:space="preserve"> </w:t>
      </w:r>
      <w:r w:rsidR="008E0B00">
        <w:fldChar w:fldCharType="begin"/>
      </w:r>
      <w:r w:rsidR="008E0B00">
        <w:instrText xml:space="preserve"> ADDIN EN.CITE &lt;EndNote&gt;&lt;Cite&gt;&lt;Author&gt;Schenck&lt;/Author&gt;&lt;Year&gt;2001&lt;/Year&gt;&lt;RecNum&gt;23&lt;/RecNum&gt;&lt;DisplayText&gt;(Schenck 2001a; Schenck 2001b)&lt;/DisplayText&gt;&lt;record&gt;&lt;rec-number&gt;23&lt;/rec-number&gt;&lt;foreign-keys&gt;&lt;key app="EN" db-id="2p9terxr22fx91epzebpfdwuzrwtw2a2ep2t" timestamp="1472684602"&gt;23&lt;/key&gt;&lt;/foreign-keys&gt;&lt;ref-type name="Book Section"&gt;5&lt;/ref-type&gt;&lt;contributors&gt;&lt;authors&gt;&lt;author&gt;Schenck, J.F.&lt;/author&gt;&lt;/authors&gt;&lt;secondary-authors&gt;&lt;author&gt;Raton, B.&lt;/author&gt;&lt;/secondary-authors&gt;&lt;/contributors&gt;&lt;titles&gt;&lt;title&gt;Health effects and safety of static magnetic fields. &lt;/title&gt;&lt;secondary-title&gt;Magnetic resonance procedures: health effects and safety.&lt;/secondary-title&gt;&lt;/titles&gt;&lt;dates&gt;&lt;year&gt;2001&lt;/year&gt;&lt;/dates&gt;&lt;publisher&gt;CRC Press&lt;/publisher&gt;&lt;urls&gt;&lt;/urls&gt;&lt;access-date&gt;24 April 2015&lt;/access-date&gt;&lt;/record&gt;&lt;/Cite&gt;&lt;Cite&gt;&lt;Author&gt;Schenck&lt;/Author&gt;&lt;Year&gt;2001&lt;/Year&gt;&lt;RecNum&gt;17&lt;/RecNum&gt;&lt;record&gt;&lt;rec-number&gt;17&lt;/rec-number&gt;&lt;foreign-keys&gt;&lt;key app="EN" db-id="xzzrstesqpaavfe0te5p2zssvee5ervas2vt" timestamp="1467166100"&gt;17&lt;/key&gt;&lt;/foreign-keys&gt;&lt;ref-type name="Journal Article"&gt;17&lt;/ref-type&gt;&lt;contributors&gt;&lt;authors&gt;&lt;author&gt;Schenck, J.F.&lt;/author&gt;&lt;/authors&gt;&lt;/contributors&gt;&lt;titles&gt;&lt;title&gt;Health effects and safety of static magnetic fields. In: Shellock FG, ed. Magnetic resonance procedures: health effects and safety. Boca Raton, FL: CRC Press, 2001; pp. 1-30.&lt;/title&gt;&lt;/titles&gt;&lt;dates&gt;&lt;year&gt;2001&lt;/year&gt;&lt;/dates&gt;&lt;urls&gt;&lt;/urls&gt;&lt;access-date&gt;24 April 2015&lt;/access-date&gt;&lt;/record&gt;&lt;/Cite&gt;&lt;/EndNote&gt;</w:instrText>
      </w:r>
      <w:r w:rsidR="008E0B00">
        <w:fldChar w:fldCharType="separate"/>
      </w:r>
      <w:r w:rsidR="008E0B00">
        <w:rPr>
          <w:noProof/>
        </w:rPr>
        <w:t>(</w:t>
      </w:r>
      <w:hyperlink w:anchor="_ENREF_142" w:tooltip="Schenck, 2001 #23" w:history="1">
        <w:r w:rsidR="008E0B00">
          <w:rPr>
            <w:noProof/>
          </w:rPr>
          <w:t>Schenck 2001a</w:t>
        </w:r>
      </w:hyperlink>
      <w:r w:rsidR="008E0B00">
        <w:rPr>
          <w:noProof/>
        </w:rPr>
        <w:t xml:space="preserve">; </w:t>
      </w:r>
      <w:hyperlink w:anchor="_ENREF_143" w:tooltip="Schenck, 2001 #17" w:history="1">
        <w:r w:rsidR="008E0B00">
          <w:rPr>
            <w:noProof/>
          </w:rPr>
          <w:t>Schenck 2001b</w:t>
        </w:r>
      </w:hyperlink>
      <w:r w:rsidR="008E0B00">
        <w:rPr>
          <w:noProof/>
        </w:rPr>
        <w:t>)</w:t>
      </w:r>
      <w:r w:rsidR="008E0B00">
        <w:fldChar w:fldCharType="end"/>
      </w:r>
      <w:r>
        <w:t xml:space="preserve">. There is a potential risk of contact burns if patient positioning is inappropriate </w:t>
      </w:r>
      <w:r w:rsidR="008E0B00">
        <w:fldChar w:fldCharType="begin"/>
      </w:r>
      <w:r w:rsidR="008E0B00">
        <w:instrText xml:space="preserve"> ADDIN EN.CITE &lt;EndNote&gt;&lt;Cite&gt;&lt;Author&gt;Shellock FG&lt;/Author&gt;&lt;Year&gt;2001&lt;/Year&gt;&lt;RecNum&gt;18&lt;/RecNum&gt;&lt;DisplayText&gt;(Shellock FG 2001)&lt;/DisplayText&gt;&lt;record&gt;&lt;rec-number&gt;18&lt;/rec-number&gt;&lt;foreign-keys&gt;&lt;key app="EN" db-id="xzzrstesqpaavfe0te5p2zssvee5ervas2vt" timestamp="1467166100"&gt;18&lt;/key&gt;&lt;/foreign-keys&gt;&lt;ref-type name="Book"&gt;6&lt;/ref-type&gt;&lt;contributors&gt;&lt;authors&gt;&lt;author&gt;Shellock FG,&lt;/author&gt;&lt;/authors&gt;&lt;/contributors&gt;&lt;titles&gt;&lt;title&gt;Magnetic resonance procedures: health effects and safety&lt;/title&gt;&lt;/titles&gt;&lt;section&gt;1-30&lt;/section&gt;&lt;dates&gt;&lt;year&gt;2001&lt;/year&gt;&lt;/dates&gt;&lt;pub-location&gt;Boca Raton Florida&lt;/pub-location&gt;&lt;publisher&gt;CRC Press&lt;/publisher&gt;&lt;isbn&gt;ISBN 0849308747&lt;/isbn&gt;&lt;urls&gt;&lt;/urls&gt;&lt;/record&gt;&lt;/Cite&gt;&lt;/EndNote&gt;</w:instrText>
      </w:r>
      <w:r w:rsidR="008E0B00">
        <w:fldChar w:fldCharType="separate"/>
      </w:r>
      <w:r w:rsidR="008E0B00">
        <w:rPr>
          <w:noProof/>
        </w:rPr>
        <w:t>(</w:t>
      </w:r>
      <w:hyperlink w:anchor="_ENREF_146" w:tooltip="Shellock FG, 2001 #18" w:history="1">
        <w:r w:rsidR="008E0B00">
          <w:rPr>
            <w:noProof/>
          </w:rPr>
          <w:t>Shellock FG 2001</w:t>
        </w:r>
      </w:hyperlink>
      <w:r w:rsidR="008E0B00">
        <w:rPr>
          <w:noProof/>
        </w:rPr>
        <w:t>)</w:t>
      </w:r>
      <w:r w:rsidR="008E0B00">
        <w:fldChar w:fldCharType="end"/>
      </w:r>
      <w:r>
        <w:t xml:space="preserve">. Claustrophobia may prevent some patients from undergoing MRI scans </w:t>
      </w:r>
      <w:r w:rsidR="008E0B00">
        <w:fldChar w:fldCharType="begin"/>
      </w:r>
      <w:r w:rsidR="008E0B00">
        <w:instrText xml:space="preserve"> ADDIN EN.CITE &lt;EndNote&gt;&lt;Cite&gt;&lt;Author&gt;Thorpe&lt;/Author&gt;&lt;Year&gt;2008&lt;/Year&gt;&lt;RecNum&gt;25&lt;/RecNum&gt;&lt;DisplayText&gt;(Thorpe et al. 2008)&lt;/DisplayText&gt;&lt;record&gt;&lt;rec-number&gt;25&lt;/rec-number&gt;&lt;foreign-keys&gt;&lt;key app="EN" db-id="2p9terxr22fx91epzebpfdwuzrwtw2a2ep2t" timestamp="1472684602"&gt;25&lt;/key&gt;&lt;/foreign-keys&gt;&lt;ref-type name="Journal Article"&gt;17&lt;/ref-type&gt;&lt;contributors&gt;&lt;authors&gt;&lt;author&gt;Thorpe, S.&lt;/author&gt;&lt;author&gt;Salkovskis, P. M.&lt;/author&gt;&lt;author&gt;Dittner, A.&lt;/author&gt;&lt;/authors&gt;&lt;/contributors&gt;&lt;auth-address&gt;University of Surrey, Psychology, Guildford, GU2 7XH Surrey, UK. s.thorpe@surrey.ac.uk&lt;/auth-address&gt;&lt;titles&gt;&lt;title&gt;Claustrophobia in MRI: the role of cognitions&lt;/title&gt;&lt;secondary-title&gt;Magn Reson Imaging&lt;/secondary-title&gt;&lt;alt-title&gt;Magnetic resonance imaging&lt;/alt-title&gt;&lt;/titles&gt;&lt;periodical&gt;&lt;full-title&gt;Magn Reson Imaging&lt;/full-title&gt;&lt;abbr-1&gt;Magnetic resonance imaging&lt;/abbr-1&gt;&lt;/periodical&gt;&lt;alt-periodical&gt;&lt;full-title&gt;Magn Reson Imaging&lt;/full-title&gt;&lt;abbr-1&gt;Magnetic resonance imaging&lt;/abbr-1&gt;&lt;/alt-periodical&gt;&lt;pages&gt;1081-8&lt;/pages&gt;&lt;volume&gt;26&lt;/volume&gt;&lt;number&gt;8&lt;/number&gt;&lt;edition&gt;2008/06/06&lt;/edition&gt;&lt;keywords&gt;&lt;keyword&gt;Adolescent&lt;/keyword&gt;&lt;keyword&gt;Adult&lt;/keyword&gt;&lt;keyword&gt;Aged&lt;/keyword&gt;&lt;keyword&gt;Aged, 80 and over&lt;/keyword&gt;&lt;keyword&gt;Anxiety/diagnosis/*etiology/*psychology&lt;/keyword&gt;&lt;keyword&gt;*Cognition&lt;/keyword&gt;&lt;keyword&gt;Female&lt;/keyword&gt;&lt;keyword&gt;Humans&lt;/keyword&gt;&lt;keyword&gt;Magnetic Resonance Imaging/*adverse effects/*psychology&lt;/keyword&gt;&lt;keyword&gt;Male&lt;/keyword&gt;&lt;keyword&gt;Middle Aged&lt;/keyword&gt;&lt;keyword&gt;Phobic Disorders/diagnosis/*etiology/*psychology&lt;/keyword&gt;&lt;keyword&gt;Psychometrics/methods&lt;/keyword&gt;&lt;keyword&gt;Surveys and Questionnaires&lt;/keyword&gt;&lt;keyword&gt;Young Adult&lt;/keyword&gt;&lt;/keywords&gt;&lt;dates&gt;&lt;year&gt;2008&lt;/year&gt;&lt;pub-dates&gt;&lt;date&gt;Oct&lt;/date&gt;&lt;/pub-dates&gt;&lt;/dates&gt;&lt;isbn&gt;0730-725X (Print)&amp;#xD;0730-725x&lt;/isbn&gt;&lt;accession-num&gt;18524527&lt;/accession-num&gt;&lt;urls&gt;&lt;/urls&gt;&lt;electronic-resource-num&gt;10.1016/j.mri.2008.01.022&lt;/electronic-resource-num&gt;&lt;remote-database-provider&gt;NLM&lt;/remote-database-provider&gt;&lt;language&gt;eng&lt;/language&gt;&lt;/record&gt;&lt;/Cite&gt;&lt;/EndNote&gt;</w:instrText>
      </w:r>
      <w:r w:rsidR="008E0B00">
        <w:fldChar w:fldCharType="separate"/>
      </w:r>
      <w:r w:rsidR="008E0B00">
        <w:rPr>
          <w:noProof/>
        </w:rPr>
        <w:t>(</w:t>
      </w:r>
      <w:hyperlink w:anchor="_ENREF_163" w:tooltip="Thorpe, 2008 #25" w:history="1">
        <w:r w:rsidR="008E0B00">
          <w:rPr>
            <w:noProof/>
          </w:rPr>
          <w:t>Thorpe et al. 2008</w:t>
        </w:r>
      </w:hyperlink>
      <w:r w:rsidR="008E0B00">
        <w:rPr>
          <w:noProof/>
        </w:rPr>
        <w:t>)</w:t>
      </w:r>
      <w:r w:rsidR="008E0B00">
        <w:fldChar w:fldCharType="end"/>
      </w:r>
      <w:r>
        <w:t xml:space="preserve">. There are limited adverse events associated with gadolinium-based contrast agents </w:t>
      </w:r>
      <w:r w:rsidR="008E0B00">
        <w:fldChar w:fldCharType="begin">
          <w:fldData xml:space="preserve">PEVuZE5vdGU+PENpdGU+PEF1dGhvcj5CbHVlbWtlPC9BdXRob3I+PFllYXI+MjAwNTwvWWVhcj48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bD48cGFnZXM+ODktOTg8L3BhZ2VzPjx2b2x1bWU+MjM3PC92b2x1bWU+PG51bWJlcj4xPC9udW1i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</w:fldData>
        </w:fldChar>
      </w:r>
      <w:r w:rsidR="008E0B00">
        <w:instrText xml:space="preserve"> ADDIN EN.CITE </w:instrText>
      </w:r>
      <w:r w:rsidR="008E0B00">
        <w:fldChar w:fldCharType="begin">
          <w:fldData xml:space="preserve">PEVuZE5vdGU+PENpdGU+PEF1dGhvcj5CbHVlbWtlPC9BdXRob3I+PFllYXI+MjAwNTwvWWVhcj48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18" w:tooltip="Bluemke, 2005 #26" w:history="1">
        <w:r w:rsidR="008E0B00">
          <w:rPr>
            <w:noProof/>
          </w:rPr>
          <w:t>Bluemke et al. 2005</w:t>
        </w:r>
      </w:hyperlink>
      <w:r w:rsidR="008E0B00">
        <w:rPr>
          <w:noProof/>
        </w:rPr>
        <w:t>)</w:t>
      </w:r>
      <w:r w:rsidR="008E0B00">
        <w:fldChar w:fldCharType="end"/>
      </w:r>
      <w:r>
        <w:t>. While it is recognised that there are also potential risks associated with the use of strong magnetic fields, these are unlikely to occur and are associated with higher field strengths</w:t>
      </w:r>
      <w:r w:rsidRPr="00B14436">
        <w:t xml:space="preserve"> </w:t>
      </w:r>
      <w:r>
        <w:t xml:space="preserve">than those used in clinical practice. </w:t>
      </w:r>
    </w:p>
    <w:p w14:paraId="15094966" w14:textId="77777777" w:rsidR="001061AB" w:rsidRPr="000A3BF8" w:rsidRDefault="001061AB" w:rsidP="001061AB">
      <w:pPr>
        <w:rPr>
          <w:b/>
        </w:rPr>
      </w:pPr>
      <w:r w:rsidRPr="000A3BF8">
        <w:rPr>
          <w:b/>
        </w:rPr>
        <w:lastRenderedPageBreak/>
        <w:t>Biopsy</w:t>
      </w:r>
    </w:p>
    <w:p w14:paraId="2051782B" w14:textId="518D8468" w:rsidR="001061AB" w:rsidRPr="001048B2" w:rsidRDefault="001061AB" w:rsidP="001061AB">
      <w:pPr>
        <w:pStyle w:val="CommentText"/>
        <w:rPr>
          <w:sz w:val="22"/>
        </w:rPr>
      </w:pPr>
      <w:r w:rsidRPr="001048B2">
        <w:rPr>
          <w:sz w:val="22"/>
        </w:rPr>
        <w:t>Different biopsy techniques may have different risk profiles. For any trans</w:t>
      </w:r>
      <w:r w:rsidR="00E015F9">
        <w:rPr>
          <w:sz w:val="22"/>
        </w:rPr>
        <w:t>-</w:t>
      </w:r>
      <w:r w:rsidRPr="001048B2">
        <w:rPr>
          <w:sz w:val="22"/>
        </w:rPr>
        <w:t>rectal biopsy</w:t>
      </w:r>
      <w:r>
        <w:rPr>
          <w:sz w:val="22"/>
        </w:rPr>
        <w:t>, the</w:t>
      </w:r>
      <w:r w:rsidRPr="001048B2">
        <w:rPr>
          <w:sz w:val="22"/>
        </w:rPr>
        <w:t xml:space="preserve"> main risk is infection due to the insertion of needles through the rectum which is non-sterile. At its most severe, infection may cause sepsis and death although this is very rare. Risk of infection is reduced by antibiotic prophylaxis and pre biopsy workup including enema</w:t>
      </w:r>
      <w:r w:rsidR="00575665">
        <w:rPr>
          <w:sz w:val="22"/>
        </w:rPr>
        <w:t xml:space="preserve"> </w:t>
      </w:r>
      <w:r w:rsidR="008E0B00">
        <w:rPr>
          <w:sz w:val="22"/>
        </w:rPr>
        <w:fldChar w:fldCharType="begin">
          <w:fldData xml:space="preserve">PEVuZE5vdGU+PENpdGU+PEF1dGhvcj5LYXBvb3I8L0F1dGhvcj48WWVhcj4xOTk4PC9ZZWFyPjxS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==
</w:fldData>
        </w:fldChar>
      </w:r>
      <w:r w:rsidR="008E0B00">
        <w:rPr>
          <w:sz w:val="22"/>
        </w:rPr>
        <w:instrText xml:space="preserve"> ADDIN EN.CITE </w:instrText>
      </w:r>
      <w:r w:rsidR="008E0B00">
        <w:rPr>
          <w:sz w:val="22"/>
        </w:rPr>
        <w:fldChar w:fldCharType="begin">
          <w:fldData xml:space="preserve">PEVuZE5vdGU+PENpdGU+PEF1dGhvcj5LYXBvb3I8L0F1dGhvcj48WWVhcj4xOTk4PC9ZZWFyPjxS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==
</w:fldData>
        </w:fldChar>
      </w:r>
      <w:r w:rsidR="008E0B00">
        <w:rPr>
          <w:sz w:val="22"/>
        </w:rPr>
        <w:instrText xml:space="preserve"> ADDIN EN.CITE.DATA </w:instrText>
      </w:r>
      <w:r w:rsidR="008E0B00">
        <w:rPr>
          <w:sz w:val="22"/>
        </w:rPr>
      </w:r>
      <w:r w:rsidR="008E0B00">
        <w:rPr>
          <w:sz w:val="22"/>
        </w:rPr>
        <w:fldChar w:fldCharType="end"/>
      </w:r>
      <w:r w:rsidR="008E0B00">
        <w:rPr>
          <w:sz w:val="22"/>
        </w:rPr>
      </w:r>
      <w:r w:rsidR="008E0B00">
        <w:rPr>
          <w:sz w:val="22"/>
        </w:rPr>
        <w:fldChar w:fldCharType="separate"/>
      </w:r>
      <w:r w:rsidR="008E0B00">
        <w:rPr>
          <w:noProof/>
          <w:sz w:val="22"/>
        </w:rPr>
        <w:t>(</w:t>
      </w:r>
      <w:hyperlink w:anchor="_ENREF_74" w:tooltip="Kapoor, 1998 #27" w:history="1">
        <w:r w:rsidR="008E0B00">
          <w:rPr>
            <w:noProof/>
            <w:sz w:val="22"/>
          </w:rPr>
          <w:t>Kapoor et al. 1998</w:t>
        </w:r>
      </w:hyperlink>
      <w:r w:rsidR="008E0B00">
        <w:rPr>
          <w:noProof/>
          <w:sz w:val="22"/>
        </w:rPr>
        <w:t>)</w:t>
      </w:r>
      <w:r w:rsidR="008E0B00">
        <w:rPr>
          <w:sz w:val="22"/>
        </w:rPr>
        <w:fldChar w:fldCharType="end"/>
      </w:r>
      <w:r w:rsidRPr="001048B2">
        <w:rPr>
          <w:sz w:val="22"/>
        </w:rPr>
        <w:t>. Other complications of prostate biopsy include bleeding (</w:t>
      </w:r>
      <w:r w:rsidR="00E015F9">
        <w:rPr>
          <w:sz w:val="22"/>
        </w:rPr>
        <w:t>haematuria</w:t>
      </w:r>
      <w:r w:rsidRPr="001048B2">
        <w:rPr>
          <w:sz w:val="22"/>
        </w:rPr>
        <w:t xml:space="preserve">, </w:t>
      </w:r>
      <w:proofErr w:type="spellStart"/>
      <w:r w:rsidR="00E015F9">
        <w:rPr>
          <w:sz w:val="22"/>
        </w:rPr>
        <w:t>hematoscpermia</w:t>
      </w:r>
      <w:proofErr w:type="spellEnd"/>
      <w:r w:rsidRPr="001048B2">
        <w:rPr>
          <w:sz w:val="22"/>
        </w:rPr>
        <w:t xml:space="preserve">, and </w:t>
      </w:r>
      <w:r w:rsidR="00E015F9">
        <w:rPr>
          <w:sz w:val="22"/>
        </w:rPr>
        <w:t>hematochezia</w:t>
      </w:r>
      <w:r w:rsidRPr="001048B2">
        <w:rPr>
          <w:sz w:val="22"/>
        </w:rPr>
        <w:t>), urinary tract infection (UTI), and urinary obstruction. In trans</w:t>
      </w:r>
      <w:r w:rsidR="00E015F9">
        <w:rPr>
          <w:sz w:val="22"/>
        </w:rPr>
        <w:t>-</w:t>
      </w:r>
      <w:r w:rsidRPr="001048B2">
        <w:rPr>
          <w:sz w:val="22"/>
        </w:rPr>
        <w:t>perineal biopsy risk of infection is lower due to the sterile nature of the perineum, where the needles are inserted. Trans</w:t>
      </w:r>
      <w:r w:rsidR="00E015F9">
        <w:rPr>
          <w:sz w:val="22"/>
        </w:rPr>
        <w:t>-</w:t>
      </w:r>
      <w:r w:rsidRPr="001048B2">
        <w:rPr>
          <w:sz w:val="22"/>
        </w:rPr>
        <w:t>perineal also results in less rectal bleeding</w:t>
      </w:r>
      <w:r w:rsidR="00E015F9">
        <w:rPr>
          <w:sz w:val="22"/>
        </w:rPr>
        <w:t>.</w:t>
      </w:r>
      <w:r w:rsidRPr="001048B2">
        <w:rPr>
          <w:sz w:val="22"/>
        </w:rPr>
        <w:t xml:space="preserve"> </w:t>
      </w:r>
      <w:r w:rsidR="00E015F9">
        <w:rPr>
          <w:sz w:val="22"/>
        </w:rPr>
        <w:t>I</w:t>
      </w:r>
      <w:r w:rsidR="00723373" w:rsidRPr="00723373">
        <w:rPr>
          <w:sz w:val="22"/>
        </w:rPr>
        <w:t>t can</w:t>
      </w:r>
      <w:r w:rsidR="00E015F9">
        <w:rPr>
          <w:sz w:val="22"/>
        </w:rPr>
        <w:t>;</w:t>
      </w:r>
      <w:r w:rsidR="009924AD">
        <w:rPr>
          <w:sz w:val="22"/>
        </w:rPr>
        <w:t xml:space="preserve"> however,</w:t>
      </w:r>
      <w:r w:rsidR="00723373" w:rsidRPr="00723373">
        <w:rPr>
          <w:sz w:val="22"/>
        </w:rPr>
        <w:t xml:space="preserve"> lead to perineal haematoma, but this is mild and uncommon</w:t>
      </w:r>
      <w:r w:rsidR="00575665">
        <w:rPr>
          <w:sz w:val="22"/>
        </w:rPr>
        <w:t xml:space="preserve"> </w:t>
      </w:r>
      <w:r w:rsidR="008E0B00">
        <w:rPr>
          <w:sz w:val="22"/>
        </w:rPr>
        <w:fldChar w:fldCharType="begin"/>
      </w:r>
      <w:r w:rsidR="008E0B00">
        <w:rPr>
          <w:sz w:val="22"/>
        </w:rPr>
        <w:instrText xml:space="preserve"> ADDIN EN.CITE &lt;EndNote&gt;&lt;Cite&gt;&lt;Author&gt;Rodriguez&lt;/Author&gt;&lt;Year&gt;1998&lt;/Year&gt;&lt;RecNum&gt;22&lt;/RecNum&gt;&lt;DisplayText&gt;(Rodriguez and Terris 1998)&lt;/DisplayText&gt;&lt;record&gt;&lt;rec-number&gt;22&lt;/rec-number&gt;&lt;foreign-keys&gt;&lt;key app="EN" db-id="2p9terxr22fx91epzebpfdwuzrwtw2a2ep2t" timestamp="1472684602"&gt;22&lt;/key&gt;&lt;/foreign-keys&gt;&lt;ref-type name="Journal Article"&gt;17&lt;/ref-type&gt;&lt;contributors&gt;&lt;authors&gt;&lt;author&gt;Rodriguez, L. V.&lt;/author&gt;&lt;author&gt;Terris, M. K.&lt;/author&gt;&lt;/authors&gt;&lt;/contributors&gt;&lt;auth-address&gt;Department of Urology, Stanford University Medical Center, California, USA.&lt;/auth-address&gt;&lt;titles&gt;&lt;title&gt;Risks and complications of transrectal ultrasound guided prostate needle biopsy: a prospective study and review of the literature&lt;/title&gt;&lt;secondary-title&gt;J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urology&lt;/abbr-1&gt;&lt;/alt-periodical&gt;&lt;pages&gt;2115-20&lt;/pages&gt;&lt;volume&gt;160&lt;/volume&gt;&lt;number&gt;6 Pt 1&lt;/number&gt;&lt;edition&gt;1998/11/17&lt;/edition&gt;&lt;keywords&gt;&lt;keyword&gt;Aged&lt;/keyword&gt;&lt;keyword&gt;Aged, 80 and over&lt;/keyword&gt;&lt;keyword&gt;Biopsy, Needle/*adverse effects/*methods&lt;/keyword&gt;&lt;keyword&gt;Humans&lt;/keyword&gt;&lt;keyword&gt;Male&lt;/keyword&gt;&lt;keyword&gt;Middle Aged&lt;/keyword&gt;&lt;keyword&gt;Multivariate Analysis&lt;/keyword&gt;&lt;keyword&gt;Postoperative Complications/epidemiology&lt;/keyword&gt;&lt;keyword&gt;Prospective Studies&lt;/keyword&gt;&lt;keyword&gt;Prostatic Neoplasms/*pathology/ultrasonography&lt;/keyword&gt;&lt;keyword&gt;Risk Factors&lt;/keyword&gt;&lt;/keywords&gt;&lt;dates&gt;&lt;year&gt;1998&lt;/year&gt;&lt;pub-dates&gt;&lt;date&gt;Dec&lt;/date&gt;&lt;/pub-dates&gt;&lt;/dates&gt;&lt;isbn&gt;0022-5347 (Print)&amp;#xD;0022-5347&lt;/isbn&gt;&lt;accession-num&gt;9817335&lt;/accession-num&gt;&lt;urls&gt;&lt;/urls&gt;&lt;remote-database-provider&gt;NLM&lt;/remote-database-provider&gt;&lt;language&gt;eng&lt;/language&gt;&lt;/record&gt;&lt;/Cite&gt;&lt;/EndNote&gt;</w:instrText>
      </w:r>
      <w:r w:rsidR="008E0B00">
        <w:rPr>
          <w:sz w:val="22"/>
        </w:rPr>
        <w:fldChar w:fldCharType="separate"/>
      </w:r>
      <w:r w:rsidR="008E0B00">
        <w:rPr>
          <w:noProof/>
          <w:sz w:val="22"/>
        </w:rPr>
        <w:t>(</w:t>
      </w:r>
      <w:hyperlink w:anchor="_ENREF_128" w:tooltip="Rodriguez, 1998 #22" w:history="1">
        <w:r w:rsidR="008E0B00">
          <w:rPr>
            <w:noProof/>
            <w:sz w:val="22"/>
          </w:rPr>
          <w:t>Rodriguez and Terris 1998</w:t>
        </w:r>
      </w:hyperlink>
      <w:r w:rsidR="008E0B00">
        <w:rPr>
          <w:noProof/>
          <w:sz w:val="22"/>
        </w:rPr>
        <w:t>)</w:t>
      </w:r>
      <w:r w:rsidR="008E0B00">
        <w:rPr>
          <w:sz w:val="22"/>
        </w:rPr>
        <w:fldChar w:fldCharType="end"/>
      </w:r>
      <w:r w:rsidRPr="001048B2">
        <w:rPr>
          <w:sz w:val="22"/>
        </w:rPr>
        <w:t>.</w:t>
      </w:r>
    </w:p>
    <w:p w14:paraId="707BC03E" w14:textId="3B071158" w:rsidR="001061AB" w:rsidRPr="00183E4D" w:rsidRDefault="001061AB" w:rsidP="008813E6">
      <w:pPr>
        <w:pStyle w:val="Heading2"/>
        <w:numPr>
          <w:ilvl w:val="0"/>
          <w:numId w:val="7"/>
        </w:numPr>
      </w:pPr>
      <w:bookmarkStart w:id="215" w:name="_Toc460513898"/>
      <w:r w:rsidRPr="00183E4D">
        <w:t>Clinical Claim</w:t>
      </w:r>
      <w:bookmarkEnd w:id="214"/>
      <w:bookmarkEnd w:id="215"/>
    </w:p>
    <w:p w14:paraId="568AF452" w14:textId="0AAE1F98" w:rsidR="001061AB" w:rsidRPr="00121DF4" w:rsidRDefault="001061AB" w:rsidP="001061AB">
      <w:pPr>
        <w:spacing w:before="120" w:after="120" w:line="276" w:lineRule="auto"/>
      </w:pPr>
      <w:r w:rsidRPr="00121DF4">
        <w:t xml:space="preserve">The clinical claim is that </w:t>
      </w:r>
      <w:proofErr w:type="spellStart"/>
      <w:r w:rsidRPr="00121DF4">
        <w:t>mpMRI</w:t>
      </w:r>
      <w:proofErr w:type="spellEnd"/>
      <w:r w:rsidRPr="00121DF4">
        <w:t xml:space="preserve"> scans of the prostate </w:t>
      </w:r>
      <w:r>
        <w:t>have better diagnostic</w:t>
      </w:r>
      <w:r w:rsidRPr="00121DF4">
        <w:t xml:space="preserve"> accura</w:t>
      </w:r>
      <w:r>
        <w:t>cy</w:t>
      </w:r>
      <w:r w:rsidRPr="00121DF4">
        <w:t xml:space="preserve"> (hence, more effective) and </w:t>
      </w:r>
      <w:r>
        <w:t xml:space="preserve">are </w:t>
      </w:r>
      <w:r w:rsidRPr="00121DF4">
        <w:t>safer than the current approach</w:t>
      </w:r>
      <w:r w:rsidR="007052C4">
        <w:t xml:space="preserve"> </w:t>
      </w:r>
      <w:r w:rsidR="008E0B00">
        <w:fldChar w:fldCharType="begin"/>
      </w:r>
      <w:r w:rsidR="008E0B00">
        <w:instrText xml:space="preserve"> ADDIN EN.CITE &lt;EndNote&gt;&lt;Cite&gt;&lt;Author&gt;DoH&lt;/Author&gt;&lt;Year&gt;2016&lt;/Year&gt;&lt;RecNum&gt;212&lt;/RecNum&gt;&lt;DisplayText&gt;(DoH 2016a)&lt;/DisplayText&gt;&lt;record&gt;&lt;rec-number&gt;212&lt;/rec-number&gt;&lt;foreign-keys&gt;&lt;key app="EN" db-id="xzzrstesqpaavfe0te5p2zssvee5ervas2vt" timestamp="1469588963"&gt;212&lt;/key&gt;&lt;/foreign-keys&gt;&lt;ref-type name="Journal Article"&gt;17&lt;/ref-type&gt;&lt;contributors&gt;&lt;authors&gt;&lt;author&gt;DoH&lt;/author&gt;&lt;/authors&gt;&lt;/contributors&gt;&lt;titles&gt;&lt;title&gt;Protocol to guide the assessment of mpMRI prostate diagnostic scans for diagnosis of prostate cancer&lt;/title&gt;&lt;/titles&gt;&lt;dates&gt;&lt;year&gt;2016&lt;/year&gt;&lt;/dates&gt;&lt;urls&gt;&lt;/urls&gt;&lt;/record&gt;&lt;/Cite&gt;&lt;/EndNote&gt;</w:instrText>
      </w:r>
      <w:r w:rsidR="008E0B00">
        <w:fldChar w:fldCharType="separate"/>
      </w:r>
      <w:r w:rsidR="008E0B00">
        <w:rPr>
          <w:noProof/>
        </w:rPr>
        <w:t>(</w:t>
      </w:r>
      <w:hyperlink w:anchor="_ENREF_39" w:tooltip="DoH, 2016 #212" w:history="1">
        <w:r w:rsidR="008E0B00">
          <w:rPr>
            <w:noProof/>
          </w:rPr>
          <w:t>DoH 2016a</w:t>
        </w:r>
      </w:hyperlink>
      <w:r w:rsidR="008E0B00">
        <w:rPr>
          <w:noProof/>
        </w:rPr>
        <w:t>)</w:t>
      </w:r>
      <w:r w:rsidR="008E0B00">
        <w:fldChar w:fldCharType="end"/>
      </w:r>
      <w:r>
        <w:t xml:space="preserve">. </w:t>
      </w:r>
      <w:r w:rsidRPr="00121DF4">
        <w:t>In the event that claims of superior efficacy and safety are supported by the literature, cost-utility analysis would be appropriate</w:t>
      </w:r>
      <w:r w:rsidR="00707A72">
        <w:t xml:space="preserve"> (Table 1</w:t>
      </w:r>
      <w:r w:rsidR="006A187D">
        <w:t>7</w:t>
      </w:r>
      <w:r w:rsidR="00707A72">
        <w:t>)</w:t>
      </w:r>
      <w:r w:rsidRPr="00121DF4">
        <w:t xml:space="preserve">. </w:t>
      </w:r>
    </w:p>
    <w:p w14:paraId="2BCBD9EA" w14:textId="6C0BE6A2" w:rsidR="001061AB" w:rsidRPr="00466B3D" w:rsidRDefault="001061AB" w:rsidP="00466B3D">
      <w:pPr>
        <w:pStyle w:val="Caption"/>
      </w:pPr>
      <w:bookmarkStart w:id="216" w:name="_Ref283288109"/>
      <w:bookmarkStart w:id="217" w:name="_Toc455648027"/>
      <w:bookmarkStart w:id="218" w:name="_Toc460514517"/>
      <w:r w:rsidRPr="00466B3D">
        <w:t xml:space="preserve">Table </w:t>
      </w:r>
      <w:fldSimple w:instr=" SEQ Table \* ARABIC ">
        <w:r w:rsidR="0029649D">
          <w:rPr>
            <w:noProof/>
          </w:rPr>
          <w:t>17</w:t>
        </w:r>
      </w:fldSimple>
      <w:bookmarkEnd w:id="216"/>
      <w:r w:rsidRPr="00466B3D">
        <w:tab/>
        <w:t>Classification of an intervention for determination of economic evaluation to be presented</w:t>
      </w:r>
      <w:bookmarkEnd w:id="217"/>
      <w:bookmarkEnd w:id="218"/>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Caption w:val="Table 5: Classification of an intervention for determination of economic evaluation to be presented"/>
        <w:tblDescription w:val="Table 5: Classification of an intervention for determination of economic evaluation to be presented"/>
      </w:tblPr>
      <w:tblGrid>
        <w:gridCol w:w="668"/>
        <w:gridCol w:w="1083"/>
        <w:gridCol w:w="1576"/>
        <w:gridCol w:w="977"/>
        <w:gridCol w:w="2359"/>
        <w:gridCol w:w="1542"/>
        <w:gridCol w:w="907"/>
      </w:tblGrid>
      <w:tr w:rsidR="001061AB" w:rsidRPr="00882200" w14:paraId="1F8D5B39" w14:textId="77777777" w:rsidTr="005C7C53">
        <w:tc>
          <w:tcPr>
            <w:tcW w:w="1756" w:type="dxa"/>
            <w:gridSpan w:val="2"/>
            <w:vMerge w:val="restart"/>
          </w:tcPr>
          <w:p w14:paraId="46739D9B" w14:textId="77777777" w:rsidR="001061AB" w:rsidRPr="00FE705C" w:rsidRDefault="001061AB" w:rsidP="005C7C53">
            <w:pPr>
              <w:pStyle w:val="TableText0"/>
              <w:rPr>
                <w:lang w:val="en-GB"/>
              </w:rPr>
            </w:pPr>
          </w:p>
        </w:tc>
        <w:tc>
          <w:tcPr>
            <w:tcW w:w="7384" w:type="dxa"/>
            <w:gridSpan w:val="5"/>
          </w:tcPr>
          <w:p w14:paraId="5C72149B" w14:textId="77777777" w:rsidR="001061AB" w:rsidRPr="00FE705C" w:rsidRDefault="001061AB" w:rsidP="005C7C53">
            <w:pPr>
              <w:pStyle w:val="TableText0"/>
              <w:rPr>
                <w:b/>
                <w:lang w:val="en-GB"/>
              </w:rPr>
            </w:pPr>
            <w:r w:rsidRPr="00FE705C">
              <w:rPr>
                <w:b/>
                <w:lang w:val="en-GB"/>
              </w:rPr>
              <w:t>Comparative effectiveness versus comparator</w:t>
            </w:r>
          </w:p>
        </w:tc>
      </w:tr>
      <w:tr w:rsidR="001061AB" w:rsidRPr="00882200" w14:paraId="08272F5A" w14:textId="77777777" w:rsidTr="005C7C53">
        <w:tc>
          <w:tcPr>
            <w:tcW w:w="1756" w:type="dxa"/>
            <w:gridSpan w:val="2"/>
            <w:vMerge/>
          </w:tcPr>
          <w:p w14:paraId="0CF1562D" w14:textId="77777777" w:rsidR="001061AB" w:rsidRPr="00FE705C" w:rsidRDefault="001061AB" w:rsidP="005C7C53">
            <w:pPr>
              <w:pStyle w:val="TableText0"/>
              <w:rPr>
                <w:lang w:val="en-GB"/>
              </w:rPr>
            </w:pPr>
          </w:p>
        </w:tc>
        <w:tc>
          <w:tcPr>
            <w:tcW w:w="2560" w:type="dxa"/>
            <w:gridSpan w:val="2"/>
            <w:vAlign w:val="center"/>
          </w:tcPr>
          <w:p w14:paraId="2183C63B" w14:textId="77777777" w:rsidR="001061AB" w:rsidRPr="00FE705C" w:rsidRDefault="001061AB" w:rsidP="005C7C53">
            <w:pPr>
              <w:pStyle w:val="TableText0"/>
              <w:rPr>
                <w:u w:val="single"/>
                <w:lang w:val="en-GB"/>
              </w:rPr>
            </w:pPr>
            <w:r w:rsidRPr="00FE705C">
              <w:rPr>
                <w:u w:val="single"/>
                <w:lang w:val="en-GB"/>
              </w:rPr>
              <w:t>Superior</w:t>
            </w:r>
          </w:p>
        </w:tc>
        <w:tc>
          <w:tcPr>
            <w:tcW w:w="2369" w:type="dxa"/>
            <w:vAlign w:val="center"/>
          </w:tcPr>
          <w:p w14:paraId="57587CA8" w14:textId="77777777" w:rsidR="001061AB" w:rsidRPr="00FE705C" w:rsidRDefault="001061AB" w:rsidP="005C7C53">
            <w:pPr>
              <w:pStyle w:val="TableText0"/>
              <w:rPr>
                <w:u w:val="single"/>
                <w:lang w:val="en-GB"/>
              </w:rPr>
            </w:pPr>
            <w:r w:rsidRPr="00FE705C">
              <w:rPr>
                <w:u w:val="single"/>
                <w:lang w:val="en-GB"/>
              </w:rPr>
              <w:t>Non-inferior</w:t>
            </w:r>
          </w:p>
        </w:tc>
        <w:tc>
          <w:tcPr>
            <w:tcW w:w="2455" w:type="dxa"/>
            <w:gridSpan w:val="2"/>
            <w:vAlign w:val="center"/>
          </w:tcPr>
          <w:p w14:paraId="78B30DD9" w14:textId="77777777" w:rsidR="001061AB" w:rsidRPr="00FE705C" w:rsidRDefault="001061AB" w:rsidP="005C7C53">
            <w:pPr>
              <w:pStyle w:val="TableText0"/>
              <w:rPr>
                <w:u w:val="single"/>
                <w:lang w:val="en-GB"/>
              </w:rPr>
            </w:pPr>
            <w:r w:rsidRPr="00FE705C">
              <w:rPr>
                <w:u w:val="single"/>
                <w:lang w:val="en-GB"/>
              </w:rPr>
              <w:t>Inferior</w:t>
            </w:r>
          </w:p>
        </w:tc>
      </w:tr>
      <w:tr w:rsidR="001061AB" w:rsidRPr="00882200" w14:paraId="19E1665F" w14:textId="77777777" w:rsidTr="005C7C53">
        <w:trPr>
          <w:cantSplit/>
          <w:trHeight w:val="20"/>
        </w:trPr>
        <w:tc>
          <w:tcPr>
            <w:tcW w:w="671" w:type="dxa"/>
            <w:vMerge w:val="restart"/>
            <w:textDirection w:val="btLr"/>
            <w:vAlign w:val="center"/>
          </w:tcPr>
          <w:p w14:paraId="62504A5D" w14:textId="77777777" w:rsidR="001061AB" w:rsidRPr="00FE705C" w:rsidRDefault="001061AB" w:rsidP="005C7C53">
            <w:pPr>
              <w:pStyle w:val="TableText0"/>
              <w:jc w:val="center"/>
              <w:rPr>
                <w:b/>
                <w:lang w:val="en-GB"/>
              </w:rPr>
            </w:pPr>
            <w:r w:rsidRPr="00FE705C">
              <w:rPr>
                <w:b/>
                <w:lang w:val="en-GB"/>
              </w:rPr>
              <w:t>Comparative safety versus comparator</w:t>
            </w:r>
          </w:p>
        </w:tc>
        <w:tc>
          <w:tcPr>
            <w:tcW w:w="1085" w:type="dxa"/>
            <w:vMerge w:val="restart"/>
            <w:vAlign w:val="center"/>
          </w:tcPr>
          <w:p w14:paraId="3D41B43E" w14:textId="77777777" w:rsidR="001061AB" w:rsidRPr="00FE705C" w:rsidRDefault="001061AB" w:rsidP="005C7C53">
            <w:pPr>
              <w:pStyle w:val="TableText0"/>
              <w:rPr>
                <w:u w:val="single"/>
                <w:lang w:val="en-GB"/>
              </w:rPr>
            </w:pPr>
            <w:r w:rsidRPr="00FE705C">
              <w:rPr>
                <w:u w:val="single"/>
                <w:lang w:val="en-GB"/>
              </w:rPr>
              <w:t>Superior</w:t>
            </w:r>
          </w:p>
        </w:tc>
        <w:tc>
          <w:tcPr>
            <w:tcW w:w="2560" w:type="dxa"/>
            <w:gridSpan w:val="2"/>
            <w:vMerge w:val="restart"/>
            <w:vAlign w:val="center"/>
          </w:tcPr>
          <w:p w14:paraId="1CAC7BED" w14:textId="77777777" w:rsidR="001061AB" w:rsidRPr="00FE705C" w:rsidRDefault="001061AB" w:rsidP="005C7C53">
            <w:pPr>
              <w:pStyle w:val="TableText0"/>
              <w:rPr>
                <w:lang w:val="en-GB"/>
              </w:rPr>
            </w:pPr>
            <w:r w:rsidRPr="00FE705C">
              <w:rPr>
                <w:lang w:val="en-GB"/>
              </w:rPr>
              <w:t>CEA/CUA</w:t>
            </w:r>
          </w:p>
        </w:tc>
        <w:tc>
          <w:tcPr>
            <w:tcW w:w="2369" w:type="dxa"/>
            <w:vMerge w:val="restart"/>
            <w:vAlign w:val="center"/>
          </w:tcPr>
          <w:p w14:paraId="201AFEED" w14:textId="77777777" w:rsidR="001061AB" w:rsidRPr="00FE705C" w:rsidRDefault="001061AB" w:rsidP="005C7C53">
            <w:pPr>
              <w:pStyle w:val="TableText0"/>
              <w:rPr>
                <w:lang w:val="en-GB"/>
              </w:rPr>
            </w:pPr>
            <w:r w:rsidRPr="00FE705C">
              <w:rPr>
                <w:lang w:val="en-GB"/>
              </w:rPr>
              <w:t>CEA/CUA</w:t>
            </w:r>
          </w:p>
        </w:tc>
        <w:tc>
          <w:tcPr>
            <w:tcW w:w="1548" w:type="dxa"/>
          </w:tcPr>
          <w:p w14:paraId="46B29D0B" w14:textId="77777777" w:rsidR="001061AB" w:rsidRPr="00FE705C" w:rsidRDefault="001061AB" w:rsidP="005C7C53">
            <w:pPr>
              <w:pStyle w:val="TableText0"/>
              <w:rPr>
                <w:u w:val="single"/>
                <w:lang w:val="en-GB"/>
              </w:rPr>
            </w:pPr>
            <w:r w:rsidRPr="00FE705C">
              <w:rPr>
                <w:u w:val="single"/>
                <w:lang w:val="en-GB"/>
              </w:rPr>
              <w:t>Net clinical benefit</w:t>
            </w:r>
          </w:p>
        </w:tc>
        <w:tc>
          <w:tcPr>
            <w:tcW w:w="907" w:type="dxa"/>
            <w:vAlign w:val="center"/>
          </w:tcPr>
          <w:p w14:paraId="4D3F8BC2" w14:textId="77777777" w:rsidR="001061AB" w:rsidRPr="00FE705C" w:rsidRDefault="001061AB" w:rsidP="005C7C53">
            <w:pPr>
              <w:pStyle w:val="TableText0"/>
              <w:rPr>
                <w:lang w:val="en-GB"/>
              </w:rPr>
            </w:pPr>
            <w:r w:rsidRPr="00FE705C">
              <w:rPr>
                <w:lang w:val="en-GB"/>
              </w:rPr>
              <w:t>CEA/CUA</w:t>
            </w:r>
          </w:p>
        </w:tc>
      </w:tr>
      <w:tr w:rsidR="001061AB" w:rsidRPr="00882200" w14:paraId="57A23C7E" w14:textId="77777777" w:rsidTr="005C7C53">
        <w:trPr>
          <w:cantSplit/>
          <w:trHeight w:val="20"/>
        </w:trPr>
        <w:tc>
          <w:tcPr>
            <w:tcW w:w="671" w:type="dxa"/>
            <w:vMerge/>
          </w:tcPr>
          <w:p w14:paraId="77211CA1" w14:textId="77777777" w:rsidR="001061AB" w:rsidRPr="00FE705C" w:rsidRDefault="001061AB" w:rsidP="005C7C53">
            <w:pPr>
              <w:pStyle w:val="TableText0"/>
              <w:rPr>
                <w:lang w:val="en-GB"/>
              </w:rPr>
            </w:pPr>
          </w:p>
        </w:tc>
        <w:tc>
          <w:tcPr>
            <w:tcW w:w="1085" w:type="dxa"/>
            <w:vMerge/>
            <w:vAlign w:val="center"/>
          </w:tcPr>
          <w:p w14:paraId="4C544FB0" w14:textId="77777777" w:rsidR="001061AB" w:rsidRPr="00FE705C" w:rsidRDefault="001061AB" w:rsidP="005C7C53">
            <w:pPr>
              <w:pStyle w:val="TableText0"/>
              <w:rPr>
                <w:u w:val="single"/>
                <w:lang w:val="en-GB"/>
              </w:rPr>
            </w:pPr>
          </w:p>
        </w:tc>
        <w:tc>
          <w:tcPr>
            <w:tcW w:w="2560" w:type="dxa"/>
            <w:gridSpan w:val="2"/>
            <w:vMerge/>
            <w:vAlign w:val="center"/>
          </w:tcPr>
          <w:p w14:paraId="5981EEE0" w14:textId="77777777" w:rsidR="001061AB" w:rsidRPr="00FE705C" w:rsidRDefault="001061AB" w:rsidP="005C7C53">
            <w:pPr>
              <w:pStyle w:val="TableText0"/>
              <w:rPr>
                <w:lang w:val="en-GB"/>
              </w:rPr>
            </w:pPr>
          </w:p>
        </w:tc>
        <w:tc>
          <w:tcPr>
            <w:tcW w:w="2369" w:type="dxa"/>
            <w:vMerge/>
            <w:vAlign w:val="center"/>
          </w:tcPr>
          <w:p w14:paraId="68B5DC57" w14:textId="77777777" w:rsidR="001061AB" w:rsidRPr="00FE705C" w:rsidRDefault="001061AB" w:rsidP="005C7C53">
            <w:pPr>
              <w:pStyle w:val="TableText0"/>
              <w:rPr>
                <w:lang w:val="en-GB"/>
              </w:rPr>
            </w:pPr>
          </w:p>
        </w:tc>
        <w:tc>
          <w:tcPr>
            <w:tcW w:w="1548" w:type="dxa"/>
          </w:tcPr>
          <w:p w14:paraId="23D2F50F" w14:textId="77777777" w:rsidR="001061AB" w:rsidRPr="00FE705C" w:rsidRDefault="001061AB" w:rsidP="005C7C53">
            <w:pPr>
              <w:pStyle w:val="TableText0"/>
              <w:rPr>
                <w:u w:val="single"/>
                <w:lang w:val="en-GB"/>
              </w:rPr>
            </w:pPr>
            <w:r w:rsidRPr="00FE705C">
              <w:rPr>
                <w:u w:val="single"/>
                <w:lang w:val="en-GB"/>
              </w:rPr>
              <w:t>Neutral benefit</w:t>
            </w:r>
          </w:p>
        </w:tc>
        <w:tc>
          <w:tcPr>
            <w:tcW w:w="907" w:type="dxa"/>
            <w:vAlign w:val="center"/>
          </w:tcPr>
          <w:p w14:paraId="6F101929" w14:textId="77777777" w:rsidR="001061AB" w:rsidRPr="00FE705C" w:rsidRDefault="001061AB" w:rsidP="005C7C53">
            <w:pPr>
              <w:pStyle w:val="TableText0"/>
              <w:rPr>
                <w:lang w:val="en-GB"/>
              </w:rPr>
            </w:pPr>
            <w:r w:rsidRPr="00FE705C">
              <w:rPr>
                <w:lang w:val="en-GB"/>
              </w:rPr>
              <w:t>CEA/CUA*</w:t>
            </w:r>
          </w:p>
        </w:tc>
      </w:tr>
      <w:tr w:rsidR="001061AB" w:rsidRPr="00882200" w14:paraId="04B9E606" w14:textId="77777777" w:rsidTr="005C7C53">
        <w:trPr>
          <w:cantSplit/>
          <w:trHeight w:val="20"/>
        </w:trPr>
        <w:tc>
          <w:tcPr>
            <w:tcW w:w="671" w:type="dxa"/>
            <w:vMerge/>
          </w:tcPr>
          <w:p w14:paraId="05F79EB2" w14:textId="77777777" w:rsidR="001061AB" w:rsidRPr="00FE705C" w:rsidRDefault="001061AB" w:rsidP="005C7C53">
            <w:pPr>
              <w:pStyle w:val="TableText0"/>
              <w:rPr>
                <w:lang w:val="en-GB"/>
              </w:rPr>
            </w:pPr>
          </w:p>
        </w:tc>
        <w:tc>
          <w:tcPr>
            <w:tcW w:w="1085" w:type="dxa"/>
            <w:vMerge/>
            <w:vAlign w:val="center"/>
          </w:tcPr>
          <w:p w14:paraId="078FBBE1" w14:textId="77777777" w:rsidR="001061AB" w:rsidRPr="00FE705C" w:rsidRDefault="001061AB" w:rsidP="005C7C53">
            <w:pPr>
              <w:pStyle w:val="TableText0"/>
              <w:rPr>
                <w:u w:val="single"/>
                <w:lang w:val="en-GB"/>
              </w:rPr>
            </w:pPr>
          </w:p>
        </w:tc>
        <w:tc>
          <w:tcPr>
            <w:tcW w:w="2560" w:type="dxa"/>
            <w:gridSpan w:val="2"/>
            <w:vMerge/>
            <w:vAlign w:val="center"/>
          </w:tcPr>
          <w:p w14:paraId="30275678" w14:textId="77777777" w:rsidR="001061AB" w:rsidRPr="00FE705C" w:rsidRDefault="001061AB" w:rsidP="005C7C53">
            <w:pPr>
              <w:pStyle w:val="TableText0"/>
              <w:rPr>
                <w:lang w:val="en-GB"/>
              </w:rPr>
            </w:pPr>
          </w:p>
        </w:tc>
        <w:tc>
          <w:tcPr>
            <w:tcW w:w="2369" w:type="dxa"/>
            <w:vMerge/>
            <w:vAlign w:val="center"/>
          </w:tcPr>
          <w:p w14:paraId="702D081E" w14:textId="77777777" w:rsidR="001061AB" w:rsidRPr="00FE705C" w:rsidRDefault="001061AB" w:rsidP="005C7C53">
            <w:pPr>
              <w:pStyle w:val="TableText0"/>
              <w:rPr>
                <w:lang w:val="en-GB"/>
              </w:rPr>
            </w:pPr>
          </w:p>
        </w:tc>
        <w:tc>
          <w:tcPr>
            <w:tcW w:w="1548" w:type="dxa"/>
          </w:tcPr>
          <w:p w14:paraId="0A9D4E87" w14:textId="77777777" w:rsidR="001061AB" w:rsidRPr="00FE705C" w:rsidRDefault="001061AB" w:rsidP="005C7C53">
            <w:pPr>
              <w:pStyle w:val="TableText0"/>
              <w:rPr>
                <w:u w:val="single"/>
                <w:lang w:val="en-GB"/>
              </w:rPr>
            </w:pPr>
            <w:r w:rsidRPr="00FE705C">
              <w:rPr>
                <w:u w:val="single"/>
                <w:lang w:val="en-GB"/>
              </w:rPr>
              <w:t>Net harms</w:t>
            </w:r>
          </w:p>
        </w:tc>
        <w:tc>
          <w:tcPr>
            <w:tcW w:w="907" w:type="dxa"/>
            <w:vAlign w:val="center"/>
          </w:tcPr>
          <w:p w14:paraId="4FDA4C9C" w14:textId="77777777" w:rsidR="001061AB" w:rsidRPr="00FE705C" w:rsidRDefault="001061AB" w:rsidP="005C7C53">
            <w:pPr>
              <w:pStyle w:val="TableText0"/>
              <w:rPr>
                <w:lang w:val="en-GB"/>
              </w:rPr>
            </w:pPr>
            <w:r w:rsidRPr="00FE705C">
              <w:rPr>
                <w:lang w:val="en-GB"/>
              </w:rPr>
              <w:t>None^</w:t>
            </w:r>
          </w:p>
        </w:tc>
      </w:tr>
      <w:tr w:rsidR="001061AB" w:rsidRPr="00882200" w14:paraId="7C19CB15" w14:textId="77777777" w:rsidTr="005C7C53">
        <w:trPr>
          <w:cantSplit/>
          <w:trHeight w:val="750"/>
        </w:trPr>
        <w:tc>
          <w:tcPr>
            <w:tcW w:w="671" w:type="dxa"/>
            <w:vMerge/>
          </w:tcPr>
          <w:p w14:paraId="6ABA367D" w14:textId="77777777" w:rsidR="001061AB" w:rsidRPr="00FE705C" w:rsidRDefault="001061AB" w:rsidP="005C7C53">
            <w:pPr>
              <w:pStyle w:val="TableText0"/>
              <w:rPr>
                <w:lang w:val="en-GB"/>
              </w:rPr>
            </w:pPr>
          </w:p>
        </w:tc>
        <w:tc>
          <w:tcPr>
            <w:tcW w:w="1085" w:type="dxa"/>
            <w:vAlign w:val="center"/>
          </w:tcPr>
          <w:p w14:paraId="04C9501A" w14:textId="77777777" w:rsidR="001061AB" w:rsidRPr="00FE705C" w:rsidRDefault="001061AB" w:rsidP="005C7C53">
            <w:pPr>
              <w:pStyle w:val="TableText0"/>
              <w:rPr>
                <w:u w:val="single"/>
                <w:lang w:val="en-GB"/>
              </w:rPr>
            </w:pPr>
            <w:r w:rsidRPr="00FE705C">
              <w:rPr>
                <w:u w:val="single"/>
                <w:lang w:val="en-GB"/>
              </w:rPr>
              <w:t>Non-inferior</w:t>
            </w:r>
          </w:p>
        </w:tc>
        <w:tc>
          <w:tcPr>
            <w:tcW w:w="2560" w:type="dxa"/>
            <w:gridSpan w:val="2"/>
            <w:vAlign w:val="center"/>
          </w:tcPr>
          <w:p w14:paraId="3A129E22" w14:textId="77777777" w:rsidR="001061AB" w:rsidRPr="00FE705C" w:rsidRDefault="001061AB" w:rsidP="005C7C53">
            <w:pPr>
              <w:pStyle w:val="TableText0"/>
              <w:rPr>
                <w:lang w:val="en-GB"/>
              </w:rPr>
            </w:pPr>
            <w:r w:rsidRPr="00FE705C">
              <w:rPr>
                <w:lang w:val="en-GB"/>
              </w:rPr>
              <w:t>CEA/CUA</w:t>
            </w:r>
          </w:p>
        </w:tc>
        <w:tc>
          <w:tcPr>
            <w:tcW w:w="2369" w:type="dxa"/>
            <w:vAlign w:val="center"/>
          </w:tcPr>
          <w:p w14:paraId="77494A07" w14:textId="77777777" w:rsidR="001061AB" w:rsidRPr="00FE705C" w:rsidRDefault="001061AB" w:rsidP="005C7C53">
            <w:pPr>
              <w:pStyle w:val="TableText0"/>
              <w:rPr>
                <w:lang w:val="en-GB"/>
              </w:rPr>
            </w:pPr>
            <w:r w:rsidRPr="00FE705C">
              <w:rPr>
                <w:lang w:val="en-GB"/>
              </w:rPr>
              <w:t>CEA/CUA*</w:t>
            </w:r>
          </w:p>
        </w:tc>
        <w:tc>
          <w:tcPr>
            <w:tcW w:w="2455" w:type="dxa"/>
            <w:gridSpan w:val="2"/>
            <w:vAlign w:val="center"/>
          </w:tcPr>
          <w:p w14:paraId="51A9D9EA" w14:textId="77777777" w:rsidR="001061AB" w:rsidRPr="00FE705C" w:rsidRDefault="001061AB" w:rsidP="005C7C53">
            <w:pPr>
              <w:pStyle w:val="TableText0"/>
              <w:rPr>
                <w:lang w:val="en-GB"/>
              </w:rPr>
            </w:pPr>
            <w:r w:rsidRPr="00FE705C">
              <w:rPr>
                <w:lang w:val="en-GB"/>
              </w:rPr>
              <w:t>None^</w:t>
            </w:r>
          </w:p>
        </w:tc>
      </w:tr>
      <w:tr w:rsidR="001061AB" w:rsidRPr="00882200" w14:paraId="22F033AD" w14:textId="77777777" w:rsidTr="005C7C53">
        <w:trPr>
          <w:cantSplit/>
          <w:trHeight w:val="20"/>
        </w:trPr>
        <w:tc>
          <w:tcPr>
            <w:tcW w:w="671" w:type="dxa"/>
            <w:vMerge/>
          </w:tcPr>
          <w:p w14:paraId="0490E61C" w14:textId="77777777" w:rsidR="001061AB" w:rsidRPr="00FE705C" w:rsidRDefault="001061AB" w:rsidP="005C7C53">
            <w:pPr>
              <w:pStyle w:val="TableText0"/>
              <w:rPr>
                <w:lang w:val="en-GB"/>
              </w:rPr>
            </w:pPr>
          </w:p>
        </w:tc>
        <w:tc>
          <w:tcPr>
            <w:tcW w:w="1085" w:type="dxa"/>
            <w:vMerge w:val="restart"/>
            <w:vAlign w:val="center"/>
          </w:tcPr>
          <w:p w14:paraId="45D86EDA" w14:textId="77777777" w:rsidR="001061AB" w:rsidRPr="00FE705C" w:rsidRDefault="001061AB" w:rsidP="005C7C53">
            <w:pPr>
              <w:pStyle w:val="TableText0"/>
              <w:rPr>
                <w:u w:val="single"/>
                <w:lang w:val="en-GB"/>
              </w:rPr>
            </w:pPr>
            <w:r w:rsidRPr="00FE705C">
              <w:rPr>
                <w:u w:val="single"/>
                <w:lang w:val="en-GB"/>
              </w:rPr>
              <w:t>Inferior</w:t>
            </w:r>
          </w:p>
        </w:tc>
        <w:tc>
          <w:tcPr>
            <w:tcW w:w="1583" w:type="dxa"/>
            <w:vAlign w:val="center"/>
          </w:tcPr>
          <w:p w14:paraId="1B218142" w14:textId="77777777" w:rsidR="001061AB" w:rsidRPr="00FE705C" w:rsidRDefault="001061AB" w:rsidP="005C7C53">
            <w:pPr>
              <w:pStyle w:val="TableText0"/>
              <w:rPr>
                <w:u w:val="single"/>
                <w:lang w:val="en-GB"/>
              </w:rPr>
            </w:pPr>
            <w:r w:rsidRPr="00FE705C">
              <w:rPr>
                <w:u w:val="single"/>
                <w:lang w:val="en-GB"/>
              </w:rPr>
              <w:t>Net clinical benefit</w:t>
            </w:r>
          </w:p>
        </w:tc>
        <w:tc>
          <w:tcPr>
            <w:tcW w:w="977" w:type="dxa"/>
            <w:vAlign w:val="center"/>
          </w:tcPr>
          <w:p w14:paraId="6F686F34" w14:textId="77777777" w:rsidR="001061AB" w:rsidRPr="00FE705C" w:rsidRDefault="001061AB" w:rsidP="005C7C53">
            <w:pPr>
              <w:pStyle w:val="TableText0"/>
              <w:rPr>
                <w:lang w:val="en-GB"/>
              </w:rPr>
            </w:pPr>
            <w:r w:rsidRPr="00FE705C">
              <w:rPr>
                <w:lang w:val="en-GB"/>
              </w:rPr>
              <w:t>CEA/CUA</w:t>
            </w:r>
          </w:p>
        </w:tc>
        <w:tc>
          <w:tcPr>
            <w:tcW w:w="2369" w:type="dxa"/>
            <w:vMerge w:val="restart"/>
            <w:vAlign w:val="center"/>
          </w:tcPr>
          <w:p w14:paraId="147F20DE" w14:textId="77777777" w:rsidR="001061AB" w:rsidRPr="00FE705C" w:rsidRDefault="001061AB" w:rsidP="005C7C53">
            <w:pPr>
              <w:pStyle w:val="TableText0"/>
              <w:rPr>
                <w:lang w:val="en-GB"/>
              </w:rPr>
            </w:pPr>
            <w:r w:rsidRPr="00FE705C">
              <w:rPr>
                <w:lang w:val="en-GB"/>
              </w:rPr>
              <w:t>None^</w:t>
            </w:r>
          </w:p>
        </w:tc>
        <w:tc>
          <w:tcPr>
            <w:tcW w:w="2455" w:type="dxa"/>
            <w:gridSpan w:val="2"/>
            <w:vMerge w:val="restart"/>
            <w:vAlign w:val="center"/>
          </w:tcPr>
          <w:p w14:paraId="6C1CAB9A" w14:textId="77777777" w:rsidR="001061AB" w:rsidRPr="00FE705C" w:rsidRDefault="001061AB" w:rsidP="005C7C53">
            <w:pPr>
              <w:pStyle w:val="TableText0"/>
              <w:rPr>
                <w:lang w:val="en-GB"/>
              </w:rPr>
            </w:pPr>
            <w:r w:rsidRPr="00FE705C">
              <w:rPr>
                <w:lang w:val="en-GB"/>
              </w:rPr>
              <w:t>None^</w:t>
            </w:r>
          </w:p>
        </w:tc>
      </w:tr>
      <w:tr w:rsidR="001061AB" w:rsidRPr="00882200" w14:paraId="0DDADF87" w14:textId="77777777" w:rsidTr="005C7C53">
        <w:trPr>
          <w:trHeight w:val="20"/>
        </w:trPr>
        <w:tc>
          <w:tcPr>
            <w:tcW w:w="671" w:type="dxa"/>
            <w:vMerge/>
          </w:tcPr>
          <w:p w14:paraId="73FB2992" w14:textId="77777777" w:rsidR="001061AB" w:rsidRPr="00FE705C" w:rsidRDefault="001061AB" w:rsidP="005C7C53">
            <w:pPr>
              <w:pStyle w:val="TableText0"/>
              <w:rPr>
                <w:lang w:val="en-GB"/>
              </w:rPr>
            </w:pPr>
          </w:p>
        </w:tc>
        <w:tc>
          <w:tcPr>
            <w:tcW w:w="1085" w:type="dxa"/>
            <w:vMerge/>
          </w:tcPr>
          <w:p w14:paraId="0576A8F3" w14:textId="77777777" w:rsidR="001061AB" w:rsidRPr="00FE705C" w:rsidRDefault="001061AB" w:rsidP="005C7C53">
            <w:pPr>
              <w:pStyle w:val="TableText0"/>
              <w:rPr>
                <w:lang w:val="en-GB"/>
              </w:rPr>
            </w:pPr>
          </w:p>
        </w:tc>
        <w:tc>
          <w:tcPr>
            <w:tcW w:w="1583" w:type="dxa"/>
            <w:vAlign w:val="center"/>
          </w:tcPr>
          <w:p w14:paraId="343C1CC3" w14:textId="77777777" w:rsidR="001061AB" w:rsidRPr="00FE705C" w:rsidRDefault="001061AB" w:rsidP="005C7C53">
            <w:pPr>
              <w:pStyle w:val="TableText0"/>
              <w:rPr>
                <w:u w:val="single"/>
                <w:lang w:val="en-GB"/>
              </w:rPr>
            </w:pPr>
            <w:r w:rsidRPr="00FE705C">
              <w:rPr>
                <w:u w:val="single"/>
                <w:lang w:val="en-GB"/>
              </w:rPr>
              <w:t>Neutral benefit</w:t>
            </w:r>
          </w:p>
        </w:tc>
        <w:tc>
          <w:tcPr>
            <w:tcW w:w="977" w:type="dxa"/>
            <w:vAlign w:val="center"/>
          </w:tcPr>
          <w:p w14:paraId="01283E4F" w14:textId="77777777" w:rsidR="001061AB" w:rsidRPr="00FE705C" w:rsidRDefault="001061AB" w:rsidP="005C7C53">
            <w:pPr>
              <w:pStyle w:val="TableText0"/>
              <w:rPr>
                <w:lang w:val="en-GB"/>
              </w:rPr>
            </w:pPr>
            <w:r w:rsidRPr="00FE705C">
              <w:rPr>
                <w:lang w:val="en-GB"/>
              </w:rPr>
              <w:t>CEA/CUA*</w:t>
            </w:r>
          </w:p>
        </w:tc>
        <w:tc>
          <w:tcPr>
            <w:tcW w:w="2369" w:type="dxa"/>
            <w:vMerge/>
            <w:vAlign w:val="center"/>
          </w:tcPr>
          <w:p w14:paraId="7FEB0B87" w14:textId="77777777" w:rsidR="001061AB" w:rsidRPr="00FE705C" w:rsidRDefault="001061AB" w:rsidP="005C7C53">
            <w:pPr>
              <w:pStyle w:val="TableText0"/>
              <w:rPr>
                <w:lang w:val="en-GB"/>
              </w:rPr>
            </w:pPr>
          </w:p>
        </w:tc>
        <w:tc>
          <w:tcPr>
            <w:tcW w:w="2455" w:type="dxa"/>
            <w:gridSpan w:val="2"/>
            <w:vMerge/>
          </w:tcPr>
          <w:p w14:paraId="77262809" w14:textId="77777777" w:rsidR="001061AB" w:rsidRPr="00FE705C" w:rsidRDefault="001061AB" w:rsidP="005C7C53">
            <w:pPr>
              <w:pStyle w:val="TableText0"/>
              <w:rPr>
                <w:lang w:val="en-GB"/>
              </w:rPr>
            </w:pPr>
          </w:p>
        </w:tc>
      </w:tr>
      <w:tr w:rsidR="001061AB" w:rsidRPr="00882200" w14:paraId="0176337D" w14:textId="77777777" w:rsidTr="005C7C53">
        <w:trPr>
          <w:trHeight w:val="20"/>
        </w:trPr>
        <w:tc>
          <w:tcPr>
            <w:tcW w:w="671" w:type="dxa"/>
            <w:vMerge/>
          </w:tcPr>
          <w:p w14:paraId="20BDF412" w14:textId="77777777" w:rsidR="001061AB" w:rsidRPr="00FE705C" w:rsidRDefault="001061AB" w:rsidP="005C7C53">
            <w:pPr>
              <w:pStyle w:val="TableText0"/>
              <w:rPr>
                <w:lang w:val="en-GB"/>
              </w:rPr>
            </w:pPr>
          </w:p>
        </w:tc>
        <w:tc>
          <w:tcPr>
            <w:tcW w:w="1085" w:type="dxa"/>
            <w:vMerge/>
          </w:tcPr>
          <w:p w14:paraId="32490898" w14:textId="77777777" w:rsidR="001061AB" w:rsidRPr="00FE705C" w:rsidRDefault="001061AB" w:rsidP="005C7C53">
            <w:pPr>
              <w:pStyle w:val="TableText0"/>
              <w:rPr>
                <w:lang w:val="en-GB"/>
              </w:rPr>
            </w:pPr>
          </w:p>
        </w:tc>
        <w:tc>
          <w:tcPr>
            <w:tcW w:w="1583" w:type="dxa"/>
            <w:vAlign w:val="center"/>
          </w:tcPr>
          <w:p w14:paraId="36DB6F95" w14:textId="77777777" w:rsidR="001061AB" w:rsidRPr="00FE705C" w:rsidRDefault="001061AB" w:rsidP="005C7C53">
            <w:pPr>
              <w:pStyle w:val="TableText0"/>
              <w:rPr>
                <w:u w:val="single"/>
                <w:lang w:val="en-GB"/>
              </w:rPr>
            </w:pPr>
            <w:r w:rsidRPr="00FE705C">
              <w:rPr>
                <w:u w:val="single"/>
                <w:lang w:val="en-GB"/>
              </w:rPr>
              <w:t>Net harms</w:t>
            </w:r>
          </w:p>
        </w:tc>
        <w:tc>
          <w:tcPr>
            <w:tcW w:w="977" w:type="dxa"/>
            <w:vAlign w:val="center"/>
          </w:tcPr>
          <w:p w14:paraId="1B548218" w14:textId="77777777" w:rsidR="001061AB" w:rsidRPr="00FE705C" w:rsidRDefault="001061AB" w:rsidP="005C7C53">
            <w:pPr>
              <w:pStyle w:val="TableText0"/>
              <w:rPr>
                <w:lang w:val="en-GB"/>
              </w:rPr>
            </w:pPr>
            <w:r w:rsidRPr="00FE705C">
              <w:rPr>
                <w:lang w:val="en-GB"/>
              </w:rPr>
              <w:t>None^</w:t>
            </w:r>
          </w:p>
        </w:tc>
        <w:tc>
          <w:tcPr>
            <w:tcW w:w="2369" w:type="dxa"/>
            <w:vMerge/>
            <w:vAlign w:val="center"/>
          </w:tcPr>
          <w:p w14:paraId="140F99D4" w14:textId="77777777" w:rsidR="001061AB" w:rsidRPr="00FE705C" w:rsidRDefault="001061AB" w:rsidP="005C7C53">
            <w:pPr>
              <w:pStyle w:val="TableText0"/>
              <w:rPr>
                <w:lang w:val="en-GB"/>
              </w:rPr>
            </w:pPr>
          </w:p>
        </w:tc>
        <w:tc>
          <w:tcPr>
            <w:tcW w:w="2455" w:type="dxa"/>
            <w:gridSpan w:val="2"/>
            <w:vMerge/>
          </w:tcPr>
          <w:p w14:paraId="358D1BF4" w14:textId="77777777" w:rsidR="001061AB" w:rsidRPr="00FE705C" w:rsidRDefault="001061AB" w:rsidP="005C7C53">
            <w:pPr>
              <w:pStyle w:val="TableText0"/>
              <w:rPr>
                <w:lang w:val="en-GB"/>
              </w:rPr>
            </w:pPr>
          </w:p>
        </w:tc>
      </w:tr>
    </w:tbl>
    <w:p w14:paraId="17DB6633" w14:textId="5981C70A" w:rsidR="001061AB" w:rsidRPr="002842BA" w:rsidRDefault="003354C7" w:rsidP="00736FAB">
      <w:pPr>
        <w:pStyle w:val="TableNotes"/>
        <w:rPr>
          <w:lang w:val="en-GB" w:eastAsia="ja-JP"/>
        </w:rPr>
      </w:pPr>
      <w:r>
        <w:rPr>
          <w:lang w:val="en-GB" w:eastAsia="ja-JP"/>
        </w:rPr>
        <w:t xml:space="preserve">* </w:t>
      </w:r>
      <w:r w:rsidR="001061AB" w:rsidRPr="002842BA">
        <w:rPr>
          <w:lang w:val="en-GB" w:eastAsia="ja-JP"/>
        </w:rPr>
        <w:t>May be reduced to cost-minimisation analysis. Cost-minimisation analysis should only be presented when the proposed service has been indisputably demonstrated to be no worse than its main comparator(s) in terms of both effectiveness and safety, so the difference between the service and the appropriate comparator can be reduced to a comparison of costs. In most cases, there will be some uncertainty around such a conclusion (i.e. the conclusion is often not indisputable). Therefore, when an assessment concludes that an intervention was no worse than a comparator, an assessment of the uncertainty around this conclusion should be provided by presentation of cost-effectiveness and/or cost-utility analyses.</w:t>
      </w:r>
    </w:p>
    <w:p w14:paraId="2717D054" w14:textId="5767BD7D" w:rsidR="00736FAB" w:rsidRDefault="003354C7" w:rsidP="00736FAB">
      <w:pPr>
        <w:pStyle w:val="TableNotes"/>
        <w:rPr>
          <w:lang w:val="en-GB" w:eastAsia="ja-JP"/>
        </w:rPr>
      </w:pPr>
      <w:r>
        <w:rPr>
          <w:lang w:val="en-GB" w:eastAsia="ja-JP"/>
        </w:rPr>
        <w:t xml:space="preserve">^ </w:t>
      </w:r>
      <w:r w:rsidR="001061AB" w:rsidRPr="002842BA">
        <w:rPr>
          <w:lang w:val="en-GB" w:eastAsia="ja-JP"/>
        </w:rPr>
        <w:t>No economic evaluation needs to be presented; MSAC is unlikely to recommend government subsidy of this intervention</w:t>
      </w:r>
      <w:r w:rsidR="00E015F9">
        <w:rPr>
          <w:lang w:val="en-GB" w:eastAsia="ja-JP"/>
        </w:rPr>
        <w:t>.</w:t>
      </w:r>
      <w:r w:rsidR="00736FAB" w:rsidRPr="00736FAB">
        <w:rPr>
          <w:lang w:val="en-GB" w:eastAsia="ja-JP"/>
        </w:rPr>
        <w:t xml:space="preserve"> </w:t>
      </w:r>
    </w:p>
    <w:p w14:paraId="56EC6E48" w14:textId="5D0E0F2E" w:rsidR="001061AB" w:rsidRPr="008E01A2" w:rsidRDefault="00736FAB" w:rsidP="008E01A2">
      <w:pPr>
        <w:pStyle w:val="TableNotes"/>
        <w:rPr>
          <w:lang w:val="en-GB" w:eastAsia="ja-JP"/>
        </w:rPr>
      </w:pPr>
      <w:r w:rsidRPr="002842BA">
        <w:rPr>
          <w:lang w:val="en-GB" w:eastAsia="ja-JP"/>
        </w:rPr>
        <w:t>CEA = cost-effectiveness analysis</w:t>
      </w:r>
      <w:r>
        <w:rPr>
          <w:lang w:val="en-GB" w:eastAsia="ja-JP"/>
        </w:rPr>
        <w:t>,</w:t>
      </w:r>
      <w:r w:rsidRPr="002842BA">
        <w:rPr>
          <w:lang w:val="en-GB" w:eastAsia="ja-JP"/>
        </w:rPr>
        <w:t xml:space="preserve"> CUA = cost-utility analysis</w:t>
      </w:r>
      <w:r>
        <w:rPr>
          <w:lang w:val="en-GB" w:eastAsia="ja-JP"/>
        </w:rPr>
        <w:t>.</w:t>
      </w:r>
    </w:p>
    <w:p w14:paraId="474FA7BF" w14:textId="77777777" w:rsidR="001061AB" w:rsidRPr="00183E4D" w:rsidRDefault="001061AB" w:rsidP="008813E6">
      <w:pPr>
        <w:pStyle w:val="Heading2"/>
        <w:numPr>
          <w:ilvl w:val="0"/>
          <w:numId w:val="7"/>
        </w:numPr>
      </w:pPr>
      <w:bookmarkStart w:id="219" w:name="_Toc445463436"/>
      <w:bookmarkStart w:id="220" w:name="_Toc460513899"/>
      <w:bookmarkEnd w:id="173"/>
      <w:bookmarkEnd w:id="174"/>
      <w:r>
        <w:lastRenderedPageBreak/>
        <w:t>Summary of the PICO</w:t>
      </w:r>
      <w:bookmarkEnd w:id="219"/>
      <w:bookmarkEnd w:id="220"/>
    </w:p>
    <w:p w14:paraId="55E3159D" w14:textId="08C167A0" w:rsidR="001061AB" w:rsidRDefault="001061AB" w:rsidP="001061AB">
      <w:pPr>
        <w:spacing w:before="240"/>
      </w:pPr>
      <w:r w:rsidRPr="00183E4D">
        <w:t xml:space="preserve">The guiding framework of </w:t>
      </w:r>
      <w:r>
        <w:t>a</w:t>
      </w:r>
      <w:r w:rsidRPr="00183E4D">
        <w:t xml:space="preserve"> </w:t>
      </w:r>
      <w:r>
        <w:t>PICO Confirmation</w:t>
      </w:r>
      <w:r w:rsidR="007F498C">
        <w:t>, or P</w:t>
      </w:r>
      <w:r w:rsidR="007654E3">
        <w:t>rotocol</w:t>
      </w:r>
      <w:r w:rsidR="007F498C">
        <w:t>,</w:t>
      </w:r>
      <w:r w:rsidRPr="00183E4D">
        <w:t xml:space="preserve"> </w:t>
      </w:r>
      <w:r>
        <w:t>i</w:t>
      </w:r>
      <w:r w:rsidRPr="00183E4D">
        <w:t xml:space="preserve">s recommended </w:t>
      </w:r>
      <w:r>
        <w:t xml:space="preserve">by MSAC </w:t>
      </w:r>
      <w:r w:rsidRPr="00183E4D">
        <w:t xml:space="preserve">for </w:t>
      </w:r>
      <w:r>
        <w:t>each</w:t>
      </w:r>
      <w:r w:rsidRPr="00183E4D">
        <w:t xml:space="preserve"> assessment. The</w:t>
      </w:r>
      <w:r>
        <w:t xml:space="preserve"> </w:t>
      </w:r>
      <w:r w:rsidR="007F498C">
        <w:t>P</w:t>
      </w:r>
      <w:r w:rsidR="007654E3">
        <w:t>rotocol</w:t>
      </w:r>
      <w:r w:rsidRPr="00183E4D">
        <w:t xml:space="preserve"> describes current clinical practice and reflects the likely future practice with the proposed</w:t>
      </w:r>
      <w:r w:rsidR="005607E5">
        <w:t xml:space="preserve"> </w:t>
      </w:r>
      <w:r w:rsidRPr="00183E4D">
        <w:t xml:space="preserve">medical service. </w:t>
      </w:r>
    </w:p>
    <w:p w14:paraId="03C10FF7" w14:textId="3346E44F" w:rsidR="001061AB" w:rsidRDefault="001061AB" w:rsidP="001061AB">
      <w:pPr>
        <w:spacing w:before="240"/>
      </w:pPr>
      <w:r w:rsidRPr="00183E4D">
        <w:t xml:space="preserve">The Population, </w:t>
      </w:r>
      <w:r>
        <w:t xml:space="preserve">Prior tests, </w:t>
      </w:r>
      <w:r w:rsidRPr="00183E4D">
        <w:t>In</w:t>
      </w:r>
      <w:r>
        <w:t>vestigation/Index test</w:t>
      </w:r>
      <w:r w:rsidRPr="00183E4D">
        <w:t>, Comparator and Outcomes (</w:t>
      </w:r>
      <w:r>
        <w:t>P</w:t>
      </w:r>
      <w:r w:rsidRPr="00183E4D">
        <w:t>PICO) that were pre-specified to guide the systematic literature review</w:t>
      </w:r>
      <w:r>
        <w:t xml:space="preserve"> </w:t>
      </w:r>
      <w:r w:rsidRPr="008B44C1">
        <w:rPr>
          <w:shd w:val="clear" w:color="auto" w:fill="FFFFFF" w:themeFill="background1"/>
        </w:rPr>
        <w:t>of</w:t>
      </w:r>
      <w:r w:rsidR="005607E5">
        <w:rPr>
          <w:shd w:val="clear" w:color="auto" w:fill="FFFFFF" w:themeFill="background1"/>
        </w:rPr>
        <w:t xml:space="preserve"> the direct effectiveness and safety of the</w:t>
      </w:r>
      <w:r w:rsidRPr="008B44C1">
        <w:rPr>
          <w:shd w:val="clear" w:color="auto" w:fill="FFFFFF" w:themeFill="background1"/>
        </w:rPr>
        <w:t xml:space="preserve"> index and comparator interventions</w:t>
      </w:r>
      <w:r w:rsidRPr="00183E4D">
        <w:t xml:space="preserve">, are presented </w:t>
      </w:r>
      <w:r w:rsidRPr="00183E4D">
        <w:rPr>
          <w:sz w:val="24"/>
        </w:rPr>
        <w:t>in</w:t>
      </w:r>
      <w:r w:rsidR="007D7290">
        <w:t xml:space="preserve"> Box 1 to Box 3</w:t>
      </w:r>
      <w:r w:rsidRPr="00183E4D">
        <w:t>.</w:t>
      </w:r>
    </w:p>
    <w:p w14:paraId="208E27BC" w14:textId="3443A59D" w:rsidR="001061AB" w:rsidRPr="00525678" w:rsidRDefault="00D86BAF" w:rsidP="001D6758">
      <w:pPr>
        <w:pStyle w:val="Caption"/>
        <w:ind w:left="1134" w:hanging="1134"/>
      </w:pPr>
      <w:bookmarkStart w:id="221" w:name="_Ref459018732"/>
      <w:bookmarkStart w:id="222" w:name="_Toc393378291"/>
      <w:bookmarkStart w:id="223" w:name="_Toc455648059"/>
      <w:bookmarkStart w:id="224" w:name="_Toc457314615"/>
      <w:bookmarkStart w:id="225" w:name="_Ref459018789"/>
      <w:bookmarkStart w:id="226" w:name="_Toc460514601"/>
      <w:r>
        <w:t xml:space="preserve">Box </w:t>
      </w:r>
      <w:fldSimple w:instr=" SEQ Box \* ARABIC ">
        <w:r w:rsidR="0029649D">
          <w:rPr>
            <w:noProof/>
          </w:rPr>
          <w:t>1</w:t>
        </w:r>
      </w:fldSimple>
      <w:bookmarkEnd w:id="221"/>
      <w:r>
        <w:tab/>
      </w:r>
      <w:r w:rsidR="001061AB" w:rsidRPr="00183E4D">
        <w:t>Criteria for identifying and selecting studies to determine the safety of</w:t>
      </w:r>
      <w:r w:rsidR="001061AB">
        <w:t xml:space="preserve"> </w:t>
      </w:r>
      <w:proofErr w:type="spellStart"/>
      <w:r w:rsidR="001061AB">
        <w:t>mpMRI</w:t>
      </w:r>
      <w:proofErr w:type="spellEnd"/>
      <w:r w:rsidR="001061AB">
        <w:t xml:space="preserve"> of the prostate</w:t>
      </w:r>
      <w:r w:rsidR="001061AB" w:rsidRPr="00183E4D">
        <w:t xml:space="preserve"> in </w:t>
      </w:r>
      <w:bookmarkEnd w:id="222"/>
      <w:r w:rsidR="001061AB" w:rsidRPr="00525678">
        <w:t xml:space="preserve">men with </w:t>
      </w:r>
      <w:r w:rsidR="001061AB">
        <w:t>suspicion of prostate cancer or on active surveillance</w:t>
      </w:r>
      <w:bookmarkEnd w:id="223"/>
      <w:bookmarkEnd w:id="224"/>
      <w:bookmarkEnd w:id="225"/>
      <w:bookmarkEnd w:id="226"/>
    </w:p>
    <w:tbl>
      <w:tblPr>
        <w:tblW w:w="9112" w:type="dxa"/>
        <w:tblInd w:w="13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86"/>
        <w:gridCol w:w="7026"/>
      </w:tblGrid>
      <w:tr w:rsidR="001061AB" w:rsidRPr="00183E4D" w14:paraId="62C61FF1" w14:textId="77777777" w:rsidTr="001D6758">
        <w:trPr>
          <w:trHeight w:val="397"/>
        </w:trPr>
        <w:tc>
          <w:tcPr>
            <w:tcW w:w="2068" w:type="dxa"/>
            <w:shd w:val="clear" w:color="auto" w:fill="auto"/>
          </w:tcPr>
          <w:p w14:paraId="08972932" w14:textId="77777777" w:rsidR="001061AB" w:rsidRPr="001D6758" w:rsidRDefault="001061AB" w:rsidP="000B2189">
            <w:pPr>
              <w:pStyle w:val="Tableheading1"/>
            </w:pPr>
            <w:r w:rsidRPr="001D6758">
              <w:t>Selection criteria</w:t>
            </w:r>
          </w:p>
        </w:tc>
        <w:tc>
          <w:tcPr>
            <w:tcW w:w="6965" w:type="dxa"/>
            <w:shd w:val="clear" w:color="auto" w:fill="auto"/>
          </w:tcPr>
          <w:p w14:paraId="2A142B19" w14:textId="77777777" w:rsidR="001061AB" w:rsidRPr="001D6758" w:rsidRDefault="001061AB" w:rsidP="000B2189">
            <w:pPr>
              <w:pStyle w:val="Tableheading1"/>
              <w:rPr>
                <w:rFonts w:cs="Arial"/>
              </w:rPr>
            </w:pPr>
            <w:r w:rsidRPr="001D6758">
              <w:rPr>
                <w:rFonts w:cs="Arial"/>
              </w:rPr>
              <w:t>Description</w:t>
            </w:r>
          </w:p>
        </w:tc>
      </w:tr>
      <w:tr w:rsidR="001061AB" w:rsidRPr="00183E4D" w14:paraId="27DC7253" w14:textId="77777777" w:rsidTr="001D6758">
        <w:trPr>
          <w:trHeight w:val="397"/>
        </w:trPr>
        <w:tc>
          <w:tcPr>
            <w:tcW w:w="2068" w:type="dxa"/>
            <w:shd w:val="clear" w:color="auto" w:fill="auto"/>
          </w:tcPr>
          <w:p w14:paraId="65C453CA" w14:textId="77777777" w:rsidR="001061AB" w:rsidRPr="00183E4D" w:rsidRDefault="001061AB" w:rsidP="000B2189">
            <w:pPr>
              <w:pStyle w:val="Tabletext1"/>
            </w:pPr>
            <w:r w:rsidRPr="00183E4D">
              <w:t>Population</w:t>
            </w:r>
          </w:p>
        </w:tc>
        <w:tc>
          <w:tcPr>
            <w:tcW w:w="6965" w:type="dxa"/>
            <w:shd w:val="clear" w:color="auto" w:fill="auto"/>
          </w:tcPr>
          <w:p w14:paraId="37CF5429" w14:textId="0310753F" w:rsidR="001061AB" w:rsidRPr="00183E4D" w:rsidRDefault="001061AB" w:rsidP="000B2189">
            <w:pPr>
              <w:pStyle w:val="Tabletext1"/>
              <w:rPr>
                <w:rFonts w:cs="Arial"/>
              </w:rPr>
            </w:pPr>
            <w:r>
              <w:rPr>
                <w:rFonts w:cs="Arial"/>
              </w:rPr>
              <w:t>M</w:t>
            </w:r>
            <w:r w:rsidRPr="00525678">
              <w:rPr>
                <w:rFonts w:cs="Arial"/>
              </w:rPr>
              <w:t xml:space="preserve">en with suspected </w:t>
            </w:r>
            <w:proofErr w:type="spellStart"/>
            <w:r w:rsidR="006818E1">
              <w:t>PCa</w:t>
            </w:r>
            <w:proofErr w:type="spellEnd"/>
            <w:r w:rsidRPr="00525678">
              <w:rPr>
                <w:rFonts w:cs="Arial"/>
              </w:rPr>
              <w:t xml:space="preserve"> or men diagnosed with low or intermediate risk </w:t>
            </w:r>
            <w:proofErr w:type="spellStart"/>
            <w:r w:rsidR="006818E1">
              <w:t>PCa</w:t>
            </w:r>
            <w:proofErr w:type="spellEnd"/>
            <w:r w:rsidRPr="00525678">
              <w:rPr>
                <w:rFonts w:cs="Arial"/>
              </w:rPr>
              <w:t xml:space="preserve"> undertaking active surveillance</w:t>
            </w:r>
          </w:p>
        </w:tc>
      </w:tr>
      <w:tr w:rsidR="001061AB" w:rsidRPr="00183E4D" w14:paraId="224A0CDE" w14:textId="77777777" w:rsidTr="001D6758">
        <w:trPr>
          <w:trHeight w:val="397"/>
        </w:trPr>
        <w:tc>
          <w:tcPr>
            <w:tcW w:w="2068" w:type="dxa"/>
            <w:shd w:val="clear" w:color="auto" w:fill="auto"/>
          </w:tcPr>
          <w:p w14:paraId="4F1AB44A" w14:textId="77777777" w:rsidR="001061AB" w:rsidRPr="00183E4D" w:rsidRDefault="001061AB" w:rsidP="000B2189">
            <w:pPr>
              <w:pStyle w:val="Tabletext1"/>
            </w:pPr>
            <w:r w:rsidRPr="00183E4D">
              <w:t>Intervention</w:t>
            </w:r>
            <w:r>
              <w:t xml:space="preserve"> </w:t>
            </w:r>
          </w:p>
        </w:tc>
        <w:tc>
          <w:tcPr>
            <w:tcW w:w="6965" w:type="dxa"/>
            <w:shd w:val="clear" w:color="auto" w:fill="auto"/>
          </w:tcPr>
          <w:p w14:paraId="4E83686D" w14:textId="77777777" w:rsidR="001061AB" w:rsidRPr="00183E4D" w:rsidRDefault="001061AB" w:rsidP="000B2189">
            <w:pPr>
              <w:pStyle w:val="Tabletext1"/>
            </w:pPr>
            <w:proofErr w:type="spellStart"/>
            <w:r>
              <w:t>mpMRI</w:t>
            </w:r>
            <w:proofErr w:type="spellEnd"/>
            <w:r>
              <w:t xml:space="preserve"> scan of prostate</w:t>
            </w:r>
          </w:p>
        </w:tc>
      </w:tr>
      <w:tr w:rsidR="001061AB" w:rsidRPr="00183E4D" w14:paraId="2B802AC8" w14:textId="77777777" w:rsidTr="001D6758">
        <w:trPr>
          <w:trHeight w:val="397"/>
        </w:trPr>
        <w:tc>
          <w:tcPr>
            <w:tcW w:w="2068" w:type="dxa"/>
            <w:shd w:val="clear" w:color="auto" w:fill="auto"/>
          </w:tcPr>
          <w:p w14:paraId="0DDC7060" w14:textId="77777777" w:rsidR="001061AB" w:rsidRPr="00183E4D" w:rsidRDefault="001061AB" w:rsidP="000B2189">
            <w:pPr>
              <w:pStyle w:val="Tabletext1"/>
            </w:pPr>
            <w:r w:rsidRPr="00183E4D">
              <w:t>Comparato</w:t>
            </w:r>
            <w:r w:rsidRPr="00273F6F">
              <w:t>rs</w:t>
            </w:r>
          </w:p>
        </w:tc>
        <w:tc>
          <w:tcPr>
            <w:tcW w:w="6965" w:type="dxa"/>
            <w:shd w:val="clear" w:color="auto" w:fill="auto"/>
          </w:tcPr>
          <w:p w14:paraId="5CCFD08A" w14:textId="77777777" w:rsidR="001061AB" w:rsidRPr="00183E4D" w:rsidRDefault="001061AB" w:rsidP="000B2189">
            <w:pPr>
              <w:pStyle w:val="Tabletext1"/>
            </w:pPr>
            <w:r>
              <w:t>No limit on comparator</w:t>
            </w:r>
          </w:p>
        </w:tc>
      </w:tr>
      <w:tr w:rsidR="001061AB" w:rsidRPr="00183E4D" w14:paraId="6C75DE5B" w14:textId="77777777" w:rsidTr="001D6758">
        <w:trPr>
          <w:trHeight w:val="397"/>
        </w:trPr>
        <w:tc>
          <w:tcPr>
            <w:tcW w:w="2068" w:type="dxa"/>
            <w:shd w:val="clear" w:color="auto" w:fill="auto"/>
          </w:tcPr>
          <w:p w14:paraId="6EF5FCAA" w14:textId="77777777" w:rsidR="001061AB" w:rsidRPr="00183E4D" w:rsidRDefault="001061AB" w:rsidP="000B2189">
            <w:pPr>
              <w:pStyle w:val="Tabletext1"/>
            </w:pPr>
            <w:r w:rsidRPr="00183E4D">
              <w:t>Outcomes</w:t>
            </w:r>
          </w:p>
        </w:tc>
        <w:tc>
          <w:tcPr>
            <w:tcW w:w="6965" w:type="dxa"/>
            <w:shd w:val="clear" w:color="auto" w:fill="auto"/>
          </w:tcPr>
          <w:p w14:paraId="6DEB06EF" w14:textId="77777777" w:rsidR="001061AB" w:rsidRPr="00183E4D" w:rsidRDefault="001061AB" w:rsidP="000B2189">
            <w:pPr>
              <w:pStyle w:val="Tabletext1"/>
              <w:rPr>
                <w:rFonts w:cs="Arial"/>
              </w:rPr>
            </w:pPr>
            <w:r w:rsidRPr="006C49A7">
              <w:rPr>
                <w:rFonts w:cs="Arial"/>
              </w:rPr>
              <w:t>Critical for decision making:</w:t>
            </w:r>
            <w:r>
              <w:rPr>
                <w:rFonts w:cs="Arial"/>
              </w:rPr>
              <w:t xml:space="preserve"> adverse events following </w:t>
            </w:r>
            <w:proofErr w:type="spellStart"/>
            <w:r>
              <w:rPr>
                <w:rFonts w:cs="Arial"/>
              </w:rPr>
              <w:t>mpMRI</w:t>
            </w:r>
            <w:proofErr w:type="spellEnd"/>
          </w:p>
        </w:tc>
      </w:tr>
      <w:tr w:rsidR="001061AB" w:rsidRPr="00183E4D" w14:paraId="7ACE6017" w14:textId="77777777" w:rsidTr="001D6758">
        <w:trPr>
          <w:trHeight w:val="397"/>
        </w:trPr>
        <w:tc>
          <w:tcPr>
            <w:tcW w:w="2068" w:type="dxa"/>
            <w:tcBorders>
              <w:top w:val="single" w:sz="4" w:space="0" w:color="auto"/>
              <w:bottom w:val="single" w:sz="4" w:space="0" w:color="auto"/>
            </w:tcBorders>
            <w:shd w:val="clear" w:color="auto" w:fill="auto"/>
          </w:tcPr>
          <w:p w14:paraId="00E039AE" w14:textId="77777777" w:rsidR="001061AB" w:rsidRPr="001D6758" w:rsidRDefault="001061AB" w:rsidP="000B2189">
            <w:pPr>
              <w:pStyle w:val="Tabletext1"/>
              <w:rPr>
                <w:b/>
              </w:rPr>
            </w:pPr>
            <w:r w:rsidRPr="001D6758">
              <w:rPr>
                <w:b/>
              </w:rPr>
              <w:t>Systematic review question</w:t>
            </w:r>
          </w:p>
        </w:tc>
        <w:tc>
          <w:tcPr>
            <w:tcW w:w="6965" w:type="dxa"/>
            <w:tcBorders>
              <w:top w:val="single" w:sz="4" w:space="0" w:color="auto"/>
              <w:bottom w:val="single" w:sz="4" w:space="0" w:color="auto"/>
            </w:tcBorders>
            <w:shd w:val="clear" w:color="auto" w:fill="auto"/>
          </w:tcPr>
          <w:p w14:paraId="35117BFD" w14:textId="11C29561" w:rsidR="001061AB" w:rsidRPr="00183E4D" w:rsidRDefault="001061AB" w:rsidP="000B2189">
            <w:pPr>
              <w:pStyle w:val="Tabletext1"/>
              <w:rPr>
                <w:rFonts w:cs="Arial"/>
              </w:rPr>
            </w:pPr>
            <w:r>
              <w:rPr>
                <w:rFonts w:cs="Arial"/>
              </w:rPr>
              <w:t xml:space="preserve">What </w:t>
            </w:r>
            <w:proofErr w:type="gramStart"/>
            <w:r>
              <w:rPr>
                <w:rFonts w:cs="Arial"/>
              </w:rPr>
              <w:t>are</w:t>
            </w:r>
            <w:proofErr w:type="gramEnd"/>
            <w:r>
              <w:rPr>
                <w:rFonts w:cs="Arial"/>
              </w:rPr>
              <w:t xml:space="preserve"> the safety outcomes associated with </w:t>
            </w:r>
            <w:proofErr w:type="spellStart"/>
            <w:r>
              <w:t>mpMRI</w:t>
            </w:r>
            <w:proofErr w:type="spellEnd"/>
            <w:r>
              <w:t xml:space="preserve"> of the prostate in patients with suspicion of </w:t>
            </w:r>
            <w:proofErr w:type="spellStart"/>
            <w:r w:rsidR="006818E1">
              <w:t>PCa</w:t>
            </w:r>
            <w:proofErr w:type="spellEnd"/>
            <w:r>
              <w:t>?</w:t>
            </w:r>
          </w:p>
        </w:tc>
      </w:tr>
    </w:tbl>
    <w:p w14:paraId="252B96A0" w14:textId="77777777" w:rsidR="00F26535" w:rsidRDefault="00C94365" w:rsidP="00F175A8">
      <w:pPr>
        <w:pStyle w:val="TableNotes"/>
      </w:pPr>
      <w:proofErr w:type="spellStart"/>
      <w:r w:rsidRPr="00376C7C">
        <w:t>PCa</w:t>
      </w:r>
      <w:proofErr w:type="spellEnd"/>
      <w:r w:rsidRPr="00376C7C">
        <w:t xml:space="preserve"> = prostate cancer, CA = contracted assessment, </w:t>
      </w:r>
      <w:proofErr w:type="spellStart"/>
      <w:r w:rsidRPr="00376C7C">
        <w:t>mpMRI</w:t>
      </w:r>
      <w:proofErr w:type="spellEnd"/>
      <w:r w:rsidRPr="00376C7C">
        <w:t xml:space="preserve"> = </w:t>
      </w:r>
      <w:proofErr w:type="spellStart"/>
      <w:r w:rsidRPr="00376C7C">
        <w:t>multiparametric</w:t>
      </w:r>
      <w:proofErr w:type="spellEnd"/>
      <w:r w:rsidRPr="00376C7C">
        <w:t xml:space="preserve"> MRI, MRI = magnetic resonance imaging</w:t>
      </w:r>
      <w:r w:rsidR="009265E3" w:rsidRPr="00376C7C">
        <w:t>.</w:t>
      </w:r>
      <w:bookmarkStart w:id="227" w:name="_Ref459018747"/>
      <w:bookmarkStart w:id="228" w:name="_Ref459018801"/>
    </w:p>
    <w:p w14:paraId="4920A2F6" w14:textId="6E2C02BD" w:rsidR="001061AB" w:rsidRPr="00376C7C" w:rsidRDefault="00D86BAF" w:rsidP="001D6758">
      <w:pPr>
        <w:pStyle w:val="Caption"/>
        <w:ind w:left="1134" w:hanging="1134"/>
      </w:pPr>
      <w:bookmarkStart w:id="229" w:name="_Toc460514602"/>
      <w:r w:rsidRPr="00376C7C">
        <w:t xml:space="preserve">Box </w:t>
      </w:r>
      <w:fldSimple w:instr=" SEQ Box \* ARABIC ">
        <w:r w:rsidR="0029649D">
          <w:rPr>
            <w:noProof/>
          </w:rPr>
          <w:t>2</w:t>
        </w:r>
      </w:fldSimple>
      <w:bookmarkEnd w:id="227"/>
      <w:r w:rsidR="001061AB" w:rsidRPr="00376C7C">
        <w:tab/>
        <w:t>Criteria for identifying and selecting studies to determine the safety of prostate biopsy in patients with suspicion of prostate cancer or on active surveillance</w:t>
      </w:r>
      <w:bookmarkEnd w:id="228"/>
      <w:bookmarkEnd w:id="229"/>
    </w:p>
    <w:tbl>
      <w:tblPr>
        <w:tblW w:w="9112" w:type="dxa"/>
        <w:tblInd w:w="13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Caption w:val="Box 1 Criteria for identifying and selecting studies to determine the safety of XXX in patients with XXX"/>
        <w:tblDescription w:val="This Box provides the criteria for selecting studies to assess the safety of the new technology."/>
      </w:tblPr>
      <w:tblGrid>
        <w:gridCol w:w="2086"/>
        <w:gridCol w:w="7026"/>
      </w:tblGrid>
      <w:tr w:rsidR="001061AB" w:rsidRPr="00183E4D" w14:paraId="35951817" w14:textId="77777777" w:rsidTr="001D6758">
        <w:trPr>
          <w:trHeight w:val="397"/>
        </w:trPr>
        <w:tc>
          <w:tcPr>
            <w:tcW w:w="2068" w:type="dxa"/>
            <w:shd w:val="clear" w:color="auto" w:fill="auto"/>
          </w:tcPr>
          <w:p w14:paraId="04188526" w14:textId="77777777" w:rsidR="001061AB" w:rsidRPr="001D6758" w:rsidRDefault="001061AB" w:rsidP="000B2189">
            <w:pPr>
              <w:pStyle w:val="Tableheading1"/>
            </w:pPr>
            <w:r w:rsidRPr="001D6758">
              <w:t>Selection criteria</w:t>
            </w:r>
          </w:p>
        </w:tc>
        <w:tc>
          <w:tcPr>
            <w:tcW w:w="6965" w:type="dxa"/>
            <w:shd w:val="clear" w:color="auto" w:fill="auto"/>
          </w:tcPr>
          <w:p w14:paraId="3BB8A4BF" w14:textId="77777777" w:rsidR="001061AB" w:rsidRPr="001D6758" w:rsidRDefault="001061AB" w:rsidP="000B2189">
            <w:pPr>
              <w:pStyle w:val="Tableheading1"/>
              <w:rPr>
                <w:rFonts w:cs="Arial"/>
              </w:rPr>
            </w:pPr>
            <w:r w:rsidRPr="001D6758">
              <w:rPr>
                <w:rFonts w:cs="Arial"/>
              </w:rPr>
              <w:t>Description</w:t>
            </w:r>
          </w:p>
        </w:tc>
      </w:tr>
      <w:tr w:rsidR="001061AB" w:rsidRPr="00183E4D" w14:paraId="51733B22" w14:textId="77777777" w:rsidTr="001D6758">
        <w:trPr>
          <w:trHeight w:val="397"/>
        </w:trPr>
        <w:tc>
          <w:tcPr>
            <w:tcW w:w="2068" w:type="dxa"/>
            <w:shd w:val="clear" w:color="auto" w:fill="auto"/>
          </w:tcPr>
          <w:p w14:paraId="33CA08FE" w14:textId="77777777" w:rsidR="001061AB" w:rsidRPr="00183E4D" w:rsidRDefault="001061AB" w:rsidP="000B2189">
            <w:pPr>
              <w:pStyle w:val="Tabletext1"/>
            </w:pPr>
            <w:r w:rsidRPr="00183E4D">
              <w:t>Population</w:t>
            </w:r>
          </w:p>
        </w:tc>
        <w:tc>
          <w:tcPr>
            <w:tcW w:w="6965" w:type="dxa"/>
            <w:shd w:val="clear" w:color="auto" w:fill="auto"/>
          </w:tcPr>
          <w:p w14:paraId="68C7BB8F" w14:textId="151DD57C" w:rsidR="001061AB" w:rsidRPr="00183E4D" w:rsidRDefault="001061AB" w:rsidP="000B2189">
            <w:pPr>
              <w:pStyle w:val="Tabletext1"/>
              <w:rPr>
                <w:rFonts w:cs="Arial"/>
              </w:rPr>
            </w:pPr>
            <w:r>
              <w:rPr>
                <w:rFonts w:cs="Arial"/>
              </w:rPr>
              <w:t>M</w:t>
            </w:r>
            <w:r w:rsidRPr="00525678">
              <w:rPr>
                <w:rFonts w:cs="Arial"/>
              </w:rPr>
              <w:t xml:space="preserve">en with suspected </w:t>
            </w:r>
            <w:proofErr w:type="spellStart"/>
            <w:r w:rsidR="006818E1">
              <w:t>PCa</w:t>
            </w:r>
            <w:proofErr w:type="spellEnd"/>
            <w:r w:rsidRPr="00525678">
              <w:rPr>
                <w:rFonts w:cs="Arial"/>
              </w:rPr>
              <w:t xml:space="preserve"> or men diagnosed with low or intermediate risk </w:t>
            </w:r>
            <w:proofErr w:type="spellStart"/>
            <w:r w:rsidR="006818E1">
              <w:t>PCa</w:t>
            </w:r>
            <w:proofErr w:type="spellEnd"/>
            <w:r w:rsidRPr="00525678">
              <w:rPr>
                <w:rFonts w:cs="Arial"/>
              </w:rPr>
              <w:t xml:space="preserve"> undertaking active surveillance</w:t>
            </w:r>
          </w:p>
        </w:tc>
      </w:tr>
      <w:tr w:rsidR="001061AB" w:rsidRPr="00183E4D" w14:paraId="5003494E" w14:textId="77777777" w:rsidTr="001D6758">
        <w:trPr>
          <w:trHeight w:val="397"/>
        </w:trPr>
        <w:tc>
          <w:tcPr>
            <w:tcW w:w="2068" w:type="dxa"/>
            <w:shd w:val="clear" w:color="auto" w:fill="auto"/>
          </w:tcPr>
          <w:p w14:paraId="4CB06D8E" w14:textId="77777777" w:rsidR="001061AB" w:rsidRPr="00183E4D" w:rsidRDefault="001061AB" w:rsidP="000B2189">
            <w:pPr>
              <w:pStyle w:val="Tabletext1"/>
            </w:pPr>
            <w:r w:rsidRPr="00183E4D">
              <w:t>Intervention</w:t>
            </w:r>
            <w:r>
              <w:t xml:space="preserve"> </w:t>
            </w:r>
          </w:p>
        </w:tc>
        <w:tc>
          <w:tcPr>
            <w:tcW w:w="6965" w:type="dxa"/>
            <w:shd w:val="clear" w:color="auto" w:fill="auto"/>
          </w:tcPr>
          <w:p w14:paraId="2767B123" w14:textId="0261721B" w:rsidR="001061AB" w:rsidRPr="00183E4D" w:rsidRDefault="001061AB" w:rsidP="000B2189">
            <w:pPr>
              <w:pStyle w:val="Tabletext1"/>
            </w:pPr>
            <w:r>
              <w:t>Clinical judgement and sometimes biopsy of prostate (trans</w:t>
            </w:r>
            <w:r w:rsidR="006F3F56">
              <w:t>-</w:t>
            </w:r>
            <w:r>
              <w:t>rectal, trans</w:t>
            </w:r>
            <w:r w:rsidR="006F3F56">
              <w:t>-</w:t>
            </w:r>
            <w:r>
              <w:t>perineal, MRI-guided)</w:t>
            </w:r>
          </w:p>
        </w:tc>
      </w:tr>
      <w:tr w:rsidR="001061AB" w:rsidRPr="00183E4D" w14:paraId="0E3D0AEF" w14:textId="77777777" w:rsidTr="001D6758">
        <w:trPr>
          <w:trHeight w:val="397"/>
        </w:trPr>
        <w:tc>
          <w:tcPr>
            <w:tcW w:w="2068" w:type="dxa"/>
            <w:shd w:val="clear" w:color="auto" w:fill="auto"/>
          </w:tcPr>
          <w:p w14:paraId="29201B04" w14:textId="77777777" w:rsidR="001061AB" w:rsidRPr="00183E4D" w:rsidRDefault="001061AB" w:rsidP="000B2189">
            <w:pPr>
              <w:pStyle w:val="Tabletext1"/>
            </w:pPr>
            <w:r w:rsidRPr="00183E4D">
              <w:t>Comparato</w:t>
            </w:r>
            <w:r w:rsidRPr="00273F6F">
              <w:t>rs</w:t>
            </w:r>
          </w:p>
        </w:tc>
        <w:tc>
          <w:tcPr>
            <w:tcW w:w="6965" w:type="dxa"/>
            <w:shd w:val="clear" w:color="auto" w:fill="auto"/>
          </w:tcPr>
          <w:p w14:paraId="4FB92E96" w14:textId="77777777" w:rsidR="001061AB" w:rsidRPr="00183E4D" w:rsidRDefault="001061AB" w:rsidP="000B2189">
            <w:pPr>
              <w:pStyle w:val="Tabletext1"/>
            </w:pPr>
            <w:r>
              <w:t>Not specified or no limit of comparator</w:t>
            </w:r>
          </w:p>
        </w:tc>
      </w:tr>
      <w:tr w:rsidR="001061AB" w:rsidRPr="00183E4D" w14:paraId="67E258E1" w14:textId="77777777" w:rsidTr="001D6758">
        <w:trPr>
          <w:trHeight w:val="397"/>
        </w:trPr>
        <w:tc>
          <w:tcPr>
            <w:tcW w:w="2068" w:type="dxa"/>
            <w:shd w:val="clear" w:color="auto" w:fill="auto"/>
          </w:tcPr>
          <w:p w14:paraId="56D92F84" w14:textId="77777777" w:rsidR="001061AB" w:rsidRPr="00183E4D" w:rsidRDefault="001061AB" w:rsidP="000B2189">
            <w:pPr>
              <w:pStyle w:val="Tabletext1"/>
            </w:pPr>
            <w:r w:rsidRPr="00183E4D">
              <w:t>Outcomes</w:t>
            </w:r>
          </w:p>
        </w:tc>
        <w:tc>
          <w:tcPr>
            <w:tcW w:w="6965" w:type="dxa"/>
            <w:shd w:val="clear" w:color="auto" w:fill="auto"/>
          </w:tcPr>
          <w:p w14:paraId="6500B9BC" w14:textId="77777777" w:rsidR="001061AB" w:rsidRPr="00183E4D" w:rsidRDefault="001061AB" w:rsidP="000B2189">
            <w:pPr>
              <w:pStyle w:val="Tabletext1"/>
              <w:rPr>
                <w:rFonts w:cs="Arial"/>
              </w:rPr>
            </w:pPr>
            <w:r w:rsidRPr="006C49A7">
              <w:rPr>
                <w:rFonts w:cs="Arial"/>
              </w:rPr>
              <w:t>Critical for decision making:</w:t>
            </w:r>
            <w:r>
              <w:rPr>
                <w:rFonts w:cs="Arial"/>
              </w:rPr>
              <w:t xml:space="preserve"> mortality and adverse events, complications of biopsy</w:t>
            </w:r>
          </w:p>
        </w:tc>
      </w:tr>
      <w:tr w:rsidR="001061AB" w:rsidRPr="00183E4D" w14:paraId="1AFD1BC9" w14:textId="77777777" w:rsidTr="001D6758">
        <w:trPr>
          <w:trHeight w:val="397"/>
        </w:trPr>
        <w:tc>
          <w:tcPr>
            <w:tcW w:w="2068" w:type="dxa"/>
            <w:tcBorders>
              <w:top w:val="single" w:sz="4" w:space="0" w:color="auto"/>
              <w:bottom w:val="single" w:sz="4" w:space="0" w:color="auto"/>
            </w:tcBorders>
            <w:shd w:val="clear" w:color="auto" w:fill="auto"/>
          </w:tcPr>
          <w:p w14:paraId="7178AC0B" w14:textId="77777777" w:rsidR="001061AB" w:rsidRPr="001D6758" w:rsidRDefault="001061AB" w:rsidP="000B2189">
            <w:pPr>
              <w:pStyle w:val="Tabletext1"/>
              <w:rPr>
                <w:b/>
              </w:rPr>
            </w:pPr>
            <w:r w:rsidRPr="001D6758">
              <w:rPr>
                <w:b/>
              </w:rPr>
              <w:t>Systematic review question</w:t>
            </w:r>
          </w:p>
        </w:tc>
        <w:tc>
          <w:tcPr>
            <w:tcW w:w="6965" w:type="dxa"/>
            <w:tcBorders>
              <w:top w:val="single" w:sz="4" w:space="0" w:color="auto"/>
              <w:bottom w:val="single" w:sz="4" w:space="0" w:color="auto"/>
            </w:tcBorders>
            <w:shd w:val="clear" w:color="auto" w:fill="auto"/>
          </w:tcPr>
          <w:p w14:paraId="3D6D08F3" w14:textId="23F19C47" w:rsidR="001061AB" w:rsidRPr="00183E4D" w:rsidRDefault="001061AB" w:rsidP="000B2189">
            <w:pPr>
              <w:pStyle w:val="Tabletext1"/>
              <w:rPr>
                <w:rFonts w:cs="Arial"/>
              </w:rPr>
            </w:pPr>
            <w:r>
              <w:rPr>
                <w:rFonts w:cs="Arial"/>
              </w:rPr>
              <w:t>What are the safety outcomes associated with</w:t>
            </w:r>
            <w:r>
              <w:t xml:space="preserve"> biopsy of the prostate (</w:t>
            </w:r>
            <w:r w:rsidR="00010606">
              <w:t>TRUSGB</w:t>
            </w:r>
            <w:r>
              <w:t xml:space="preserve">, </w:t>
            </w:r>
            <w:r w:rsidR="00010606">
              <w:t>MRIGB</w:t>
            </w:r>
            <w:r>
              <w:t xml:space="preserve"> or </w:t>
            </w:r>
            <w:r w:rsidR="00010606">
              <w:t>TPUSGB</w:t>
            </w:r>
            <w:r>
              <w:t xml:space="preserve">) in patients with suspicion of </w:t>
            </w:r>
            <w:proofErr w:type="spellStart"/>
            <w:r w:rsidR="006818E1">
              <w:t>PCa</w:t>
            </w:r>
            <w:proofErr w:type="spellEnd"/>
            <w:r>
              <w:t>?</w:t>
            </w:r>
          </w:p>
        </w:tc>
      </w:tr>
    </w:tbl>
    <w:p w14:paraId="6B84F25B" w14:textId="77777777" w:rsidR="00F26535" w:rsidRDefault="009265E3" w:rsidP="00C108DB">
      <w:pPr>
        <w:pStyle w:val="TableNotes"/>
      </w:pPr>
      <w:bookmarkStart w:id="230" w:name="_Toc423451473"/>
      <w:proofErr w:type="spellStart"/>
      <w:r>
        <w:t>PCa</w:t>
      </w:r>
      <w:proofErr w:type="spellEnd"/>
      <w:r>
        <w:t xml:space="preserve"> = prostate cancer, </w:t>
      </w:r>
      <w:proofErr w:type="spellStart"/>
      <w:r>
        <w:t>mpMRI</w:t>
      </w:r>
      <w:proofErr w:type="spellEnd"/>
      <w:r>
        <w:t xml:space="preserve"> = </w:t>
      </w:r>
      <w:proofErr w:type="spellStart"/>
      <w:r>
        <w:t>multiparametric</w:t>
      </w:r>
      <w:proofErr w:type="spellEnd"/>
      <w:r>
        <w:t xml:space="preserve"> MRI, MRI = magnetic resonance imaging, TRUSGB = trans-rectal ultrasound guided biopsy, TPUSGB = trans-perineal ultrasound guided biopsy, MRIGB = magnetic resonance imaging guided biopsy.</w:t>
      </w:r>
      <w:bookmarkStart w:id="231" w:name="_Ref459018752"/>
      <w:bookmarkStart w:id="232" w:name="_Ref459018808"/>
    </w:p>
    <w:p w14:paraId="26F44683" w14:textId="17F40592" w:rsidR="0087046E" w:rsidRPr="00183E4D" w:rsidRDefault="00D86BAF" w:rsidP="001D6758">
      <w:pPr>
        <w:pStyle w:val="Caption"/>
        <w:ind w:left="1134" w:hanging="1134"/>
      </w:pPr>
      <w:bookmarkStart w:id="233" w:name="_Toc460514603"/>
      <w:r>
        <w:lastRenderedPageBreak/>
        <w:t xml:space="preserve">Box </w:t>
      </w:r>
      <w:fldSimple w:instr=" SEQ Box \* ARABIC ">
        <w:r w:rsidR="0029649D">
          <w:rPr>
            <w:noProof/>
          </w:rPr>
          <w:t>3</w:t>
        </w:r>
      </w:fldSimple>
      <w:bookmarkEnd w:id="231"/>
      <w:r>
        <w:tab/>
      </w:r>
      <w:r w:rsidR="0087046E" w:rsidRPr="00183E4D">
        <w:t xml:space="preserve">Criteria for identifying and selecting studies to determine the </w:t>
      </w:r>
      <w:r w:rsidR="0087046E">
        <w:t>direct effectiveness</w:t>
      </w:r>
      <w:r w:rsidR="0087046E" w:rsidRPr="00183E4D">
        <w:t xml:space="preserve"> of </w:t>
      </w:r>
      <w:proofErr w:type="spellStart"/>
      <w:r w:rsidR="0087046E">
        <w:t>mpMRI</w:t>
      </w:r>
      <w:proofErr w:type="spellEnd"/>
      <w:r w:rsidR="0087046E" w:rsidRPr="00183E4D">
        <w:t xml:space="preserve"> in patients with </w:t>
      </w:r>
      <w:bookmarkEnd w:id="230"/>
      <w:r w:rsidR="0087046E">
        <w:t>suspicion of prostate cancer or on active surveillance</w:t>
      </w:r>
      <w:bookmarkEnd w:id="232"/>
      <w:bookmarkEnd w:id="233"/>
    </w:p>
    <w:tbl>
      <w:tblPr>
        <w:tblW w:w="9112" w:type="dxa"/>
        <w:tblInd w:w="13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67"/>
        <w:gridCol w:w="7145"/>
      </w:tblGrid>
      <w:tr w:rsidR="0087046E" w:rsidRPr="00183E4D" w14:paraId="7CD531D4" w14:textId="77777777" w:rsidTr="001D6758">
        <w:trPr>
          <w:trHeight w:val="397"/>
        </w:trPr>
        <w:tc>
          <w:tcPr>
            <w:tcW w:w="1951" w:type="dxa"/>
            <w:shd w:val="clear" w:color="auto" w:fill="auto"/>
          </w:tcPr>
          <w:p w14:paraId="0441E17E" w14:textId="77777777" w:rsidR="0087046E" w:rsidRPr="001D6758" w:rsidRDefault="0087046E" w:rsidP="00716BD3">
            <w:pPr>
              <w:pStyle w:val="Tableheading1"/>
              <w:keepNext/>
            </w:pPr>
            <w:r w:rsidRPr="001D6758">
              <w:t>Selection criteria</w:t>
            </w:r>
          </w:p>
        </w:tc>
        <w:tc>
          <w:tcPr>
            <w:tcW w:w="7088" w:type="dxa"/>
            <w:shd w:val="clear" w:color="auto" w:fill="auto"/>
          </w:tcPr>
          <w:p w14:paraId="6E744057" w14:textId="77777777" w:rsidR="0087046E" w:rsidRPr="001D6758" w:rsidRDefault="0087046E" w:rsidP="00716BD3">
            <w:pPr>
              <w:pStyle w:val="Tableheading1"/>
              <w:keepNext/>
              <w:rPr>
                <w:rFonts w:cs="Arial"/>
              </w:rPr>
            </w:pPr>
            <w:r w:rsidRPr="001D6758">
              <w:rPr>
                <w:rFonts w:cs="Arial"/>
              </w:rPr>
              <w:t>Description</w:t>
            </w:r>
          </w:p>
        </w:tc>
      </w:tr>
      <w:tr w:rsidR="0087046E" w:rsidRPr="00183E4D" w14:paraId="40836D85" w14:textId="77777777" w:rsidTr="001D6758">
        <w:trPr>
          <w:trHeight w:val="397"/>
        </w:trPr>
        <w:tc>
          <w:tcPr>
            <w:tcW w:w="1951" w:type="dxa"/>
            <w:shd w:val="clear" w:color="auto" w:fill="auto"/>
          </w:tcPr>
          <w:p w14:paraId="19E58555" w14:textId="77777777" w:rsidR="0087046E" w:rsidRPr="00183E4D" w:rsidRDefault="0087046E" w:rsidP="00716BD3">
            <w:pPr>
              <w:pStyle w:val="Tabletext1"/>
              <w:keepNext/>
            </w:pPr>
            <w:r w:rsidRPr="00183E4D">
              <w:t>Population</w:t>
            </w:r>
          </w:p>
        </w:tc>
        <w:tc>
          <w:tcPr>
            <w:tcW w:w="7088" w:type="dxa"/>
            <w:shd w:val="clear" w:color="auto" w:fill="auto"/>
          </w:tcPr>
          <w:p w14:paraId="1538D656" w14:textId="2B097015" w:rsidR="0087046E" w:rsidRPr="00183E4D" w:rsidRDefault="0087046E" w:rsidP="00716BD3">
            <w:pPr>
              <w:pStyle w:val="Tabletext1"/>
              <w:keepNext/>
              <w:rPr>
                <w:rFonts w:cs="Arial"/>
              </w:rPr>
            </w:pPr>
            <w:r>
              <w:rPr>
                <w:rFonts w:cs="Arial"/>
              </w:rPr>
              <w:t>M</w:t>
            </w:r>
            <w:r w:rsidRPr="00525678">
              <w:rPr>
                <w:rFonts w:cs="Arial"/>
              </w:rPr>
              <w:t xml:space="preserve">en with suspected </w:t>
            </w:r>
            <w:proofErr w:type="spellStart"/>
            <w:r w:rsidR="006818E1">
              <w:t>PCa</w:t>
            </w:r>
            <w:proofErr w:type="spellEnd"/>
            <w:r w:rsidRPr="00525678">
              <w:rPr>
                <w:rFonts w:cs="Arial"/>
              </w:rPr>
              <w:t xml:space="preserve"> or men diagnosed with low or intermediate risk </w:t>
            </w:r>
            <w:proofErr w:type="spellStart"/>
            <w:r w:rsidR="006818E1">
              <w:t>PCa</w:t>
            </w:r>
            <w:proofErr w:type="spellEnd"/>
            <w:r w:rsidRPr="00525678">
              <w:rPr>
                <w:rFonts w:cs="Arial"/>
              </w:rPr>
              <w:t xml:space="preserve"> undertaking active surveillance</w:t>
            </w:r>
          </w:p>
        </w:tc>
      </w:tr>
      <w:tr w:rsidR="0087046E" w:rsidRPr="00183E4D" w14:paraId="6A41564F" w14:textId="77777777" w:rsidTr="001D6758">
        <w:trPr>
          <w:trHeight w:val="397"/>
        </w:trPr>
        <w:tc>
          <w:tcPr>
            <w:tcW w:w="1951" w:type="dxa"/>
            <w:shd w:val="clear" w:color="auto" w:fill="auto"/>
          </w:tcPr>
          <w:p w14:paraId="0D0D5DB6" w14:textId="0974BF6A" w:rsidR="0087046E" w:rsidRPr="00183E4D" w:rsidRDefault="0087046E" w:rsidP="00716BD3">
            <w:pPr>
              <w:pStyle w:val="Tabletext1"/>
              <w:keepNext/>
            </w:pPr>
            <w:r>
              <w:t>Prior tests</w:t>
            </w:r>
          </w:p>
        </w:tc>
        <w:tc>
          <w:tcPr>
            <w:tcW w:w="7088" w:type="dxa"/>
            <w:shd w:val="clear" w:color="auto" w:fill="auto"/>
          </w:tcPr>
          <w:p w14:paraId="54D0D327" w14:textId="19C3DC94" w:rsidR="0087046E" w:rsidRPr="00183E4D" w:rsidRDefault="0087046E" w:rsidP="00716BD3">
            <w:pPr>
              <w:pStyle w:val="Tabletext1"/>
              <w:keepNext/>
              <w:rPr>
                <w:rFonts w:cs="Arial"/>
              </w:rPr>
            </w:pPr>
            <w:r>
              <w:rPr>
                <w:rFonts w:cs="Arial"/>
              </w:rPr>
              <w:t>PSA, DRE, genetic testing, family history</w:t>
            </w:r>
          </w:p>
        </w:tc>
      </w:tr>
      <w:tr w:rsidR="0087046E" w:rsidRPr="00183E4D" w14:paraId="74E84156" w14:textId="77777777" w:rsidTr="001D6758">
        <w:trPr>
          <w:trHeight w:val="397"/>
        </w:trPr>
        <w:tc>
          <w:tcPr>
            <w:tcW w:w="1951" w:type="dxa"/>
            <w:shd w:val="clear" w:color="auto" w:fill="auto"/>
          </w:tcPr>
          <w:p w14:paraId="6798F80D" w14:textId="77777777" w:rsidR="0087046E" w:rsidRPr="00183E4D" w:rsidRDefault="0087046E" w:rsidP="00716BD3">
            <w:pPr>
              <w:pStyle w:val="Tabletext1"/>
              <w:keepNext/>
            </w:pPr>
            <w:r w:rsidRPr="00183E4D">
              <w:t>Intervention</w:t>
            </w:r>
          </w:p>
        </w:tc>
        <w:tc>
          <w:tcPr>
            <w:tcW w:w="7088" w:type="dxa"/>
            <w:shd w:val="clear" w:color="auto" w:fill="auto"/>
          </w:tcPr>
          <w:p w14:paraId="72710561" w14:textId="70E300B8" w:rsidR="0087046E" w:rsidRPr="00183E4D" w:rsidRDefault="0087046E" w:rsidP="00716BD3">
            <w:pPr>
              <w:pStyle w:val="Tabletext1"/>
              <w:keepNext/>
            </w:pPr>
            <w:proofErr w:type="spellStart"/>
            <w:r>
              <w:t>mpMRI</w:t>
            </w:r>
            <w:proofErr w:type="spellEnd"/>
            <w:r>
              <w:t xml:space="preserve"> scan of prostate</w:t>
            </w:r>
          </w:p>
        </w:tc>
      </w:tr>
      <w:tr w:rsidR="0087046E" w:rsidRPr="00183E4D" w14:paraId="2BA833C1" w14:textId="77777777" w:rsidTr="001D6758">
        <w:trPr>
          <w:trHeight w:val="397"/>
        </w:trPr>
        <w:tc>
          <w:tcPr>
            <w:tcW w:w="1951" w:type="dxa"/>
            <w:shd w:val="clear" w:color="auto" w:fill="auto"/>
          </w:tcPr>
          <w:p w14:paraId="0D1F7E0D" w14:textId="403E5641" w:rsidR="0087046E" w:rsidRPr="00183E4D" w:rsidRDefault="0087046E" w:rsidP="00716BD3">
            <w:pPr>
              <w:pStyle w:val="Tabletext1"/>
              <w:keepNext/>
            </w:pPr>
            <w:r w:rsidRPr="00183E4D">
              <w:t>Comparator</w:t>
            </w:r>
          </w:p>
        </w:tc>
        <w:tc>
          <w:tcPr>
            <w:tcW w:w="7088" w:type="dxa"/>
            <w:shd w:val="clear" w:color="auto" w:fill="auto"/>
          </w:tcPr>
          <w:p w14:paraId="0C336B4E" w14:textId="4F9F8AF4" w:rsidR="0087046E" w:rsidRPr="00183E4D" w:rsidRDefault="0087046E" w:rsidP="00716BD3">
            <w:pPr>
              <w:pStyle w:val="Tabletext1"/>
              <w:keepNext/>
            </w:pPr>
            <w:r>
              <w:rPr>
                <w:rFonts w:cs="Arial"/>
              </w:rPr>
              <w:t>TRUSGB or TPUSGB</w:t>
            </w:r>
            <w:r w:rsidRPr="00183E4D">
              <w:rPr>
                <w:rFonts w:cs="Arial"/>
              </w:rPr>
              <w:t xml:space="preserve"> </w:t>
            </w:r>
          </w:p>
        </w:tc>
      </w:tr>
      <w:tr w:rsidR="0087046E" w:rsidRPr="00183E4D" w14:paraId="3A480760" w14:textId="77777777" w:rsidTr="001D6758">
        <w:trPr>
          <w:trHeight w:val="397"/>
        </w:trPr>
        <w:tc>
          <w:tcPr>
            <w:tcW w:w="1951" w:type="dxa"/>
            <w:shd w:val="clear" w:color="auto" w:fill="auto"/>
          </w:tcPr>
          <w:p w14:paraId="6ED6313A" w14:textId="77777777" w:rsidR="0087046E" w:rsidRPr="00183E4D" w:rsidRDefault="0087046E" w:rsidP="00716BD3">
            <w:pPr>
              <w:pStyle w:val="Tabletext1"/>
              <w:keepNext/>
            </w:pPr>
            <w:r w:rsidRPr="00183E4D">
              <w:t>Outcomes</w:t>
            </w:r>
          </w:p>
        </w:tc>
        <w:tc>
          <w:tcPr>
            <w:tcW w:w="7088" w:type="dxa"/>
            <w:shd w:val="clear" w:color="auto" w:fill="auto"/>
          </w:tcPr>
          <w:p w14:paraId="054B7159" w14:textId="1CEDB94D" w:rsidR="0087046E" w:rsidRPr="0087046E" w:rsidRDefault="0087046E" w:rsidP="00716BD3">
            <w:pPr>
              <w:pStyle w:val="Tabletext1"/>
              <w:keepNext/>
              <w:rPr>
                <w:rFonts w:cs="Arial"/>
              </w:rPr>
            </w:pPr>
            <w:r>
              <w:rPr>
                <w:rFonts w:cs="Arial"/>
              </w:rPr>
              <w:t xml:space="preserve">Critical for decision making: Patient health outcomes, survival, </w:t>
            </w:r>
            <w:proofErr w:type="spellStart"/>
            <w:r w:rsidR="006818E1">
              <w:t>PCa</w:t>
            </w:r>
            <w:proofErr w:type="spellEnd"/>
            <w:r>
              <w:rPr>
                <w:rFonts w:cs="Arial"/>
              </w:rPr>
              <w:t xml:space="preserve"> specific mortality, change in incontinence, change in impotence</w:t>
            </w:r>
          </w:p>
        </w:tc>
      </w:tr>
      <w:tr w:rsidR="0087046E" w:rsidRPr="00183E4D" w14:paraId="249BDBF3" w14:textId="77777777" w:rsidTr="001D6758">
        <w:trPr>
          <w:trHeight w:val="397"/>
        </w:trPr>
        <w:tc>
          <w:tcPr>
            <w:tcW w:w="1951" w:type="dxa"/>
            <w:tcBorders>
              <w:top w:val="single" w:sz="4" w:space="0" w:color="auto"/>
              <w:bottom w:val="single" w:sz="4" w:space="0" w:color="auto"/>
            </w:tcBorders>
            <w:shd w:val="clear" w:color="auto" w:fill="auto"/>
          </w:tcPr>
          <w:p w14:paraId="784FAF82" w14:textId="77777777" w:rsidR="0087046E" w:rsidRPr="001D6758" w:rsidRDefault="0087046E" w:rsidP="00716BD3">
            <w:pPr>
              <w:pStyle w:val="Tabletext1"/>
              <w:keepNext/>
              <w:rPr>
                <w:rFonts w:cs="Arial"/>
                <w:b/>
              </w:rPr>
            </w:pPr>
            <w:r w:rsidRPr="001D6758">
              <w:rPr>
                <w:rFonts w:cs="Arial Narrow"/>
                <w:b/>
                <w:bCs/>
              </w:rPr>
              <w:t>Systematic review question</w:t>
            </w:r>
          </w:p>
        </w:tc>
        <w:tc>
          <w:tcPr>
            <w:tcW w:w="7088" w:type="dxa"/>
            <w:tcBorders>
              <w:top w:val="single" w:sz="4" w:space="0" w:color="auto"/>
              <w:bottom w:val="single" w:sz="4" w:space="0" w:color="auto"/>
            </w:tcBorders>
            <w:shd w:val="clear" w:color="auto" w:fill="auto"/>
          </w:tcPr>
          <w:p w14:paraId="240D12ED" w14:textId="1D1A455C" w:rsidR="0087046E" w:rsidRPr="00183E4D" w:rsidRDefault="0087046E" w:rsidP="00716BD3">
            <w:pPr>
              <w:pStyle w:val="Tabletext1"/>
              <w:keepNext/>
            </w:pPr>
            <w:r>
              <w:t xml:space="preserve">What is the direct effectiveness of </w:t>
            </w:r>
            <w:proofErr w:type="spellStart"/>
            <w:r>
              <w:t>mpMRI</w:t>
            </w:r>
            <w:proofErr w:type="spellEnd"/>
            <w:r>
              <w:t xml:space="preserve"> compared to TRUSGB or TPUSGB in m</w:t>
            </w:r>
            <w:r w:rsidRPr="0087046E">
              <w:t xml:space="preserve">en with suspected </w:t>
            </w:r>
            <w:proofErr w:type="spellStart"/>
            <w:r w:rsidR="006818E1">
              <w:t>PCa</w:t>
            </w:r>
            <w:proofErr w:type="spellEnd"/>
            <w:r w:rsidRPr="0087046E">
              <w:t xml:space="preserve"> or men diagnosed with low or intermediate risk </w:t>
            </w:r>
            <w:proofErr w:type="spellStart"/>
            <w:r w:rsidR="006818E1">
              <w:t>PCa</w:t>
            </w:r>
            <w:proofErr w:type="spellEnd"/>
            <w:r w:rsidRPr="0087046E">
              <w:t xml:space="preserve"> undertaking active surveillance</w:t>
            </w:r>
            <w:r>
              <w:t>?</w:t>
            </w:r>
          </w:p>
        </w:tc>
      </w:tr>
    </w:tbl>
    <w:p w14:paraId="7B1FA8C3" w14:textId="1DBACD53" w:rsidR="001061AB" w:rsidRDefault="009265E3" w:rsidP="00424137">
      <w:pPr>
        <w:pStyle w:val="TableNotes"/>
      </w:pPr>
      <w:proofErr w:type="spellStart"/>
      <w:r>
        <w:t>PCa</w:t>
      </w:r>
      <w:proofErr w:type="spellEnd"/>
      <w:r>
        <w:t xml:space="preserve"> = prostate cancer, PSA = </w:t>
      </w:r>
      <w:r w:rsidRPr="00ED3ADF">
        <w:t>prostate-s</w:t>
      </w:r>
      <w:r>
        <w:t xml:space="preserve">pecific antigen, DRE = digital rectal examination, </w:t>
      </w:r>
      <w:proofErr w:type="spellStart"/>
      <w:r>
        <w:t>mpMRI</w:t>
      </w:r>
      <w:proofErr w:type="spellEnd"/>
      <w:r>
        <w:t xml:space="preserve"> = </w:t>
      </w:r>
      <w:proofErr w:type="spellStart"/>
      <w:r>
        <w:t>multiparametric</w:t>
      </w:r>
      <w:proofErr w:type="spellEnd"/>
      <w:r>
        <w:t xml:space="preserve"> MRI, MRI = magnetic resonance imaging, TRUSGB = trans-rectal ultrasound guided biopsy, TPUSGB = trans-perineal ultrasound guided biopsy.</w:t>
      </w:r>
    </w:p>
    <w:p w14:paraId="089A2A45" w14:textId="14663D81" w:rsidR="001061AB" w:rsidRDefault="001061AB" w:rsidP="001061AB">
      <w:r>
        <w:t xml:space="preserve">The </w:t>
      </w:r>
      <w:r w:rsidRPr="00183E4D">
        <w:t>Population</w:t>
      </w:r>
      <w:r>
        <w:t xml:space="preserve"> (and in some cases prior tests)</w:t>
      </w:r>
      <w:r w:rsidRPr="00183E4D">
        <w:t>,</w:t>
      </w:r>
      <w:r>
        <w:t xml:space="preserve"> </w:t>
      </w:r>
      <w:r w:rsidRPr="00183E4D">
        <w:t>In</w:t>
      </w:r>
      <w:r>
        <w:t>vestigation/Index test</w:t>
      </w:r>
      <w:r w:rsidRPr="00183E4D">
        <w:t>, Comparator and Outcomes (</w:t>
      </w:r>
      <w:r>
        <w:t>P</w:t>
      </w:r>
      <w:r w:rsidRPr="00183E4D">
        <w:t>ICO) that were pre-specified to guide the systematic literature review</w:t>
      </w:r>
      <w:r>
        <w:t xml:space="preserve"> for </w:t>
      </w:r>
      <w:r w:rsidR="00D86BAF">
        <w:t>the linked evidence assessment of</w:t>
      </w:r>
      <w:r>
        <w:t xml:space="preserve"> </w:t>
      </w:r>
      <w:proofErr w:type="spellStart"/>
      <w:r>
        <w:t>mpMRI</w:t>
      </w:r>
      <w:proofErr w:type="spellEnd"/>
      <w:r>
        <w:t xml:space="preserve"> scan</w:t>
      </w:r>
      <w:r w:rsidR="00D86BAF">
        <w:t>s</w:t>
      </w:r>
      <w:r>
        <w:t xml:space="preserve"> of </w:t>
      </w:r>
      <w:r w:rsidR="00D86BAF">
        <w:t xml:space="preserve">the </w:t>
      </w:r>
      <w:r>
        <w:t>prostate</w:t>
      </w:r>
      <w:r w:rsidRPr="00183E4D">
        <w:t>, are presented</w:t>
      </w:r>
      <w:r>
        <w:t xml:space="preserve"> in </w:t>
      </w:r>
      <w:r>
        <w:fldChar w:fldCharType="begin"/>
      </w:r>
      <w:r>
        <w:instrText xml:space="preserve"> REF _Ref399335476 \h </w:instrText>
      </w:r>
      <w:r>
        <w:fldChar w:fldCharType="separate"/>
      </w:r>
      <w:r w:rsidR="0029649D">
        <w:t xml:space="preserve">Box </w:t>
      </w:r>
      <w:r w:rsidR="0029649D">
        <w:rPr>
          <w:noProof/>
        </w:rPr>
        <w:t>4</w:t>
      </w:r>
      <w:r>
        <w:fldChar w:fldCharType="end"/>
      </w:r>
      <w:r>
        <w:t xml:space="preserve"> to </w:t>
      </w:r>
      <w:r>
        <w:fldChar w:fldCharType="begin"/>
      </w:r>
      <w:r>
        <w:instrText xml:space="preserve"> REF _Ref399335481 \h </w:instrText>
      </w:r>
      <w:r>
        <w:fldChar w:fldCharType="separate"/>
      </w:r>
      <w:r w:rsidR="0029649D">
        <w:t xml:space="preserve">Box </w:t>
      </w:r>
      <w:r w:rsidR="0029649D">
        <w:rPr>
          <w:noProof/>
        </w:rPr>
        <w:t>7</w:t>
      </w:r>
      <w:r>
        <w:fldChar w:fldCharType="end"/>
      </w:r>
      <w:r>
        <w:t xml:space="preserve">. </w:t>
      </w:r>
    </w:p>
    <w:p w14:paraId="1D543C0F" w14:textId="48C937F2" w:rsidR="001061AB" w:rsidRPr="00183E4D" w:rsidRDefault="001061AB" w:rsidP="001D6758">
      <w:pPr>
        <w:pStyle w:val="Caption"/>
        <w:ind w:left="1134" w:hanging="1134"/>
      </w:pPr>
      <w:bookmarkStart w:id="234" w:name="_Ref399335476"/>
      <w:bookmarkStart w:id="235" w:name="_Toc455648060"/>
      <w:bookmarkStart w:id="236" w:name="_Toc457314616"/>
      <w:bookmarkStart w:id="237" w:name="_Ref459018818"/>
      <w:bookmarkStart w:id="238" w:name="_Toc460514604"/>
      <w:r>
        <w:t xml:space="preserve">Box </w:t>
      </w:r>
      <w:fldSimple w:instr=" SEQ Box \* ARABIC ">
        <w:r w:rsidR="0029649D">
          <w:rPr>
            <w:noProof/>
          </w:rPr>
          <w:t>4</w:t>
        </w:r>
      </w:fldSimple>
      <w:bookmarkEnd w:id="234"/>
      <w:r w:rsidRPr="00183E4D">
        <w:rPr>
          <w:szCs w:val="20"/>
        </w:rPr>
        <w:tab/>
      </w:r>
      <w:r w:rsidRPr="00183E4D">
        <w:t xml:space="preserve">Criteria for identifying and selecting studies to determine the </w:t>
      </w:r>
      <w:r>
        <w:t>accuracy</w:t>
      </w:r>
      <w:r w:rsidRPr="00183E4D">
        <w:t xml:space="preserve"> of</w:t>
      </w:r>
      <w:r>
        <w:t xml:space="preserve"> </w:t>
      </w:r>
      <w:proofErr w:type="spellStart"/>
      <w:r>
        <w:t>mpMRI</w:t>
      </w:r>
      <w:proofErr w:type="spellEnd"/>
      <w:r>
        <w:t xml:space="preserve"> scan of prostate</w:t>
      </w:r>
      <w:r w:rsidRPr="00183E4D">
        <w:t xml:space="preserve"> in patients with </w:t>
      </w:r>
      <w:r>
        <w:t>suspicion of prostate cancer or on active surveillance</w:t>
      </w:r>
      <w:bookmarkEnd w:id="235"/>
      <w:bookmarkEnd w:id="236"/>
      <w:bookmarkEnd w:id="237"/>
      <w:bookmarkEnd w:id="238"/>
    </w:p>
    <w:tbl>
      <w:tblPr>
        <w:tblW w:w="9112" w:type="dxa"/>
        <w:tblInd w:w="13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67"/>
        <w:gridCol w:w="7145"/>
      </w:tblGrid>
      <w:tr w:rsidR="001061AB" w:rsidRPr="00183E4D" w14:paraId="099B65B6" w14:textId="77777777" w:rsidTr="001D6758">
        <w:trPr>
          <w:trHeight w:val="397"/>
        </w:trPr>
        <w:tc>
          <w:tcPr>
            <w:tcW w:w="1951" w:type="dxa"/>
            <w:shd w:val="clear" w:color="auto" w:fill="auto"/>
          </w:tcPr>
          <w:p w14:paraId="4390DE9F" w14:textId="77777777" w:rsidR="001061AB" w:rsidRPr="001D6758" w:rsidRDefault="001061AB" w:rsidP="00716BD3">
            <w:pPr>
              <w:pStyle w:val="Tableheading1"/>
            </w:pPr>
            <w:r w:rsidRPr="001D6758">
              <w:t>Selection criteria</w:t>
            </w:r>
          </w:p>
        </w:tc>
        <w:tc>
          <w:tcPr>
            <w:tcW w:w="7088" w:type="dxa"/>
            <w:shd w:val="clear" w:color="auto" w:fill="auto"/>
          </w:tcPr>
          <w:p w14:paraId="27B94511" w14:textId="77777777" w:rsidR="001061AB" w:rsidRPr="001D6758" w:rsidRDefault="001061AB" w:rsidP="00716BD3">
            <w:pPr>
              <w:pStyle w:val="Tableheading1"/>
              <w:rPr>
                <w:rFonts w:cs="Arial"/>
              </w:rPr>
            </w:pPr>
            <w:r w:rsidRPr="001D6758">
              <w:rPr>
                <w:rFonts w:cs="Arial"/>
              </w:rPr>
              <w:t>Description</w:t>
            </w:r>
          </w:p>
        </w:tc>
      </w:tr>
      <w:tr w:rsidR="001061AB" w:rsidRPr="00183E4D" w14:paraId="49A14FD7" w14:textId="77777777" w:rsidTr="001D6758">
        <w:trPr>
          <w:trHeight w:val="397"/>
        </w:trPr>
        <w:tc>
          <w:tcPr>
            <w:tcW w:w="1951" w:type="dxa"/>
            <w:shd w:val="clear" w:color="auto" w:fill="auto"/>
          </w:tcPr>
          <w:p w14:paraId="2999A400" w14:textId="77777777" w:rsidR="001061AB" w:rsidRPr="00183E4D" w:rsidRDefault="001061AB" w:rsidP="00716BD3">
            <w:pPr>
              <w:pStyle w:val="Tabletext1"/>
            </w:pPr>
            <w:r w:rsidRPr="00183E4D">
              <w:t>Population</w:t>
            </w:r>
          </w:p>
        </w:tc>
        <w:tc>
          <w:tcPr>
            <w:tcW w:w="7088" w:type="dxa"/>
            <w:shd w:val="clear" w:color="auto" w:fill="auto"/>
          </w:tcPr>
          <w:p w14:paraId="06356646" w14:textId="0751049E" w:rsidR="001061AB" w:rsidRPr="00183E4D" w:rsidRDefault="001061AB" w:rsidP="00716BD3">
            <w:pPr>
              <w:pStyle w:val="Tabletext1"/>
              <w:rPr>
                <w:rFonts w:cs="Arial"/>
              </w:rPr>
            </w:pPr>
            <w:r>
              <w:rPr>
                <w:rFonts w:cs="Arial"/>
              </w:rPr>
              <w:t>M</w:t>
            </w:r>
            <w:r w:rsidRPr="00525678">
              <w:rPr>
                <w:rFonts w:cs="Arial"/>
              </w:rPr>
              <w:t xml:space="preserve">en with suspected </w:t>
            </w:r>
            <w:proofErr w:type="spellStart"/>
            <w:r w:rsidR="006818E1">
              <w:t>PCa</w:t>
            </w:r>
            <w:proofErr w:type="spellEnd"/>
            <w:r w:rsidRPr="00525678">
              <w:rPr>
                <w:rFonts w:cs="Arial"/>
              </w:rPr>
              <w:t xml:space="preserve"> or men diagnosed with low or intermediate risk </w:t>
            </w:r>
            <w:proofErr w:type="spellStart"/>
            <w:r w:rsidR="006818E1">
              <w:t>PCa</w:t>
            </w:r>
            <w:proofErr w:type="spellEnd"/>
            <w:r w:rsidRPr="00525678">
              <w:rPr>
                <w:rFonts w:cs="Arial"/>
              </w:rPr>
              <w:t xml:space="preserve"> undertaking active surveillance</w:t>
            </w:r>
          </w:p>
        </w:tc>
      </w:tr>
      <w:tr w:rsidR="001061AB" w:rsidRPr="00183E4D" w14:paraId="620F83F4" w14:textId="77777777" w:rsidTr="001D6758">
        <w:trPr>
          <w:trHeight w:val="397"/>
        </w:trPr>
        <w:tc>
          <w:tcPr>
            <w:tcW w:w="1951" w:type="dxa"/>
            <w:shd w:val="clear" w:color="auto" w:fill="auto"/>
          </w:tcPr>
          <w:p w14:paraId="4C80BEBA" w14:textId="77777777" w:rsidR="001061AB" w:rsidRPr="00183E4D" w:rsidRDefault="001061AB" w:rsidP="00716BD3">
            <w:pPr>
              <w:pStyle w:val="Tabletext1"/>
            </w:pPr>
            <w:r>
              <w:t>Prior tests</w:t>
            </w:r>
          </w:p>
        </w:tc>
        <w:tc>
          <w:tcPr>
            <w:tcW w:w="7088" w:type="dxa"/>
            <w:shd w:val="clear" w:color="auto" w:fill="auto"/>
          </w:tcPr>
          <w:p w14:paraId="0221B453" w14:textId="77777777" w:rsidR="001061AB" w:rsidRPr="00183E4D" w:rsidRDefault="001061AB" w:rsidP="00716BD3">
            <w:pPr>
              <w:pStyle w:val="Tabletext1"/>
              <w:rPr>
                <w:rFonts w:cs="Arial"/>
              </w:rPr>
            </w:pPr>
            <w:r>
              <w:rPr>
                <w:rFonts w:cs="Arial"/>
              </w:rPr>
              <w:t>DRE or PSA</w:t>
            </w:r>
          </w:p>
        </w:tc>
      </w:tr>
      <w:tr w:rsidR="001061AB" w:rsidRPr="00183E4D" w14:paraId="19FAC81C" w14:textId="77777777" w:rsidTr="001D6758">
        <w:trPr>
          <w:trHeight w:val="397"/>
        </w:trPr>
        <w:tc>
          <w:tcPr>
            <w:tcW w:w="1951" w:type="dxa"/>
            <w:shd w:val="clear" w:color="auto" w:fill="auto"/>
          </w:tcPr>
          <w:p w14:paraId="08462381" w14:textId="77777777" w:rsidR="001061AB" w:rsidRPr="00183E4D" w:rsidRDefault="001061AB" w:rsidP="00716BD3">
            <w:pPr>
              <w:pStyle w:val="Tabletext1"/>
            </w:pPr>
            <w:r w:rsidRPr="00183E4D">
              <w:t>In</w:t>
            </w:r>
            <w:r>
              <w:t>dex test</w:t>
            </w:r>
          </w:p>
        </w:tc>
        <w:tc>
          <w:tcPr>
            <w:tcW w:w="7088" w:type="dxa"/>
            <w:shd w:val="clear" w:color="auto" w:fill="auto"/>
          </w:tcPr>
          <w:p w14:paraId="05CCB9A6" w14:textId="77777777" w:rsidR="001061AB" w:rsidRPr="00183E4D" w:rsidRDefault="001061AB" w:rsidP="00716BD3">
            <w:pPr>
              <w:pStyle w:val="Tabletext1"/>
            </w:pPr>
            <w:proofErr w:type="spellStart"/>
            <w:r>
              <w:t>mpMRI</w:t>
            </w:r>
            <w:proofErr w:type="spellEnd"/>
            <w:r>
              <w:t xml:space="preserve"> scan of prostate</w:t>
            </w:r>
          </w:p>
        </w:tc>
      </w:tr>
      <w:tr w:rsidR="001061AB" w:rsidRPr="00183E4D" w14:paraId="041895AF" w14:textId="77777777" w:rsidTr="001D6758">
        <w:trPr>
          <w:trHeight w:val="397"/>
        </w:trPr>
        <w:tc>
          <w:tcPr>
            <w:tcW w:w="1951" w:type="dxa"/>
            <w:shd w:val="clear" w:color="auto" w:fill="auto"/>
          </w:tcPr>
          <w:p w14:paraId="44DB937E" w14:textId="77777777" w:rsidR="001061AB" w:rsidRPr="00183E4D" w:rsidRDefault="001061AB" w:rsidP="00716BD3">
            <w:pPr>
              <w:pStyle w:val="Tabletext1"/>
            </w:pPr>
            <w:r w:rsidRPr="00183E4D">
              <w:t>Comparator</w:t>
            </w:r>
          </w:p>
        </w:tc>
        <w:tc>
          <w:tcPr>
            <w:tcW w:w="7088" w:type="dxa"/>
            <w:shd w:val="clear" w:color="auto" w:fill="auto"/>
          </w:tcPr>
          <w:p w14:paraId="36B620E4" w14:textId="22D25CA4" w:rsidR="001061AB" w:rsidRPr="00183E4D" w:rsidRDefault="001061AB" w:rsidP="00716BD3">
            <w:pPr>
              <w:pStyle w:val="Tabletext1"/>
            </w:pPr>
            <w:r>
              <w:t>Clinical judgement and sometimes biopsy of prostate (trans</w:t>
            </w:r>
            <w:r w:rsidR="009265E3">
              <w:t>-</w:t>
            </w:r>
            <w:r>
              <w:t>rectal, trans</w:t>
            </w:r>
            <w:r w:rsidR="009265E3">
              <w:t>-</w:t>
            </w:r>
            <w:r>
              <w:t>perineal, MRI-guided)</w:t>
            </w:r>
          </w:p>
        </w:tc>
      </w:tr>
      <w:tr w:rsidR="001061AB" w:rsidRPr="00183E4D" w14:paraId="54A06263" w14:textId="77777777" w:rsidTr="001D6758">
        <w:trPr>
          <w:trHeight w:val="397"/>
        </w:trPr>
        <w:tc>
          <w:tcPr>
            <w:tcW w:w="1951" w:type="dxa"/>
            <w:shd w:val="clear" w:color="auto" w:fill="auto"/>
          </w:tcPr>
          <w:p w14:paraId="3E331FA9" w14:textId="77777777" w:rsidR="001061AB" w:rsidRPr="00183E4D" w:rsidRDefault="001061AB" w:rsidP="00716BD3">
            <w:pPr>
              <w:pStyle w:val="Tabletext1"/>
            </w:pPr>
            <w:r w:rsidRPr="00183E4D">
              <w:t>Outcomes</w:t>
            </w:r>
          </w:p>
        </w:tc>
        <w:tc>
          <w:tcPr>
            <w:tcW w:w="7088" w:type="dxa"/>
            <w:shd w:val="clear" w:color="auto" w:fill="auto"/>
          </w:tcPr>
          <w:p w14:paraId="4A525C01" w14:textId="315023BA" w:rsidR="001061AB" w:rsidRPr="00183E4D" w:rsidRDefault="00760653" w:rsidP="00760653">
            <w:pPr>
              <w:pStyle w:val="Tabletext1"/>
            </w:pPr>
            <w:r>
              <w:rPr>
                <w:rFonts w:cs="Arial"/>
              </w:rPr>
              <w:t>Sensitivity, specificity,</w:t>
            </w:r>
            <w:r w:rsidR="001061AB" w:rsidRPr="00513141">
              <w:rPr>
                <w:rFonts w:cs="Arial"/>
              </w:rPr>
              <w:t xml:space="preserve"> PPV, NPV, changes in the biopsy rate, changes in the rate of men diagnosed with low risk cancer, change in the rates of surgery, quality of life, satisfaction, time from diagnosis to treatment</w:t>
            </w:r>
          </w:p>
        </w:tc>
      </w:tr>
      <w:tr w:rsidR="001061AB" w:rsidRPr="00183E4D" w14:paraId="40A6EE0E" w14:textId="77777777" w:rsidTr="001D6758">
        <w:trPr>
          <w:trHeight w:val="397"/>
        </w:trPr>
        <w:tc>
          <w:tcPr>
            <w:tcW w:w="1951" w:type="dxa"/>
            <w:tcBorders>
              <w:top w:val="single" w:sz="4" w:space="0" w:color="auto"/>
              <w:bottom w:val="single" w:sz="4" w:space="0" w:color="auto"/>
            </w:tcBorders>
            <w:shd w:val="clear" w:color="auto" w:fill="auto"/>
          </w:tcPr>
          <w:p w14:paraId="27EB4982" w14:textId="77777777" w:rsidR="001061AB" w:rsidRPr="001D6758" w:rsidRDefault="001061AB" w:rsidP="00716BD3">
            <w:pPr>
              <w:pStyle w:val="Tabletext1"/>
              <w:rPr>
                <w:rFonts w:cs="Arial"/>
                <w:b/>
              </w:rPr>
            </w:pPr>
            <w:r w:rsidRPr="001D6758">
              <w:rPr>
                <w:rFonts w:cs="Arial Narrow"/>
                <w:b/>
                <w:bCs/>
              </w:rPr>
              <w:t>Systematic review question</w:t>
            </w:r>
          </w:p>
        </w:tc>
        <w:tc>
          <w:tcPr>
            <w:tcW w:w="7088" w:type="dxa"/>
            <w:tcBorders>
              <w:top w:val="single" w:sz="4" w:space="0" w:color="auto"/>
              <w:bottom w:val="single" w:sz="4" w:space="0" w:color="auto"/>
            </w:tcBorders>
            <w:shd w:val="clear" w:color="auto" w:fill="auto"/>
          </w:tcPr>
          <w:p w14:paraId="086FB607" w14:textId="20C8BAAB" w:rsidR="001061AB" w:rsidRPr="00183E4D" w:rsidRDefault="001061AB" w:rsidP="00716BD3">
            <w:pPr>
              <w:pStyle w:val="Tabletext1"/>
              <w:rPr>
                <w:rFonts w:cs="Arial"/>
              </w:rPr>
            </w:pPr>
            <w:r>
              <w:rPr>
                <w:rFonts w:cs="Arial"/>
              </w:rPr>
              <w:t xml:space="preserve">What is the diagnostic accuracy of </w:t>
            </w:r>
            <w:proofErr w:type="spellStart"/>
            <w:r w:rsidRPr="00D61951">
              <w:rPr>
                <w:rFonts w:cs="Arial"/>
              </w:rPr>
              <w:t>Multiparametric</w:t>
            </w:r>
            <w:proofErr w:type="spellEnd"/>
            <w:r w:rsidRPr="00D61951">
              <w:rPr>
                <w:rFonts w:cs="Arial"/>
              </w:rPr>
              <w:t xml:space="preserve"> MRI of the prostate</w:t>
            </w:r>
            <w:r>
              <w:rPr>
                <w:rFonts w:cs="Arial"/>
              </w:rPr>
              <w:t xml:space="preserve"> in men </w:t>
            </w:r>
            <w:r w:rsidRPr="00D61951">
              <w:rPr>
                <w:rFonts w:cs="Arial"/>
              </w:rPr>
              <w:t xml:space="preserve">with suspected </w:t>
            </w:r>
            <w:proofErr w:type="spellStart"/>
            <w:r w:rsidR="006818E1" w:rsidRPr="006818E1">
              <w:rPr>
                <w:rFonts w:cs="Arial"/>
              </w:rPr>
              <w:t>PCa</w:t>
            </w:r>
            <w:proofErr w:type="spellEnd"/>
            <w:r w:rsidRPr="00D61951">
              <w:rPr>
                <w:rFonts w:cs="Arial"/>
              </w:rPr>
              <w:t xml:space="preserve"> or men diagnosed with low or intermediate risk </w:t>
            </w:r>
            <w:proofErr w:type="spellStart"/>
            <w:r w:rsidR="006818E1" w:rsidRPr="006818E1">
              <w:rPr>
                <w:rFonts w:cs="Arial"/>
              </w:rPr>
              <w:t>PCa</w:t>
            </w:r>
            <w:proofErr w:type="spellEnd"/>
            <w:r w:rsidRPr="00D61951">
              <w:rPr>
                <w:rFonts w:cs="Arial"/>
              </w:rPr>
              <w:t xml:space="preserve"> undertaking active surveillance</w:t>
            </w:r>
            <w:r>
              <w:rPr>
                <w:rFonts w:cs="Arial"/>
              </w:rPr>
              <w:t>?</w:t>
            </w:r>
          </w:p>
        </w:tc>
      </w:tr>
    </w:tbl>
    <w:p w14:paraId="3DDCC3A3" w14:textId="1824D918" w:rsidR="009265E3" w:rsidRDefault="009265E3" w:rsidP="009265E3">
      <w:pPr>
        <w:pStyle w:val="TableNotes"/>
      </w:pPr>
      <w:proofErr w:type="spellStart"/>
      <w:r>
        <w:t>PCa</w:t>
      </w:r>
      <w:proofErr w:type="spellEnd"/>
      <w:r>
        <w:t xml:space="preserve"> = prostate cancer, PSA = </w:t>
      </w:r>
      <w:r w:rsidRPr="00ED3ADF">
        <w:t>prostate-s</w:t>
      </w:r>
      <w:r>
        <w:t>pecific antigen, DRE = digital rectal examination, MRI = magnetic resonance imaging, PPV = positive predictive value, NPV = negative predictive value.</w:t>
      </w:r>
    </w:p>
    <w:p w14:paraId="385A1467" w14:textId="0334124C" w:rsidR="001061AB" w:rsidRPr="00183E4D" w:rsidRDefault="001061AB" w:rsidP="001D6758">
      <w:pPr>
        <w:pStyle w:val="Caption"/>
        <w:ind w:left="1134" w:hanging="1134"/>
      </w:pPr>
      <w:bookmarkStart w:id="239" w:name="_Ref395200521"/>
      <w:bookmarkStart w:id="240" w:name="_Toc455648061"/>
      <w:bookmarkStart w:id="241" w:name="_Toc457314617"/>
      <w:bookmarkStart w:id="242" w:name="_Ref459018825"/>
      <w:bookmarkStart w:id="243" w:name="_Toc460514605"/>
      <w:bookmarkStart w:id="244" w:name="_Toc393378292"/>
      <w:r>
        <w:lastRenderedPageBreak/>
        <w:t xml:space="preserve">Box </w:t>
      </w:r>
      <w:fldSimple w:instr=" SEQ Box \* ARABIC ">
        <w:r w:rsidR="0029649D">
          <w:rPr>
            <w:noProof/>
          </w:rPr>
          <w:t>5</w:t>
        </w:r>
      </w:fldSimple>
      <w:bookmarkEnd w:id="239"/>
      <w:r w:rsidRPr="00183E4D">
        <w:rPr>
          <w:szCs w:val="20"/>
        </w:rPr>
        <w:tab/>
      </w:r>
      <w:r w:rsidRPr="00183E4D">
        <w:t xml:space="preserve">Criteria for identifying and selecting studies to determine the </w:t>
      </w:r>
      <w:r>
        <w:t>reliability</w:t>
      </w:r>
      <w:r w:rsidRPr="00183E4D">
        <w:t xml:space="preserve"> of </w:t>
      </w:r>
      <w:r>
        <w:t>PI</w:t>
      </w:r>
      <w:r w:rsidR="00B57813">
        <w:t>-</w:t>
      </w:r>
      <w:r>
        <w:t>RADS</w:t>
      </w:r>
      <w:r w:rsidRPr="00183E4D">
        <w:t xml:space="preserve"> in patients with </w:t>
      </w:r>
      <w:r>
        <w:t>suspicion of prostate cancer or on active surveillance</w:t>
      </w:r>
      <w:bookmarkEnd w:id="240"/>
      <w:bookmarkEnd w:id="241"/>
      <w:bookmarkEnd w:id="242"/>
      <w:bookmarkEnd w:id="243"/>
    </w:p>
    <w:tbl>
      <w:tblPr>
        <w:tblW w:w="9112" w:type="dxa"/>
        <w:tblInd w:w="13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67"/>
        <w:gridCol w:w="7145"/>
      </w:tblGrid>
      <w:tr w:rsidR="001061AB" w:rsidRPr="00183E4D" w14:paraId="74C519AF" w14:textId="77777777" w:rsidTr="001D6758">
        <w:trPr>
          <w:trHeight w:val="397"/>
        </w:trPr>
        <w:tc>
          <w:tcPr>
            <w:tcW w:w="1951" w:type="dxa"/>
            <w:shd w:val="clear" w:color="auto" w:fill="auto"/>
          </w:tcPr>
          <w:bookmarkEnd w:id="244"/>
          <w:p w14:paraId="72CD8516" w14:textId="77777777" w:rsidR="001061AB" w:rsidRPr="001D6758" w:rsidRDefault="001061AB" w:rsidP="00716BD3">
            <w:pPr>
              <w:pStyle w:val="Tableheading1"/>
              <w:keepNext/>
            </w:pPr>
            <w:r w:rsidRPr="001D6758">
              <w:t>Selection criteria</w:t>
            </w:r>
          </w:p>
        </w:tc>
        <w:tc>
          <w:tcPr>
            <w:tcW w:w="7088" w:type="dxa"/>
            <w:shd w:val="clear" w:color="auto" w:fill="auto"/>
          </w:tcPr>
          <w:p w14:paraId="51779CBF" w14:textId="77777777" w:rsidR="001061AB" w:rsidRPr="001D6758" w:rsidRDefault="001061AB" w:rsidP="00716BD3">
            <w:pPr>
              <w:pStyle w:val="Tableheading1"/>
              <w:keepNext/>
              <w:rPr>
                <w:rFonts w:cs="Arial"/>
              </w:rPr>
            </w:pPr>
            <w:r w:rsidRPr="001D6758">
              <w:rPr>
                <w:rFonts w:cs="Arial"/>
              </w:rPr>
              <w:t>Description</w:t>
            </w:r>
          </w:p>
        </w:tc>
      </w:tr>
      <w:tr w:rsidR="001061AB" w:rsidRPr="00183E4D" w14:paraId="0E020683" w14:textId="77777777" w:rsidTr="001D6758">
        <w:trPr>
          <w:trHeight w:val="397"/>
        </w:trPr>
        <w:tc>
          <w:tcPr>
            <w:tcW w:w="1951" w:type="dxa"/>
            <w:shd w:val="clear" w:color="auto" w:fill="auto"/>
          </w:tcPr>
          <w:p w14:paraId="487747A8" w14:textId="77777777" w:rsidR="001061AB" w:rsidRPr="00183E4D" w:rsidRDefault="001061AB" w:rsidP="00716BD3">
            <w:pPr>
              <w:pStyle w:val="Tabletext1"/>
              <w:keepNext/>
            </w:pPr>
            <w:r w:rsidRPr="00183E4D">
              <w:t>Population</w:t>
            </w:r>
          </w:p>
        </w:tc>
        <w:tc>
          <w:tcPr>
            <w:tcW w:w="7088" w:type="dxa"/>
            <w:shd w:val="clear" w:color="auto" w:fill="auto"/>
          </w:tcPr>
          <w:p w14:paraId="2304E641" w14:textId="2062A1BE" w:rsidR="001061AB" w:rsidRPr="00183E4D" w:rsidRDefault="001061AB" w:rsidP="00716BD3">
            <w:pPr>
              <w:pStyle w:val="Tabletext1"/>
              <w:keepNext/>
              <w:rPr>
                <w:rFonts w:cs="Arial"/>
              </w:rPr>
            </w:pPr>
            <w:r>
              <w:rPr>
                <w:rFonts w:cs="Arial"/>
              </w:rPr>
              <w:t>M</w:t>
            </w:r>
            <w:r w:rsidRPr="00525678">
              <w:rPr>
                <w:rFonts w:cs="Arial"/>
              </w:rPr>
              <w:t xml:space="preserve">en with suspected </w:t>
            </w:r>
            <w:proofErr w:type="spellStart"/>
            <w:r w:rsidR="006818E1">
              <w:t>PCa</w:t>
            </w:r>
            <w:proofErr w:type="spellEnd"/>
            <w:r w:rsidRPr="00525678">
              <w:rPr>
                <w:rFonts w:cs="Arial"/>
              </w:rPr>
              <w:t xml:space="preserve"> or men diagnosed with low or intermediate risk </w:t>
            </w:r>
            <w:proofErr w:type="spellStart"/>
            <w:r w:rsidR="006818E1">
              <w:t>PCa</w:t>
            </w:r>
            <w:proofErr w:type="spellEnd"/>
            <w:r w:rsidRPr="00525678">
              <w:rPr>
                <w:rFonts w:cs="Arial"/>
              </w:rPr>
              <w:t xml:space="preserve"> undertaking active surveillance</w:t>
            </w:r>
          </w:p>
        </w:tc>
      </w:tr>
      <w:tr w:rsidR="001061AB" w:rsidRPr="00183E4D" w14:paraId="45F93320" w14:textId="77777777" w:rsidTr="001D6758">
        <w:trPr>
          <w:trHeight w:val="397"/>
        </w:trPr>
        <w:tc>
          <w:tcPr>
            <w:tcW w:w="1951" w:type="dxa"/>
            <w:shd w:val="clear" w:color="auto" w:fill="auto"/>
          </w:tcPr>
          <w:p w14:paraId="7EC07A38" w14:textId="77777777" w:rsidR="001061AB" w:rsidRPr="00183E4D" w:rsidRDefault="001061AB" w:rsidP="00716BD3">
            <w:pPr>
              <w:pStyle w:val="Tabletext1"/>
              <w:keepNext/>
            </w:pPr>
            <w:r w:rsidRPr="00183E4D">
              <w:t>Intervention</w:t>
            </w:r>
          </w:p>
        </w:tc>
        <w:tc>
          <w:tcPr>
            <w:tcW w:w="7088" w:type="dxa"/>
            <w:shd w:val="clear" w:color="auto" w:fill="auto"/>
          </w:tcPr>
          <w:p w14:paraId="391DC41C" w14:textId="74ED78A1" w:rsidR="001061AB" w:rsidRPr="00183E4D" w:rsidRDefault="001061AB" w:rsidP="00716BD3">
            <w:pPr>
              <w:pStyle w:val="Tabletext1"/>
              <w:keepNext/>
            </w:pPr>
            <w:r>
              <w:t>PI</w:t>
            </w:r>
            <w:r w:rsidR="00350AF1">
              <w:t>-</w:t>
            </w:r>
            <w:r>
              <w:t xml:space="preserve">RADS scoring system for evaluating </w:t>
            </w:r>
            <w:proofErr w:type="spellStart"/>
            <w:r w:rsidR="00B57813">
              <w:t>PCa</w:t>
            </w:r>
            <w:proofErr w:type="spellEnd"/>
            <w:r>
              <w:t xml:space="preserve"> with </w:t>
            </w:r>
            <w:proofErr w:type="spellStart"/>
            <w:r>
              <w:t>mpMRI</w:t>
            </w:r>
            <w:proofErr w:type="spellEnd"/>
            <w:r>
              <w:t xml:space="preserve"> with biopsy as reference standard</w:t>
            </w:r>
          </w:p>
        </w:tc>
      </w:tr>
      <w:tr w:rsidR="001061AB" w:rsidRPr="00183E4D" w14:paraId="1D40F0C9" w14:textId="77777777" w:rsidTr="001D6758">
        <w:trPr>
          <w:trHeight w:val="397"/>
        </w:trPr>
        <w:tc>
          <w:tcPr>
            <w:tcW w:w="1951" w:type="dxa"/>
            <w:shd w:val="clear" w:color="auto" w:fill="auto"/>
          </w:tcPr>
          <w:p w14:paraId="042B1B02" w14:textId="77777777" w:rsidR="001061AB" w:rsidRPr="00183E4D" w:rsidRDefault="001061AB" w:rsidP="00716BD3">
            <w:pPr>
              <w:pStyle w:val="Tabletext1"/>
              <w:keepNext/>
            </w:pPr>
            <w:r w:rsidRPr="00183E4D">
              <w:t>Comparator</w:t>
            </w:r>
          </w:p>
        </w:tc>
        <w:tc>
          <w:tcPr>
            <w:tcW w:w="7088" w:type="dxa"/>
            <w:shd w:val="clear" w:color="auto" w:fill="auto"/>
          </w:tcPr>
          <w:p w14:paraId="04B7E10A" w14:textId="77777777" w:rsidR="001061AB" w:rsidRPr="00183E4D" w:rsidRDefault="001061AB" w:rsidP="00716BD3">
            <w:pPr>
              <w:pStyle w:val="Tabletext1"/>
              <w:keepNext/>
            </w:pPr>
            <w:r>
              <w:t>Not specified</w:t>
            </w:r>
          </w:p>
        </w:tc>
      </w:tr>
      <w:tr w:rsidR="001061AB" w:rsidRPr="00183E4D" w14:paraId="7D6F2915" w14:textId="77777777" w:rsidTr="001D6758">
        <w:trPr>
          <w:trHeight w:val="397"/>
        </w:trPr>
        <w:tc>
          <w:tcPr>
            <w:tcW w:w="1951" w:type="dxa"/>
            <w:shd w:val="clear" w:color="auto" w:fill="auto"/>
          </w:tcPr>
          <w:p w14:paraId="5F6212AE" w14:textId="77777777" w:rsidR="001061AB" w:rsidRPr="00183E4D" w:rsidRDefault="001061AB" w:rsidP="00716BD3">
            <w:pPr>
              <w:pStyle w:val="Tabletext1"/>
              <w:keepNext/>
            </w:pPr>
            <w:r w:rsidRPr="00183E4D">
              <w:t>Outcomes</w:t>
            </w:r>
          </w:p>
        </w:tc>
        <w:tc>
          <w:tcPr>
            <w:tcW w:w="7088" w:type="dxa"/>
            <w:shd w:val="clear" w:color="auto" w:fill="auto"/>
          </w:tcPr>
          <w:p w14:paraId="507377E0" w14:textId="62FF4ADA" w:rsidR="001061AB" w:rsidRDefault="001061AB" w:rsidP="00716BD3">
            <w:pPr>
              <w:pStyle w:val="Tabletext1"/>
              <w:keepNext/>
              <w:rPr>
                <w:rFonts w:cs="Arial"/>
              </w:rPr>
            </w:pPr>
            <w:r>
              <w:rPr>
                <w:rFonts w:cs="Arial"/>
              </w:rPr>
              <w:t>Critical for decision making: I</w:t>
            </w:r>
            <w:r w:rsidRPr="00865D75">
              <w:rPr>
                <w:rFonts w:cs="Arial"/>
              </w:rPr>
              <w:t>nter-rater reliability</w:t>
            </w:r>
            <w:r>
              <w:rPr>
                <w:rFonts w:cs="Arial"/>
              </w:rPr>
              <w:t>/</w:t>
            </w:r>
            <w:r w:rsidRPr="00865D75">
              <w:rPr>
                <w:rFonts w:cs="Arial"/>
              </w:rPr>
              <w:t>reproducibility</w:t>
            </w:r>
            <w:r>
              <w:rPr>
                <w:rFonts w:cs="Arial"/>
              </w:rPr>
              <w:t xml:space="preserve"> /</w:t>
            </w:r>
            <w:r w:rsidRPr="00865D75">
              <w:rPr>
                <w:rFonts w:cs="Arial"/>
              </w:rPr>
              <w:t xml:space="preserve"> kappa</w:t>
            </w:r>
          </w:p>
          <w:p w14:paraId="78CA9DF8" w14:textId="77777777" w:rsidR="001061AB" w:rsidRDefault="001061AB" w:rsidP="00716BD3">
            <w:pPr>
              <w:pStyle w:val="Tabletext1"/>
              <w:keepNext/>
              <w:rPr>
                <w:rFonts w:cs="Arial"/>
              </w:rPr>
            </w:pPr>
            <w:r>
              <w:rPr>
                <w:rFonts w:cs="Arial"/>
              </w:rPr>
              <w:t>Important, but not critical for decision making:</w:t>
            </w:r>
          </w:p>
          <w:p w14:paraId="101B2BE2" w14:textId="77777777" w:rsidR="001061AB" w:rsidRPr="00183E4D" w:rsidRDefault="001061AB" w:rsidP="00716BD3">
            <w:pPr>
              <w:pStyle w:val="Tabletext1"/>
              <w:keepNext/>
            </w:pPr>
            <w:r>
              <w:rPr>
                <w:rFonts w:cs="Arial"/>
              </w:rPr>
              <w:t>Low importance for decision making:</w:t>
            </w:r>
          </w:p>
        </w:tc>
      </w:tr>
      <w:tr w:rsidR="001061AB" w:rsidRPr="00183E4D" w14:paraId="57797A37" w14:textId="77777777" w:rsidTr="001D6758">
        <w:trPr>
          <w:trHeight w:val="397"/>
        </w:trPr>
        <w:tc>
          <w:tcPr>
            <w:tcW w:w="1951" w:type="dxa"/>
            <w:tcBorders>
              <w:top w:val="single" w:sz="4" w:space="0" w:color="auto"/>
              <w:bottom w:val="single" w:sz="4" w:space="0" w:color="auto"/>
            </w:tcBorders>
            <w:shd w:val="clear" w:color="auto" w:fill="auto"/>
          </w:tcPr>
          <w:p w14:paraId="2C87FC5F" w14:textId="77777777" w:rsidR="001061AB" w:rsidRPr="001D6758" w:rsidRDefault="001061AB" w:rsidP="00716BD3">
            <w:pPr>
              <w:pStyle w:val="Tabletext1"/>
              <w:keepNext/>
              <w:rPr>
                <w:rFonts w:cs="Arial"/>
                <w:b/>
              </w:rPr>
            </w:pPr>
            <w:r w:rsidRPr="001D6758">
              <w:rPr>
                <w:rFonts w:cs="Arial Narrow"/>
                <w:b/>
                <w:bCs/>
              </w:rPr>
              <w:t>Systematic review question</w:t>
            </w:r>
          </w:p>
        </w:tc>
        <w:tc>
          <w:tcPr>
            <w:tcW w:w="7088" w:type="dxa"/>
            <w:tcBorders>
              <w:top w:val="single" w:sz="4" w:space="0" w:color="auto"/>
              <w:bottom w:val="single" w:sz="4" w:space="0" w:color="auto"/>
            </w:tcBorders>
            <w:shd w:val="clear" w:color="auto" w:fill="auto"/>
          </w:tcPr>
          <w:p w14:paraId="77E99802" w14:textId="747CD310" w:rsidR="001061AB" w:rsidRPr="00183E4D" w:rsidRDefault="00B57813" w:rsidP="00716BD3">
            <w:pPr>
              <w:pStyle w:val="Tabletext1"/>
              <w:keepNext/>
              <w:rPr>
                <w:rFonts w:cs="Arial"/>
              </w:rPr>
            </w:pPr>
            <w:r>
              <w:rPr>
                <w:rFonts w:cs="Arial"/>
              </w:rPr>
              <w:t xml:space="preserve">How reliable is PI-RADS for evaluating </w:t>
            </w:r>
            <w:proofErr w:type="spellStart"/>
            <w:r>
              <w:rPr>
                <w:rFonts w:cs="Arial"/>
              </w:rPr>
              <w:t>PCa</w:t>
            </w:r>
            <w:proofErr w:type="spellEnd"/>
            <w:r>
              <w:rPr>
                <w:rFonts w:cs="Arial"/>
              </w:rPr>
              <w:t xml:space="preserve"> in men with suspected cancer or men diagnosed </w:t>
            </w:r>
            <w:r w:rsidRPr="00B57813">
              <w:rPr>
                <w:rFonts w:cs="Arial"/>
              </w:rPr>
              <w:t xml:space="preserve">with low or intermediate risk </w:t>
            </w:r>
            <w:proofErr w:type="spellStart"/>
            <w:r w:rsidR="006818E1" w:rsidRPr="006818E1">
              <w:rPr>
                <w:rFonts w:cs="Arial"/>
              </w:rPr>
              <w:t>PCa</w:t>
            </w:r>
            <w:proofErr w:type="spellEnd"/>
            <w:r w:rsidRPr="00B57813">
              <w:rPr>
                <w:rFonts w:cs="Arial"/>
              </w:rPr>
              <w:t xml:space="preserve"> undertaking active surveillance</w:t>
            </w:r>
            <w:r>
              <w:rPr>
                <w:rFonts w:cs="Arial"/>
              </w:rPr>
              <w:t>?</w:t>
            </w:r>
          </w:p>
        </w:tc>
      </w:tr>
    </w:tbl>
    <w:p w14:paraId="6A5262A0" w14:textId="5F999293" w:rsidR="001061AB" w:rsidRPr="009265E3" w:rsidRDefault="009265E3" w:rsidP="00424137">
      <w:pPr>
        <w:pStyle w:val="TableNotes"/>
      </w:pPr>
      <w:proofErr w:type="spellStart"/>
      <w:r w:rsidRPr="009265E3">
        <w:t>PCa</w:t>
      </w:r>
      <w:proofErr w:type="spellEnd"/>
      <w:r w:rsidRPr="009265E3">
        <w:t xml:space="preserve"> = prostate cancer, </w:t>
      </w:r>
      <w:r>
        <w:t>PI-RADS =</w:t>
      </w:r>
      <w:r w:rsidRPr="009265E3">
        <w:t xml:space="preserve"> </w:t>
      </w:r>
      <w:r w:rsidRPr="000C2D22">
        <w:t>Prostate Imaging Reporting and Data System</w:t>
      </w:r>
      <w:r>
        <w:t xml:space="preserve">, </w:t>
      </w:r>
      <w:proofErr w:type="spellStart"/>
      <w:r w:rsidRPr="009265E3">
        <w:t>mpMRI</w:t>
      </w:r>
      <w:proofErr w:type="spellEnd"/>
      <w:r w:rsidRPr="009265E3">
        <w:t xml:space="preserve"> = </w:t>
      </w:r>
      <w:proofErr w:type="spellStart"/>
      <w:r w:rsidRPr="009265E3">
        <w:t>multiparametric</w:t>
      </w:r>
      <w:proofErr w:type="spellEnd"/>
      <w:r w:rsidRPr="009265E3">
        <w:t xml:space="preserve"> MRI, MRI = magnetic resonance imaging</w:t>
      </w:r>
      <w:r>
        <w:t>.</w:t>
      </w:r>
    </w:p>
    <w:p w14:paraId="759E7B60" w14:textId="69E7F4D8" w:rsidR="001061AB" w:rsidRPr="00183E4D" w:rsidRDefault="001061AB" w:rsidP="001D6758">
      <w:pPr>
        <w:pStyle w:val="Caption"/>
        <w:ind w:left="1134" w:hanging="1134"/>
      </w:pPr>
      <w:bookmarkStart w:id="245" w:name="_Ref459018766"/>
      <w:bookmarkStart w:id="246" w:name="_Toc455648062"/>
      <w:bookmarkStart w:id="247" w:name="_Toc457314618"/>
      <w:bookmarkStart w:id="248" w:name="_Ref459018832"/>
      <w:bookmarkStart w:id="249" w:name="_Toc460514606"/>
      <w:r>
        <w:t xml:space="preserve">Box </w:t>
      </w:r>
      <w:fldSimple w:instr=" SEQ Box \* ARABIC ">
        <w:r w:rsidR="0029649D">
          <w:rPr>
            <w:noProof/>
          </w:rPr>
          <w:t>6</w:t>
        </w:r>
      </w:fldSimple>
      <w:bookmarkEnd w:id="245"/>
      <w:r w:rsidRPr="00183E4D">
        <w:rPr>
          <w:szCs w:val="20"/>
        </w:rPr>
        <w:tab/>
      </w:r>
      <w:r w:rsidRPr="00183E4D">
        <w:t xml:space="preserve">Criteria for identifying and selecting studies to determine the </w:t>
      </w:r>
      <w:r>
        <w:t>accuracy</w:t>
      </w:r>
      <w:r w:rsidRPr="00183E4D">
        <w:t xml:space="preserve"> of </w:t>
      </w:r>
      <w:r>
        <w:t>prostate biopsy</w:t>
      </w:r>
      <w:r w:rsidRPr="00183E4D">
        <w:t xml:space="preserve"> in patients with </w:t>
      </w:r>
      <w:r>
        <w:t>suspicion of prostate cancer or on active surveillance</w:t>
      </w:r>
      <w:bookmarkEnd w:id="246"/>
      <w:bookmarkEnd w:id="247"/>
      <w:bookmarkEnd w:id="248"/>
      <w:bookmarkEnd w:id="249"/>
    </w:p>
    <w:tbl>
      <w:tblPr>
        <w:tblW w:w="9112" w:type="dxa"/>
        <w:tblInd w:w="13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67"/>
        <w:gridCol w:w="7145"/>
      </w:tblGrid>
      <w:tr w:rsidR="001061AB" w:rsidRPr="00183E4D" w14:paraId="6D224D96" w14:textId="77777777" w:rsidTr="001D6758">
        <w:trPr>
          <w:trHeight w:val="397"/>
        </w:trPr>
        <w:tc>
          <w:tcPr>
            <w:tcW w:w="1951" w:type="dxa"/>
            <w:shd w:val="clear" w:color="auto" w:fill="auto"/>
          </w:tcPr>
          <w:p w14:paraId="5BEFF740" w14:textId="77777777" w:rsidR="001061AB" w:rsidRPr="001D6758" w:rsidRDefault="001061AB" w:rsidP="00716BD3">
            <w:pPr>
              <w:pStyle w:val="Tableheading1"/>
            </w:pPr>
            <w:r w:rsidRPr="001D6758">
              <w:t>Selection criteria</w:t>
            </w:r>
          </w:p>
        </w:tc>
        <w:tc>
          <w:tcPr>
            <w:tcW w:w="7088" w:type="dxa"/>
            <w:shd w:val="clear" w:color="auto" w:fill="auto"/>
          </w:tcPr>
          <w:p w14:paraId="1FED4950" w14:textId="77777777" w:rsidR="001061AB" w:rsidRPr="001D6758" w:rsidRDefault="001061AB" w:rsidP="00716BD3">
            <w:pPr>
              <w:pStyle w:val="Tableheading1"/>
              <w:rPr>
                <w:rFonts w:cs="Arial"/>
              </w:rPr>
            </w:pPr>
            <w:r w:rsidRPr="001D6758">
              <w:rPr>
                <w:rFonts w:cs="Arial"/>
              </w:rPr>
              <w:t>Description</w:t>
            </w:r>
          </w:p>
        </w:tc>
      </w:tr>
      <w:tr w:rsidR="001061AB" w:rsidRPr="00183E4D" w14:paraId="6D1D8840" w14:textId="77777777" w:rsidTr="001D6758">
        <w:trPr>
          <w:trHeight w:val="397"/>
        </w:trPr>
        <w:tc>
          <w:tcPr>
            <w:tcW w:w="1951" w:type="dxa"/>
            <w:shd w:val="clear" w:color="auto" w:fill="auto"/>
          </w:tcPr>
          <w:p w14:paraId="5807774A" w14:textId="77777777" w:rsidR="001061AB" w:rsidRPr="00183E4D" w:rsidRDefault="001061AB" w:rsidP="00716BD3">
            <w:pPr>
              <w:pStyle w:val="Tabletext1"/>
            </w:pPr>
            <w:r w:rsidRPr="00183E4D">
              <w:t>Population</w:t>
            </w:r>
          </w:p>
        </w:tc>
        <w:tc>
          <w:tcPr>
            <w:tcW w:w="7088" w:type="dxa"/>
            <w:shd w:val="clear" w:color="auto" w:fill="auto"/>
          </w:tcPr>
          <w:p w14:paraId="31783F34" w14:textId="1AACBCA1" w:rsidR="001061AB" w:rsidRPr="00183E4D" w:rsidRDefault="001061AB" w:rsidP="00716BD3">
            <w:pPr>
              <w:pStyle w:val="Tabletext1"/>
              <w:rPr>
                <w:rFonts w:cs="Arial"/>
              </w:rPr>
            </w:pPr>
            <w:r>
              <w:rPr>
                <w:rFonts w:cs="Arial"/>
              </w:rPr>
              <w:t>M</w:t>
            </w:r>
            <w:r w:rsidRPr="00525678">
              <w:rPr>
                <w:rFonts w:cs="Arial"/>
              </w:rPr>
              <w:t xml:space="preserve">en with suspected </w:t>
            </w:r>
            <w:proofErr w:type="spellStart"/>
            <w:r w:rsidR="006818E1">
              <w:t>PCa</w:t>
            </w:r>
            <w:proofErr w:type="spellEnd"/>
            <w:r w:rsidRPr="00525678">
              <w:rPr>
                <w:rFonts w:cs="Arial"/>
              </w:rPr>
              <w:t xml:space="preserve"> or men diagnosed with low or intermediate risk </w:t>
            </w:r>
            <w:proofErr w:type="spellStart"/>
            <w:r w:rsidR="006818E1">
              <w:t>PCa</w:t>
            </w:r>
            <w:proofErr w:type="spellEnd"/>
            <w:r w:rsidRPr="00525678">
              <w:rPr>
                <w:rFonts w:cs="Arial"/>
              </w:rPr>
              <w:t xml:space="preserve"> undertaking active surveillance</w:t>
            </w:r>
          </w:p>
        </w:tc>
      </w:tr>
      <w:tr w:rsidR="001061AB" w:rsidRPr="00183E4D" w14:paraId="44050B8B" w14:textId="77777777" w:rsidTr="001D6758">
        <w:trPr>
          <w:trHeight w:val="397"/>
        </w:trPr>
        <w:tc>
          <w:tcPr>
            <w:tcW w:w="1951" w:type="dxa"/>
            <w:shd w:val="clear" w:color="auto" w:fill="auto"/>
          </w:tcPr>
          <w:p w14:paraId="210101B4" w14:textId="77777777" w:rsidR="001061AB" w:rsidRPr="00183E4D" w:rsidRDefault="001061AB" w:rsidP="00716BD3">
            <w:pPr>
              <w:pStyle w:val="Tabletext1"/>
            </w:pPr>
            <w:r>
              <w:t>Prior tests</w:t>
            </w:r>
          </w:p>
        </w:tc>
        <w:tc>
          <w:tcPr>
            <w:tcW w:w="7088" w:type="dxa"/>
            <w:shd w:val="clear" w:color="auto" w:fill="auto"/>
          </w:tcPr>
          <w:p w14:paraId="3EAB1302" w14:textId="77777777" w:rsidR="001061AB" w:rsidRPr="00183E4D" w:rsidRDefault="001061AB" w:rsidP="00716BD3">
            <w:pPr>
              <w:pStyle w:val="Tabletext1"/>
              <w:rPr>
                <w:rFonts w:cs="Arial"/>
              </w:rPr>
            </w:pPr>
            <w:r>
              <w:rPr>
                <w:rFonts w:cs="Arial"/>
              </w:rPr>
              <w:t>DRE or PSA</w:t>
            </w:r>
          </w:p>
        </w:tc>
      </w:tr>
      <w:tr w:rsidR="001061AB" w:rsidRPr="00183E4D" w14:paraId="3E5651F5" w14:textId="77777777" w:rsidTr="001D6758">
        <w:trPr>
          <w:trHeight w:val="397"/>
        </w:trPr>
        <w:tc>
          <w:tcPr>
            <w:tcW w:w="1951" w:type="dxa"/>
            <w:shd w:val="clear" w:color="auto" w:fill="auto"/>
          </w:tcPr>
          <w:p w14:paraId="1098A8D8" w14:textId="77777777" w:rsidR="001061AB" w:rsidRPr="00183E4D" w:rsidRDefault="001061AB" w:rsidP="00716BD3">
            <w:pPr>
              <w:pStyle w:val="Tabletext1"/>
            </w:pPr>
            <w:r w:rsidRPr="00183E4D">
              <w:t>In</w:t>
            </w:r>
            <w:r>
              <w:t>dex test</w:t>
            </w:r>
          </w:p>
        </w:tc>
        <w:tc>
          <w:tcPr>
            <w:tcW w:w="7088" w:type="dxa"/>
            <w:shd w:val="clear" w:color="auto" w:fill="auto"/>
          </w:tcPr>
          <w:p w14:paraId="4B9215AC" w14:textId="77777777" w:rsidR="001061AB" w:rsidRPr="00183E4D" w:rsidRDefault="001061AB" w:rsidP="00716BD3">
            <w:pPr>
              <w:pStyle w:val="Tabletext1"/>
            </w:pPr>
            <w:r>
              <w:t>Biopsy of prostate</w:t>
            </w:r>
          </w:p>
        </w:tc>
      </w:tr>
      <w:tr w:rsidR="001061AB" w:rsidRPr="00183E4D" w14:paraId="087BE73D" w14:textId="77777777" w:rsidTr="001D6758">
        <w:trPr>
          <w:trHeight w:val="397"/>
        </w:trPr>
        <w:tc>
          <w:tcPr>
            <w:tcW w:w="1951" w:type="dxa"/>
            <w:shd w:val="clear" w:color="auto" w:fill="auto"/>
          </w:tcPr>
          <w:p w14:paraId="1093021E" w14:textId="77777777" w:rsidR="001061AB" w:rsidRPr="00183E4D" w:rsidRDefault="001061AB" w:rsidP="00716BD3">
            <w:pPr>
              <w:pStyle w:val="Tabletext1"/>
            </w:pPr>
            <w:r>
              <w:t>Study type</w:t>
            </w:r>
          </w:p>
        </w:tc>
        <w:tc>
          <w:tcPr>
            <w:tcW w:w="7088" w:type="dxa"/>
            <w:shd w:val="clear" w:color="auto" w:fill="auto"/>
          </w:tcPr>
          <w:p w14:paraId="72C4F1C4" w14:textId="77777777" w:rsidR="001061AB" w:rsidRDefault="001061AB" w:rsidP="00716BD3">
            <w:pPr>
              <w:pStyle w:val="Tabletext1"/>
            </w:pPr>
            <w:r>
              <w:t>Systematic review</w:t>
            </w:r>
          </w:p>
        </w:tc>
      </w:tr>
      <w:tr w:rsidR="001061AB" w:rsidRPr="00183E4D" w14:paraId="27707BA4" w14:textId="77777777" w:rsidTr="001D6758">
        <w:trPr>
          <w:trHeight w:val="397"/>
        </w:trPr>
        <w:tc>
          <w:tcPr>
            <w:tcW w:w="1951" w:type="dxa"/>
            <w:shd w:val="clear" w:color="auto" w:fill="auto"/>
          </w:tcPr>
          <w:p w14:paraId="1462CC61" w14:textId="77777777" w:rsidR="001061AB" w:rsidRPr="00183E4D" w:rsidRDefault="001061AB" w:rsidP="00716BD3">
            <w:pPr>
              <w:pStyle w:val="Tabletext1"/>
            </w:pPr>
            <w:r w:rsidRPr="00183E4D">
              <w:t>Comparato</w:t>
            </w:r>
            <w:r>
              <w:t>r</w:t>
            </w:r>
          </w:p>
        </w:tc>
        <w:tc>
          <w:tcPr>
            <w:tcW w:w="7088" w:type="dxa"/>
            <w:shd w:val="clear" w:color="auto" w:fill="auto"/>
          </w:tcPr>
          <w:p w14:paraId="2D476813" w14:textId="77777777" w:rsidR="001061AB" w:rsidRPr="00183E4D" w:rsidRDefault="001061AB" w:rsidP="00716BD3">
            <w:pPr>
              <w:pStyle w:val="Tabletext1"/>
            </w:pPr>
            <w:r>
              <w:t>Not specified</w:t>
            </w:r>
          </w:p>
        </w:tc>
      </w:tr>
      <w:tr w:rsidR="001061AB" w:rsidRPr="00183E4D" w14:paraId="3571D3BF" w14:textId="77777777" w:rsidTr="001D6758">
        <w:trPr>
          <w:trHeight w:val="397"/>
        </w:trPr>
        <w:tc>
          <w:tcPr>
            <w:tcW w:w="1951" w:type="dxa"/>
            <w:shd w:val="clear" w:color="auto" w:fill="auto"/>
          </w:tcPr>
          <w:p w14:paraId="21441B25" w14:textId="77777777" w:rsidR="001061AB" w:rsidRPr="00183E4D" w:rsidRDefault="001061AB" w:rsidP="00716BD3">
            <w:pPr>
              <w:pStyle w:val="Tabletext1"/>
            </w:pPr>
            <w:r w:rsidRPr="00183E4D">
              <w:t>Outcomes</w:t>
            </w:r>
          </w:p>
        </w:tc>
        <w:tc>
          <w:tcPr>
            <w:tcW w:w="7088" w:type="dxa"/>
            <w:shd w:val="clear" w:color="auto" w:fill="auto"/>
          </w:tcPr>
          <w:p w14:paraId="4CD228BE" w14:textId="77777777" w:rsidR="001061AB" w:rsidRPr="00183E4D" w:rsidRDefault="001061AB" w:rsidP="00716BD3">
            <w:pPr>
              <w:pStyle w:val="Tabletext1"/>
            </w:pPr>
            <w:r>
              <w:t>As above</w:t>
            </w:r>
          </w:p>
        </w:tc>
      </w:tr>
      <w:tr w:rsidR="001061AB" w:rsidRPr="00183E4D" w14:paraId="5B3866A7" w14:textId="77777777" w:rsidTr="001D6758">
        <w:trPr>
          <w:trHeight w:val="397"/>
        </w:trPr>
        <w:tc>
          <w:tcPr>
            <w:tcW w:w="1951" w:type="dxa"/>
            <w:tcBorders>
              <w:top w:val="single" w:sz="4" w:space="0" w:color="auto"/>
              <w:bottom w:val="single" w:sz="4" w:space="0" w:color="auto"/>
            </w:tcBorders>
            <w:shd w:val="clear" w:color="auto" w:fill="auto"/>
          </w:tcPr>
          <w:p w14:paraId="6AD50E3E" w14:textId="77777777" w:rsidR="001061AB" w:rsidRPr="001D6758" w:rsidRDefault="001061AB" w:rsidP="00716BD3">
            <w:pPr>
              <w:pStyle w:val="Tabletext1"/>
              <w:rPr>
                <w:rFonts w:cs="Arial"/>
                <w:b/>
              </w:rPr>
            </w:pPr>
            <w:r w:rsidRPr="001D6758">
              <w:rPr>
                <w:rFonts w:cs="Arial Narrow"/>
                <w:b/>
                <w:bCs/>
              </w:rPr>
              <w:t>Systematic review question</w:t>
            </w:r>
          </w:p>
        </w:tc>
        <w:tc>
          <w:tcPr>
            <w:tcW w:w="7088" w:type="dxa"/>
            <w:tcBorders>
              <w:top w:val="single" w:sz="4" w:space="0" w:color="auto"/>
              <w:bottom w:val="single" w:sz="4" w:space="0" w:color="auto"/>
            </w:tcBorders>
            <w:shd w:val="clear" w:color="auto" w:fill="auto"/>
          </w:tcPr>
          <w:p w14:paraId="0A9041C9" w14:textId="3C018C20" w:rsidR="001061AB" w:rsidRPr="00183E4D" w:rsidRDefault="001061AB" w:rsidP="00716BD3">
            <w:pPr>
              <w:pStyle w:val="Tabletext1"/>
              <w:rPr>
                <w:rFonts w:cs="Arial"/>
              </w:rPr>
            </w:pPr>
            <w:r>
              <w:rPr>
                <w:rFonts w:cs="Arial"/>
              </w:rPr>
              <w:t xml:space="preserve">What is the diagnostic accuracy of prostate biopsy </w:t>
            </w:r>
            <w:r w:rsidRPr="00D61951">
              <w:rPr>
                <w:rFonts w:cs="Arial"/>
              </w:rPr>
              <w:t>(</w:t>
            </w:r>
            <w:r w:rsidR="00010606">
              <w:rPr>
                <w:rFonts w:cs="Arial"/>
              </w:rPr>
              <w:t>TRUSGB</w:t>
            </w:r>
            <w:r w:rsidRPr="00D61951">
              <w:rPr>
                <w:rFonts w:cs="Arial"/>
              </w:rPr>
              <w:t xml:space="preserve">, </w:t>
            </w:r>
            <w:r w:rsidR="00010606">
              <w:rPr>
                <w:rFonts w:cs="Arial"/>
              </w:rPr>
              <w:t>TPUSGB</w:t>
            </w:r>
            <w:r w:rsidRPr="00D61951">
              <w:rPr>
                <w:rFonts w:cs="Arial"/>
              </w:rPr>
              <w:t xml:space="preserve"> or </w:t>
            </w:r>
            <w:r w:rsidR="00010606">
              <w:rPr>
                <w:rFonts w:cs="Arial"/>
              </w:rPr>
              <w:t>MRIGB</w:t>
            </w:r>
            <w:r w:rsidRPr="00D61951">
              <w:rPr>
                <w:rFonts w:cs="Arial"/>
              </w:rPr>
              <w:t>)</w:t>
            </w:r>
            <w:r>
              <w:rPr>
                <w:rFonts w:cs="Arial"/>
              </w:rPr>
              <w:t xml:space="preserve"> in men </w:t>
            </w:r>
            <w:r w:rsidRPr="00D61951">
              <w:rPr>
                <w:rFonts w:cs="Arial"/>
              </w:rPr>
              <w:t xml:space="preserve">with suspected </w:t>
            </w:r>
            <w:proofErr w:type="spellStart"/>
            <w:r w:rsidR="006818E1" w:rsidRPr="006818E1">
              <w:rPr>
                <w:rFonts w:cs="Arial"/>
              </w:rPr>
              <w:t>PCa</w:t>
            </w:r>
            <w:proofErr w:type="spellEnd"/>
            <w:r w:rsidRPr="00D61951">
              <w:rPr>
                <w:rFonts w:cs="Arial"/>
              </w:rPr>
              <w:t xml:space="preserve"> or men diagnosed with low or intermediate risk </w:t>
            </w:r>
            <w:proofErr w:type="spellStart"/>
            <w:r w:rsidR="006818E1" w:rsidRPr="006818E1">
              <w:rPr>
                <w:rFonts w:cs="Arial"/>
              </w:rPr>
              <w:t>PCa</w:t>
            </w:r>
            <w:proofErr w:type="spellEnd"/>
            <w:r w:rsidRPr="00D61951">
              <w:rPr>
                <w:rFonts w:cs="Arial"/>
              </w:rPr>
              <w:t xml:space="preserve"> undertaking active surveillance</w:t>
            </w:r>
            <w:r>
              <w:rPr>
                <w:rFonts w:cs="Arial"/>
              </w:rPr>
              <w:t>? (As the diagnostic accuracy of prostate biopsy has been established and is the current practice, a systematic review was sought to answer the question.)</w:t>
            </w:r>
          </w:p>
        </w:tc>
      </w:tr>
    </w:tbl>
    <w:p w14:paraId="014EFD57" w14:textId="09E42362" w:rsidR="009265E3" w:rsidRDefault="009265E3" w:rsidP="00357773">
      <w:pPr>
        <w:pStyle w:val="TableNotes"/>
      </w:pPr>
      <w:proofErr w:type="spellStart"/>
      <w:r>
        <w:t>PCa</w:t>
      </w:r>
      <w:proofErr w:type="spellEnd"/>
      <w:r>
        <w:t xml:space="preserve"> = prostate cancer, DRE = digital rectal examination, PSA = </w:t>
      </w:r>
      <w:r w:rsidRPr="00ED3ADF">
        <w:t>prostate-s</w:t>
      </w:r>
      <w:r>
        <w:t>pecific antigen, TRUSGB = trans-rectal ultrasound guided biopsy, TPUSGB = trans-perineal ultrasound guided biopsy, MRIGB = magnetic resonance imaging guided biopsy,</w:t>
      </w:r>
      <w:r w:rsidRPr="009265E3">
        <w:t xml:space="preserve"> </w:t>
      </w:r>
      <w:r>
        <w:t>M</w:t>
      </w:r>
      <w:r w:rsidR="00213743">
        <w:t>RI = magnetic resonance imaging</w:t>
      </w:r>
      <w:r>
        <w:t>.</w:t>
      </w:r>
    </w:p>
    <w:p w14:paraId="75C10B7D" w14:textId="276E2274" w:rsidR="001061AB" w:rsidRPr="00183E4D" w:rsidRDefault="001061AB" w:rsidP="001D6758">
      <w:pPr>
        <w:pStyle w:val="Caption"/>
        <w:ind w:left="1134" w:hanging="1134"/>
      </w:pPr>
      <w:bookmarkStart w:id="250" w:name="_Ref399335481"/>
      <w:bookmarkStart w:id="251" w:name="_Toc455648063"/>
      <w:bookmarkStart w:id="252" w:name="_Toc457314619"/>
      <w:bookmarkStart w:id="253" w:name="_Ref459018837"/>
      <w:bookmarkStart w:id="254" w:name="_Toc460514607"/>
      <w:r>
        <w:lastRenderedPageBreak/>
        <w:t xml:space="preserve">Box </w:t>
      </w:r>
      <w:fldSimple w:instr=" SEQ Box \* ARABIC ">
        <w:r w:rsidR="0029649D">
          <w:rPr>
            <w:noProof/>
          </w:rPr>
          <w:t>7</w:t>
        </w:r>
      </w:fldSimple>
      <w:bookmarkEnd w:id="250"/>
      <w:r w:rsidRPr="00183E4D">
        <w:rPr>
          <w:szCs w:val="20"/>
        </w:rPr>
        <w:tab/>
      </w:r>
      <w:r w:rsidRPr="00183E4D">
        <w:t xml:space="preserve">Criteria for identifying and selecting studies to determine the </w:t>
      </w:r>
      <w:r>
        <w:t>patient outcomes subsequent to</w:t>
      </w:r>
      <w:r w:rsidRPr="00183E4D">
        <w:t xml:space="preserve"> </w:t>
      </w:r>
      <w:proofErr w:type="spellStart"/>
      <w:r>
        <w:t>mpMRI</w:t>
      </w:r>
      <w:proofErr w:type="spellEnd"/>
      <w:r w:rsidRPr="00183E4D">
        <w:t xml:space="preserve"> </w:t>
      </w:r>
      <w:r>
        <w:t>scan of prostate</w:t>
      </w:r>
      <w:r w:rsidRPr="00183E4D">
        <w:t xml:space="preserve"> in patients with </w:t>
      </w:r>
      <w:r>
        <w:t>suspicion of prostate cancer or on active surveillance</w:t>
      </w:r>
      <w:bookmarkEnd w:id="251"/>
      <w:bookmarkEnd w:id="252"/>
      <w:bookmarkEnd w:id="253"/>
      <w:bookmarkEnd w:id="254"/>
    </w:p>
    <w:tbl>
      <w:tblPr>
        <w:tblW w:w="9112" w:type="dxa"/>
        <w:tblInd w:w="130" w:type="dxa"/>
        <w:tblBorders>
          <w:top w:val="single" w:sz="4" w:space="0" w:color="auto"/>
          <w:left w:val="single" w:sz="4" w:space="0" w:color="auto"/>
          <w:bottom w:val="single" w:sz="4" w:space="0" w:color="auto"/>
          <w:right w:val="single" w:sz="4" w:space="0" w:color="auto"/>
        </w:tblBorders>
        <w:tblCellMar>
          <w:left w:w="28" w:type="dxa"/>
          <w:right w:w="28" w:type="dxa"/>
        </w:tblCellMar>
        <w:tblLook w:val="04A0" w:firstRow="1" w:lastRow="0" w:firstColumn="1" w:lastColumn="0" w:noHBand="0" w:noVBand="1"/>
        <w:tblCaption w:val="Box 2 Criteria for identifying and selecting studies to determine the effectiveness of XXX in patients with XXX"/>
        <w:tblDescription w:val="This Box provides a description of the criteria used to select studies to assess the effectiveness of the technology."/>
      </w:tblPr>
      <w:tblGrid>
        <w:gridCol w:w="1967"/>
        <w:gridCol w:w="7145"/>
      </w:tblGrid>
      <w:tr w:rsidR="001061AB" w:rsidRPr="00183E4D" w14:paraId="6AAB9A9E" w14:textId="77777777" w:rsidTr="001D6758">
        <w:trPr>
          <w:trHeight w:val="397"/>
        </w:trPr>
        <w:tc>
          <w:tcPr>
            <w:tcW w:w="1951" w:type="dxa"/>
            <w:shd w:val="clear" w:color="auto" w:fill="auto"/>
          </w:tcPr>
          <w:p w14:paraId="09E2A928" w14:textId="77777777" w:rsidR="001061AB" w:rsidRPr="001D6758" w:rsidRDefault="001061AB" w:rsidP="00716BD3">
            <w:pPr>
              <w:pStyle w:val="Tableheading1"/>
              <w:keepNext/>
            </w:pPr>
            <w:r w:rsidRPr="001D6758">
              <w:t>Selection criteria</w:t>
            </w:r>
          </w:p>
        </w:tc>
        <w:tc>
          <w:tcPr>
            <w:tcW w:w="7088" w:type="dxa"/>
            <w:shd w:val="clear" w:color="auto" w:fill="auto"/>
          </w:tcPr>
          <w:p w14:paraId="578028D7" w14:textId="77777777" w:rsidR="001061AB" w:rsidRPr="001D6758" w:rsidRDefault="001061AB" w:rsidP="00716BD3">
            <w:pPr>
              <w:pStyle w:val="Tableheading1"/>
              <w:keepNext/>
              <w:rPr>
                <w:rFonts w:cs="Arial"/>
              </w:rPr>
            </w:pPr>
            <w:r w:rsidRPr="001D6758">
              <w:rPr>
                <w:rFonts w:cs="Arial"/>
              </w:rPr>
              <w:t>Description</w:t>
            </w:r>
          </w:p>
        </w:tc>
      </w:tr>
      <w:tr w:rsidR="001061AB" w:rsidRPr="00183E4D" w14:paraId="53F11F27" w14:textId="77777777" w:rsidTr="001D6758">
        <w:trPr>
          <w:trHeight w:val="397"/>
        </w:trPr>
        <w:tc>
          <w:tcPr>
            <w:tcW w:w="1951" w:type="dxa"/>
            <w:shd w:val="clear" w:color="auto" w:fill="auto"/>
          </w:tcPr>
          <w:p w14:paraId="5457896C" w14:textId="77777777" w:rsidR="001061AB" w:rsidRPr="00183E4D" w:rsidRDefault="001061AB" w:rsidP="00716BD3">
            <w:pPr>
              <w:pStyle w:val="Tabletext1"/>
              <w:keepNext/>
            </w:pPr>
            <w:r w:rsidRPr="00183E4D">
              <w:t>Population</w:t>
            </w:r>
          </w:p>
        </w:tc>
        <w:tc>
          <w:tcPr>
            <w:tcW w:w="7088" w:type="dxa"/>
            <w:shd w:val="clear" w:color="auto" w:fill="auto"/>
          </w:tcPr>
          <w:p w14:paraId="3D3FCEE6" w14:textId="4EECB46F" w:rsidR="001061AB" w:rsidRPr="00183E4D" w:rsidRDefault="001061AB" w:rsidP="00716BD3">
            <w:pPr>
              <w:pStyle w:val="Tabletext1"/>
              <w:keepNext/>
              <w:rPr>
                <w:rFonts w:cs="Arial"/>
              </w:rPr>
            </w:pPr>
            <w:r>
              <w:rPr>
                <w:rFonts w:cs="Arial"/>
              </w:rPr>
              <w:t>M</w:t>
            </w:r>
            <w:r w:rsidRPr="00525678">
              <w:rPr>
                <w:rFonts w:cs="Arial"/>
              </w:rPr>
              <w:t xml:space="preserve">en with </w:t>
            </w:r>
            <w:r>
              <w:t xml:space="preserve">a false negative, missed diagnosis, delayed treatment, untreated, inappropriate treatment or wrong diagnosis for </w:t>
            </w:r>
            <w:proofErr w:type="spellStart"/>
            <w:r w:rsidR="006818E1">
              <w:t>PCa</w:t>
            </w:r>
            <w:proofErr w:type="spellEnd"/>
          </w:p>
        </w:tc>
      </w:tr>
      <w:tr w:rsidR="001061AB" w:rsidRPr="00183E4D" w14:paraId="2A1E7245" w14:textId="77777777" w:rsidTr="001D6758">
        <w:trPr>
          <w:trHeight w:val="397"/>
        </w:trPr>
        <w:tc>
          <w:tcPr>
            <w:tcW w:w="1951" w:type="dxa"/>
            <w:shd w:val="clear" w:color="auto" w:fill="auto"/>
          </w:tcPr>
          <w:p w14:paraId="6444ED96" w14:textId="77777777" w:rsidR="001061AB" w:rsidRPr="00183E4D" w:rsidRDefault="001061AB" w:rsidP="00716BD3">
            <w:pPr>
              <w:pStyle w:val="Tabletext1"/>
              <w:keepNext/>
            </w:pPr>
            <w:r w:rsidRPr="00183E4D">
              <w:t>Intervention</w:t>
            </w:r>
          </w:p>
        </w:tc>
        <w:tc>
          <w:tcPr>
            <w:tcW w:w="7088" w:type="dxa"/>
            <w:shd w:val="clear" w:color="auto" w:fill="auto"/>
          </w:tcPr>
          <w:p w14:paraId="435B8C34" w14:textId="77777777" w:rsidR="001061AB" w:rsidRPr="00183E4D" w:rsidRDefault="001061AB" w:rsidP="00716BD3">
            <w:pPr>
              <w:pStyle w:val="Tabletext1"/>
              <w:keepNext/>
            </w:pPr>
            <w:r>
              <w:t>NA</w:t>
            </w:r>
          </w:p>
        </w:tc>
      </w:tr>
      <w:tr w:rsidR="001061AB" w:rsidRPr="00183E4D" w14:paraId="5EF0601E" w14:textId="77777777" w:rsidTr="001D6758">
        <w:trPr>
          <w:trHeight w:val="397"/>
        </w:trPr>
        <w:tc>
          <w:tcPr>
            <w:tcW w:w="1951" w:type="dxa"/>
            <w:shd w:val="clear" w:color="auto" w:fill="auto"/>
          </w:tcPr>
          <w:p w14:paraId="6D129090" w14:textId="77777777" w:rsidR="001061AB" w:rsidRPr="00183E4D" w:rsidRDefault="001061AB" w:rsidP="00716BD3">
            <w:pPr>
              <w:pStyle w:val="Tabletext1"/>
              <w:keepNext/>
            </w:pPr>
            <w:r w:rsidRPr="00183E4D">
              <w:t>Comparator</w:t>
            </w:r>
          </w:p>
        </w:tc>
        <w:tc>
          <w:tcPr>
            <w:tcW w:w="7088" w:type="dxa"/>
            <w:shd w:val="clear" w:color="auto" w:fill="auto"/>
          </w:tcPr>
          <w:p w14:paraId="7C40D9CC" w14:textId="77777777" w:rsidR="001061AB" w:rsidRPr="00183E4D" w:rsidRDefault="001061AB" w:rsidP="00716BD3">
            <w:pPr>
              <w:pStyle w:val="Tabletext1"/>
              <w:keepNext/>
            </w:pPr>
            <w:r>
              <w:t>Not specified</w:t>
            </w:r>
          </w:p>
        </w:tc>
      </w:tr>
      <w:tr w:rsidR="001061AB" w:rsidRPr="00183E4D" w14:paraId="1A2E1697" w14:textId="77777777" w:rsidTr="001D6758">
        <w:trPr>
          <w:trHeight w:val="397"/>
        </w:trPr>
        <w:tc>
          <w:tcPr>
            <w:tcW w:w="1951" w:type="dxa"/>
            <w:shd w:val="clear" w:color="auto" w:fill="auto"/>
          </w:tcPr>
          <w:p w14:paraId="46A44639" w14:textId="77777777" w:rsidR="001061AB" w:rsidRPr="00183E4D" w:rsidRDefault="001061AB" w:rsidP="00716BD3">
            <w:pPr>
              <w:pStyle w:val="Tabletext1"/>
              <w:keepNext/>
            </w:pPr>
            <w:r w:rsidRPr="00183E4D">
              <w:t>Outcomes</w:t>
            </w:r>
          </w:p>
        </w:tc>
        <w:tc>
          <w:tcPr>
            <w:tcW w:w="7088" w:type="dxa"/>
            <w:shd w:val="clear" w:color="auto" w:fill="auto"/>
          </w:tcPr>
          <w:p w14:paraId="2726E50E" w14:textId="77777777" w:rsidR="001061AB" w:rsidRPr="00183E4D" w:rsidRDefault="001061AB" w:rsidP="00716BD3">
            <w:pPr>
              <w:pStyle w:val="Tabletext1"/>
              <w:keepNext/>
            </w:pPr>
            <w:r>
              <w:t>Impact of deferred treatment, inappropriate treatment, or misdiagnosis, survival, time from diagnosis to treatment</w:t>
            </w:r>
          </w:p>
        </w:tc>
      </w:tr>
      <w:tr w:rsidR="001061AB" w:rsidRPr="00183E4D" w14:paraId="526C5336" w14:textId="77777777" w:rsidTr="001D6758">
        <w:trPr>
          <w:trHeight w:val="397"/>
        </w:trPr>
        <w:tc>
          <w:tcPr>
            <w:tcW w:w="1951" w:type="dxa"/>
            <w:tcBorders>
              <w:top w:val="single" w:sz="4" w:space="0" w:color="auto"/>
              <w:bottom w:val="single" w:sz="4" w:space="0" w:color="auto"/>
            </w:tcBorders>
            <w:shd w:val="clear" w:color="auto" w:fill="auto"/>
          </w:tcPr>
          <w:p w14:paraId="752563C9" w14:textId="77777777" w:rsidR="001061AB" w:rsidRPr="001D6758" w:rsidRDefault="001061AB" w:rsidP="00716BD3">
            <w:pPr>
              <w:pStyle w:val="Tabletext1"/>
              <w:keepNext/>
              <w:rPr>
                <w:rFonts w:cs="Arial"/>
                <w:b/>
              </w:rPr>
            </w:pPr>
            <w:r w:rsidRPr="001D6758">
              <w:rPr>
                <w:rFonts w:cs="Arial Narrow"/>
                <w:b/>
                <w:bCs/>
              </w:rPr>
              <w:t>Systematic review question</w:t>
            </w:r>
          </w:p>
        </w:tc>
        <w:tc>
          <w:tcPr>
            <w:tcW w:w="7088" w:type="dxa"/>
            <w:tcBorders>
              <w:top w:val="single" w:sz="4" w:space="0" w:color="auto"/>
              <w:bottom w:val="single" w:sz="4" w:space="0" w:color="auto"/>
            </w:tcBorders>
            <w:shd w:val="clear" w:color="auto" w:fill="auto"/>
          </w:tcPr>
          <w:p w14:paraId="36721A6B" w14:textId="5D35D72A" w:rsidR="001061AB" w:rsidRPr="00183E4D" w:rsidRDefault="001061AB" w:rsidP="00716BD3">
            <w:pPr>
              <w:pStyle w:val="Tabletext1"/>
              <w:keepNext/>
              <w:rPr>
                <w:rFonts w:cs="Arial"/>
              </w:rPr>
            </w:pPr>
            <w:r>
              <w:rPr>
                <w:rFonts w:cs="Arial"/>
              </w:rPr>
              <w:t>What is the impact of d</w:t>
            </w:r>
            <w:r w:rsidRPr="003F54A4">
              <w:rPr>
                <w:rFonts w:cs="Arial"/>
              </w:rPr>
              <w:t xml:space="preserve">eferred treatment, inappropriate treatment, </w:t>
            </w:r>
            <w:r>
              <w:rPr>
                <w:rFonts w:cs="Arial"/>
              </w:rPr>
              <w:t xml:space="preserve">and </w:t>
            </w:r>
            <w:r w:rsidRPr="003F54A4">
              <w:rPr>
                <w:rFonts w:cs="Arial"/>
              </w:rPr>
              <w:t>misdiagnosis</w:t>
            </w:r>
            <w:r>
              <w:rPr>
                <w:rFonts w:cs="Arial"/>
              </w:rPr>
              <w:t xml:space="preserve"> in men </w:t>
            </w:r>
            <w:r w:rsidRPr="00D61951">
              <w:rPr>
                <w:rFonts w:cs="Arial"/>
              </w:rPr>
              <w:t xml:space="preserve">with </w:t>
            </w:r>
            <w:proofErr w:type="spellStart"/>
            <w:r w:rsidR="006818E1" w:rsidRPr="006818E1">
              <w:rPr>
                <w:rFonts w:cs="Arial"/>
              </w:rPr>
              <w:t>PCa</w:t>
            </w:r>
            <w:proofErr w:type="spellEnd"/>
            <w:r>
              <w:rPr>
                <w:rFonts w:cs="Arial"/>
              </w:rPr>
              <w:t>?</w:t>
            </w:r>
          </w:p>
        </w:tc>
      </w:tr>
    </w:tbl>
    <w:p w14:paraId="20C11E61" w14:textId="505C2E9D" w:rsidR="001061AB" w:rsidRPr="00183E4D" w:rsidRDefault="00213743" w:rsidP="00424137">
      <w:pPr>
        <w:pStyle w:val="TableNotes"/>
      </w:pPr>
      <w:proofErr w:type="spellStart"/>
      <w:r>
        <w:t>PCa</w:t>
      </w:r>
      <w:proofErr w:type="spellEnd"/>
      <w:r>
        <w:t xml:space="preserve"> = prostate cancer.</w:t>
      </w:r>
    </w:p>
    <w:p w14:paraId="2BB727F6" w14:textId="77777777" w:rsidR="001061AB" w:rsidRPr="00183E4D" w:rsidRDefault="001061AB" w:rsidP="008813E6">
      <w:pPr>
        <w:pStyle w:val="Heading2"/>
        <w:numPr>
          <w:ilvl w:val="0"/>
          <w:numId w:val="7"/>
        </w:numPr>
      </w:pPr>
      <w:bookmarkStart w:id="255" w:name="_Toc445463437"/>
      <w:bookmarkStart w:id="256" w:name="_Toc460513900"/>
      <w:r>
        <w:t>Consumer impact statement</w:t>
      </w:r>
      <w:bookmarkEnd w:id="255"/>
      <w:bookmarkEnd w:id="256"/>
    </w:p>
    <w:p w14:paraId="5B92CF5E" w14:textId="67129BE7" w:rsidR="00C27C9D" w:rsidRDefault="00B17078" w:rsidP="001061AB">
      <w:r w:rsidRPr="00B17078">
        <w:t>In conducting this assessment, ASERNIP-S requested from the Department of Health any available impact statements used in the preparation of the PASC ratified protocol. None was provided; as such, consumer impact has not been addressed in this assessment</w:t>
      </w:r>
      <w:r w:rsidR="001061AB" w:rsidRPr="00B17078">
        <w:t>.</w:t>
      </w:r>
    </w:p>
    <w:p w14:paraId="4FF3D717" w14:textId="77777777" w:rsidR="00C27C9D" w:rsidRDefault="00C27C9D">
      <w:pPr>
        <w:spacing w:after="0" w:line="240" w:lineRule="auto"/>
        <w:jc w:val="left"/>
      </w:pPr>
      <w:r>
        <w:br w:type="page"/>
      </w:r>
    </w:p>
    <w:p w14:paraId="7B5BC551" w14:textId="77777777" w:rsidR="008F59A8" w:rsidRDefault="00AA708D" w:rsidP="00DF343F">
      <w:pPr>
        <w:pStyle w:val="Heading1"/>
      </w:pPr>
      <w:bookmarkStart w:id="257" w:name="_Toc460513901"/>
      <w:bookmarkEnd w:id="151"/>
      <w:r w:rsidRPr="00183E4D">
        <w:lastRenderedPageBreak/>
        <w:t>Section B</w:t>
      </w:r>
      <w:r w:rsidRPr="00183E4D">
        <w:tab/>
        <w:t>Clinical Evaluation</w:t>
      </w:r>
      <w:bookmarkEnd w:id="257"/>
      <w:r w:rsidR="008F59A8" w:rsidRPr="00183E4D">
        <w:t xml:space="preserve"> </w:t>
      </w:r>
    </w:p>
    <w:p w14:paraId="3ABA4310" w14:textId="0973F86D" w:rsidR="00704D5E" w:rsidRDefault="00394C8B" w:rsidP="00050D8F">
      <w:pPr>
        <w:pStyle w:val="ListParagraph"/>
        <w:numPr>
          <w:ilvl w:val="0"/>
          <w:numId w:val="10"/>
        </w:numPr>
      </w:pPr>
      <w:r>
        <w:t xml:space="preserve">There was insufficient direct evidence to assess the effectives of </w:t>
      </w:r>
      <w:proofErr w:type="spellStart"/>
      <w:r>
        <w:t>mpMRI</w:t>
      </w:r>
      <w:proofErr w:type="spellEnd"/>
      <w:r>
        <w:t xml:space="preserve"> in Population 1 or 2 (Subsection B1). </w:t>
      </w:r>
    </w:p>
    <w:p w14:paraId="0338AC9B" w14:textId="68A647F9" w:rsidR="00394C8B" w:rsidRDefault="00394C8B" w:rsidP="00050D8F">
      <w:pPr>
        <w:pStyle w:val="ListParagraph"/>
        <w:numPr>
          <w:ilvl w:val="0"/>
          <w:numId w:val="10"/>
        </w:numPr>
      </w:pPr>
      <w:r>
        <w:t>A linked evidence approach was taken – this is described in Subsection B2.</w:t>
      </w:r>
    </w:p>
    <w:p w14:paraId="39F8E1E3" w14:textId="77777777" w:rsidR="00704D5E" w:rsidRPr="00704D5E" w:rsidRDefault="00704D5E" w:rsidP="00704D5E"/>
    <w:p w14:paraId="1BFE984F" w14:textId="77777777" w:rsidR="00704D5E" w:rsidRPr="00135EF5" w:rsidRDefault="00704D5E" w:rsidP="00F87EE4">
      <w:pPr>
        <w:pStyle w:val="Heading1"/>
        <w:numPr>
          <w:ilvl w:val="1"/>
          <w:numId w:val="12"/>
        </w:numPr>
        <w:ind w:hanging="792"/>
      </w:pPr>
      <w:bookmarkStart w:id="258" w:name="_Toc460513902"/>
      <w:bookmarkStart w:id="259" w:name="_Toc381796460"/>
      <w:bookmarkStart w:id="260" w:name="_Toc381796462"/>
      <w:bookmarkStart w:id="261" w:name="_Toc381796467"/>
      <w:bookmarkStart w:id="262" w:name="_Toc379118083"/>
      <w:r w:rsidRPr="00135EF5">
        <w:lastRenderedPageBreak/>
        <w:t>Direct Evidence</w:t>
      </w:r>
      <w:bookmarkEnd w:id="258"/>
    </w:p>
    <w:p w14:paraId="1125D62F" w14:textId="4A5E7C05" w:rsidR="00F22534" w:rsidRPr="00F22534" w:rsidRDefault="00AA708D" w:rsidP="00F87EE4">
      <w:pPr>
        <w:pStyle w:val="Heading2"/>
        <w:numPr>
          <w:ilvl w:val="1"/>
          <w:numId w:val="11"/>
        </w:numPr>
      </w:pPr>
      <w:bookmarkStart w:id="263" w:name="_Toc460513903"/>
      <w:r w:rsidRPr="00183E4D">
        <w:t>Literature</w:t>
      </w:r>
      <w:r w:rsidR="00D5489B" w:rsidRPr="00183E4D">
        <w:t xml:space="preserve"> Sources and Search S</w:t>
      </w:r>
      <w:r w:rsidRPr="00183E4D">
        <w:t>trategies</w:t>
      </w:r>
      <w:bookmarkEnd w:id="259"/>
      <w:r w:rsidR="00E938BE">
        <w:t>:</w:t>
      </w:r>
      <w:r w:rsidR="00C176E0">
        <w:t xml:space="preserve"> </w:t>
      </w:r>
      <w:r w:rsidR="00E938BE">
        <w:t xml:space="preserve">direct evidence </w:t>
      </w:r>
      <w:r w:rsidR="00235BBB">
        <w:t>(</w:t>
      </w:r>
      <w:r w:rsidR="00E938BE">
        <w:t>Population</w:t>
      </w:r>
      <w:r w:rsidR="00C176E0">
        <w:t>s</w:t>
      </w:r>
      <w:r w:rsidR="00E938BE">
        <w:t xml:space="preserve"> 1 and 2</w:t>
      </w:r>
      <w:r w:rsidR="00235BBB">
        <w:t>)</w:t>
      </w:r>
      <w:bookmarkEnd w:id="263"/>
    </w:p>
    <w:p w14:paraId="7396877D" w14:textId="4E4405A0" w:rsidR="00AB0809" w:rsidRPr="00B6746E" w:rsidRDefault="00AA708D" w:rsidP="00AA708D">
      <w:r w:rsidRPr="00B6746E">
        <w:t xml:space="preserve">The medical literature was searched </w:t>
      </w:r>
      <w:r w:rsidR="00D5489B" w:rsidRPr="00B6746E">
        <w:t xml:space="preserve">on </w:t>
      </w:r>
      <w:r w:rsidR="00B02D23" w:rsidRPr="00B6746E">
        <w:t xml:space="preserve">20 </w:t>
      </w:r>
      <w:r w:rsidR="00862D8B" w:rsidRPr="00B6746E">
        <w:t>May</w:t>
      </w:r>
      <w:r w:rsidR="00B02D23" w:rsidRPr="00B6746E">
        <w:t xml:space="preserve"> 2016</w:t>
      </w:r>
      <w:r w:rsidR="00D5489B" w:rsidRPr="00B6746E">
        <w:t xml:space="preserve"> </w:t>
      </w:r>
      <w:r w:rsidR="00B02D23" w:rsidRPr="00B6746E">
        <w:t>to identify relevant studies. The search was not date limited.</w:t>
      </w:r>
      <w:r w:rsidRPr="00B6746E">
        <w:t xml:space="preserve"> Searches were conducted of the databases</w:t>
      </w:r>
      <w:r w:rsidR="00D5489B" w:rsidRPr="00B6746E">
        <w:t xml:space="preserve"> and sources</w:t>
      </w:r>
      <w:r w:rsidRPr="00B6746E">
        <w:t xml:space="preserve"> described in Appendix </w:t>
      </w:r>
      <w:r w:rsidR="009D44E4" w:rsidRPr="00B6746E">
        <w:t>B</w:t>
      </w:r>
      <w:r w:rsidRPr="00B6746E">
        <w:t xml:space="preserve">. </w:t>
      </w:r>
      <w:r w:rsidR="00586DE4" w:rsidRPr="00B6746E">
        <w:t>S</w:t>
      </w:r>
      <w:r w:rsidRPr="00B6746E">
        <w:t xml:space="preserve">earch terms are described in </w:t>
      </w:r>
      <w:r w:rsidRPr="00B6746E">
        <w:fldChar w:fldCharType="begin"/>
      </w:r>
      <w:r w:rsidRPr="00B6746E">
        <w:instrText xml:space="preserve"> REF _Ref379483486 \h  \* MERGEFORMAT </w:instrText>
      </w:r>
      <w:r w:rsidRPr="00B6746E">
        <w:fldChar w:fldCharType="separate"/>
      </w:r>
      <w:r w:rsidR="0029649D" w:rsidRPr="00466B3D">
        <w:t xml:space="preserve">Table </w:t>
      </w:r>
      <w:r w:rsidR="0029649D">
        <w:rPr>
          <w:noProof/>
        </w:rPr>
        <w:t>18</w:t>
      </w:r>
      <w:r w:rsidRPr="00B6746E">
        <w:fldChar w:fldCharType="end"/>
      </w:r>
      <w:r w:rsidR="00586DE4" w:rsidRPr="00B6746E">
        <w:t>.</w:t>
      </w:r>
    </w:p>
    <w:p w14:paraId="70D8AC03" w14:textId="3908F5A1" w:rsidR="00AA708D" w:rsidRPr="00466B3D" w:rsidRDefault="00AA708D" w:rsidP="00466B3D">
      <w:pPr>
        <w:pStyle w:val="Caption"/>
      </w:pPr>
      <w:bookmarkStart w:id="264" w:name="_Ref363722464"/>
      <w:bookmarkStart w:id="265" w:name="_Ref379483486"/>
      <w:bookmarkStart w:id="266" w:name="_Toc381969863"/>
      <w:bookmarkStart w:id="267" w:name="_Toc460514518"/>
      <w:r w:rsidRPr="00466B3D">
        <w:t xml:space="preserve">Table </w:t>
      </w:r>
      <w:fldSimple w:instr=" SEQ Table \* ARABIC ">
        <w:r w:rsidR="0029649D">
          <w:rPr>
            <w:noProof/>
          </w:rPr>
          <w:t>18</w:t>
        </w:r>
      </w:fldSimple>
      <w:bookmarkEnd w:id="264"/>
      <w:bookmarkEnd w:id="265"/>
      <w:r w:rsidRPr="00466B3D">
        <w:tab/>
      </w:r>
      <w:proofErr w:type="spellStart"/>
      <w:r w:rsidR="00415BAD">
        <w:t>PubMED</w:t>
      </w:r>
      <w:proofErr w:type="spellEnd"/>
      <w:r w:rsidR="00415BAD">
        <w:t xml:space="preserve"> s</w:t>
      </w:r>
      <w:r w:rsidRPr="00466B3D">
        <w:t xml:space="preserve">earch </w:t>
      </w:r>
      <w:r w:rsidR="00DF321A">
        <w:t>strategy</w:t>
      </w:r>
      <w:bookmarkEnd w:id="266"/>
      <w:bookmarkEnd w:id="267"/>
      <w:r w:rsidRPr="00466B3D">
        <w:t xml:space="preserve"> </w:t>
      </w:r>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459"/>
        <w:gridCol w:w="6653"/>
      </w:tblGrid>
      <w:tr w:rsidR="00AA708D" w:rsidRPr="002A0ACD" w14:paraId="622A6C8E" w14:textId="77777777" w:rsidTr="002A0ACD">
        <w:trPr>
          <w:trHeight w:val="397"/>
          <w:tblHeader/>
        </w:trPr>
        <w:tc>
          <w:tcPr>
            <w:tcW w:w="2410" w:type="dxa"/>
          </w:tcPr>
          <w:p w14:paraId="434BD49E" w14:textId="77777777" w:rsidR="00AA708D" w:rsidRPr="002A0ACD" w:rsidRDefault="00AA708D" w:rsidP="003B65CF">
            <w:pPr>
              <w:pStyle w:val="Tableheading1"/>
            </w:pPr>
            <w:r w:rsidRPr="002A0ACD">
              <w:t>Element of clinical question</w:t>
            </w:r>
          </w:p>
        </w:tc>
        <w:tc>
          <w:tcPr>
            <w:tcW w:w="6521" w:type="dxa"/>
          </w:tcPr>
          <w:p w14:paraId="4F289008" w14:textId="77777777" w:rsidR="00AA708D" w:rsidRPr="002A0ACD" w:rsidRDefault="00AA708D" w:rsidP="003B65CF">
            <w:pPr>
              <w:pStyle w:val="Tableheading1"/>
            </w:pPr>
            <w:r w:rsidRPr="002A0ACD">
              <w:t>Search terms</w:t>
            </w:r>
          </w:p>
        </w:tc>
      </w:tr>
      <w:tr w:rsidR="00AA708D" w:rsidRPr="00183E4D" w14:paraId="76C95E1C" w14:textId="77777777" w:rsidTr="002A0ACD">
        <w:trPr>
          <w:trHeight w:val="397"/>
        </w:trPr>
        <w:tc>
          <w:tcPr>
            <w:tcW w:w="2410" w:type="dxa"/>
          </w:tcPr>
          <w:p w14:paraId="109361C6" w14:textId="77777777" w:rsidR="00AA708D" w:rsidRPr="00183E4D" w:rsidRDefault="00AA708D" w:rsidP="003B65CF">
            <w:pPr>
              <w:pStyle w:val="Tabletext1"/>
            </w:pPr>
            <w:r w:rsidRPr="00183E4D">
              <w:t>Population</w:t>
            </w:r>
          </w:p>
        </w:tc>
        <w:tc>
          <w:tcPr>
            <w:tcW w:w="6521" w:type="dxa"/>
          </w:tcPr>
          <w:p w14:paraId="011AA8C6" w14:textId="77777777" w:rsidR="00AA708D" w:rsidRPr="00183E4D" w:rsidRDefault="00A6082B" w:rsidP="003B65CF">
            <w:pPr>
              <w:pStyle w:val="Tabletext1"/>
            </w:pPr>
            <w:r w:rsidRPr="00A6082B">
              <w:t>(prostate) OR prostate[</w:t>
            </w:r>
            <w:proofErr w:type="spellStart"/>
            <w:r w:rsidRPr="00A6082B">
              <w:t>MeSH</w:t>
            </w:r>
            <w:proofErr w:type="spellEnd"/>
            <w:r w:rsidRPr="00A6082B">
              <w:t xml:space="preserve"> Terms]</w:t>
            </w:r>
          </w:p>
        </w:tc>
      </w:tr>
      <w:tr w:rsidR="00AA708D" w:rsidRPr="00183E4D" w14:paraId="04615393" w14:textId="77777777" w:rsidTr="002A0ACD">
        <w:trPr>
          <w:trHeight w:val="397"/>
        </w:trPr>
        <w:tc>
          <w:tcPr>
            <w:tcW w:w="2410" w:type="dxa"/>
          </w:tcPr>
          <w:p w14:paraId="262C627E" w14:textId="77777777" w:rsidR="00AA708D" w:rsidRPr="00183E4D" w:rsidRDefault="00AA708D" w:rsidP="003B65CF">
            <w:pPr>
              <w:pStyle w:val="Tabletext1"/>
            </w:pPr>
            <w:r w:rsidRPr="00183E4D">
              <w:t>Intervention</w:t>
            </w:r>
          </w:p>
        </w:tc>
        <w:tc>
          <w:tcPr>
            <w:tcW w:w="6521" w:type="dxa"/>
          </w:tcPr>
          <w:p w14:paraId="0FCB46A1" w14:textId="77777777" w:rsidR="00AA708D" w:rsidRPr="00183E4D" w:rsidRDefault="00A6082B" w:rsidP="003B65CF">
            <w:pPr>
              <w:pStyle w:val="Tabletext1"/>
            </w:pPr>
            <w:r w:rsidRPr="00A6082B">
              <w:t>(((((((((</w:t>
            </w:r>
            <w:proofErr w:type="spellStart"/>
            <w:r w:rsidRPr="00A6082B">
              <w:t>multiparametric</w:t>
            </w:r>
            <w:proofErr w:type="spellEnd"/>
            <w:r w:rsidRPr="00A6082B">
              <w:t xml:space="preserve"> magnetic resonance imaging) OR </w:t>
            </w:r>
            <w:proofErr w:type="spellStart"/>
            <w:r w:rsidRPr="00A6082B">
              <w:t>multiparametric</w:t>
            </w:r>
            <w:proofErr w:type="spellEnd"/>
            <w:r w:rsidRPr="00A6082B">
              <w:t xml:space="preserve"> MRI) OR </w:t>
            </w:r>
            <w:proofErr w:type="spellStart"/>
            <w:r w:rsidRPr="00A6082B">
              <w:t>multiparametric</w:t>
            </w:r>
            <w:proofErr w:type="spellEnd"/>
            <w:r w:rsidRPr="00A6082B">
              <w:t>-MRI) OR MP-MRI) OR MP MRI) OR MPMRI) OR MP-magnetic resonance imaging) OR MP magnetic resonance imaging)) OR ((((((((diffusion weighted) OR DW) OR diffusion-weighted)) AND dynamic) AND T1) AND T2) AND (((MRI) OR magnetic resonance imaging) OR magnetic resonance imaging[</w:t>
            </w:r>
            <w:proofErr w:type="spellStart"/>
            <w:r w:rsidRPr="00A6082B">
              <w:t>MeSH</w:t>
            </w:r>
            <w:proofErr w:type="spellEnd"/>
            <w:r w:rsidRPr="00A6082B">
              <w:t xml:space="preserve"> Terms]))</w:t>
            </w:r>
          </w:p>
        </w:tc>
      </w:tr>
      <w:tr w:rsidR="00AA708D" w:rsidRPr="00183E4D" w14:paraId="613F1D13" w14:textId="77777777" w:rsidTr="002A0ACD">
        <w:trPr>
          <w:trHeight w:val="397"/>
        </w:trPr>
        <w:tc>
          <w:tcPr>
            <w:tcW w:w="2410" w:type="dxa"/>
          </w:tcPr>
          <w:p w14:paraId="24CFF403" w14:textId="77777777" w:rsidR="00AA708D" w:rsidRPr="00183E4D" w:rsidRDefault="00AA708D" w:rsidP="003B65CF">
            <w:pPr>
              <w:pStyle w:val="Tabletext1"/>
            </w:pPr>
            <w:r w:rsidRPr="00183E4D">
              <w:t>Comparator (if applicable)</w:t>
            </w:r>
          </w:p>
        </w:tc>
        <w:tc>
          <w:tcPr>
            <w:tcW w:w="6521" w:type="dxa"/>
          </w:tcPr>
          <w:p w14:paraId="58D0E71D" w14:textId="77777777" w:rsidR="00AA708D" w:rsidRPr="00183E4D" w:rsidRDefault="00A6082B" w:rsidP="003B65CF">
            <w:pPr>
              <w:pStyle w:val="Tabletext1"/>
            </w:pPr>
            <w:r>
              <w:t>NA</w:t>
            </w:r>
          </w:p>
        </w:tc>
      </w:tr>
      <w:tr w:rsidR="00AA708D" w:rsidRPr="00183E4D" w14:paraId="344A8DAA" w14:textId="77777777" w:rsidTr="002A0ACD">
        <w:trPr>
          <w:trHeight w:val="397"/>
        </w:trPr>
        <w:tc>
          <w:tcPr>
            <w:tcW w:w="2410" w:type="dxa"/>
          </w:tcPr>
          <w:p w14:paraId="4D4B3E10" w14:textId="77777777" w:rsidR="00AA708D" w:rsidRPr="00183E4D" w:rsidRDefault="00AA708D" w:rsidP="003B65CF">
            <w:pPr>
              <w:pStyle w:val="Tabletext1"/>
            </w:pPr>
            <w:r w:rsidRPr="00183E4D">
              <w:t>Outcomes (if applicable)</w:t>
            </w:r>
          </w:p>
        </w:tc>
        <w:tc>
          <w:tcPr>
            <w:tcW w:w="6521" w:type="dxa"/>
          </w:tcPr>
          <w:p w14:paraId="5A98D5AF" w14:textId="77777777" w:rsidR="00AA708D" w:rsidRPr="00183E4D" w:rsidRDefault="00A6082B" w:rsidP="003B65CF">
            <w:pPr>
              <w:pStyle w:val="Tabletext1"/>
            </w:pPr>
            <w:r>
              <w:t>NA</w:t>
            </w:r>
          </w:p>
        </w:tc>
      </w:tr>
      <w:tr w:rsidR="00AA708D" w:rsidRPr="00183E4D" w14:paraId="4967E601" w14:textId="77777777" w:rsidTr="002A0ACD">
        <w:trPr>
          <w:trHeight w:val="397"/>
        </w:trPr>
        <w:tc>
          <w:tcPr>
            <w:tcW w:w="2410" w:type="dxa"/>
          </w:tcPr>
          <w:p w14:paraId="2B298C99" w14:textId="77777777" w:rsidR="00AA708D" w:rsidRPr="00183E4D" w:rsidRDefault="00AA708D" w:rsidP="003B65CF">
            <w:pPr>
              <w:pStyle w:val="Tabletext1"/>
            </w:pPr>
            <w:r w:rsidRPr="00183E4D">
              <w:t>Limits</w:t>
            </w:r>
          </w:p>
        </w:tc>
        <w:tc>
          <w:tcPr>
            <w:tcW w:w="6521" w:type="dxa"/>
          </w:tcPr>
          <w:p w14:paraId="74039B40" w14:textId="77777777" w:rsidR="00AA708D" w:rsidRPr="00183E4D" w:rsidRDefault="00A6082B" w:rsidP="003B65CF">
            <w:pPr>
              <w:pStyle w:val="Tabletext1"/>
            </w:pPr>
            <w:r>
              <w:t>None</w:t>
            </w:r>
          </w:p>
        </w:tc>
      </w:tr>
    </w:tbl>
    <w:p w14:paraId="57D9DAC6" w14:textId="4F5FFE33" w:rsidR="00736FAB" w:rsidRPr="00736FAB" w:rsidRDefault="00931F07" w:rsidP="00736FAB">
      <w:pPr>
        <w:pStyle w:val="TableNotes"/>
      </w:pPr>
      <w:r>
        <w:t>T</w:t>
      </w:r>
      <w:r w:rsidR="00736FAB" w:rsidRPr="00736FAB">
        <w:t>his search strategy was adapted for the Ovid EMBASE, Cochrane databases</w:t>
      </w:r>
      <w:r w:rsidR="00736FAB">
        <w:t>.</w:t>
      </w:r>
    </w:p>
    <w:p w14:paraId="31EF82AA" w14:textId="29078BBD" w:rsidR="00AA708D" w:rsidRDefault="008063BB" w:rsidP="002351F0">
      <w:pPr>
        <w:pStyle w:val="TableNotes"/>
      </w:pPr>
      <w:r>
        <w:t xml:space="preserve">MRI = magnetic resonance imaging, MP-MRI = </w:t>
      </w:r>
      <w:proofErr w:type="spellStart"/>
      <w:r>
        <w:t>multiparametric</w:t>
      </w:r>
      <w:proofErr w:type="spellEnd"/>
      <w:r>
        <w:t xml:space="preserve"> magnetic resonance imaging, </w:t>
      </w:r>
      <w:r w:rsidR="00A6082B">
        <w:t>NA = not applicable</w:t>
      </w:r>
      <w:r>
        <w:t>, DW = diffusion weighted</w:t>
      </w:r>
      <w:r w:rsidR="00A6082B">
        <w:t>.</w:t>
      </w:r>
    </w:p>
    <w:p w14:paraId="2D57E48B" w14:textId="2267679E" w:rsidR="00D5489B" w:rsidRPr="00183E4D" w:rsidRDefault="00D5489B" w:rsidP="00F87EE4">
      <w:pPr>
        <w:pStyle w:val="Heading2"/>
        <w:numPr>
          <w:ilvl w:val="1"/>
          <w:numId w:val="11"/>
        </w:numPr>
      </w:pPr>
      <w:bookmarkStart w:id="268" w:name="_Toc460513904"/>
      <w:r w:rsidRPr="00183E4D">
        <w:t>Results of Literature Search</w:t>
      </w:r>
      <w:r w:rsidR="00C176E0">
        <w:t>: direct evidence</w:t>
      </w:r>
      <w:r w:rsidR="00235BBB">
        <w:t xml:space="preserve"> (Populations 1 and 2)</w:t>
      </w:r>
      <w:bookmarkEnd w:id="268"/>
    </w:p>
    <w:p w14:paraId="1FE76364" w14:textId="71C8E3D7" w:rsidR="00AA708D" w:rsidRPr="00183E4D" w:rsidRDefault="000C7935" w:rsidP="00AA708D">
      <w:r>
        <w:t>T</w:t>
      </w:r>
      <w:r w:rsidR="005F6152">
        <w:t>he</w:t>
      </w:r>
      <w:r w:rsidR="00D5489B" w:rsidRPr="00183E4D">
        <w:t xml:space="preserve"> </w:t>
      </w:r>
      <w:r w:rsidR="00D30C4B">
        <w:t>PRISMA flowchart</w:t>
      </w:r>
      <w:r>
        <w:t xml:space="preserve"> </w:t>
      </w:r>
      <w:r w:rsidR="008E0B00">
        <w:fldChar w:fldCharType="begin"/>
      </w:r>
      <w:r w:rsidR="008E0B00">
        <w:instrText xml:space="preserve"> ADDIN EN.CITE &lt;EndNote&gt;&lt;Cite&gt;&lt;Author&gt;Liberati&lt;/Author&gt;&lt;Year&gt;2009&lt;/Year&gt;&lt;RecNum&gt;29&lt;/RecNum&gt;&lt;DisplayText&gt;(Liberati et al. 2009)&lt;/DisplayText&gt;&lt;record&gt;&lt;rec-number&gt;29&lt;/rec-number&gt;&lt;foreign-keys&gt;&lt;key app="EN" db-id="2p9terxr22fx91epzebpfdwuzrwtw2a2ep2t" timestamp="1472684603"&gt;29&lt;/key&gt;&lt;/foreign-keys&gt;&lt;ref-type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elaboration&lt;/title&gt;&lt;secondary-title&gt;J Clin Epidemiol&lt;/secondary-title&gt;&lt;alt-title&gt;Journal of clinical epidemiology&lt;/alt-title&gt;&lt;/titles&gt;&lt;periodical&gt;&lt;full-title&gt;J Clin Epidemiol&lt;/full-title&gt;&lt;/periodical&gt;&lt;pages&gt;e1-34&lt;/pages&gt;&lt;volume&gt;62&lt;/volume&gt;&lt;number&gt;10&lt;/number&gt;&lt;edition&gt;2009/07/28&lt;/edition&gt;&lt;keywords&gt;&lt;keyword&gt;Evidence-Based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0895-4356&lt;/isbn&gt;&lt;accession-num&gt;19631507&lt;/accession-num&gt;&lt;urls&gt;&lt;/urls&gt;&lt;electronic-resource-num&gt;10.1016/j.jclinepi.2009.06.006&lt;/electronic-resource-num&gt;&lt;remote-database-provider&gt;NLM&lt;/remote-database-provider&gt;&lt;language&gt;eng&lt;/language&gt;&lt;/record&gt;&lt;/Cite&gt;&lt;/EndNote&gt;</w:instrText>
      </w:r>
      <w:r w:rsidR="008E0B00">
        <w:fldChar w:fldCharType="separate"/>
      </w:r>
      <w:r w:rsidR="008E0B00">
        <w:rPr>
          <w:noProof/>
        </w:rPr>
        <w:t>(</w:t>
      </w:r>
      <w:hyperlink w:anchor="_ENREF_84" w:tooltip="Liberati, 2009 #29" w:history="1">
        <w:r w:rsidR="008E0B00">
          <w:rPr>
            <w:noProof/>
          </w:rPr>
          <w:t>Liberati et al. 2009</w:t>
        </w:r>
      </w:hyperlink>
      <w:r w:rsidR="008E0B00">
        <w:rPr>
          <w:noProof/>
        </w:rPr>
        <w:t>)</w:t>
      </w:r>
      <w:r w:rsidR="008E0B00">
        <w:fldChar w:fldCharType="end"/>
      </w:r>
      <w:r w:rsidR="00D30C4B">
        <w:t xml:space="preserve"> </w:t>
      </w:r>
      <w:r w:rsidR="005E34AC">
        <w:t>in</w:t>
      </w:r>
      <w:r w:rsidR="005F6152">
        <w:t xml:space="preserve"> </w:t>
      </w:r>
      <w:r w:rsidR="00D30C4B">
        <w:fldChar w:fldCharType="begin"/>
      </w:r>
      <w:r w:rsidR="00D30C4B">
        <w:instrText xml:space="preserve"> REF _Ref454348671 \h </w:instrText>
      </w:r>
      <w:r w:rsidR="00D30C4B">
        <w:fldChar w:fldCharType="separate"/>
      </w:r>
      <w:r w:rsidR="0029649D" w:rsidRPr="00183E4D">
        <w:t xml:space="preserve">Figure </w:t>
      </w:r>
      <w:r w:rsidR="0029649D">
        <w:rPr>
          <w:noProof/>
        </w:rPr>
        <w:t>5</w:t>
      </w:r>
      <w:r w:rsidR="00D30C4B">
        <w:fldChar w:fldCharType="end"/>
      </w:r>
      <w:r w:rsidR="00EE7964">
        <w:t xml:space="preserve"> </w:t>
      </w:r>
      <w:r w:rsidR="007A2341" w:rsidRPr="00183E4D">
        <w:t xml:space="preserve">provides a </w:t>
      </w:r>
      <w:r w:rsidR="00D5489B" w:rsidRPr="00183E4D">
        <w:t>graphic depiction of the results of the literature search and the application of the study sele</w:t>
      </w:r>
      <w:r w:rsidR="005C6CF4">
        <w:t xml:space="preserve">ction criteria (listed in Box </w:t>
      </w:r>
      <w:r w:rsidR="00191408">
        <w:t>1, 2 and 3, Subsection A9</w:t>
      </w:r>
      <w:r w:rsidR="00EE7964">
        <w:t>)</w:t>
      </w:r>
      <w:r w:rsidR="00D5489B" w:rsidRPr="00183E4D">
        <w:t>.</w:t>
      </w:r>
    </w:p>
    <w:p w14:paraId="52648B8D" w14:textId="79223972" w:rsidR="007A2341" w:rsidRPr="00183E4D" w:rsidRDefault="00AF12EE" w:rsidP="00AA708D">
      <w:r w:rsidRPr="00183E4D">
        <w:t xml:space="preserve">Studies were </w:t>
      </w:r>
      <w:r>
        <w:t xml:space="preserve">screened by title and </w:t>
      </w:r>
      <w:r w:rsidRPr="00AF12EE">
        <w:t xml:space="preserve">abstract </w:t>
      </w:r>
      <w:r w:rsidR="007A2341" w:rsidRPr="00AF12EE">
        <w:t xml:space="preserve">by a single reviewer with a random sample receiving independent </w:t>
      </w:r>
      <w:r w:rsidRPr="00AF12EE">
        <w:t>assessment by a second reviewer</w:t>
      </w:r>
      <w:r w:rsidR="007A2341" w:rsidRPr="00AF12EE">
        <w:t>.</w:t>
      </w:r>
      <w:r w:rsidRPr="00AF12EE">
        <w:t xml:space="preserve"> Full</w:t>
      </w:r>
      <w:r w:rsidR="00A918CC">
        <w:t>-</w:t>
      </w:r>
      <w:r w:rsidRPr="00AF12EE">
        <w:t>text review to select included studies was performed independently by two reviewers.</w:t>
      </w:r>
      <w:r w:rsidR="00C176E0">
        <w:t xml:space="preserve"> </w:t>
      </w:r>
      <w:r w:rsidR="007A2341" w:rsidRPr="00183E4D">
        <w:t>Disagreements regarding study selection were resolved b</w:t>
      </w:r>
      <w:r>
        <w:t>y a third independent reviewer.</w:t>
      </w:r>
    </w:p>
    <w:p w14:paraId="764A9389" w14:textId="195BF838" w:rsidR="00182C18" w:rsidRPr="00183E4D" w:rsidRDefault="006977C5" w:rsidP="00AA708D">
      <w:r w:rsidRPr="006977C5">
        <w:t xml:space="preserve">All studies that met the inclusion criteria are listed in Appendix C. </w:t>
      </w:r>
      <w:r w:rsidR="00182C18" w:rsidRPr="006977C5">
        <w:t xml:space="preserve">Studies that could not be retrieved or that met the inclusion criteria but contained insufficient or inadequate data for inclusion are listed </w:t>
      </w:r>
      <w:r w:rsidR="00B435E9" w:rsidRPr="006977C5">
        <w:t xml:space="preserve">as </w:t>
      </w:r>
      <w:r w:rsidR="005F6152">
        <w:t>e</w:t>
      </w:r>
      <w:r w:rsidR="00B435E9" w:rsidRPr="006977C5">
        <w:t xml:space="preserve">xcluded </w:t>
      </w:r>
      <w:r w:rsidR="005F6152">
        <w:t>s</w:t>
      </w:r>
      <w:r w:rsidR="00B435E9" w:rsidRPr="006977C5">
        <w:t xml:space="preserve">tudies </w:t>
      </w:r>
      <w:r w:rsidR="00182C18" w:rsidRPr="006977C5">
        <w:t xml:space="preserve">in Appendix </w:t>
      </w:r>
      <w:r w:rsidR="00A918CC">
        <w:t>E</w:t>
      </w:r>
      <w:r w:rsidR="00182C18" w:rsidRPr="006977C5">
        <w:t>.</w:t>
      </w:r>
      <w:r w:rsidR="00B435E9" w:rsidRPr="00183E4D">
        <w:t xml:space="preserve"> </w:t>
      </w:r>
    </w:p>
    <w:p w14:paraId="7F57F4D2" w14:textId="419E14D0" w:rsidR="00EA0CDA" w:rsidRPr="00DE63BC" w:rsidRDefault="00EA0CDA" w:rsidP="00EA0CDA">
      <w:pPr>
        <w:pStyle w:val="Caption"/>
      </w:pPr>
      <w:bookmarkStart w:id="269" w:name="_Ref454348671"/>
      <w:bookmarkStart w:id="270" w:name="_Toc381969892"/>
      <w:bookmarkStart w:id="271" w:name="_Toc460514612"/>
      <w:r w:rsidRPr="00183E4D">
        <w:lastRenderedPageBreak/>
        <w:t xml:space="preserve">Figure </w:t>
      </w:r>
      <w:fldSimple w:instr=" SEQ Figure \* ARABIC ">
        <w:r w:rsidR="0029649D">
          <w:rPr>
            <w:noProof/>
          </w:rPr>
          <w:t>5</w:t>
        </w:r>
      </w:fldSimple>
      <w:bookmarkEnd w:id="269"/>
      <w:r w:rsidRPr="00183E4D">
        <w:tab/>
        <w:t xml:space="preserve">Summary of the process used to identify and select studies for the </w:t>
      </w:r>
      <w:bookmarkEnd w:id="270"/>
      <w:r w:rsidRPr="00183E4D">
        <w:t>assessment</w:t>
      </w:r>
      <w:bookmarkEnd w:id="271"/>
      <w:r w:rsidRPr="00183E4D">
        <w:t xml:space="preserve"> </w:t>
      </w:r>
    </w:p>
    <w:p w14:paraId="2232A658" w14:textId="764CFA5A" w:rsidR="004E76BE" w:rsidRDefault="00BE6E1D" w:rsidP="00AA1B65">
      <w:r>
        <w:rPr>
          <w:noProof/>
        </w:rPr>
        <w:drawing>
          <wp:inline distT="0" distB="0" distL="0" distR="0" wp14:anchorId="10B686D5" wp14:editId="06B10BA9">
            <wp:extent cx="4614545" cy="5986145"/>
            <wp:effectExtent l="0" t="0" r="0" b="0"/>
            <wp:docPr id="20" name="Picture 20" descr="From a total of 2077 studies idntified through literature searching and 5 studies identified through hand searching, 0 studies providing direct evidence and 48 studies providing evidence of diagnostic accuracy were identified. From the 48 studies on diagnostic accuracy, 16 had no applicability issues and were used in the quantitative analysis." title="Figure 5  Summary of the process used to identify and select studies for the assess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SERNIP-S data\DHA\DHA CA 1397 mpMRI prostate\Search\mpMRI_PRISMA Flow Chart .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4545" cy="5986145"/>
                    </a:xfrm>
                    <a:prstGeom prst="rect">
                      <a:avLst/>
                    </a:prstGeom>
                    <a:noFill/>
                    <a:ln>
                      <a:noFill/>
                    </a:ln>
                  </pic:spPr>
                </pic:pic>
              </a:graphicData>
            </a:graphic>
          </wp:inline>
        </w:drawing>
      </w:r>
    </w:p>
    <w:p w14:paraId="118E6299" w14:textId="78A77570" w:rsidR="00AA1B65" w:rsidRDefault="00AA1B65" w:rsidP="00AA1B65">
      <w:r>
        <w:t xml:space="preserve">No studies were identified that provided direct evidence of the safety and effectiveness of </w:t>
      </w:r>
      <w:proofErr w:type="spellStart"/>
      <w:r>
        <w:t>mpMRI</w:t>
      </w:r>
      <w:proofErr w:type="spellEnd"/>
      <w:r>
        <w:t xml:space="preserve"> in either Population 1 or Population 2. </w:t>
      </w:r>
    </w:p>
    <w:p w14:paraId="473C326A" w14:textId="3964D641" w:rsidR="00520095" w:rsidRPr="00183E4D" w:rsidRDefault="00B25F6C" w:rsidP="00520095">
      <w:r>
        <w:t>The linked evidence approach used for this assessment is described in Section B2.</w:t>
      </w:r>
      <w:bookmarkEnd w:id="260"/>
      <w:bookmarkEnd w:id="261"/>
      <w:bookmarkEnd w:id="262"/>
    </w:p>
    <w:p w14:paraId="6B66D70F" w14:textId="77777777" w:rsidR="00F269DE" w:rsidRDefault="00A12062" w:rsidP="00D0630C">
      <w:pPr>
        <w:pStyle w:val="Heading1"/>
        <w:tabs>
          <w:tab w:val="left" w:pos="1134"/>
        </w:tabs>
      </w:pPr>
      <w:bookmarkStart w:id="272" w:name="_Toc460513905"/>
      <w:r>
        <w:lastRenderedPageBreak/>
        <w:t>B</w:t>
      </w:r>
      <w:r w:rsidR="00F269DE">
        <w:t xml:space="preserve">2 </w:t>
      </w:r>
      <w:r w:rsidR="00D0630C">
        <w:tab/>
      </w:r>
      <w:r w:rsidR="007A49EE">
        <w:t xml:space="preserve">Linked evidence </w:t>
      </w:r>
      <w:r>
        <w:t>approach</w:t>
      </w:r>
      <w:bookmarkEnd w:id="272"/>
      <w:r w:rsidR="007A49EE">
        <w:t xml:space="preserve"> </w:t>
      </w:r>
    </w:p>
    <w:p w14:paraId="63555062" w14:textId="77777777" w:rsidR="00624302" w:rsidRDefault="009A17E2" w:rsidP="00F87EE4">
      <w:pPr>
        <w:pStyle w:val="Heading2"/>
        <w:numPr>
          <w:ilvl w:val="1"/>
          <w:numId w:val="13"/>
        </w:numPr>
      </w:pPr>
      <w:bookmarkStart w:id="273" w:name="_Toc460513906"/>
      <w:r>
        <w:t>Basis for linked evidence</w:t>
      </w:r>
      <w:bookmarkEnd w:id="273"/>
    </w:p>
    <w:p w14:paraId="5AF9BC35" w14:textId="77777777" w:rsidR="000378CF" w:rsidRDefault="000378CF" w:rsidP="000378CF">
      <w:r>
        <w:t>No direct evidence</w:t>
      </w:r>
      <w:r w:rsidR="003752CE">
        <w:t xml:space="preserve"> on the effectiveness of </w:t>
      </w:r>
      <w:proofErr w:type="spellStart"/>
      <w:r w:rsidR="003752CE">
        <w:t>mp</w:t>
      </w:r>
      <w:r>
        <w:t>MRI</w:t>
      </w:r>
      <w:proofErr w:type="spellEnd"/>
      <w:r>
        <w:t xml:space="preserve"> was identified therefore a linked evidence approach was undertaken for this assessment. </w:t>
      </w:r>
    </w:p>
    <w:p w14:paraId="39B619B7" w14:textId="6276E6CE" w:rsidR="00A666D6" w:rsidRDefault="003752CE" w:rsidP="000378CF">
      <w:r>
        <w:t xml:space="preserve">A linked evidence approach is justified as there is evidence available to inform the diagnostic performance, clinical utility and relative safety of </w:t>
      </w:r>
      <w:proofErr w:type="spellStart"/>
      <w:r>
        <w:t>mpMRI</w:t>
      </w:r>
      <w:proofErr w:type="spellEnd"/>
      <w:r>
        <w:t xml:space="preserve"> in </w:t>
      </w:r>
      <w:r w:rsidR="00677167">
        <w:t xml:space="preserve">patient </w:t>
      </w:r>
      <w:r w:rsidR="0066172B">
        <w:t>populations consistent</w:t>
      </w:r>
      <w:r>
        <w:t xml:space="preserve"> with </w:t>
      </w:r>
      <w:r w:rsidR="00677167">
        <w:t>those outlined in the Protocol.</w:t>
      </w:r>
    </w:p>
    <w:p w14:paraId="1A0560DE" w14:textId="77777777" w:rsidR="009A17E2" w:rsidRDefault="00BB6CA8" w:rsidP="00F87EE4">
      <w:pPr>
        <w:pStyle w:val="Heading2"/>
        <w:numPr>
          <w:ilvl w:val="1"/>
          <w:numId w:val="13"/>
        </w:numPr>
      </w:pPr>
      <w:bookmarkStart w:id="274" w:name="_Toc460513907"/>
      <w:r>
        <w:t>Steps for linked analysis</w:t>
      </w:r>
      <w:bookmarkEnd w:id="274"/>
    </w:p>
    <w:p w14:paraId="5B61E0E4" w14:textId="77777777" w:rsidR="00FC37B2" w:rsidRPr="00FC37B2" w:rsidRDefault="00FC37B2" w:rsidP="00FC37B2">
      <w:r>
        <w:t>The following steps were undertaken to complete the linked analysis:</w:t>
      </w:r>
    </w:p>
    <w:p w14:paraId="54FD662A" w14:textId="2ADAACC7" w:rsidR="007833D7" w:rsidRDefault="007833D7" w:rsidP="00A3402C">
      <w:pPr>
        <w:pStyle w:val="ListParagraph"/>
        <w:numPr>
          <w:ilvl w:val="0"/>
          <w:numId w:val="26"/>
        </w:numPr>
      </w:pPr>
      <w:r>
        <w:t xml:space="preserve">Consideration of the diagnostic performance </w:t>
      </w:r>
      <w:r w:rsidR="00121CF0">
        <w:t xml:space="preserve">of </w:t>
      </w:r>
      <w:proofErr w:type="spellStart"/>
      <w:r w:rsidR="00FC37B2">
        <w:t>mpMRI</w:t>
      </w:r>
      <w:proofErr w:type="spellEnd"/>
      <w:r w:rsidR="00FC37B2">
        <w:t xml:space="preserve"> (Section B3</w:t>
      </w:r>
      <w:r w:rsidR="004D61AC">
        <w:t>)</w:t>
      </w:r>
      <w:r w:rsidR="00794E38">
        <w:t>;</w:t>
      </w:r>
    </w:p>
    <w:p w14:paraId="18454336" w14:textId="77777777" w:rsidR="00121CF0" w:rsidRDefault="00121CF0" w:rsidP="00A3402C">
      <w:pPr>
        <w:pStyle w:val="ListParagraph"/>
        <w:numPr>
          <w:ilvl w:val="0"/>
          <w:numId w:val="26"/>
        </w:numPr>
      </w:pPr>
      <w:r>
        <w:t xml:space="preserve">Consideration of the clinical utility of </w:t>
      </w:r>
      <w:proofErr w:type="spellStart"/>
      <w:r w:rsidR="00FC37B2">
        <w:t>mpMRI</w:t>
      </w:r>
      <w:proofErr w:type="spellEnd"/>
      <w:r w:rsidR="005F39B3">
        <w:t xml:space="preserve"> in terms of impact </w:t>
      </w:r>
      <w:r>
        <w:t>of positive versus negative test results on patient management, the contribution and clinical importance of false negatives versus false positives and direct impact of each therapeutic model service option on health outcomes</w:t>
      </w:r>
      <w:r w:rsidR="003408F9">
        <w:t xml:space="preserve"> (Section B5)</w:t>
      </w:r>
      <w:r>
        <w:t>;</w:t>
      </w:r>
    </w:p>
    <w:p w14:paraId="34301BF3" w14:textId="2B7E036B" w:rsidR="00121CF0" w:rsidRDefault="00121CF0" w:rsidP="00A3402C">
      <w:pPr>
        <w:pStyle w:val="ListParagraph"/>
        <w:numPr>
          <w:ilvl w:val="0"/>
          <w:numId w:val="26"/>
        </w:numPr>
      </w:pPr>
      <w:r>
        <w:t xml:space="preserve">Considerations of the impact of </w:t>
      </w:r>
      <w:r w:rsidR="00A136F1">
        <w:t xml:space="preserve">use of </w:t>
      </w:r>
      <w:proofErr w:type="spellStart"/>
      <w:r w:rsidR="00A136F1">
        <w:t>mpMRI</w:t>
      </w:r>
      <w:proofErr w:type="spellEnd"/>
      <w:r w:rsidR="00A136F1">
        <w:t xml:space="preserve"> for disease monitoring</w:t>
      </w:r>
      <w:r w:rsidR="004D61AC">
        <w:t xml:space="preserve"> (Section B6)</w:t>
      </w:r>
      <w:r>
        <w:t>; and</w:t>
      </w:r>
    </w:p>
    <w:p w14:paraId="34AD0EFF" w14:textId="77777777" w:rsidR="00121CF0" w:rsidRDefault="00121CF0" w:rsidP="00A3402C">
      <w:pPr>
        <w:pStyle w:val="ListParagraph"/>
        <w:numPr>
          <w:ilvl w:val="0"/>
          <w:numId w:val="26"/>
        </w:numPr>
      </w:pPr>
      <w:r>
        <w:t xml:space="preserve">Consideration of the relative safety of performing </w:t>
      </w:r>
      <w:proofErr w:type="spellStart"/>
      <w:r w:rsidR="00FC37B2">
        <w:t>mpMRI</w:t>
      </w:r>
      <w:proofErr w:type="spellEnd"/>
      <w:r>
        <w:t>, both immediate safety issues of directly performing the test and ‘flow on’ safety issues that arise as a result of conducting the investigative service</w:t>
      </w:r>
      <w:r w:rsidR="003408F9">
        <w:t xml:space="preserve"> (Section B7)</w:t>
      </w:r>
      <w:r>
        <w:t xml:space="preserve">. </w:t>
      </w:r>
    </w:p>
    <w:p w14:paraId="6E251EAE" w14:textId="75FE787B" w:rsidR="00FC37B2" w:rsidRDefault="00FC37B2" w:rsidP="00A136F1">
      <w:r>
        <w:t>Conclusions i</w:t>
      </w:r>
      <w:r w:rsidR="00A136F1">
        <w:t>nformed by the linked analysis are reported in Section B8.</w:t>
      </w:r>
    </w:p>
    <w:p w14:paraId="2116F572" w14:textId="65711C49" w:rsidR="007A49EE" w:rsidRDefault="00A12062" w:rsidP="00376C7C">
      <w:pPr>
        <w:pStyle w:val="Heading1"/>
        <w:tabs>
          <w:tab w:val="left" w:pos="1134"/>
        </w:tabs>
      </w:pPr>
      <w:bookmarkStart w:id="275" w:name="_Toc460513908"/>
      <w:r>
        <w:lastRenderedPageBreak/>
        <w:t>B</w:t>
      </w:r>
      <w:r w:rsidR="00F269DE">
        <w:t xml:space="preserve">3 </w:t>
      </w:r>
      <w:r w:rsidR="00376C7C">
        <w:tab/>
      </w:r>
      <w:r w:rsidR="00F269DE">
        <w:t>Diagnostic performance</w:t>
      </w:r>
      <w:bookmarkEnd w:id="275"/>
    </w:p>
    <w:p w14:paraId="7535C847" w14:textId="3ED7F401" w:rsidR="00E715FC" w:rsidRDefault="00E715FC" w:rsidP="00E715FC">
      <w:r>
        <w:t>An</w:t>
      </w:r>
      <w:r w:rsidRPr="005B1DC4">
        <w:t xml:space="preserve"> MBS listing </w:t>
      </w:r>
      <w:r>
        <w:t xml:space="preserve">is </w:t>
      </w:r>
      <w:r w:rsidRPr="005B1DC4">
        <w:t>requested</w:t>
      </w:r>
      <w:r>
        <w:t xml:space="preserve"> for</w:t>
      </w:r>
      <w:r w:rsidR="00CE60C4">
        <w:t xml:space="preserve"> </w:t>
      </w:r>
      <w:proofErr w:type="spellStart"/>
      <w:r w:rsidRPr="005B1DC4">
        <w:t>mpMRI</w:t>
      </w:r>
      <w:proofErr w:type="spellEnd"/>
      <w:r w:rsidRPr="005B1DC4">
        <w:t xml:space="preserve"> scans of the prostate</w:t>
      </w:r>
      <w:r>
        <w:t xml:space="preserve"> for two populations:</w:t>
      </w:r>
    </w:p>
    <w:p w14:paraId="2B513A77" w14:textId="42F95A87" w:rsidR="00E715FC" w:rsidRDefault="00E715FC" w:rsidP="00A3402C">
      <w:pPr>
        <w:pStyle w:val="ListParagraph"/>
        <w:numPr>
          <w:ilvl w:val="0"/>
          <w:numId w:val="29"/>
        </w:numPr>
      </w:pPr>
      <w:r w:rsidRPr="008B4730">
        <w:t xml:space="preserve">men who are suspected of having </w:t>
      </w:r>
      <w:proofErr w:type="spellStart"/>
      <w:r w:rsidR="001327C8">
        <w:t>PCa</w:t>
      </w:r>
      <w:proofErr w:type="spellEnd"/>
      <w:r w:rsidRPr="008B4730">
        <w:t xml:space="preserve"> on the ba</w:t>
      </w:r>
      <w:r>
        <w:t>sis of a high or concerning PSA (Population 1); and</w:t>
      </w:r>
    </w:p>
    <w:p w14:paraId="663CA5A5" w14:textId="7DB891B1" w:rsidR="00E715FC" w:rsidRDefault="00E715FC" w:rsidP="00A3402C">
      <w:pPr>
        <w:pStyle w:val="ListParagraph"/>
        <w:numPr>
          <w:ilvl w:val="0"/>
          <w:numId w:val="29"/>
        </w:numPr>
      </w:pPr>
      <w:proofErr w:type="gramStart"/>
      <w:r w:rsidRPr="008B4730">
        <w:t>men</w:t>
      </w:r>
      <w:proofErr w:type="gramEnd"/>
      <w:r w:rsidRPr="008B4730">
        <w:t xml:space="preserve"> diagnosed with low or intermediate risk </w:t>
      </w:r>
      <w:proofErr w:type="spellStart"/>
      <w:r w:rsidR="001327C8">
        <w:t>PCa</w:t>
      </w:r>
      <w:proofErr w:type="spellEnd"/>
      <w:r w:rsidRPr="008B4730">
        <w:t xml:space="preserve"> undertaking AS</w:t>
      </w:r>
      <w:r>
        <w:t xml:space="preserve"> (Population 2)</w:t>
      </w:r>
      <w:r w:rsidRPr="008B4730">
        <w:t>.</w:t>
      </w:r>
    </w:p>
    <w:p w14:paraId="7F2AEC00" w14:textId="3E610CA8" w:rsidR="00B42058" w:rsidRDefault="00B42058" w:rsidP="009C4430">
      <w:pPr>
        <w:contextualSpacing/>
      </w:pPr>
      <w:r>
        <w:t xml:space="preserve">The diagnostic performance of </w:t>
      </w:r>
      <w:proofErr w:type="spellStart"/>
      <w:r>
        <w:t>mpMRI</w:t>
      </w:r>
      <w:proofErr w:type="spellEnd"/>
      <w:r>
        <w:t xml:space="preserve"> in Population 1 is </w:t>
      </w:r>
      <w:r w:rsidR="00465625">
        <w:t>discussed</w:t>
      </w:r>
      <w:r>
        <w:t xml:space="preserve"> in Subsection</w:t>
      </w:r>
      <w:r w:rsidR="00A136F1">
        <w:t xml:space="preserve"> </w:t>
      </w:r>
      <w:r>
        <w:t xml:space="preserve">B3, the use of </w:t>
      </w:r>
      <w:proofErr w:type="spellStart"/>
      <w:r>
        <w:t>mpMRI</w:t>
      </w:r>
      <w:proofErr w:type="spellEnd"/>
      <w:r>
        <w:t xml:space="preserve"> to monitor </w:t>
      </w:r>
      <w:r w:rsidR="00465625">
        <w:t>patients</w:t>
      </w:r>
      <w:r>
        <w:t xml:space="preserve"> on AS</w:t>
      </w:r>
      <w:r w:rsidR="009C4430">
        <w:t xml:space="preserve"> is reported in Subsection B6.</w:t>
      </w:r>
    </w:p>
    <w:p w14:paraId="1A8976A4" w14:textId="77777777" w:rsidR="00376BE2" w:rsidRDefault="00376BE2" w:rsidP="00F87EE4">
      <w:pPr>
        <w:pStyle w:val="Heading2"/>
        <w:numPr>
          <w:ilvl w:val="1"/>
          <w:numId w:val="14"/>
        </w:numPr>
      </w:pPr>
      <w:bookmarkStart w:id="276" w:name="_Toc460513909"/>
      <w:r w:rsidRPr="0048411A">
        <w:t>Reference standard</w:t>
      </w:r>
      <w:bookmarkEnd w:id="276"/>
    </w:p>
    <w:p w14:paraId="5EEC88D5" w14:textId="2EA30BFC" w:rsidR="006D5788" w:rsidRDefault="006D5788" w:rsidP="006D5788">
      <w:r>
        <w:t xml:space="preserve">The reference standard for </w:t>
      </w:r>
      <w:proofErr w:type="spellStart"/>
      <w:r w:rsidR="006818E1">
        <w:t>PCa</w:t>
      </w:r>
      <w:proofErr w:type="spellEnd"/>
      <w:r>
        <w:t xml:space="preserve"> is histology </w:t>
      </w:r>
      <w:r w:rsidR="00802B90">
        <w:t>of pathological samples. I</w:t>
      </w:r>
      <w:r>
        <w:t>n diagnostic cases such samples are best taken by biopsy. In Australia</w:t>
      </w:r>
      <w:r w:rsidR="005B5ED0">
        <w:t xml:space="preserve"> prostate tissue</w:t>
      </w:r>
      <w:r>
        <w:t xml:space="preserve"> s</w:t>
      </w:r>
      <w:r w:rsidR="004B5171">
        <w:t>amples</w:t>
      </w:r>
      <w:r>
        <w:t xml:space="preserve"> are </w:t>
      </w:r>
      <w:r w:rsidR="002351F0">
        <w:t>o</w:t>
      </w:r>
      <w:r w:rsidR="005B5ED0">
        <w:t>btained by trans</w:t>
      </w:r>
      <w:r w:rsidR="006F3F56">
        <w:t>-</w:t>
      </w:r>
      <w:r w:rsidR="005B5ED0">
        <w:t xml:space="preserve">rectal biopsy </w:t>
      </w:r>
      <w:r>
        <w:t>in 84</w:t>
      </w:r>
      <w:r w:rsidR="004B6E15">
        <w:t xml:space="preserve"> per cent </w:t>
      </w:r>
      <w:r>
        <w:t>of cases</w:t>
      </w:r>
      <w:r w:rsidR="005B5ED0">
        <w:t xml:space="preserve"> and</w:t>
      </w:r>
      <w:r>
        <w:t xml:space="preserve"> </w:t>
      </w:r>
      <w:r w:rsidR="005B5ED0">
        <w:t>trans</w:t>
      </w:r>
      <w:r w:rsidR="007935C0">
        <w:t>-</w:t>
      </w:r>
      <w:r w:rsidR="005B5ED0">
        <w:t xml:space="preserve">perineal biopsy </w:t>
      </w:r>
      <w:r>
        <w:t xml:space="preserve">in </w:t>
      </w:r>
      <w:r w:rsidR="004B6E15">
        <w:t>seven per cent</w:t>
      </w:r>
      <w:r>
        <w:t xml:space="preserve"> of cases</w:t>
      </w:r>
      <w:r w:rsidR="005B5ED0">
        <w:t>. The remaining prostate samples are obtained following</w:t>
      </w:r>
      <w:r>
        <w:t xml:space="preserve"> </w:t>
      </w:r>
      <w:r>
        <w:rPr>
          <w:rFonts w:cs="Calibri"/>
        </w:rPr>
        <w:t xml:space="preserve">transurethral resection of the prostate </w:t>
      </w:r>
      <w:r w:rsidR="005B5ED0">
        <w:rPr>
          <w:rFonts w:cs="Calibri"/>
        </w:rPr>
        <w:t xml:space="preserve">or </w:t>
      </w:r>
      <w:r>
        <w:rPr>
          <w:rFonts w:cs="Calibri"/>
        </w:rPr>
        <w:t xml:space="preserve">transurethral resection of </w:t>
      </w:r>
      <w:r w:rsidR="00802B90">
        <w:rPr>
          <w:rFonts w:cs="Calibri"/>
        </w:rPr>
        <w:t xml:space="preserve">a </w:t>
      </w:r>
      <w:r>
        <w:rPr>
          <w:rFonts w:cs="Calibri"/>
        </w:rPr>
        <w:t>bladder tumour</w:t>
      </w:r>
      <w:r w:rsidR="00AB18DA">
        <w:rPr>
          <w:rFonts w:cs="Calibri"/>
        </w:rPr>
        <w:t xml:space="preserve"> </w:t>
      </w:r>
      <w:r w:rsidR="008E0B00">
        <w:rPr>
          <w:rFonts w:cs="Calibri"/>
        </w:rPr>
        <w:fldChar w:fldCharType="begin"/>
      </w:r>
      <w:r w:rsidR="008E0B00">
        <w:rPr>
          <w:rFonts w:cs="Calibri"/>
        </w:rPr>
        <w:instrText xml:space="preserve"> ADDIN EN.CITE &lt;EndNote&gt;&lt;Cite&gt;&lt;Author&gt;Sampurno&lt;/Author&gt;&lt;Year&gt;2015&lt;/Year&gt;&lt;RecNum&gt;28&lt;/RecNum&gt;&lt;DisplayText&gt;(Sampurno et al. 2015)&lt;/DisplayText&gt;&lt;record&gt;&lt;rec-number&gt;28&lt;/rec-number&gt;&lt;foreign-keys&gt;&lt;key app="EN" db-id="2p9terxr22fx91epzebpfdwuzrwtw2a2ep2t" timestamp="1472684603"&gt;28&lt;/key&gt;&lt;/foreign-keys&gt;&lt;ref-type name="Web Page"&gt;12&lt;/ref-type&gt;&lt;contributors&gt;&lt;authors&gt;&lt;author&gt;Sampurno, F.&lt;/author&gt;&lt;author&gt;Evans, S. &lt;/author&gt;&lt;author&gt;(eds) for the Victorian Prostate Cancer Clinical Registry Steering Committee,&lt;/author&gt;&lt;/authors&gt;&lt;/contributors&gt;&lt;titles&gt;&lt;title&gt;Victorian Prostate Cancer Clinical Registry - Five Year Report&lt;/title&gt;&lt;/titles&gt;&lt;dates&gt;&lt;year&gt;2015&lt;/year&gt;&lt;/dates&gt;&lt;pub-location&gt;Melbourne, Victoria.&lt;/pub-location&gt;&lt;publisher&gt;Monash University&lt;/publisher&gt;&lt;urls&gt;&lt;related-urls&gt;&lt;url&gt;http://pcr.registry.org.au/Home.aspx&lt;/url&gt;&lt;/related-urls&gt;&lt;/urls&gt;&lt;/record&gt;&lt;/Cite&gt;&lt;/EndNote&gt;</w:instrText>
      </w:r>
      <w:r w:rsidR="008E0B00">
        <w:rPr>
          <w:rFonts w:cs="Calibri"/>
        </w:rPr>
        <w:fldChar w:fldCharType="separate"/>
      </w:r>
      <w:r w:rsidR="008E0B00">
        <w:rPr>
          <w:rFonts w:cs="Calibri"/>
          <w:noProof/>
        </w:rPr>
        <w:t>(</w:t>
      </w:r>
      <w:hyperlink w:anchor="_ENREF_141" w:tooltip="Sampurno, 2015 #28" w:history="1">
        <w:r w:rsidR="008E0B00">
          <w:rPr>
            <w:rFonts w:cs="Calibri"/>
            <w:noProof/>
          </w:rPr>
          <w:t>Sampurno et al. 2015</w:t>
        </w:r>
      </w:hyperlink>
      <w:r w:rsidR="008E0B00">
        <w:rPr>
          <w:rFonts w:cs="Calibri"/>
          <w:noProof/>
        </w:rPr>
        <w:t>)</w:t>
      </w:r>
      <w:r w:rsidR="008E0B00">
        <w:rPr>
          <w:rFonts w:cs="Calibri"/>
        </w:rPr>
        <w:fldChar w:fldCharType="end"/>
      </w:r>
      <w:r>
        <w:t>. Prostate biopsy can be guided by US, MRI</w:t>
      </w:r>
      <w:r w:rsidR="005453FB">
        <w:t xml:space="preserve"> or</w:t>
      </w:r>
      <w:r>
        <w:t xml:space="preserve"> US/MRI fusion.</w:t>
      </w:r>
    </w:p>
    <w:p w14:paraId="334A413A" w14:textId="01074A8C" w:rsidR="006D5788" w:rsidRDefault="00A77FA2" w:rsidP="006D5788">
      <w:r>
        <w:t xml:space="preserve">It is acknowledged that biopsy is not a perfect reference standard. A </w:t>
      </w:r>
      <w:r w:rsidR="008B488C">
        <w:t>systematic</w:t>
      </w:r>
      <w:r>
        <w:t xml:space="preserve"> review of the literature was performed to identify any systematic reviews that could inform the diagnostic accuracy of TRUSGB or TPUSGB</w:t>
      </w:r>
      <w:r w:rsidR="006D5788">
        <w:t xml:space="preserve">. The search criteria included systematic reviews reporting the diagnostic accuracy of </w:t>
      </w:r>
      <w:r w:rsidR="00010606">
        <w:t>TRUSGB</w:t>
      </w:r>
      <w:r w:rsidR="006D5788">
        <w:t xml:space="preserve"> or </w:t>
      </w:r>
      <w:r w:rsidR="00010606">
        <w:t>TPUSGB</w:t>
      </w:r>
      <w:r w:rsidR="00996D15">
        <w:t xml:space="preserve"> (Box </w:t>
      </w:r>
      <w:r w:rsidR="006B4AA3">
        <w:t>6, Subsection A9</w:t>
      </w:r>
      <w:r w:rsidR="00996D15">
        <w:t>)</w:t>
      </w:r>
      <w:r w:rsidR="006D5788">
        <w:t xml:space="preserve">. </w:t>
      </w:r>
      <w:r w:rsidR="008B488C">
        <w:t>The</w:t>
      </w:r>
      <w:r w:rsidR="006D5788" w:rsidRPr="00183E4D">
        <w:t xml:space="preserve"> PRISMA flowchart </w:t>
      </w:r>
      <w:r w:rsidR="008B488C">
        <w:t xml:space="preserve">shown in </w:t>
      </w:r>
      <w:r w:rsidR="008B488C">
        <w:fldChar w:fldCharType="begin"/>
      </w:r>
      <w:r w:rsidR="008B488C">
        <w:instrText xml:space="preserve"> REF _Ref456621818 \h </w:instrText>
      </w:r>
      <w:r w:rsidR="008B488C">
        <w:fldChar w:fldCharType="separate"/>
      </w:r>
      <w:r w:rsidR="0029649D">
        <w:t xml:space="preserve">Figure </w:t>
      </w:r>
      <w:r w:rsidR="0029649D">
        <w:rPr>
          <w:noProof/>
        </w:rPr>
        <w:t>6</w:t>
      </w:r>
      <w:r w:rsidR="008B488C">
        <w:fldChar w:fldCharType="end"/>
      </w:r>
      <w:r w:rsidR="006D5788" w:rsidRPr="00183E4D">
        <w:t xml:space="preserve"> provides a graphic depiction of the results of the literature search</w:t>
      </w:r>
      <w:r w:rsidR="00E506CC">
        <w:t xml:space="preserve"> </w:t>
      </w:r>
      <w:r w:rsidR="008E0B00">
        <w:fldChar w:fldCharType="begin"/>
      </w:r>
      <w:r w:rsidR="008E0B00">
        <w:instrText xml:space="preserve"> ADDIN EN.CITE &lt;EndNote&gt;&lt;Cite&gt;&lt;Author&gt;Liberati&lt;/Author&gt;&lt;Year&gt;2009&lt;/Year&gt;&lt;RecNum&gt;29&lt;/RecNum&gt;&lt;DisplayText&gt;(Liberati et al. 2009)&lt;/DisplayText&gt;&lt;record&gt;&lt;rec-number&gt;29&lt;/rec-number&gt;&lt;foreign-keys&gt;&lt;key app="EN" db-id="2p9terxr22fx91epzebpfdwuzrwtw2a2ep2t" timestamp="1472684603"&gt;29&lt;/key&gt;&lt;/foreign-keys&gt;&lt;ref-type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elaboration&lt;/title&gt;&lt;secondary-title&gt;J Clin Epidemiol&lt;/secondary-title&gt;&lt;alt-title&gt;Journal of clinical epidemiology&lt;/alt-title&gt;&lt;/titles&gt;&lt;periodical&gt;&lt;full-title&gt;J Clin Epidemiol&lt;/full-title&gt;&lt;/periodical&gt;&lt;pages&gt;e1-34&lt;/pages&gt;&lt;volume&gt;62&lt;/volume&gt;&lt;number&gt;10&lt;/number&gt;&lt;edition&gt;2009/07/28&lt;/edition&gt;&lt;keywords&gt;&lt;keyword&gt;Evidence-Based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0895-4356&lt;/isbn&gt;&lt;accession-num&gt;19631507&lt;/accession-num&gt;&lt;urls&gt;&lt;/urls&gt;&lt;electronic-resource-num&gt;10.1016/j.jclinepi.2009.06.006&lt;/electronic-resource-num&gt;&lt;remote-database-provider&gt;NLM&lt;/remote-database-provider&gt;&lt;language&gt;eng&lt;/language&gt;&lt;/record&gt;&lt;/Cite&gt;&lt;/EndNote&gt;</w:instrText>
      </w:r>
      <w:r w:rsidR="008E0B00">
        <w:fldChar w:fldCharType="separate"/>
      </w:r>
      <w:r w:rsidR="008E0B00">
        <w:rPr>
          <w:noProof/>
        </w:rPr>
        <w:t>(</w:t>
      </w:r>
      <w:hyperlink w:anchor="_ENREF_84" w:tooltip="Liberati, 2009 #29" w:history="1">
        <w:r w:rsidR="008E0B00">
          <w:rPr>
            <w:noProof/>
          </w:rPr>
          <w:t>Liberati et al. 2009</w:t>
        </w:r>
      </w:hyperlink>
      <w:r w:rsidR="008E0B00">
        <w:rPr>
          <w:noProof/>
        </w:rPr>
        <w:t>)</w:t>
      </w:r>
      <w:r w:rsidR="008E0B00">
        <w:fldChar w:fldCharType="end"/>
      </w:r>
      <w:r w:rsidR="006D5788" w:rsidRPr="00183E4D">
        <w:t>.</w:t>
      </w:r>
      <w:r w:rsidR="006D5788">
        <w:t xml:space="preserve"> The search resulted in two systematic reviews presenting</w:t>
      </w:r>
      <w:r w:rsidR="00794E38">
        <w:t xml:space="preserve"> diagnostic accuracy data for trans</w:t>
      </w:r>
      <w:r w:rsidR="006F3F56">
        <w:t>-</w:t>
      </w:r>
      <w:r w:rsidR="00794E38">
        <w:t>rectal</w:t>
      </w:r>
      <w:r w:rsidR="006D5788">
        <w:t xml:space="preserve"> and </w:t>
      </w:r>
      <w:r w:rsidR="00794E38">
        <w:t>trans</w:t>
      </w:r>
      <w:r w:rsidR="007935C0">
        <w:t>-</w:t>
      </w:r>
      <w:r w:rsidR="00794E38">
        <w:t>perineal</w:t>
      </w:r>
      <w:r w:rsidR="006D5788">
        <w:t xml:space="preserve"> ultrasound guided prostate biopsy.</w:t>
      </w:r>
    </w:p>
    <w:p w14:paraId="42B50C7C" w14:textId="5F2AD796" w:rsidR="006D5788" w:rsidRDefault="008B488C" w:rsidP="00466B3D">
      <w:pPr>
        <w:pStyle w:val="Caption"/>
      </w:pPr>
      <w:bookmarkStart w:id="277" w:name="_Ref456621818"/>
      <w:bookmarkStart w:id="278" w:name="_Toc460514613"/>
      <w:r>
        <w:lastRenderedPageBreak/>
        <w:t xml:space="preserve">Figure </w:t>
      </w:r>
      <w:fldSimple w:instr=" SEQ Figure \* ARABIC ">
        <w:r w:rsidR="0029649D">
          <w:rPr>
            <w:noProof/>
          </w:rPr>
          <w:t>6</w:t>
        </w:r>
      </w:fldSimple>
      <w:bookmarkEnd w:id="277"/>
      <w:r>
        <w:tab/>
      </w:r>
      <w:r w:rsidRPr="00183E4D">
        <w:t>Summary of the process used to iden</w:t>
      </w:r>
      <w:r>
        <w:t>tify and select studies to inform the diagnostic accuracy of biopsy</w:t>
      </w:r>
      <w:bookmarkEnd w:id="278"/>
    </w:p>
    <w:p w14:paraId="408D28F6" w14:textId="1DE31B90" w:rsidR="008B488C" w:rsidRDefault="006C4425" w:rsidP="006D5788">
      <w:r>
        <w:object w:dxaOrig="6826" w:dyaOrig="7002" w14:anchorId="5DAD6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ummary of the process used to identify and select studies to inform the diagnostic accuracy of biopsy" style="width:341.3pt;height:349.7pt" o:ole="">
            <v:imagedata r:id="rId28" o:title=""/>
          </v:shape>
          <o:OLEObject Type="Embed" ProgID="Visio.Drawing.11" ShapeID="_x0000_i1025" DrawAspect="Content" ObjectID="_1583222907" r:id="rId29"/>
        </w:object>
      </w:r>
    </w:p>
    <w:p w14:paraId="223BC186" w14:textId="7011B225" w:rsidR="00857CBD" w:rsidRDefault="00857CBD" w:rsidP="006D5788">
      <w:r>
        <w:t>Two systematic reviews were identified that assessed the diagnostic accuracy of biopsy. Both reviews were judged to have a low risk of bias (</w:t>
      </w:r>
      <w:r>
        <w:fldChar w:fldCharType="begin"/>
      </w:r>
      <w:r>
        <w:instrText xml:space="preserve"> REF _Ref456622526 \h </w:instrText>
      </w:r>
      <w:r>
        <w:fldChar w:fldCharType="separate"/>
      </w:r>
      <w:r w:rsidR="0029649D">
        <w:t xml:space="preserve">Table </w:t>
      </w:r>
      <w:r w:rsidR="0029649D">
        <w:rPr>
          <w:noProof/>
        </w:rPr>
        <w:t>81</w:t>
      </w:r>
      <w:r>
        <w:fldChar w:fldCharType="end"/>
      </w:r>
      <w:r w:rsidR="00256AA2">
        <w:t>, Appendix F</w:t>
      </w:r>
      <w:r>
        <w:t>) using the AMSTAR assessment tool</w:t>
      </w:r>
      <w:r w:rsidR="00AB18DA">
        <w:t xml:space="preserve"> </w:t>
      </w:r>
      <w:r w:rsidR="008E0B00">
        <w:fldChar w:fldCharType="begin"/>
      </w:r>
      <w:r w:rsidR="008E0B00">
        <w:instrText xml:space="preserve"> ADDIN EN.CITE &lt;EndNote&gt;&lt;Cite&gt;&lt;Author&gt;Shea&lt;/Author&gt;&lt;Year&gt;2007&lt;/Year&gt;&lt;RecNum&gt;30&lt;/RecNum&gt;&lt;DisplayText&gt;(Shea et al. 2007)&lt;/DisplayText&gt;&lt;record&gt;&lt;rec-number&gt;30&lt;/rec-number&gt;&lt;foreign-keys&gt;&lt;key app="EN" db-id="2p9terxr22fx91epzebpfdwuzrwtw2a2ep2t" timestamp="1472684603"&gt;30&lt;/key&gt;&lt;/foreign-keys&gt;&lt;ref-type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methodology&lt;/abbr-1&gt;&lt;/alt-periodical&gt;&lt;pages&gt;10&lt;/pages&gt;&lt;volume&gt;7&lt;/volume&gt;&lt;edition&gt;2007/02/17&lt;/edition&gt;&lt;keywords&gt;&lt;keyword&gt;Bias (Epidemiology)&lt;/keyword&gt;&lt;keyword&gt;Factor Analysis, Statistical&lt;/keyword&gt;&lt;keyword&gt;Humans&lt;/keyword&gt;&lt;keyword&gt;Quality Control&lt;/keyword&gt;&lt;keyword&gt;*Reference Standards&lt;/keyword&gt;&lt;keyword&gt;Reproducibility of Results&lt;/keyword&gt;&lt;keyword&gt;*Review Literature as Topic&lt;/keyword&gt;&lt;keyword&gt;Surveys and Questionnaires&lt;/keyword&gt;&lt;/keywords&gt;&lt;dates&gt;&lt;year&gt;2007&lt;/year&gt;&lt;/dates&gt;&lt;isbn&gt;1471-2288&lt;/isbn&gt;&lt;accession-num&gt;17302989&lt;/accession-num&gt;&lt;urls&gt;&lt;/urls&gt;&lt;custom2&gt;Pmc1810543&lt;/custom2&gt;&lt;electronic-resource-num&gt;10.1186/1471-2288-7-10&lt;/electronic-resource-num&gt;&lt;remote-database-provider&gt;NLM&lt;/remote-database-provider&gt;&lt;language&gt;eng&lt;/language&gt;&lt;/record&gt;&lt;/Cite&gt;&lt;/EndNote&gt;</w:instrText>
      </w:r>
      <w:r w:rsidR="008E0B00">
        <w:fldChar w:fldCharType="separate"/>
      </w:r>
      <w:r w:rsidR="008E0B00">
        <w:rPr>
          <w:noProof/>
        </w:rPr>
        <w:t>(</w:t>
      </w:r>
      <w:hyperlink w:anchor="_ENREF_145" w:tooltip="Shea, 2007 #30" w:history="1">
        <w:r w:rsidR="008E0B00">
          <w:rPr>
            <w:noProof/>
          </w:rPr>
          <w:t>Shea et al. 2007</w:t>
        </w:r>
      </w:hyperlink>
      <w:r w:rsidR="008E0B00">
        <w:rPr>
          <w:noProof/>
        </w:rPr>
        <w:t>)</w:t>
      </w:r>
      <w:r w:rsidR="008E0B00">
        <w:fldChar w:fldCharType="end"/>
      </w:r>
      <w:r>
        <w:t xml:space="preserve">. The main limitation of both </w:t>
      </w:r>
      <w:r w:rsidR="00F740C6">
        <w:t>systematic reviews</w:t>
      </w:r>
      <w:r>
        <w:t xml:space="preserve"> being a failure to report a list of excluded studies.</w:t>
      </w:r>
    </w:p>
    <w:p w14:paraId="36ACD6A7" w14:textId="08495DA8" w:rsidR="006D5788" w:rsidRDefault="00300710" w:rsidP="006D5788">
      <w:r>
        <w:t xml:space="preserve">One systematic review was identified that </w:t>
      </w:r>
      <w:r w:rsidR="006D5788" w:rsidRPr="008832A0">
        <w:t>compar</w:t>
      </w:r>
      <w:r w:rsidR="006D5788">
        <w:t>ed</w:t>
      </w:r>
      <w:r w:rsidR="006D5788" w:rsidRPr="008832A0">
        <w:t xml:space="preserve"> TRU</w:t>
      </w:r>
      <w:r w:rsidR="00F43AB8">
        <w:t>SGB with MRI</w:t>
      </w:r>
      <w:r>
        <w:t>GB</w:t>
      </w:r>
      <w:r w:rsidR="00632581">
        <w:t>)</w:t>
      </w:r>
      <w:r w:rsidR="00AB18DA">
        <w:t xml:space="preserve"> </w:t>
      </w:r>
      <w:r w:rsidR="008E0B00">
        <w:fldChar w:fldCharType="begin">
          <w:fldData xml:space="preserve">PEVuZE5vdGU+PENpdGU+PEF1dGhvcj5TY2hvb3RzPC9BdXRob3I+PFllYXI+MjAxNTwvWWVhcj48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</w:fldData>
        </w:fldChar>
      </w:r>
      <w:r w:rsidR="008E0B00">
        <w:instrText xml:space="preserve"> ADDIN EN.CITE </w:instrText>
      </w:r>
      <w:r w:rsidR="008E0B00">
        <w:fldChar w:fldCharType="begin">
          <w:fldData xml:space="preserve">PEVuZE5vdGU+PENpdGU+PEF1dGhvcj5TY2hvb3RzPC9BdXRob3I+PFllYXI+MjAxNTwvWWVhcj48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144" w:tooltip="Schoots, 2015 #31" w:history="1">
        <w:r w:rsidR="008E0B00">
          <w:rPr>
            <w:noProof/>
          </w:rPr>
          <w:t>Schoots et al. 2015</w:t>
        </w:r>
      </w:hyperlink>
      <w:r w:rsidR="008E0B00">
        <w:rPr>
          <w:noProof/>
        </w:rPr>
        <w:t>)</w:t>
      </w:r>
      <w:r w:rsidR="008E0B00">
        <w:fldChar w:fldCharType="end"/>
      </w:r>
      <w:r w:rsidR="00F43AB8">
        <w:t>.</w:t>
      </w:r>
      <w:r w:rsidR="006D5788" w:rsidRPr="008832A0">
        <w:t xml:space="preserve"> Schoots et al.</w:t>
      </w:r>
      <w:r w:rsidR="00AB18DA">
        <w:t xml:space="preserve"> (2015)</w:t>
      </w:r>
      <w:r w:rsidR="006D5788">
        <w:t xml:space="preserve"> </w:t>
      </w:r>
      <w:r>
        <w:t xml:space="preserve">included 16 studies with a total of 1,926 patients. </w:t>
      </w:r>
      <w:r w:rsidR="00F43AB8">
        <w:t>TRUS</w:t>
      </w:r>
      <w:r>
        <w:t xml:space="preserve">GB </w:t>
      </w:r>
      <w:r w:rsidR="002B65B2">
        <w:t xml:space="preserve">was compared </w:t>
      </w:r>
      <w:r>
        <w:t xml:space="preserve">to MRIGB in a concordance analysis as no study reported use of a surgical specimen reference standard. </w:t>
      </w:r>
      <w:r w:rsidR="00F43AB8">
        <w:t>TRUS</w:t>
      </w:r>
      <w:r>
        <w:t xml:space="preserve">GB was found to have </w:t>
      </w:r>
      <w:r w:rsidR="006D5788">
        <w:t xml:space="preserve">a sensitivity of </w:t>
      </w:r>
      <w:r>
        <w:t xml:space="preserve">0.81 (95% CI [0.70, 0.88]) </w:t>
      </w:r>
      <w:r w:rsidR="006D5788">
        <w:t>in</w:t>
      </w:r>
      <w:r w:rsidR="002B65B2">
        <w:t xml:space="preserve"> the</w:t>
      </w:r>
      <w:r w:rsidR="006D5788">
        <w:t xml:space="preserve"> detection </w:t>
      </w:r>
      <w:r w:rsidR="002B65B2">
        <w:t>of PCa</w:t>
      </w:r>
      <w:r>
        <w:t>, while MRIGB was found to have a se</w:t>
      </w:r>
      <w:r w:rsidR="00E506CC">
        <w:t xml:space="preserve">nsitivity of 0.85 (95% CI [0.80, </w:t>
      </w:r>
      <w:r>
        <w:t xml:space="preserve">0.89]). The difference </w:t>
      </w:r>
      <w:r w:rsidR="002B65B2">
        <w:t xml:space="preserve">in sensitivity </w:t>
      </w:r>
      <w:r>
        <w:t xml:space="preserve">between the two biopsy techniques was not statistically significant. </w:t>
      </w:r>
    </w:p>
    <w:p w14:paraId="1FB383D6" w14:textId="0866E78F" w:rsidR="006D5788" w:rsidRDefault="002B65B2" w:rsidP="006D5788">
      <w:r>
        <w:t xml:space="preserve">The second </w:t>
      </w:r>
      <w:r w:rsidR="00DF1252">
        <w:t>systematic review</w:t>
      </w:r>
      <w:r w:rsidR="00B06BB9">
        <w:t xml:space="preserve"> </w:t>
      </w:r>
      <w:r w:rsidR="008E0B00">
        <w:fldChar w:fldCharType="begin"/>
      </w:r>
      <w:r w:rsidR="008E0B00">
        <w:instrText xml:space="preserve"> ADDIN EN.CITE &lt;EndNote&gt;&lt;Cite&gt;&lt;Author&gt;Shen&lt;/Author&gt;&lt;Year&gt;2012&lt;/Year&gt;&lt;RecNum&gt;32&lt;/RecNum&gt;&lt;DisplayText&gt;(Shen et al. 2012)&lt;/DisplayText&gt;&lt;record&gt;&lt;rec-number&gt;32&lt;/rec-number&gt;&lt;foreign-keys&gt;&lt;key app="EN" db-id="2p9terxr22fx91epzebpfdwuzrwtw2a2ep2t" timestamp="1472684603"&gt;32&lt;/key&gt;&lt;/foreign-keys&gt;&lt;ref-type name="Journal Article"&gt;17&lt;/ref-type&gt;&lt;contributors&gt;&lt;authors&gt;&lt;author&gt;Shen, P. F.&lt;/author&gt;&lt;author&gt;Zhu, Y. C.&lt;/author&gt;&lt;author&gt;Wei, W. R.&lt;/author&gt;&lt;author&gt;Li, Y. Z.&lt;/author&gt;&lt;author&gt;Yang, J.&lt;/author&gt;&lt;author&gt;Li, Y. T.&lt;/author&gt;&lt;author&gt;Li, D. M.&lt;/author&gt;&lt;author&gt;Wang, J.&lt;/author&gt;&lt;author&gt;Zeng, H.&lt;/author&gt;&lt;/authors&gt;&lt;/contributors&gt;&lt;auth-address&gt;(Shen, Zhu, Wei, Yang, Li, Li, Wang, Zeng) Department of Urology, West China Hospital, Sichuan University, Chengdu 610041, China (Li) Department of Ultrasonography, West China Hospital, Sichuan University, Chengdu 610041, China&lt;/auth-address&gt;&lt;titles&gt;&lt;title&gt;The results of transperineal versus transrectal prostate biopsy: A systematic review and meta-analysis&lt;/title&gt;&lt;secondary-title&gt;Asian J Androl&lt;/secondary-title&gt;&lt;/titles&gt;&lt;periodical&gt;&lt;full-title&gt;Asian J Androl&lt;/full-title&gt;&lt;/periodical&gt;&lt;pages&gt;310-315&lt;/pages&gt;&lt;volume&gt;14&lt;/volume&gt;&lt;number&gt;2&lt;/number&gt;&lt;dates&gt;&lt;year&gt;2012&lt;/year&gt;&lt;pub-dates&gt;&lt;date&gt;March&lt;/date&gt;&lt;/pub-dates&gt;&lt;/dates&gt;&lt;accession-num&gt;2012142435&lt;/accession-num&gt;&lt;urls&gt;&lt;related-urls&gt;&lt;url&gt;http://www.ncbi.nlm.nih.gov/pmc/articles/PMC3735101/pdf/aja2011130a.pdf&lt;/url&gt;&lt;/related-urls&gt;&lt;/urls&gt;&lt;remote-database-name&gt;Embase&lt;/remote-database-name&gt;&lt;remote-database-provider&gt;Ovid Technologies&lt;/remote-database-provider&gt;&lt;research-notes&gt;inc PRINTED&lt;/research-notes&gt;&lt;/record&gt;&lt;/Cite&gt;&lt;/EndNote&gt;</w:instrText>
      </w:r>
      <w:r w:rsidR="008E0B00">
        <w:fldChar w:fldCharType="separate"/>
      </w:r>
      <w:r w:rsidR="008E0B00">
        <w:rPr>
          <w:noProof/>
        </w:rPr>
        <w:t>(</w:t>
      </w:r>
      <w:hyperlink w:anchor="_ENREF_147" w:tooltip="Shen, 2012 #32" w:history="1">
        <w:r w:rsidR="008E0B00">
          <w:rPr>
            <w:noProof/>
          </w:rPr>
          <w:t>Shen et al. 2012</w:t>
        </w:r>
      </w:hyperlink>
      <w:r w:rsidR="008E0B00">
        <w:rPr>
          <w:noProof/>
        </w:rPr>
        <w:t>)</w:t>
      </w:r>
      <w:r w:rsidR="008E0B00">
        <w:fldChar w:fldCharType="end"/>
      </w:r>
      <w:r w:rsidR="006D5788" w:rsidRPr="001C5785">
        <w:t xml:space="preserve"> compared</w:t>
      </w:r>
      <w:r w:rsidR="006D5788">
        <w:t xml:space="preserve"> </w:t>
      </w:r>
      <w:r w:rsidR="00010606">
        <w:t>TRUSGB</w:t>
      </w:r>
      <w:r w:rsidR="006D5788">
        <w:t xml:space="preserve"> with </w:t>
      </w:r>
      <w:r w:rsidR="00010606">
        <w:t>TPUSGB</w:t>
      </w:r>
      <w:r>
        <w:t xml:space="preserve">. Results for different biopsy techniques (sextant, extensive and saturation) were reported </w:t>
      </w:r>
      <w:r w:rsidR="00632581">
        <w:t>separately</w:t>
      </w:r>
      <w:r w:rsidR="006D5788">
        <w:t>. In two case-control studies conducting sextant biopsy, there was no sign</w:t>
      </w:r>
      <w:r w:rsidR="00F43AB8">
        <w:t>ificant difference between TRUS</w:t>
      </w:r>
      <w:r w:rsidR="006D5788">
        <w:t>GB (</w:t>
      </w:r>
      <w:r w:rsidR="006D5788" w:rsidRPr="00FF64D0">
        <w:t>38.31%</w:t>
      </w:r>
      <w:r w:rsidR="00F43AB8">
        <w:t>) and TPUS</w:t>
      </w:r>
      <w:r w:rsidR="006D5788">
        <w:t>GB (</w:t>
      </w:r>
      <w:r w:rsidR="006D5788" w:rsidRPr="00FF64D0">
        <w:t>40.67%</w:t>
      </w:r>
      <w:r w:rsidR="006D5788">
        <w:t>)</w:t>
      </w:r>
      <w:r w:rsidR="002D62D4" w:rsidRPr="002D62D4">
        <w:t xml:space="preserve"> </w:t>
      </w:r>
      <w:r w:rsidR="002D62D4">
        <w:t>in the cancer detection rate (Relative difference [RD],</w:t>
      </w:r>
      <w:r w:rsidR="002D62D4" w:rsidDel="0062784E">
        <w:t xml:space="preserve"> </w:t>
      </w:r>
      <w:r w:rsidR="002D62D4">
        <w:t>-0.02, 95% CI [-0.08,</w:t>
      </w:r>
      <w:r w:rsidR="00424419">
        <w:t xml:space="preserve"> </w:t>
      </w:r>
      <w:r w:rsidR="002D62D4">
        <w:t>-0.03]</w:t>
      </w:r>
      <w:r w:rsidR="004B6E15">
        <w:t>,</w:t>
      </w:r>
      <w:r w:rsidR="002D62D4">
        <w:t xml:space="preserve"> </w:t>
      </w:r>
      <w:r>
        <w:rPr>
          <w:i/>
        </w:rPr>
        <w:t>p</w:t>
      </w:r>
      <w:r w:rsidR="002D62D4">
        <w:t xml:space="preserve">=0.34). </w:t>
      </w:r>
      <w:r w:rsidR="006D5788">
        <w:t xml:space="preserve">In three </w:t>
      </w:r>
      <w:r w:rsidR="005C3162">
        <w:t>randomised controlled trials (</w:t>
      </w:r>
      <w:r w:rsidR="006D5788">
        <w:t>RCTs</w:t>
      </w:r>
      <w:r w:rsidR="005C3162">
        <w:t>)</w:t>
      </w:r>
      <w:r w:rsidR="006D5788">
        <w:t xml:space="preserve"> and one case-control study </w:t>
      </w:r>
      <w:r>
        <w:lastRenderedPageBreak/>
        <w:t xml:space="preserve">comparing </w:t>
      </w:r>
      <w:r w:rsidR="006D5788">
        <w:t>extensive prostate biops</w:t>
      </w:r>
      <w:r>
        <w:t>ies</w:t>
      </w:r>
      <w:r w:rsidR="006D5788">
        <w:t>, there was no sign</w:t>
      </w:r>
      <w:r w:rsidR="006E1E46">
        <w:t>ificant difference between TRUS</w:t>
      </w:r>
      <w:r w:rsidR="006D5788">
        <w:t>GB (</w:t>
      </w:r>
      <w:r w:rsidR="006D5788" w:rsidRPr="00FF64D0">
        <w:t>33.00%</w:t>
      </w:r>
      <w:r w:rsidR="006D5788">
        <w:t>) and TPUSGB (</w:t>
      </w:r>
      <w:r w:rsidR="006D5788" w:rsidRPr="00FF64D0">
        <w:t>33.73%</w:t>
      </w:r>
      <w:r w:rsidR="006D5788">
        <w:t>) in the cancer detection rate (RD, -</w:t>
      </w:r>
      <w:r w:rsidR="006E1E46">
        <w:t xml:space="preserve">0.01, 95% </w:t>
      </w:r>
      <w:r w:rsidR="0066172B">
        <w:t>CI [</w:t>
      </w:r>
      <w:r w:rsidR="006E1E46">
        <w:t>-0.05,</w:t>
      </w:r>
      <w:r w:rsidR="002E09E9">
        <w:t xml:space="preserve"> </w:t>
      </w:r>
      <w:r w:rsidR="006D5788">
        <w:t>0.04</w:t>
      </w:r>
      <w:r w:rsidR="006E1E46">
        <w:t xml:space="preserve">], </w:t>
      </w:r>
      <w:r w:rsidR="006E1E46">
        <w:rPr>
          <w:i/>
        </w:rPr>
        <w:t>p</w:t>
      </w:r>
      <w:r w:rsidR="006D5788">
        <w:t xml:space="preserve">=0.81). One case-control study </w:t>
      </w:r>
      <w:r>
        <w:t xml:space="preserve">on </w:t>
      </w:r>
      <w:r w:rsidR="006D5788">
        <w:t xml:space="preserve">saturation biopsy </w:t>
      </w:r>
      <w:r>
        <w:t xml:space="preserve">found </w:t>
      </w:r>
      <w:r w:rsidR="006D5788">
        <w:t xml:space="preserve">no statistically significant difference in the </w:t>
      </w:r>
      <w:r w:rsidR="001327C8">
        <w:t>PCa</w:t>
      </w:r>
      <w:r w:rsidR="006D5788">
        <w:t xml:space="preserve"> detection rate between </w:t>
      </w:r>
      <w:r w:rsidR="00010606">
        <w:t>TRUSGB</w:t>
      </w:r>
      <w:r w:rsidR="006D5788">
        <w:t xml:space="preserve"> and </w:t>
      </w:r>
      <w:r w:rsidR="00010606">
        <w:t>TPUSGB</w:t>
      </w:r>
      <w:r w:rsidR="006D5788">
        <w:t xml:space="preserve"> (</w:t>
      </w:r>
      <w:r w:rsidR="006E1E46">
        <w:t xml:space="preserve">41.4% and 25.7%, respectively, </w:t>
      </w:r>
      <w:r w:rsidR="006E1E46">
        <w:rPr>
          <w:i/>
        </w:rPr>
        <w:t>p</w:t>
      </w:r>
      <w:r w:rsidR="006D5788">
        <w:t xml:space="preserve">=0.3). </w:t>
      </w:r>
    </w:p>
    <w:p w14:paraId="552C25DD" w14:textId="080A71BD" w:rsidR="00DA1BA6" w:rsidRDefault="00DA1BA6" w:rsidP="006D5788">
      <w:r>
        <w:t xml:space="preserve">For the purposes of this Assessment, it is assumed that TRUSGB, TPUSGB and MRIGB have equivalent diagnostic accuracy. </w:t>
      </w:r>
    </w:p>
    <w:p w14:paraId="4896DA84" w14:textId="575A4D30" w:rsidR="000F426F" w:rsidRDefault="000F426F" w:rsidP="00F87EE4">
      <w:pPr>
        <w:pStyle w:val="Heading2"/>
        <w:numPr>
          <w:ilvl w:val="1"/>
          <w:numId w:val="14"/>
        </w:numPr>
      </w:pPr>
      <w:bookmarkStart w:id="279" w:name="_Toc460513910"/>
      <w:r>
        <w:t>Literature sources and search strategies</w:t>
      </w:r>
      <w:r w:rsidR="007B29FE">
        <w:t>: diagnostic accuracy</w:t>
      </w:r>
      <w:r w:rsidR="00FB261D">
        <w:t xml:space="preserve"> </w:t>
      </w:r>
      <w:r w:rsidR="007B29FE">
        <w:t>(</w:t>
      </w:r>
      <w:r w:rsidR="00FB261D">
        <w:t>Population 1</w:t>
      </w:r>
      <w:r w:rsidR="007B29FE">
        <w:t>)</w:t>
      </w:r>
      <w:bookmarkEnd w:id="279"/>
    </w:p>
    <w:p w14:paraId="5E49DD02" w14:textId="1BF48504" w:rsidR="00430AD2" w:rsidRDefault="00430AD2" w:rsidP="00430AD2">
      <w:r>
        <w:t xml:space="preserve">The search strategy used to identify diagnostic accuracy studies is described in </w:t>
      </w:r>
      <w:r w:rsidR="00B95A14">
        <w:t>Subs</w:t>
      </w:r>
      <w:r>
        <w:t>ection B1</w:t>
      </w:r>
      <w:r w:rsidR="00B95A14">
        <w:t>.1</w:t>
      </w:r>
      <w:r>
        <w:t>.</w:t>
      </w:r>
    </w:p>
    <w:p w14:paraId="52B07483" w14:textId="38112E27" w:rsidR="0050644D" w:rsidRPr="00183E4D" w:rsidRDefault="0050644D" w:rsidP="00F87EE4">
      <w:pPr>
        <w:pStyle w:val="Heading2"/>
        <w:numPr>
          <w:ilvl w:val="1"/>
          <w:numId w:val="17"/>
        </w:numPr>
      </w:pPr>
      <w:bookmarkStart w:id="280" w:name="_Toc460513911"/>
      <w:r w:rsidRPr="00183E4D">
        <w:t>Results of Literature Search</w:t>
      </w:r>
      <w:r w:rsidR="007B29FE">
        <w:t>: diagnostic accuracy</w:t>
      </w:r>
      <w:r w:rsidR="00FB261D">
        <w:t xml:space="preserve"> </w:t>
      </w:r>
      <w:r w:rsidR="007B29FE">
        <w:t>(</w:t>
      </w:r>
      <w:r w:rsidR="00FB261D">
        <w:t>Population 1</w:t>
      </w:r>
      <w:r w:rsidR="007B29FE">
        <w:t>)</w:t>
      </w:r>
      <w:bookmarkEnd w:id="280"/>
    </w:p>
    <w:p w14:paraId="567296D0" w14:textId="33D5E292" w:rsidR="0050644D" w:rsidRPr="00183E4D" w:rsidRDefault="005C3162" w:rsidP="0050644D">
      <w:r>
        <w:t>In the</w:t>
      </w:r>
      <w:r w:rsidR="0050644D" w:rsidRPr="00183E4D">
        <w:t xml:space="preserve"> PRISMA flowchart </w:t>
      </w:r>
      <w:r>
        <w:t xml:space="preserve">at </w:t>
      </w:r>
      <w:r w:rsidR="000905F9">
        <w:fldChar w:fldCharType="begin"/>
      </w:r>
      <w:r w:rsidR="000905F9">
        <w:instrText xml:space="preserve"> REF _Ref454348671 \h </w:instrText>
      </w:r>
      <w:r w:rsidR="000905F9">
        <w:fldChar w:fldCharType="separate"/>
      </w:r>
      <w:r w:rsidR="0029649D" w:rsidRPr="00183E4D">
        <w:t xml:space="preserve">Figure </w:t>
      </w:r>
      <w:r w:rsidR="0029649D">
        <w:rPr>
          <w:noProof/>
        </w:rPr>
        <w:t>5</w:t>
      </w:r>
      <w:r w:rsidR="000905F9">
        <w:fldChar w:fldCharType="end"/>
      </w:r>
      <w:r w:rsidR="000905F9">
        <w:t xml:space="preserve"> </w:t>
      </w:r>
      <w:r w:rsidR="00B95A14">
        <w:t>Subs</w:t>
      </w:r>
      <w:r w:rsidR="000905F9">
        <w:t>ection B1</w:t>
      </w:r>
      <w:r w:rsidR="00B95A14">
        <w:t>.1</w:t>
      </w:r>
      <w:r>
        <w:t>,</w:t>
      </w:r>
      <w:r w:rsidR="00EE7964">
        <w:t xml:space="preserve"> </w:t>
      </w:r>
      <w:proofErr w:type="spellStart"/>
      <w:r w:rsidR="00EE7964">
        <w:t>Liberati</w:t>
      </w:r>
      <w:proofErr w:type="spellEnd"/>
      <w:r w:rsidR="00EE7964">
        <w:t xml:space="preserve"> et al. </w:t>
      </w:r>
      <w:r>
        <w:t>(</w:t>
      </w:r>
      <w:r w:rsidR="00EE7964">
        <w:t>2009</w:t>
      </w:r>
      <w:r w:rsidR="0050644D" w:rsidRPr="00183E4D">
        <w:t>) provides a graphic depiction of the results of the literature search and the application of the study selection criter</w:t>
      </w:r>
      <w:r w:rsidR="00F964DE">
        <w:t xml:space="preserve">ia </w:t>
      </w:r>
      <w:r w:rsidR="002D62D4">
        <w:t xml:space="preserve">as </w:t>
      </w:r>
      <w:r w:rsidR="00F964DE">
        <w:t xml:space="preserve">listed in </w:t>
      </w:r>
      <w:r w:rsidR="00A21793">
        <w:t xml:space="preserve">Box </w:t>
      </w:r>
      <w:r w:rsidR="006B4AA3">
        <w:t>4 (Subsection A9)</w:t>
      </w:r>
      <w:r w:rsidR="00A21793">
        <w:t>.</w:t>
      </w:r>
      <w:r w:rsidR="0050644D" w:rsidRPr="00183E4D">
        <w:t xml:space="preserve"> </w:t>
      </w:r>
    </w:p>
    <w:p w14:paraId="05107F82" w14:textId="14A5A30B" w:rsidR="0050644D" w:rsidRDefault="00CE57A7" w:rsidP="0050644D">
      <w:r>
        <w:t>An o</w:t>
      </w:r>
      <w:r w:rsidR="007E0766">
        <w:t xml:space="preserve">verview of </w:t>
      </w:r>
      <w:r w:rsidR="00BC5DC5">
        <w:t xml:space="preserve">the </w:t>
      </w:r>
      <w:r>
        <w:t xml:space="preserve">diagnostic </w:t>
      </w:r>
      <w:r w:rsidR="00BC5DC5">
        <w:t>accuracy</w:t>
      </w:r>
      <w:r w:rsidR="0050644D">
        <w:t xml:space="preserve"> studies </w:t>
      </w:r>
      <w:r w:rsidR="007E0766">
        <w:t>are</w:t>
      </w:r>
      <w:r w:rsidR="0050644D">
        <w:t xml:space="preserve"> shown in </w:t>
      </w:r>
      <w:r w:rsidR="00BC5DC5">
        <w:fldChar w:fldCharType="begin"/>
      </w:r>
      <w:r w:rsidR="00BC5DC5">
        <w:instrText xml:space="preserve"> REF _Ref454365990 \h </w:instrText>
      </w:r>
      <w:r w:rsidR="00BC5DC5">
        <w:fldChar w:fldCharType="separate"/>
      </w:r>
      <w:r w:rsidR="0029649D">
        <w:t xml:space="preserve">Table </w:t>
      </w:r>
      <w:r w:rsidR="0029649D">
        <w:rPr>
          <w:noProof/>
        </w:rPr>
        <w:t>19</w:t>
      </w:r>
      <w:r w:rsidR="00BC5DC5">
        <w:fldChar w:fldCharType="end"/>
      </w:r>
      <w:r w:rsidR="003F4D1A">
        <w:t xml:space="preserve"> (Population 1)</w:t>
      </w:r>
      <w:r w:rsidR="0050644D">
        <w:t>.</w:t>
      </w:r>
      <w:r w:rsidR="0050644D" w:rsidRPr="006752AD">
        <w:t xml:space="preserve"> </w:t>
      </w:r>
      <w:r w:rsidR="0050644D" w:rsidRPr="00183E4D">
        <w:t xml:space="preserve">A </w:t>
      </w:r>
      <w:r w:rsidR="0050644D">
        <w:t xml:space="preserve">full </w:t>
      </w:r>
      <w:r w:rsidR="0050644D" w:rsidRPr="00183E4D">
        <w:t>profile of each included study is give</w:t>
      </w:r>
      <w:r w:rsidR="0050644D" w:rsidRPr="00142882">
        <w:t xml:space="preserve">n in </w:t>
      </w:r>
      <w:r w:rsidR="0050644D" w:rsidRPr="00142882">
        <w:fldChar w:fldCharType="begin"/>
      </w:r>
      <w:r w:rsidR="0050644D" w:rsidRPr="00142882">
        <w:instrText xml:space="preserve"> REF _Ref364237249 \h  \* MERGEFORMAT </w:instrText>
      </w:r>
      <w:r w:rsidR="0050644D" w:rsidRPr="00142882">
        <w:fldChar w:fldCharType="separate"/>
      </w:r>
      <w:r w:rsidR="0029649D" w:rsidRPr="00183E4D">
        <w:t xml:space="preserve">Appendix </w:t>
      </w:r>
      <w:r w:rsidR="0029649D">
        <w:t>C</w:t>
      </w:r>
      <w:r w:rsidR="0050644D" w:rsidRPr="00142882">
        <w:fldChar w:fldCharType="end"/>
      </w:r>
      <w:r w:rsidR="0050644D" w:rsidRPr="00142882">
        <w:t xml:space="preserve">. </w:t>
      </w:r>
      <w:r w:rsidRPr="00142882">
        <w:t>D</w:t>
      </w:r>
      <w:r>
        <w:t xml:space="preserve">ata were extracted into </w:t>
      </w:r>
      <w:r w:rsidRPr="00E95C28">
        <w:rPr>
          <w:i/>
        </w:rPr>
        <w:t>a priori</w:t>
      </w:r>
      <w:r>
        <w:t xml:space="preserve"> designed extraction templates by a single researcher and data extraction was checked by a second researcher. </w:t>
      </w:r>
      <w:r w:rsidR="0050644D" w:rsidRPr="00CE57A7">
        <w:t>Those</w:t>
      </w:r>
      <w:r w:rsidR="0050644D">
        <w:t xml:space="preserve"> studies which technically met the inclusion criteria, but which were not included in the results section or meta-analyses, are listed in </w:t>
      </w:r>
      <w:r w:rsidR="0050644D">
        <w:fldChar w:fldCharType="begin"/>
      </w:r>
      <w:r w:rsidR="0050644D">
        <w:instrText xml:space="preserve"> REF _Ref364237293 \h </w:instrText>
      </w:r>
      <w:r w:rsidR="0050644D">
        <w:fldChar w:fldCharType="separate"/>
      </w:r>
      <w:r w:rsidR="0029649D" w:rsidRPr="00183E4D">
        <w:t xml:space="preserve">Appendix </w:t>
      </w:r>
      <w:r w:rsidR="0029649D">
        <w:rPr>
          <w:noProof/>
        </w:rPr>
        <w:t>E</w:t>
      </w:r>
      <w:r w:rsidR="0050644D">
        <w:fldChar w:fldCharType="end"/>
      </w:r>
      <w:r w:rsidR="0050644D">
        <w:t>.</w:t>
      </w:r>
      <w:r w:rsidR="00BC2123">
        <w:t xml:space="preserve"> </w:t>
      </w:r>
    </w:p>
    <w:p w14:paraId="30AFECB9" w14:textId="0D7AC519" w:rsidR="0032057D" w:rsidRDefault="00AD2B4E" w:rsidP="009511E5">
      <w:r>
        <w:t>A total of 33</w:t>
      </w:r>
      <w:r w:rsidR="004945A5">
        <w:t xml:space="preserve"> </w:t>
      </w:r>
      <w:r w:rsidR="00512E64">
        <w:t>primary studies</w:t>
      </w:r>
      <w:r>
        <w:t>,</w:t>
      </w:r>
      <w:r w:rsidR="004561E3">
        <w:t xml:space="preserve"> including </w:t>
      </w:r>
      <w:r w:rsidR="00D11207">
        <w:t>6,606</w:t>
      </w:r>
      <w:r w:rsidR="004561E3">
        <w:t xml:space="preserve"> </w:t>
      </w:r>
      <w:r w:rsidR="001A286A">
        <w:t xml:space="preserve">patients, </w:t>
      </w:r>
      <w:r w:rsidR="005C3162">
        <w:t xml:space="preserve">that </w:t>
      </w:r>
      <w:r>
        <w:t xml:space="preserve">assessed </w:t>
      </w:r>
      <w:r w:rsidR="0066172B">
        <w:t>the diagnostic accuracy of mp</w:t>
      </w:r>
      <w:r w:rsidR="004945A5">
        <w:t xml:space="preserve">MRI </w:t>
      </w:r>
      <w:r>
        <w:t>against</w:t>
      </w:r>
      <w:r w:rsidR="004945A5">
        <w:t xml:space="preserve"> prostate biopsy </w:t>
      </w:r>
      <w:r w:rsidR="00617D48">
        <w:t xml:space="preserve">in patients with a concerning PSA or DRE result </w:t>
      </w:r>
      <w:r w:rsidR="004945A5">
        <w:t>were identified</w:t>
      </w:r>
      <w:r w:rsidR="004561E3">
        <w:t xml:space="preserve"> (</w:t>
      </w:r>
      <w:r w:rsidR="00AF5684">
        <w:fldChar w:fldCharType="begin"/>
      </w:r>
      <w:r w:rsidR="00AF5684">
        <w:instrText xml:space="preserve"> REF _Ref454365990 \h </w:instrText>
      </w:r>
      <w:r w:rsidR="00AF5684">
        <w:fldChar w:fldCharType="separate"/>
      </w:r>
      <w:r w:rsidR="0029649D">
        <w:t xml:space="preserve">Table </w:t>
      </w:r>
      <w:r w:rsidR="0029649D">
        <w:rPr>
          <w:noProof/>
        </w:rPr>
        <w:t>19</w:t>
      </w:r>
      <w:r w:rsidR="00AF5684">
        <w:fldChar w:fldCharType="end"/>
      </w:r>
      <w:r w:rsidR="004561E3">
        <w:t>)</w:t>
      </w:r>
      <w:r w:rsidR="00756215">
        <w:t xml:space="preserve"> </w:t>
      </w:r>
      <w:r w:rsidR="008E0B00">
        <w:fldChar w:fldCharType="begin">
          <w:fldData xml:space="preserve">dyBTb3V0aCBXYWxlcywgQXVzdHJhbGlhOyBTY2hvb2wgb2YgTWVkaWNpbmUsIFVuaXZlcnNpdHkg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bG9TIG9uZTwvYWJici0xPjwvYWx0LXBlcmlvZGljYWw+PHBhZ2VzPmUwMTMwMjA3PC9wYWdlcz48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</w:fldData>
        </w:fldChar>
      </w:r>
      <w:r w:rsidR="008E0B00">
        <w:instrText xml:space="preserve"> ADDIN EN.CITE </w:instrText>
      </w:r>
      <w:r w:rsidR="008E0B00">
        <w:fldChar w:fldCharType="begin">
          <w:fldData xml:space="preserve">PEVuZE5vdGU+PENpdGU+PEF1dGhvcj5BYmQtQWxhemVlejwvQXV0aG9yPjxZZWFyPjIwMTQ8L1ll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cGFnZXM+ODY3LTczPC9wYWdlcz48dm9sdW1lPjE5MDwvdm9sdW1lPjxudW1iZXI+MzwvbnVtYmVy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==
</w:fldData>
        </w:fldChar>
      </w:r>
      <w:r w:rsidR="008E0B00">
        <w:instrText xml:space="preserve"> ADDIN EN.CITE.DATA </w:instrText>
      </w:r>
      <w:r w:rsidR="008E0B00">
        <w:fldChar w:fldCharType="end"/>
      </w:r>
      <w:r w:rsidR="008E0B00">
        <w:fldChar w:fldCharType="begin">
          <w:fldData xml:space="preserve">d29yZD48a2V5d29yZD5Qcm9zcGVjdGl2ZSBTdHVkaWVzPC9rZXl3b3JkPjxrZXl3b3JkPlByb3N0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==
</w:fldData>
        </w:fldChar>
      </w:r>
      <w:r w:rsidR="008E0B00">
        <w:instrText xml:space="preserve"> ADDIN EN.CITE.DATA </w:instrText>
      </w:r>
      <w:r w:rsidR="008E0B00">
        <w:fldChar w:fldCharType="end"/>
      </w:r>
      <w:r w:rsidR="008E0B00">
        <w:fldChar w:fldCharType="begin">
          <w:fldData xml:space="preserve">dyBTb3V0aCBXYWxlcywgQXVzdHJhbGlhOyBTY2hvb2wgb2YgTWVkaWNpbmUsIFVuaXZlcnNpdHkg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2" w:tooltip="Abd-Alazeez, 2014 #33" w:history="1">
        <w:r w:rsidR="008E0B00">
          <w:rPr>
            <w:noProof/>
          </w:rPr>
          <w:t>Abd-Alazeez et al. 2014b</w:t>
        </w:r>
      </w:hyperlink>
      <w:r w:rsidR="008E0B00">
        <w:rPr>
          <w:noProof/>
        </w:rPr>
        <w:t xml:space="preserve">; </w:t>
      </w:r>
      <w:hyperlink w:anchor="_ENREF_12" w:tooltip="Baldisserotto, 2016 #34" w:history="1">
        <w:r w:rsidR="008E0B00">
          <w:rPr>
            <w:noProof/>
          </w:rPr>
          <w:t>Baldisserotto et al. 2016</w:t>
        </w:r>
      </w:hyperlink>
      <w:r w:rsidR="008E0B00">
        <w:rPr>
          <w:noProof/>
        </w:rPr>
        <w:t xml:space="preserve">; </w:t>
      </w:r>
      <w:hyperlink w:anchor="_ENREF_15" w:tooltip="Baur, 2016 #66" w:history="1">
        <w:r w:rsidR="008E0B00">
          <w:rPr>
            <w:noProof/>
          </w:rPr>
          <w:t>Baur et al. 2016</w:t>
        </w:r>
      </w:hyperlink>
      <w:r w:rsidR="008E0B00">
        <w:rPr>
          <w:noProof/>
        </w:rPr>
        <w:t xml:space="preserve">; </w:t>
      </w:r>
      <w:hyperlink w:anchor="_ENREF_21" w:tooltip="Busetto, 2013 #36" w:history="1">
        <w:r w:rsidR="008E0B00">
          <w:rPr>
            <w:noProof/>
          </w:rPr>
          <w:t>Busetto et al. 2013</w:t>
        </w:r>
      </w:hyperlink>
      <w:r w:rsidR="008E0B00">
        <w:rPr>
          <w:noProof/>
        </w:rPr>
        <w:t xml:space="preserve">; </w:t>
      </w:r>
      <w:hyperlink w:anchor="_ENREF_36" w:tooltip="De Visschere, 2016 #37" w:history="1">
        <w:r w:rsidR="008E0B00">
          <w:rPr>
            <w:noProof/>
          </w:rPr>
          <w:t>De Visschere et al. 2016</w:t>
        </w:r>
      </w:hyperlink>
      <w:r w:rsidR="008E0B00">
        <w:rPr>
          <w:noProof/>
        </w:rPr>
        <w:t xml:space="preserve">; </w:t>
      </w:r>
      <w:hyperlink w:anchor="_ENREF_37" w:tooltip="Dikaios, 2014 #38" w:history="1">
        <w:r w:rsidR="008E0B00">
          <w:rPr>
            <w:noProof/>
          </w:rPr>
          <w:t>Dikaios et al. 2014</w:t>
        </w:r>
      </w:hyperlink>
      <w:r w:rsidR="008E0B00">
        <w:rPr>
          <w:noProof/>
        </w:rPr>
        <w:t xml:space="preserve">; </w:t>
      </w:r>
      <w:hyperlink w:anchor="_ENREF_49" w:tooltip="Ferda, 2013 #39" w:history="1">
        <w:r w:rsidR="008E0B00">
          <w:rPr>
            <w:noProof/>
          </w:rPr>
          <w:t>Ferda et al. 2013</w:t>
        </w:r>
      </w:hyperlink>
      <w:r w:rsidR="008E0B00">
        <w:rPr>
          <w:noProof/>
        </w:rPr>
        <w:t xml:space="preserve">; </w:t>
      </w:r>
      <w:hyperlink w:anchor="_ENREF_53" w:tooltip="Girometti, 2012 #40" w:history="1">
        <w:r w:rsidR="008E0B00">
          <w:rPr>
            <w:noProof/>
          </w:rPr>
          <w:t>Girometti et al. 2012</w:t>
        </w:r>
      </w:hyperlink>
      <w:r w:rsidR="008E0B00">
        <w:rPr>
          <w:noProof/>
        </w:rPr>
        <w:t xml:space="preserve">; </w:t>
      </w:r>
      <w:hyperlink w:anchor="_ENREF_58" w:tooltip="Haffner, 2011 #41" w:history="1">
        <w:r w:rsidR="008E0B00">
          <w:rPr>
            <w:noProof/>
          </w:rPr>
          <w:t>Haffner et al. 2011</w:t>
        </w:r>
      </w:hyperlink>
      <w:r w:rsidR="008E0B00">
        <w:rPr>
          <w:noProof/>
        </w:rPr>
        <w:t xml:space="preserve">; </w:t>
      </w:r>
      <w:hyperlink w:anchor="_ENREF_60" w:tooltip="Hauth, 2015 #42" w:history="1">
        <w:r w:rsidR="008E0B00">
          <w:rPr>
            <w:noProof/>
          </w:rPr>
          <w:t>Hauth et al. 2015</w:t>
        </w:r>
      </w:hyperlink>
      <w:r w:rsidR="008E0B00">
        <w:rPr>
          <w:noProof/>
        </w:rPr>
        <w:t xml:space="preserve">; </w:t>
      </w:r>
      <w:hyperlink w:anchor="_ENREF_70" w:tooltip="Itatani, 2014 #43" w:history="1">
        <w:r w:rsidR="008E0B00">
          <w:rPr>
            <w:noProof/>
          </w:rPr>
          <w:t>Itatani et al. 2014</w:t>
        </w:r>
      </w:hyperlink>
      <w:r w:rsidR="008E0B00">
        <w:rPr>
          <w:noProof/>
        </w:rPr>
        <w:t xml:space="preserve">; </w:t>
      </w:r>
      <w:hyperlink w:anchor="_ENREF_71" w:tooltip="Jambor, 2014 #44" w:history="1">
        <w:r w:rsidR="008E0B00">
          <w:rPr>
            <w:noProof/>
          </w:rPr>
          <w:t>Jambor et al. 2014</w:t>
        </w:r>
      </w:hyperlink>
      <w:r w:rsidR="008E0B00">
        <w:rPr>
          <w:noProof/>
        </w:rPr>
        <w:t xml:space="preserve">; </w:t>
      </w:r>
      <w:hyperlink w:anchor="_ENREF_78" w:tooltip="Komai, 2013 #45" w:history="1">
        <w:r w:rsidR="008E0B00">
          <w:rPr>
            <w:noProof/>
          </w:rPr>
          <w:t>Komai et al. 2013</w:t>
        </w:r>
      </w:hyperlink>
      <w:r w:rsidR="008E0B00">
        <w:rPr>
          <w:noProof/>
        </w:rPr>
        <w:t xml:space="preserve">; </w:t>
      </w:r>
      <w:hyperlink w:anchor="_ENREF_81" w:tooltip="Lamb, 2015 #46" w:history="1">
        <w:r w:rsidR="008E0B00">
          <w:rPr>
            <w:noProof/>
          </w:rPr>
          <w:t>Lamb et al. 2015</w:t>
        </w:r>
      </w:hyperlink>
      <w:r w:rsidR="008E0B00">
        <w:rPr>
          <w:noProof/>
        </w:rPr>
        <w:t xml:space="preserve">; </w:t>
      </w:r>
      <w:hyperlink w:anchor="_ENREF_85" w:tooltip="Lista, 2015 #47" w:history="1">
        <w:r w:rsidR="008E0B00">
          <w:rPr>
            <w:noProof/>
          </w:rPr>
          <w:t>Lista et al. 2015</w:t>
        </w:r>
      </w:hyperlink>
      <w:r w:rsidR="008E0B00">
        <w:rPr>
          <w:noProof/>
        </w:rPr>
        <w:t xml:space="preserve">; </w:t>
      </w:r>
      <w:hyperlink w:anchor="_ENREF_108" w:tooltip="Panebianco, 2015 #48" w:history="1">
        <w:r w:rsidR="008E0B00">
          <w:rPr>
            <w:noProof/>
          </w:rPr>
          <w:t>Panebianco et al. 2015</w:t>
        </w:r>
      </w:hyperlink>
      <w:r w:rsidR="008E0B00">
        <w:rPr>
          <w:noProof/>
        </w:rPr>
        <w:t xml:space="preserve">; </w:t>
      </w:r>
      <w:hyperlink w:anchor="_ENREF_110" w:tooltip="Pepe, 2014a #49" w:history="1">
        <w:r w:rsidR="008E0B00">
          <w:rPr>
            <w:noProof/>
          </w:rPr>
          <w:t>Pepe et al. 2014a</w:t>
        </w:r>
      </w:hyperlink>
      <w:r w:rsidR="008E0B00">
        <w:rPr>
          <w:noProof/>
        </w:rPr>
        <w:t xml:space="preserve">; </w:t>
      </w:r>
      <w:hyperlink w:anchor="_ENREF_111" w:tooltip="Petrillo, 2014 #50" w:history="1">
        <w:r w:rsidR="008E0B00">
          <w:rPr>
            <w:noProof/>
          </w:rPr>
          <w:t>Petrillo et al. 2014</w:t>
        </w:r>
      </w:hyperlink>
      <w:r w:rsidR="008E0B00">
        <w:rPr>
          <w:noProof/>
        </w:rPr>
        <w:t xml:space="preserve">; </w:t>
      </w:r>
      <w:hyperlink w:anchor="_ENREF_115" w:tooltip="Pokorny, 2014 #51" w:history="1">
        <w:r w:rsidR="008E0B00">
          <w:rPr>
            <w:noProof/>
          </w:rPr>
          <w:t>Pokorny et al. 2014</w:t>
        </w:r>
      </w:hyperlink>
      <w:r w:rsidR="008E0B00">
        <w:rPr>
          <w:noProof/>
        </w:rPr>
        <w:t xml:space="preserve">; </w:t>
      </w:r>
      <w:hyperlink w:anchor="_ENREF_117" w:tooltip="Porpiglia, 2014 #52" w:history="1">
        <w:r w:rsidR="008E0B00">
          <w:rPr>
            <w:noProof/>
          </w:rPr>
          <w:t>Porpiglia et al. 2014</w:t>
        </w:r>
      </w:hyperlink>
      <w:r w:rsidR="008E0B00">
        <w:rPr>
          <w:noProof/>
        </w:rPr>
        <w:t xml:space="preserve">; </w:t>
      </w:r>
      <w:hyperlink w:anchor="_ENREF_126" w:tooltip="Renard-Penna, 2016 #53" w:history="1">
        <w:r w:rsidR="008E0B00">
          <w:rPr>
            <w:noProof/>
          </w:rPr>
          <w:t>Renard-Penna et al. 2016</w:t>
        </w:r>
      </w:hyperlink>
      <w:r w:rsidR="008E0B00">
        <w:rPr>
          <w:noProof/>
        </w:rPr>
        <w:t xml:space="preserve">; </w:t>
      </w:r>
      <w:hyperlink w:anchor="_ENREF_133" w:tooltip="Rosenkrantz, 2013 #54" w:history="1">
        <w:r w:rsidR="008E0B00">
          <w:rPr>
            <w:noProof/>
          </w:rPr>
          <w:t>Rosenkrantz et al. 2013b</w:t>
        </w:r>
      </w:hyperlink>
      <w:r w:rsidR="008E0B00">
        <w:rPr>
          <w:noProof/>
        </w:rPr>
        <w:t xml:space="preserve">; </w:t>
      </w:r>
      <w:hyperlink w:anchor="_ENREF_135" w:tooltip="Rouse, 2011 #55" w:history="1">
        <w:r w:rsidR="008E0B00">
          <w:rPr>
            <w:noProof/>
          </w:rPr>
          <w:t>Rouse et al. 2011</w:t>
        </w:r>
      </w:hyperlink>
      <w:r w:rsidR="008E0B00">
        <w:rPr>
          <w:noProof/>
        </w:rPr>
        <w:t xml:space="preserve">; </w:t>
      </w:r>
      <w:hyperlink w:anchor="_ENREF_159" w:tooltip="Tamada, 2011 #56" w:history="1">
        <w:r w:rsidR="008E0B00">
          <w:rPr>
            <w:noProof/>
          </w:rPr>
          <w:t>Tamada et al. 2011</w:t>
        </w:r>
      </w:hyperlink>
      <w:r w:rsidR="008E0B00">
        <w:rPr>
          <w:noProof/>
        </w:rPr>
        <w:t xml:space="preserve">; </w:t>
      </w:r>
      <w:hyperlink w:anchor="_ENREF_160" w:tooltip="Tanimoto, 2007 #57" w:history="1">
        <w:r w:rsidR="008E0B00">
          <w:rPr>
            <w:noProof/>
          </w:rPr>
          <w:t>Tanimoto et al. 2007</w:t>
        </w:r>
      </w:hyperlink>
      <w:r w:rsidR="008E0B00">
        <w:rPr>
          <w:noProof/>
        </w:rPr>
        <w:t xml:space="preserve">; </w:t>
      </w:r>
      <w:hyperlink w:anchor="_ENREF_161" w:tooltip="Thompson, 2014 #58" w:history="1">
        <w:r w:rsidR="008E0B00">
          <w:rPr>
            <w:noProof/>
          </w:rPr>
          <w:t>Thompson et al. 2014</w:t>
        </w:r>
      </w:hyperlink>
      <w:r w:rsidR="008E0B00">
        <w:rPr>
          <w:noProof/>
        </w:rPr>
        <w:t xml:space="preserve">; </w:t>
      </w:r>
      <w:hyperlink w:anchor="_ENREF_162" w:tooltip="Thompson, 2016 #59" w:history="1">
        <w:r w:rsidR="008E0B00">
          <w:rPr>
            <w:noProof/>
          </w:rPr>
          <w:t>Thompson et al. 2016</w:t>
        </w:r>
      </w:hyperlink>
      <w:r w:rsidR="008E0B00">
        <w:rPr>
          <w:noProof/>
        </w:rPr>
        <w:t xml:space="preserve">; </w:t>
      </w:r>
      <w:hyperlink w:anchor="_ENREF_164" w:tooltip="Tonttila, 2016 #60" w:history="1">
        <w:r w:rsidR="008E0B00">
          <w:rPr>
            <w:noProof/>
          </w:rPr>
          <w:t>Tonttila et al. 2016</w:t>
        </w:r>
      </w:hyperlink>
      <w:r w:rsidR="008E0B00">
        <w:rPr>
          <w:noProof/>
        </w:rPr>
        <w:t xml:space="preserve">; </w:t>
      </w:r>
      <w:hyperlink w:anchor="_ENREF_171" w:tooltip="Vilanova, 2011 #61" w:history="1">
        <w:r w:rsidR="008E0B00">
          <w:rPr>
            <w:noProof/>
          </w:rPr>
          <w:t>Vilanova et al. 2011</w:t>
        </w:r>
      </w:hyperlink>
      <w:r w:rsidR="008E0B00">
        <w:rPr>
          <w:noProof/>
        </w:rPr>
        <w:t xml:space="preserve">; </w:t>
      </w:r>
      <w:hyperlink w:anchor="_ENREF_175" w:tooltip="Wang, 2015 #62" w:history="1">
        <w:r w:rsidR="008E0B00">
          <w:rPr>
            <w:noProof/>
          </w:rPr>
          <w:t>Wang et al. 2015</w:t>
        </w:r>
      </w:hyperlink>
      <w:r w:rsidR="008E0B00">
        <w:rPr>
          <w:noProof/>
        </w:rPr>
        <w:t xml:space="preserve">; </w:t>
      </w:r>
      <w:hyperlink w:anchor="_ENREF_177" w:tooltip="Washino, 2016 #63" w:history="1">
        <w:r w:rsidR="008E0B00">
          <w:rPr>
            <w:noProof/>
          </w:rPr>
          <w:t>Washino et al. 2016</w:t>
        </w:r>
      </w:hyperlink>
      <w:r w:rsidR="008E0B00">
        <w:rPr>
          <w:noProof/>
        </w:rPr>
        <w:t xml:space="preserve">; </w:t>
      </w:r>
      <w:hyperlink w:anchor="_ENREF_182" w:tooltip="Wysock, 2016 #64" w:history="1">
        <w:r w:rsidR="008E0B00">
          <w:rPr>
            <w:noProof/>
          </w:rPr>
          <w:t>Wysock et al. 2016</w:t>
        </w:r>
      </w:hyperlink>
      <w:r w:rsidR="008E0B00">
        <w:rPr>
          <w:noProof/>
        </w:rPr>
        <w:t xml:space="preserve">; </w:t>
      </w:r>
      <w:hyperlink w:anchor="_ENREF_187" w:tooltip="Zhao, 2016 #65" w:history="1">
        <w:r w:rsidR="008E0B00">
          <w:rPr>
            <w:noProof/>
          </w:rPr>
          <w:t>Zhao et al. 2016</w:t>
        </w:r>
      </w:hyperlink>
      <w:r w:rsidR="008E0B00">
        <w:rPr>
          <w:noProof/>
        </w:rPr>
        <w:t>)</w:t>
      </w:r>
      <w:r w:rsidR="008E0B00">
        <w:fldChar w:fldCharType="end"/>
      </w:r>
      <w:r w:rsidR="004945A5">
        <w:t xml:space="preserve">. </w:t>
      </w:r>
      <w:bookmarkStart w:id="281" w:name="_Ref418589267"/>
      <w:bookmarkStart w:id="282" w:name="_Ref418589262"/>
      <w:r w:rsidR="0032057D">
        <w:t>A profile of each included study is provided in Appendix C.</w:t>
      </w:r>
    </w:p>
    <w:p w14:paraId="64F85ED0" w14:textId="117AB1BC" w:rsidR="00AF5684" w:rsidRDefault="0032057D" w:rsidP="009511E5">
      <w:r>
        <w:t>To</w:t>
      </w:r>
      <w:r w:rsidR="00BC5DC5">
        <w:t xml:space="preserve"> avoid any threshold effects from influencing the results, studies were </w:t>
      </w:r>
      <w:r w:rsidR="00352F3A">
        <w:t xml:space="preserve">pooled </w:t>
      </w:r>
      <w:r w:rsidR="00BC5DC5">
        <w:t xml:space="preserve">according to whether a PI-RADS threshold of ≥4 </w:t>
      </w:r>
      <w:r>
        <w:t>was used</w:t>
      </w:r>
      <w:r w:rsidR="00352F3A">
        <w:t xml:space="preserve"> (or calculable)</w:t>
      </w:r>
      <w:r>
        <w:t xml:space="preserve"> </w:t>
      </w:r>
      <w:r w:rsidR="00BC5DC5">
        <w:t xml:space="preserve">to signify a positive result. </w:t>
      </w:r>
      <w:r w:rsidR="00352F3A">
        <w:t xml:space="preserve">Studies where </w:t>
      </w:r>
      <w:r w:rsidR="000D6A64">
        <w:t>only data using</w:t>
      </w:r>
      <w:r w:rsidR="00352F3A">
        <w:t xml:space="preserve"> P</w:t>
      </w:r>
      <w:r w:rsidR="005C6BD2">
        <w:t>I</w:t>
      </w:r>
      <w:r w:rsidR="00352F3A">
        <w:t xml:space="preserve">-RADs ≥3 threshold was </w:t>
      </w:r>
      <w:r w:rsidR="000D6A64">
        <w:t>available</w:t>
      </w:r>
      <w:r w:rsidR="00352F3A">
        <w:t xml:space="preserve"> were </w:t>
      </w:r>
      <w:r w:rsidR="002351F0">
        <w:t>grouped;</w:t>
      </w:r>
      <w:r w:rsidR="00352F3A">
        <w:t xml:space="preserve"> similarly s</w:t>
      </w:r>
      <w:r w:rsidR="00BC5DC5">
        <w:t xml:space="preserve">tudies where the threshold was not reported or </w:t>
      </w:r>
      <w:r w:rsidR="00352F3A">
        <w:t>where the</w:t>
      </w:r>
      <w:r w:rsidR="00BC5DC5">
        <w:t xml:space="preserve"> PI</w:t>
      </w:r>
      <w:r w:rsidR="00350AF1">
        <w:t>-</w:t>
      </w:r>
      <w:r w:rsidR="00BC5DC5">
        <w:t xml:space="preserve">RADS </w:t>
      </w:r>
      <w:r w:rsidR="00352F3A">
        <w:t xml:space="preserve">system was not used </w:t>
      </w:r>
      <w:r w:rsidR="00BC5DC5">
        <w:t>were</w:t>
      </w:r>
      <w:r w:rsidR="00352F3A">
        <w:t xml:space="preserve"> also reported separately</w:t>
      </w:r>
      <w:r w:rsidR="00BC5DC5">
        <w:t xml:space="preserve">. Only studies using a PI-RADS threshold of ≥4, consistent with the proposed usage of </w:t>
      </w:r>
      <w:r w:rsidR="00BC5DC5">
        <w:lastRenderedPageBreak/>
        <w:t xml:space="preserve">mpMRI detailed </w:t>
      </w:r>
      <w:r w:rsidR="00357778">
        <w:t>in</w:t>
      </w:r>
      <w:r w:rsidR="00BC5DC5">
        <w:t xml:space="preserve"> the </w:t>
      </w:r>
      <w:r w:rsidR="00352F3A">
        <w:t>P</w:t>
      </w:r>
      <w:r w:rsidR="00BC5DC5">
        <w:t xml:space="preserve">rotocol have been </w:t>
      </w:r>
      <w:r w:rsidR="00352F3A">
        <w:t>used to inform the</w:t>
      </w:r>
      <w:r w:rsidR="00BC5DC5">
        <w:t xml:space="preserve"> diagnostic performance, clinical utility </w:t>
      </w:r>
      <w:r w:rsidR="00352F3A">
        <w:t>and</w:t>
      </w:r>
      <w:r w:rsidR="00125600">
        <w:t xml:space="preserve"> </w:t>
      </w:r>
      <w:r w:rsidR="00BC5DC5">
        <w:t xml:space="preserve">economic analyses. Results on the diagnostic accuracy of </w:t>
      </w:r>
      <w:r w:rsidR="00125600">
        <w:t>studies not using a PI-RADS ≥4 threshold are reported in</w:t>
      </w:r>
      <w:r w:rsidR="00BC5DC5">
        <w:t xml:space="preserve"> </w:t>
      </w:r>
      <w:r w:rsidR="00BC5DC5" w:rsidRPr="00142882">
        <w:t xml:space="preserve">Appendix </w:t>
      </w:r>
      <w:r w:rsidR="00A67E0F">
        <w:t>G</w:t>
      </w:r>
      <w:r w:rsidR="00BC5DC5">
        <w:t xml:space="preserve">. </w:t>
      </w:r>
    </w:p>
    <w:p w14:paraId="14B35DE4" w14:textId="16844521" w:rsidR="00E75B21" w:rsidRDefault="00617D48" w:rsidP="00617D48">
      <w:r>
        <w:t xml:space="preserve">Including only studies using the PI-RADS ≥4 </w:t>
      </w:r>
      <w:r w:rsidR="00BD46A1">
        <w:t>threshold,</w:t>
      </w:r>
      <w:r>
        <w:t xml:space="preserve"> </w:t>
      </w:r>
      <w:r w:rsidR="00C728D5">
        <w:t>11</w:t>
      </w:r>
      <w:r>
        <w:t xml:space="preserve"> studies including </w:t>
      </w:r>
      <w:r w:rsidR="00C728D5">
        <w:t>2,116</w:t>
      </w:r>
      <w:r>
        <w:t xml:space="preserve"> patients were identified</w:t>
      </w:r>
      <w:r w:rsidR="00DD5E5B">
        <w:t xml:space="preserve"> for Population 1</w:t>
      </w:r>
      <w:r w:rsidR="00756215">
        <w:t xml:space="preserve"> </w:t>
      </w:r>
      <w:r w:rsidR="008E0B00">
        <w:fldChar w:fldCharType="begin">
          <w:fldData xml:space="preserve">PEVuZE5vdGU+PENpdGU+PEF1dGhvcj5BYmQtQWxhemVlejwvQXV0aG9yPjxZZWFyPjIwMTQ8L1ll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PHBhZ2VzPmUwMTMwMjA3PC9wYWdlcz48dm9sdW1lPjEwPC92b2x1bWU+PG51bWJlcj42PC9udW1i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</w:fldData>
        </w:fldChar>
      </w:r>
      <w:r w:rsidR="008E0B00">
        <w:instrText xml:space="preserve"> ADDIN EN.CITE </w:instrText>
      </w:r>
      <w:r w:rsidR="008E0B00">
        <w:fldChar w:fldCharType="begin">
          <w:fldData xml:space="preserve">PEVuZE5vdGU+PENpdGU+PEF1dGhvcj5BYmQtQWxhemVlejwvQXV0aG9yPjxZZWFyPjIwMTQ8L1ll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</w:fldData>
        </w:fldChar>
      </w:r>
      <w:r w:rsidR="008E0B00">
        <w:instrText xml:space="preserve"> ADDIN EN.CITE.DATA </w:instrText>
      </w:r>
      <w:r w:rsidR="008E0B00">
        <w:fldChar w:fldCharType="end"/>
      </w:r>
      <w:r w:rsidR="008E0B00">
        <w:fldChar w:fldCharType="separate"/>
      </w:r>
      <w:r w:rsidR="008E0B00">
        <w:rPr>
          <w:noProof/>
        </w:rPr>
        <w:t>(</w:t>
      </w:r>
      <w:hyperlink w:anchor="_ENREF_2" w:tooltip="Abd-Alazeez, 2014 #33" w:history="1">
        <w:r w:rsidR="008E0B00">
          <w:rPr>
            <w:noProof/>
          </w:rPr>
          <w:t>Abd-Alazeez et al. 2014b</w:t>
        </w:r>
      </w:hyperlink>
      <w:r w:rsidR="008E0B00">
        <w:rPr>
          <w:noProof/>
        </w:rPr>
        <w:t xml:space="preserve">; </w:t>
      </w:r>
      <w:hyperlink w:anchor="_ENREF_12" w:tooltip="Baldisserotto, 2016 #34" w:history="1">
        <w:r w:rsidR="008E0B00">
          <w:rPr>
            <w:noProof/>
          </w:rPr>
          <w:t>Baldisserotto et al. 2016</w:t>
        </w:r>
      </w:hyperlink>
      <w:r w:rsidR="008E0B00">
        <w:rPr>
          <w:noProof/>
        </w:rPr>
        <w:t xml:space="preserve">; </w:t>
      </w:r>
      <w:hyperlink w:anchor="_ENREF_15" w:tooltip="Baur, 2016 #66" w:history="1">
        <w:r w:rsidR="008E0B00">
          <w:rPr>
            <w:noProof/>
          </w:rPr>
          <w:t>Baur et al. 2016</w:t>
        </w:r>
      </w:hyperlink>
      <w:r w:rsidR="008E0B00">
        <w:rPr>
          <w:noProof/>
        </w:rPr>
        <w:t xml:space="preserve">; </w:t>
      </w:r>
      <w:hyperlink w:anchor="_ENREF_37" w:tooltip="Dikaios, 2014 #38" w:history="1">
        <w:r w:rsidR="008E0B00">
          <w:rPr>
            <w:noProof/>
          </w:rPr>
          <w:t>Dikaios et al. 2014</w:t>
        </w:r>
      </w:hyperlink>
      <w:r w:rsidR="008E0B00">
        <w:rPr>
          <w:noProof/>
        </w:rPr>
        <w:t xml:space="preserve">; </w:t>
      </w:r>
      <w:hyperlink w:anchor="_ENREF_71" w:tooltip="Jambor, 2014 #44" w:history="1">
        <w:r w:rsidR="008E0B00">
          <w:rPr>
            <w:noProof/>
          </w:rPr>
          <w:t>Jambor et al. 2014</w:t>
        </w:r>
      </w:hyperlink>
      <w:r w:rsidR="008E0B00">
        <w:rPr>
          <w:noProof/>
        </w:rPr>
        <w:t xml:space="preserve">; </w:t>
      </w:r>
      <w:hyperlink w:anchor="_ENREF_85" w:tooltip="Lista, 2015 #47" w:history="1">
        <w:r w:rsidR="008E0B00">
          <w:rPr>
            <w:noProof/>
          </w:rPr>
          <w:t>Lista et al. 2015</w:t>
        </w:r>
      </w:hyperlink>
      <w:r w:rsidR="008E0B00">
        <w:rPr>
          <w:noProof/>
        </w:rPr>
        <w:t xml:space="preserve">; </w:t>
      </w:r>
      <w:hyperlink w:anchor="_ENREF_115" w:tooltip="Pokorny, 2014 #51" w:history="1">
        <w:r w:rsidR="008E0B00">
          <w:rPr>
            <w:noProof/>
          </w:rPr>
          <w:t>Pokorny et al. 2014</w:t>
        </w:r>
      </w:hyperlink>
      <w:r w:rsidR="008E0B00">
        <w:rPr>
          <w:noProof/>
        </w:rPr>
        <w:t xml:space="preserve">; </w:t>
      </w:r>
      <w:hyperlink w:anchor="_ENREF_161" w:tooltip="Thompson, 2014 #58" w:history="1">
        <w:r w:rsidR="008E0B00">
          <w:rPr>
            <w:noProof/>
          </w:rPr>
          <w:t>Thompson et al. 2014</w:t>
        </w:r>
      </w:hyperlink>
      <w:r w:rsidR="008E0B00">
        <w:rPr>
          <w:noProof/>
        </w:rPr>
        <w:t xml:space="preserve">; </w:t>
      </w:r>
      <w:hyperlink w:anchor="_ENREF_162" w:tooltip="Thompson, 2016 #59" w:history="1">
        <w:r w:rsidR="008E0B00">
          <w:rPr>
            <w:noProof/>
          </w:rPr>
          <w:t>Thompson et al. 2016</w:t>
        </w:r>
      </w:hyperlink>
      <w:r w:rsidR="008E0B00">
        <w:rPr>
          <w:noProof/>
        </w:rPr>
        <w:t xml:space="preserve">; </w:t>
      </w:r>
      <w:hyperlink w:anchor="_ENREF_175" w:tooltip="Wang, 2015 #62" w:history="1">
        <w:r w:rsidR="008E0B00">
          <w:rPr>
            <w:noProof/>
          </w:rPr>
          <w:t>Wang et al. 2015</w:t>
        </w:r>
      </w:hyperlink>
      <w:r w:rsidR="008E0B00">
        <w:rPr>
          <w:noProof/>
        </w:rPr>
        <w:t xml:space="preserve">; </w:t>
      </w:r>
      <w:hyperlink w:anchor="_ENREF_187" w:tooltip="Zhao, 2016 #65" w:history="1">
        <w:r w:rsidR="008E0B00">
          <w:rPr>
            <w:noProof/>
          </w:rPr>
          <w:t>Zhao et al. 2016</w:t>
        </w:r>
      </w:hyperlink>
      <w:r w:rsidR="008E0B00">
        <w:rPr>
          <w:noProof/>
        </w:rPr>
        <w:t>)</w:t>
      </w:r>
      <w:r w:rsidR="008E0B00">
        <w:fldChar w:fldCharType="end"/>
      </w:r>
      <w:r w:rsidR="00E75B21">
        <w:t xml:space="preserve">. </w:t>
      </w:r>
    </w:p>
    <w:p w14:paraId="4C8CFA11" w14:textId="70222413" w:rsidR="0050644D" w:rsidRPr="00466B3D" w:rsidRDefault="00AF5684" w:rsidP="00466B3D">
      <w:pPr>
        <w:pStyle w:val="Caption"/>
      </w:pPr>
      <w:bookmarkStart w:id="283" w:name="_Ref454365990"/>
      <w:bookmarkStart w:id="284" w:name="_Toc460514519"/>
      <w:bookmarkEnd w:id="281"/>
      <w:r>
        <w:t xml:space="preserve">Table </w:t>
      </w:r>
      <w:fldSimple w:instr=" SEQ Table \* ARABIC ">
        <w:r w:rsidR="0029649D">
          <w:rPr>
            <w:noProof/>
          </w:rPr>
          <w:t>19</w:t>
        </w:r>
      </w:fldSimple>
      <w:bookmarkEnd w:id="283"/>
      <w:r w:rsidR="0050644D" w:rsidRPr="00183E4D">
        <w:tab/>
      </w:r>
      <w:r w:rsidR="0050644D" w:rsidRPr="00466B3D">
        <w:t xml:space="preserve">Key features of the included evidence comparing </w:t>
      </w:r>
      <w:r w:rsidR="00CA65D4" w:rsidRPr="00466B3D">
        <w:t>mp</w:t>
      </w:r>
      <w:r w:rsidR="003F4D1A" w:rsidRPr="00466B3D">
        <w:t xml:space="preserve">MRI </w:t>
      </w:r>
      <w:r w:rsidR="0050644D" w:rsidRPr="00466B3D">
        <w:t xml:space="preserve">against </w:t>
      </w:r>
      <w:bookmarkEnd w:id="282"/>
      <w:r w:rsidR="003F4D1A" w:rsidRPr="00466B3D">
        <w:t>prostate biopsy in Population 1</w:t>
      </w:r>
      <w:bookmarkEnd w:id="284"/>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513"/>
        <w:gridCol w:w="1159"/>
        <w:gridCol w:w="1503"/>
        <w:gridCol w:w="1336"/>
        <w:gridCol w:w="1943"/>
        <w:gridCol w:w="1658"/>
      </w:tblGrid>
      <w:tr w:rsidR="00512E64" w:rsidRPr="002A0ACD" w14:paraId="3E709ADB" w14:textId="77777777" w:rsidTr="002A0ACD">
        <w:trPr>
          <w:cantSplit/>
          <w:trHeight w:val="397"/>
          <w:tblHeader/>
        </w:trPr>
        <w:tc>
          <w:tcPr>
            <w:tcW w:w="830" w:type="pct"/>
            <w:shd w:val="clear" w:color="auto" w:fill="auto"/>
          </w:tcPr>
          <w:p w14:paraId="57624799" w14:textId="77777777" w:rsidR="00512E64" w:rsidRPr="002A0ACD" w:rsidRDefault="00512E64" w:rsidP="003B65CF">
            <w:pPr>
              <w:pStyle w:val="Tableheading1"/>
              <w:rPr>
                <w:snapToGrid w:val="0"/>
              </w:rPr>
            </w:pPr>
            <w:r w:rsidRPr="002A0ACD">
              <w:rPr>
                <w:snapToGrid w:val="0"/>
              </w:rPr>
              <w:t>Trial/Study</w:t>
            </w:r>
          </w:p>
        </w:tc>
        <w:tc>
          <w:tcPr>
            <w:tcW w:w="636" w:type="pct"/>
            <w:shd w:val="clear" w:color="auto" w:fill="auto"/>
          </w:tcPr>
          <w:p w14:paraId="7061A839" w14:textId="1CCBA37D" w:rsidR="00512E64" w:rsidRPr="002A0ACD" w:rsidRDefault="002A0ACD" w:rsidP="003B65CF">
            <w:pPr>
              <w:pStyle w:val="Tableheading1"/>
              <w:rPr>
                <w:snapToGrid w:val="0"/>
              </w:rPr>
            </w:pPr>
            <w:r>
              <w:rPr>
                <w:snapToGrid w:val="0"/>
              </w:rPr>
              <w:t>n</w:t>
            </w:r>
          </w:p>
        </w:tc>
        <w:tc>
          <w:tcPr>
            <w:tcW w:w="825" w:type="pct"/>
            <w:shd w:val="clear" w:color="auto" w:fill="auto"/>
          </w:tcPr>
          <w:p w14:paraId="6D7F8545" w14:textId="77777777" w:rsidR="00512E64" w:rsidRPr="002A0ACD" w:rsidRDefault="00512E64" w:rsidP="003B65CF">
            <w:pPr>
              <w:pStyle w:val="Tableheading1"/>
              <w:rPr>
                <w:snapToGrid w:val="0"/>
                <w:vertAlign w:val="superscript"/>
              </w:rPr>
            </w:pPr>
            <w:r w:rsidRPr="002A0ACD">
              <w:rPr>
                <w:snapToGrid w:val="0"/>
              </w:rPr>
              <w:t>Level of evidence</w:t>
            </w:r>
            <w:r w:rsidR="00F35CAB" w:rsidRPr="002A0ACD">
              <w:rPr>
                <w:snapToGrid w:val="0"/>
                <w:vertAlign w:val="superscript"/>
              </w:rPr>
              <w:t>a</w:t>
            </w:r>
          </w:p>
        </w:tc>
        <w:tc>
          <w:tcPr>
            <w:tcW w:w="733" w:type="pct"/>
            <w:shd w:val="clear" w:color="auto" w:fill="auto"/>
          </w:tcPr>
          <w:p w14:paraId="50289DEE" w14:textId="77777777" w:rsidR="00512E64" w:rsidRPr="002A0ACD" w:rsidRDefault="00512E64" w:rsidP="003B65CF">
            <w:pPr>
              <w:pStyle w:val="Tableheading1"/>
              <w:rPr>
                <w:snapToGrid w:val="0"/>
                <w:vertAlign w:val="superscript"/>
              </w:rPr>
            </w:pPr>
            <w:r w:rsidRPr="002A0ACD">
              <w:rPr>
                <w:snapToGrid w:val="0"/>
              </w:rPr>
              <w:t>Risk of bias</w:t>
            </w:r>
            <w:r w:rsidR="00F35CAB" w:rsidRPr="002A0ACD">
              <w:rPr>
                <w:snapToGrid w:val="0"/>
                <w:vertAlign w:val="superscript"/>
              </w:rPr>
              <w:t>b</w:t>
            </w:r>
          </w:p>
        </w:tc>
        <w:tc>
          <w:tcPr>
            <w:tcW w:w="1066" w:type="pct"/>
            <w:shd w:val="clear" w:color="auto" w:fill="auto"/>
          </w:tcPr>
          <w:p w14:paraId="413F82A9" w14:textId="77777777" w:rsidR="00512E64" w:rsidRPr="002A0ACD" w:rsidRDefault="00512E64" w:rsidP="003B65CF">
            <w:pPr>
              <w:pStyle w:val="Tableheading1"/>
              <w:rPr>
                <w:snapToGrid w:val="0"/>
                <w:vertAlign w:val="superscript"/>
              </w:rPr>
            </w:pPr>
            <w:r w:rsidRPr="002A0ACD">
              <w:rPr>
                <w:snapToGrid w:val="0"/>
              </w:rPr>
              <w:t>Key outcome(s)</w:t>
            </w:r>
            <w:r w:rsidR="00F35CAB" w:rsidRPr="002A0ACD">
              <w:rPr>
                <w:snapToGrid w:val="0"/>
                <w:vertAlign w:val="superscript"/>
              </w:rPr>
              <w:t>c</w:t>
            </w:r>
          </w:p>
        </w:tc>
        <w:tc>
          <w:tcPr>
            <w:tcW w:w="910" w:type="pct"/>
            <w:shd w:val="clear" w:color="auto" w:fill="auto"/>
          </w:tcPr>
          <w:p w14:paraId="3C846702" w14:textId="77777777" w:rsidR="00512E64" w:rsidRPr="002A0ACD" w:rsidRDefault="00512E64" w:rsidP="003B65CF">
            <w:pPr>
              <w:pStyle w:val="Tableheading1"/>
              <w:rPr>
                <w:snapToGrid w:val="0"/>
                <w:vertAlign w:val="superscript"/>
              </w:rPr>
            </w:pPr>
            <w:r w:rsidRPr="002A0ACD">
              <w:rPr>
                <w:snapToGrid w:val="0"/>
              </w:rPr>
              <w:t>Result used in meta-analysis</w:t>
            </w:r>
            <w:r w:rsidR="00F35CAB" w:rsidRPr="002A0ACD">
              <w:rPr>
                <w:snapToGrid w:val="0"/>
                <w:vertAlign w:val="superscript"/>
              </w:rPr>
              <w:t>d</w:t>
            </w:r>
          </w:p>
        </w:tc>
      </w:tr>
      <w:tr w:rsidR="006E08C2" w:rsidRPr="008A23B2" w14:paraId="0BCB8ECB" w14:textId="77777777" w:rsidTr="002A0ACD">
        <w:trPr>
          <w:cantSplit/>
          <w:trHeight w:val="397"/>
        </w:trPr>
        <w:tc>
          <w:tcPr>
            <w:tcW w:w="830" w:type="pct"/>
            <w:shd w:val="clear" w:color="auto" w:fill="auto"/>
          </w:tcPr>
          <w:p w14:paraId="00F1A951" w14:textId="0C60EF3A" w:rsidR="006E08C2" w:rsidRPr="008A23B2" w:rsidRDefault="006E08C2" w:rsidP="003B65CF">
            <w:pPr>
              <w:pStyle w:val="Tabletext1"/>
              <w:rPr>
                <w:snapToGrid w:val="0"/>
              </w:rPr>
            </w:pPr>
            <w:r w:rsidRPr="008A23B2">
              <w:t xml:space="preserve">Abd-Alazeez et al. </w:t>
            </w:r>
            <w:r w:rsidR="00756215">
              <w:t>(2014)</w:t>
            </w:r>
          </w:p>
        </w:tc>
        <w:tc>
          <w:tcPr>
            <w:tcW w:w="636" w:type="pct"/>
            <w:shd w:val="clear" w:color="auto" w:fill="auto"/>
          </w:tcPr>
          <w:p w14:paraId="51F92F2A" w14:textId="77777777" w:rsidR="006E08C2" w:rsidRPr="008A23B2" w:rsidRDefault="006E08C2" w:rsidP="003B65CF">
            <w:pPr>
              <w:pStyle w:val="Tabletext1"/>
              <w:rPr>
                <w:snapToGrid w:val="0"/>
              </w:rPr>
            </w:pPr>
            <w:r w:rsidRPr="000E3144">
              <w:rPr>
                <w:snapToGrid w:val="0"/>
              </w:rPr>
              <w:t>54</w:t>
            </w:r>
          </w:p>
        </w:tc>
        <w:tc>
          <w:tcPr>
            <w:tcW w:w="825" w:type="pct"/>
            <w:shd w:val="clear" w:color="auto" w:fill="auto"/>
          </w:tcPr>
          <w:p w14:paraId="5F933493" w14:textId="77777777" w:rsidR="006E08C2" w:rsidRPr="008A23B2" w:rsidRDefault="006E08C2" w:rsidP="003B65CF">
            <w:pPr>
              <w:pStyle w:val="Tabletext1"/>
              <w:rPr>
                <w:snapToGrid w:val="0"/>
              </w:rPr>
            </w:pPr>
            <w:r w:rsidRPr="000E3144">
              <w:rPr>
                <w:snapToGrid w:val="0"/>
              </w:rPr>
              <w:t>III-2</w:t>
            </w:r>
          </w:p>
        </w:tc>
        <w:tc>
          <w:tcPr>
            <w:tcW w:w="733" w:type="pct"/>
            <w:shd w:val="clear" w:color="auto" w:fill="auto"/>
          </w:tcPr>
          <w:p w14:paraId="2D54DA4C" w14:textId="77777777" w:rsidR="006E08C2" w:rsidRPr="008A23B2" w:rsidRDefault="006E08C2" w:rsidP="003B65CF">
            <w:pPr>
              <w:pStyle w:val="Tabletext1"/>
              <w:rPr>
                <w:snapToGrid w:val="0"/>
              </w:rPr>
            </w:pPr>
            <w:r w:rsidRPr="000E3144">
              <w:rPr>
                <w:snapToGrid w:val="0"/>
              </w:rPr>
              <w:t>Unclear</w:t>
            </w:r>
          </w:p>
        </w:tc>
        <w:tc>
          <w:tcPr>
            <w:tcW w:w="1066" w:type="pct"/>
            <w:shd w:val="clear" w:color="auto" w:fill="auto"/>
          </w:tcPr>
          <w:p w14:paraId="2B4768DB" w14:textId="77777777" w:rsidR="006E08C2" w:rsidRPr="008A23B2" w:rsidRDefault="006E08C2" w:rsidP="003B65CF">
            <w:pPr>
              <w:pStyle w:val="Tabletext1"/>
              <w:rPr>
                <w:snapToGrid w:val="0"/>
              </w:rPr>
            </w:pPr>
            <w:r w:rsidRPr="000E3144">
              <w:rPr>
                <w:snapToGrid w:val="0"/>
              </w:rPr>
              <w:t>TP, TN, FP, FN</w:t>
            </w:r>
          </w:p>
        </w:tc>
        <w:tc>
          <w:tcPr>
            <w:tcW w:w="910" w:type="pct"/>
            <w:shd w:val="clear" w:color="auto" w:fill="auto"/>
          </w:tcPr>
          <w:p w14:paraId="6D8E6BD4" w14:textId="5BE17B47" w:rsidR="006E08C2" w:rsidRPr="008A23B2" w:rsidRDefault="006E08C2" w:rsidP="003B65CF">
            <w:pPr>
              <w:pStyle w:val="Tabletext1"/>
              <w:rPr>
                <w:snapToGrid w:val="0"/>
              </w:rPr>
            </w:pPr>
            <w:r w:rsidRPr="008A23B2">
              <w:rPr>
                <w:snapToGrid w:val="0"/>
              </w:rPr>
              <w:t>Not used</w:t>
            </w:r>
            <w:r w:rsidR="004B5171">
              <w:rPr>
                <w:snapToGrid w:val="0"/>
              </w:rPr>
              <w:t xml:space="preserve">, </w:t>
            </w:r>
            <w:r w:rsidR="00D311ED">
              <w:rPr>
                <w:snapToGrid w:val="0"/>
              </w:rPr>
              <w:t>per-patient</w:t>
            </w:r>
            <w:r w:rsidRPr="000E3144">
              <w:rPr>
                <w:snapToGrid w:val="0"/>
              </w:rPr>
              <w:t xml:space="preserve"> analysis </w:t>
            </w:r>
            <w:r w:rsidR="00DB69EF">
              <w:rPr>
                <w:snapToGrid w:val="0"/>
              </w:rPr>
              <w:t>not available</w:t>
            </w:r>
          </w:p>
        </w:tc>
      </w:tr>
      <w:tr w:rsidR="006E08C2" w:rsidRPr="008A23B2" w14:paraId="5CE37E25" w14:textId="77777777" w:rsidTr="002A0ACD">
        <w:trPr>
          <w:cantSplit/>
          <w:trHeight w:val="397"/>
        </w:trPr>
        <w:tc>
          <w:tcPr>
            <w:tcW w:w="830" w:type="pct"/>
            <w:shd w:val="clear" w:color="auto" w:fill="auto"/>
          </w:tcPr>
          <w:p w14:paraId="1B31AF15" w14:textId="0A24A94D" w:rsidR="006E08C2" w:rsidRPr="008A23B2" w:rsidRDefault="006E08C2" w:rsidP="003B65CF">
            <w:pPr>
              <w:pStyle w:val="Tabletext1"/>
              <w:rPr>
                <w:snapToGrid w:val="0"/>
              </w:rPr>
            </w:pPr>
            <w:r w:rsidRPr="008A23B2">
              <w:t>Baldisserotto et al. (2016)</w:t>
            </w:r>
          </w:p>
        </w:tc>
        <w:tc>
          <w:tcPr>
            <w:tcW w:w="636" w:type="pct"/>
            <w:shd w:val="clear" w:color="auto" w:fill="auto"/>
          </w:tcPr>
          <w:p w14:paraId="5C1667FB" w14:textId="77777777" w:rsidR="006E08C2" w:rsidRPr="008A23B2" w:rsidRDefault="000E3144" w:rsidP="003B65CF">
            <w:pPr>
              <w:pStyle w:val="Tabletext1"/>
              <w:rPr>
                <w:snapToGrid w:val="0"/>
              </w:rPr>
            </w:pPr>
            <w:r>
              <w:rPr>
                <w:snapToGrid w:val="0"/>
              </w:rPr>
              <w:t>54</w:t>
            </w:r>
          </w:p>
        </w:tc>
        <w:tc>
          <w:tcPr>
            <w:tcW w:w="825" w:type="pct"/>
            <w:shd w:val="clear" w:color="auto" w:fill="auto"/>
          </w:tcPr>
          <w:p w14:paraId="62A00097" w14:textId="77777777" w:rsidR="006E08C2" w:rsidRPr="008A23B2" w:rsidRDefault="000E3144" w:rsidP="003B65CF">
            <w:pPr>
              <w:pStyle w:val="Tabletext1"/>
              <w:rPr>
                <w:snapToGrid w:val="0"/>
              </w:rPr>
            </w:pPr>
            <w:r>
              <w:rPr>
                <w:snapToGrid w:val="0"/>
              </w:rPr>
              <w:t>III-2</w:t>
            </w:r>
          </w:p>
        </w:tc>
        <w:tc>
          <w:tcPr>
            <w:tcW w:w="733" w:type="pct"/>
            <w:shd w:val="clear" w:color="auto" w:fill="auto"/>
          </w:tcPr>
          <w:p w14:paraId="2F439D17"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4FEE34FA"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00732873" w14:textId="77777777" w:rsidR="006E08C2" w:rsidRPr="008A23B2" w:rsidRDefault="000E3144" w:rsidP="003B65CF">
            <w:pPr>
              <w:pStyle w:val="Tabletext1"/>
              <w:rPr>
                <w:snapToGrid w:val="0"/>
              </w:rPr>
            </w:pPr>
            <w:r w:rsidRPr="008A23B2">
              <w:rPr>
                <w:snapToGrid w:val="0"/>
              </w:rPr>
              <w:t>Used</w:t>
            </w:r>
          </w:p>
        </w:tc>
      </w:tr>
      <w:tr w:rsidR="006E08C2" w:rsidRPr="008A23B2" w14:paraId="72A6267F" w14:textId="77777777" w:rsidTr="002A0ACD">
        <w:trPr>
          <w:cantSplit/>
          <w:trHeight w:val="397"/>
        </w:trPr>
        <w:tc>
          <w:tcPr>
            <w:tcW w:w="830" w:type="pct"/>
            <w:shd w:val="clear" w:color="auto" w:fill="auto"/>
          </w:tcPr>
          <w:p w14:paraId="1E6B3E64" w14:textId="012F2ED7" w:rsidR="006E08C2" w:rsidRPr="008A23B2" w:rsidRDefault="006E08C2" w:rsidP="003B65CF">
            <w:pPr>
              <w:pStyle w:val="Tabletext1"/>
              <w:rPr>
                <w:snapToGrid w:val="0"/>
              </w:rPr>
            </w:pPr>
            <w:r w:rsidRPr="008A23B2">
              <w:t>Baur et al. (2016)</w:t>
            </w:r>
          </w:p>
        </w:tc>
        <w:tc>
          <w:tcPr>
            <w:tcW w:w="636" w:type="pct"/>
            <w:shd w:val="clear" w:color="auto" w:fill="auto"/>
          </w:tcPr>
          <w:p w14:paraId="13454551" w14:textId="77777777" w:rsidR="006E08C2" w:rsidRPr="008A23B2" w:rsidRDefault="00A401C7" w:rsidP="003B65CF">
            <w:pPr>
              <w:pStyle w:val="Tabletext1"/>
              <w:rPr>
                <w:snapToGrid w:val="0"/>
              </w:rPr>
            </w:pPr>
            <w:r>
              <w:rPr>
                <w:snapToGrid w:val="0"/>
              </w:rPr>
              <w:t>45</w:t>
            </w:r>
          </w:p>
        </w:tc>
        <w:tc>
          <w:tcPr>
            <w:tcW w:w="825" w:type="pct"/>
            <w:shd w:val="clear" w:color="auto" w:fill="auto"/>
          </w:tcPr>
          <w:p w14:paraId="6380F6BC"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658680FB"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740F1298"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01494344" w14:textId="77777777" w:rsidR="006E08C2" w:rsidRPr="008A23B2" w:rsidRDefault="000E3144" w:rsidP="003B65CF">
            <w:pPr>
              <w:pStyle w:val="Tabletext1"/>
              <w:rPr>
                <w:snapToGrid w:val="0"/>
              </w:rPr>
            </w:pPr>
            <w:r w:rsidRPr="002E0E75">
              <w:rPr>
                <w:snapToGrid w:val="0"/>
              </w:rPr>
              <w:t>Used</w:t>
            </w:r>
          </w:p>
        </w:tc>
      </w:tr>
      <w:tr w:rsidR="006E08C2" w:rsidRPr="008A23B2" w14:paraId="2A14E25E" w14:textId="77777777" w:rsidTr="002A0ACD">
        <w:trPr>
          <w:cantSplit/>
          <w:trHeight w:val="397"/>
        </w:trPr>
        <w:tc>
          <w:tcPr>
            <w:tcW w:w="830" w:type="pct"/>
            <w:shd w:val="clear" w:color="auto" w:fill="auto"/>
          </w:tcPr>
          <w:p w14:paraId="6B1FC913" w14:textId="77777777" w:rsidR="006E08C2" w:rsidRPr="008A23B2" w:rsidRDefault="006E08C2" w:rsidP="003B65CF">
            <w:pPr>
              <w:pStyle w:val="Tabletext1"/>
              <w:rPr>
                <w:snapToGrid w:val="0"/>
              </w:rPr>
            </w:pPr>
            <w:r w:rsidRPr="008A23B2">
              <w:t>Busetto et al. (2013)</w:t>
            </w:r>
          </w:p>
        </w:tc>
        <w:tc>
          <w:tcPr>
            <w:tcW w:w="636" w:type="pct"/>
            <w:shd w:val="clear" w:color="auto" w:fill="auto"/>
          </w:tcPr>
          <w:p w14:paraId="3D71DBB5" w14:textId="77777777" w:rsidR="006E08C2" w:rsidRPr="008A23B2" w:rsidRDefault="00A401C7" w:rsidP="003B65CF">
            <w:pPr>
              <w:pStyle w:val="Tabletext1"/>
              <w:rPr>
                <w:snapToGrid w:val="0"/>
              </w:rPr>
            </w:pPr>
            <w:r>
              <w:rPr>
                <w:snapToGrid w:val="0"/>
              </w:rPr>
              <w:t>163</w:t>
            </w:r>
          </w:p>
        </w:tc>
        <w:tc>
          <w:tcPr>
            <w:tcW w:w="825" w:type="pct"/>
            <w:shd w:val="clear" w:color="auto" w:fill="auto"/>
          </w:tcPr>
          <w:p w14:paraId="540687B1"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19908272"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57E90D87"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22B8E423" w14:textId="77777777" w:rsidR="006E08C2" w:rsidRPr="008A23B2" w:rsidRDefault="00113F2B" w:rsidP="003B65CF">
            <w:pPr>
              <w:pStyle w:val="Tabletext1"/>
              <w:rPr>
                <w:snapToGrid w:val="0"/>
              </w:rPr>
            </w:pPr>
            <w:r>
              <w:rPr>
                <w:snapToGrid w:val="0"/>
              </w:rPr>
              <w:t>Not used – other threshold</w:t>
            </w:r>
          </w:p>
        </w:tc>
      </w:tr>
      <w:tr w:rsidR="006E08C2" w:rsidRPr="008A23B2" w14:paraId="5609AA3A" w14:textId="77777777" w:rsidTr="002A0ACD">
        <w:trPr>
          <w:cantSplit/>
          <w:trHeight w:val="397"/>
        </w:trPr>
        <w:tc>
          <w:tcPr>
            <w:tcW w:w="830" w:type="pct"/>
            <w:shd w:val="clear" w:color="auto" w:fill="auto"/>
          </w:tcPr>
          <w:p w14:paraId="7E3CE6D8" w14:textId="77777777" w:rsidR="006E08C2" w:rsidRPr="008A23B2" w:rsidRDefault="006E08C2" w:rsidP="003B65CF">
            <w:pPr>
              <w:pStyle w:val="Tabletext1"/>
              <w:rPr>
                <w:snapToGrid w:val="0"/>
              </w:rPr>
            </w:pPr>
            <w:r w:rsidRPr="008A23B2">
              <w:t>De Visschere et al. (2016)</w:t>
            </w:r>
          </w:p>
        </w:tc>
        <w:tc>
          <w:tcPr>
            <w:tcW w:w="636" w:type="pct"/>
            <w:shd w:val="clear" w:color="auto" w:fill="auto"/>
          </w:tcPr>
          <w:p w14:paraId="0170DD3D" w14:textId="77777777" w:rsidR="006E08C2" w:rsidRPr="008A23B2" w:rsidRDefault="00A401C7" w:rsidP="003B65CF">
            <w:pPr>
              <w:pStyle w:val="Tabletext1"/>
              <w:rPr>
                <w:snapToGrid w:val="0"/>
              </w:rPr>
            </w:pPr>
            <w:r>
              <w:rPr>
                <w:snapToGrid w:val="0"/>
              </w:rPr>
              <w:t>830</w:t>
            </w:r>
          </w:p>
        </w:tc>
        <w:tc>
          <w:tcPr>
            <w:tcW w:w="825" w:type="pct"/>
            <w:shd w:val="clear" w:color="auto" w:fill="auto"/>
          </w:tcPr>
          <w:p w14:paraId="61E42EDF"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09E70652" w14:textId="77777777" w:rsidR="006E08C2" w:rsidRPr="008A23B2" w:rsidRDefault="000E3144" w:rsidP="003B65CF">
            <w:pPr>
              <w:pStyle w:val="Tabletext1"/>
              <w:rPr>
                <w:snapToGrid w:val="0"/>
              </w:rPr>
            </w:pPr>
            <w:r>
              <w:rPr>
                <w:snapToGrid w:val="0"/>
              </w:rPr>
              <w:t>Unclear</w:t>
            </w:r>
          </w:p>
        </w:tc>
        <w:tc>
          <w:tcPr>
            <w:tcW w:w="1066" w:type="pct"/>
            <w:shd w:val="clear" w:color="auto" w:fill="auto"/>
          </w:tcPr>
          <w:p w14:paraId="7EEA268A"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77D58985" w14:textId="77777777" w:rsidR="006E08C2" w:rsidRPr="008A23B2" w:rsidRDefault="00113F2B" w:rsidP="003B65CF">
            <w:pPr>
              <w:pStyle w:val="Tabletext1"/>
              <w:rPr>
                <w:snapToGrid w:val="0"/>
              </w:rPr>
            </w:pPr>
            <w:r>
              <w:rPr>
                <w:snapToGrid w:val="0"/>
              </w:rPr>
              <w:t>Not used – other threshold</w:t>
            </w:r>
          </w:p>
        </w:tc>
      </w:tr>
      <w:tr w:rsidR="006E08C2" w:rsidRPr="008A23B2" w14:paraId="161EF002" w14:textId="77777777" w:rsidTr="002A0ACD">
        <w:trPr>
          <w:cantSplit/>
          <w:trHeight w:val="397"/>
        </w:trPr>
        <w:tc>
          <w:tcPr>
            <w:tcW w:w="830" w:type="pct"/>
            <w:shd w:val="clear" w:color="auto" w:fill="auto"/>
          </w:tcPr>
          <w:p w14:paraId="4BD45719" w14:textId="77777777" w:rsidR="006E08C2" w:rsidRPr="008A23B2" w:rsidRDefault="006E08C2" w:rsidP="003B65CF">
            <w:pPr>
              <w:pStyle w:val="Tabletext1"/>
              <w:rPr>
                <w:snapToGrid w:val="0"/>
              </w:rPr>
            </w:pPr>
            <w:r w:rsidRPr="008A23B2">
              <w:t>Dikaios et al. (2015)</w:t>
            </w:r>
          </w:p>
        </w:tc>
        <w:tc>
          <w:tcPr>
            <w:tcW w:w="636" w:type="pct"/>
            <w:shd w:val="clear" w:color="auto" w:fill="auto"/>
          </w:tcPr>
          <w:p w14:paraId="2C1E46BB" w14:textId="77777777" w:rsidR="006E08C2" w:rsidRPr="008A23B2" w:rsidRDefault="00A401C7" w:rsidP="003B65CF">
            <w:pPr>
              <w:pStyle w:val="Tabletext1"/>
              <w:rPr>
                <w:snapToGrid w:val="0"/>
              </w:rPr>
            </w:pPr>
            <w:r>
              <w:rPr>
                <w:snapToGrid w:val="0"/>
              </w:rPr>
              <w:t>85</w:t>
            </w:r>
          </w:p>
        </w:tc>
        <w:tc>
          <w:tcPr>
            <w:tcW w:w="825" w:type="pct"/>
            <w:shd w:val="clear" w:color="auto" w:fill="auto"/>
          </w:tcPr>
          <w:p w14:paraId="208C35F3"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3DFE5FBA"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62AB421A"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5F13CFFC" w14:textId="77777777" w:rsidR="006E08C2" w:rsidRPr="008A23B2" w:rsidRDefault="000E3144" w:rsidP="003B65CF">
            <w:pPr>
              <w:pStyle w:val="Tabletext1"/>
              <w:rPr>
                <w:snapToGrid w:val="0"/>
              </w:rPr>
            </w:pPr>
            <w:r w:rsidRPr="002E0E75">
              <w:rPr>
                <w:snapToGrid w:val="0"/>
              </w:rPr>
              <w:t>Used</w:t>
            </w:r>
          </w:p>
        </w:tc>
      </w:tr>
      <w:tr w:rsidR="006E08C2" w:rsidRPr="008A23B2" w14:paraId="751CE013" w14:textId="77777777" w:rsidTr="002A0ACD">
        <w:trPr>
          <w:cantSplit/>
          <w:trHeight w:val="397"/>
        </w:trPr>
        <w:tc>
          <w:tcPr>
            <w:tcW w:w="830" w:type="pct"/>
            <w:shd w:val="clear" w:color="auto" w:fill="auto"/>
          </w:tcPr>
          <w:p w14:paraId="3BEA4110" w14:textId="77777777" w:rsidR="006E08C2" w:rsidRPr="008A23B2" w:rsidRDefault="006E08C2" w:rsidP="003B65CF">
            <w:pPr>
              <w:pStyle w:val="Tabletext1"/>
              <w:rPr>
                <w:snapToGrid w:val="0"/>
              </w:rPr>
            </w:pPr>
            <w:r w:rsidRPr="008A23B2">
              <w:t>Ferda et al. (2013)</w:t>
            </w:r>
          </w:p>
        </w:tc>
        <w:tc>
          <w:tcPr>
            <w:tcW w:w="636" w:type="pct"/>
            <w:shd w:val="clear" w:color="auto" w:fill="auto"/>
          </w:tcPr>
          <w:p w14:paraId="24CECF77" w14:textId="77777777" w:rsidR="006E08C2" w:rsidRPr="008A23B2" w:rsidRDefault="00A401C7" w:rsidP="003B65CF">
            <w:pPr>
              <w:pStyle w:val="Tabletext1"/>
              <w:rPr>
                <w:snapToGrid w:val="0"/>
              </w:rPr>
            </w:pPr>
            <w:r>
              <w:rPr>
                <w:snapToGrid w:val="0"/>
              </w:rPr>
              <w:t>191</w:t>
            </w:r>
          </w:p>
        </w:tc>
        <w:tc>
          <w:tcPr>
            <w:tcW w:w="825" w:type="pct"/>
            <w:shd w:val="clear" w:color="auto" w:fill="auto"/>
          </w:tcPr>
          <w:p w14:paraId="2CF9DB1A"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08574A3E"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17C7DF2E"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69C99318" w14:textId="77777777" w:rsidR="006E08C2" w:rsidRPr="008A23B2" w:rsidRDefault="00113F2B" w:rsidP="003B65CF">
            <w:pPr>
              <w:pStyle w:val="Tabletext1"/>
              <w:rPr>
                <w:snapToGrid w:val="0"/>
              </w:rPr>
            </w:pPr>
            <w:r>
              <w:rPr>
                <w:snapToGrid w:val="0"/>
              </w:rPr>
              <w:t>Not used – other threshold</w:t>
            </w:r>
          </w:p>
        </w:tc>
      </w:tr>
      <w:tr w:rsidR="006E08C2" w:rsidRPr="008A23B2" w14:paraId="5C4C05B8" w14:textId="77777777" w:rsidTr="002A0ACD">
        <w:trPr>
          <w:cantSplit/>
          <w:trHeight w:val="397"/>
        </w:trPr>
        <w:tc>
          <w:tcPr>
            <w:tcW w:w="830" w:type="pct"/>
            <w:shd w:val="clear" w:color="auto" w:fill="auto"/>
          </w:tcPr>
          <w:p w14:paraId="6FCD295E" w14:textId="77777777" w:rsidR="006E08C2" w:rsidRPr="008A23B2" w:rsidRDefault="006E08C2" w:rsidP="003B65CF">
            <w:pPr>
              <w:pStyle w:val="Tabletext1"/>
              <w:rPr>
                <w:snapToGrid w:val="0"/>
              </w:rPr>
            </w:pPr>
            <w:r w:rsidRPr="008A23B2">
              <w:t>Girometti et al. (2012)</w:t>
            </w:r>
          </w:p>
        </w:tc>
        <w:tc>
          <w:tcPr>
            <w:tcW w:w="636" w:type="pct"/>
            <w:shd w:val="clear" w:color="auto" w:fill="auto"/>
          </w:tcPr>
          <w:p w14:paraId="2CB8EDB7" w14:textId="77777777" w:rsidR="006E08C2" w:rsidRPr="008A23B2" w:rsidRDefault="00A401C7" w:rsidP="003B65CF">
            <w:pPr>
              <w:pStyle w:val="Tabletext1"/>
              <w:rPr>
                <w:snapToGrid w:val="0"/>
              </w:rPr>
            </w:pPr>
            <w:r>
              <w:rPr>
                <w:snapToGrid w:val="0"/>
              </w:rPr>
              <w:t>26</w:t>
            </w:r>
          </w:p>
        </w:tc>
        <w:tc>
          <w:tcPr>
            <w:tcW w:w="825" w:type="pct"/>
            <w:shd w:val="clear" w:color="auto" w:fill="auto"/>
          </w:tcPr>
          <w:p w14:paraId="4D8454FB"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68BCF04E"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335BD959"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65ADEC38" w14:textId="77777777" w:rsidR="006E08C2" w:rsidRPr="008A23B2" w:rsidRDefault="00113F2B" w:rsidP="003B65CF">
            <w:pPr>
              <w:pStyle w:val="Tabletext1"/>
              <w:rPr>
                <w:snapToGrid w:val="0"/>
              </w:rPr>
            </w:pPr>
            <w:r>
              <w:rPr>
                <w:snapToGrid w:val="0"/>
              </w:rPr>
              <w:t>Not used – other threshold</w:t>
            </w:r>
          </w:p>
        </w:tc>
      </w:tr>
      <w:tr w:rsidR="006E08C2" w:rsidRPr="008A23B2" w14:paraId="2AEF11CA" w14:textId="77777777" w:rsidTr="002A0ACD">
        <w:trPr>
          <w:cantSplit/>
          <w:trHeight w:val="397"/>
        </w:trPr>
        <w:tc>
          <w:tcPr>
            <w:tcW w:w="830" w:type="pct"/>
            <w:shd w:val="clear" w:color="auto" w:fill="auto"/>
          </w:tcPr>
          <w:p w14:paraId="6B845AD4" w14:textId="77777777" w:rsidR="006E08C2" w:rsidRPr="008A23B2" w:rsidRDefault="006E08C2" w:rsidP="003B65CF">
            <w:pPr>
              <w:pStyle w:val="Tabletext1"/>
              <w:rPr>
                <w:snapToGrid w:val="0"/>
              </w:rPr>
            </w:pPr>
            <w:r w:rsidRPr="008A23B2">
              <w:t>Haffner et al. (2011)</w:t>
            </w:r>
          </w:p>
        </w:tc>
        <w:tc>
          <w:tcPr>
            <w:tcW w:w="636" w:type="pct"/>
            <w:shd w:val="clear" w:color="auto" w:fill="auto"/>
          </w:tcPr>
          <w:p w14:paraId="4F9D61F0" w14:textId="77777777" w:rsidR="006E08C2" w:rsidRPr="008A23B2" w:rsidRDefault="00A401C7" w:rsidP="003B65CF">
            <w:pPr>
              <w:pStyle w:val="Tabletext1"/>
              <w:rPr>
                <w:snapToGrid w:val="0"/>
              </w:rPr>
            </w:pPr>
            <w:r>
              <w:rPr>
                <w:snapToGrid w:val="0"/>
              </w:rPr>
              <w:t>555</w:t>
            </w:r>
          </w:p>
        </w:tc>
        <w:tc>
          <w:tcPr>
            <w:tcW w:w="825" w:type="pct"/>
            <w:shd w:val="clear" w:color="auto" w:fill="auto"/>
          </w:tcPr>
          <w:p w14:paraId="63C315D1"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4E28E6C4"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1229C001"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66B78ED3" w14:textId="77777777" w:rsidR="006E08C2" w:rsidRPr="008A23B2" w:rsidRDefault="00660B0E" w:rsidP="003B65CF">
            <w:pPr>
              <w:pStyle w:val="Tabletext1"/>
              <w:rPr>
                <w:snapToGrid w:val="0"/>
              </w:rPr>
            </w:pPr>
            <w:r>
              <w:rPr>
                <w:snapToGrid w:val="0"/>
              </w:rPr>
              <w:t>Not used – PI-RADS ≥ 3</w:t>
            </w:r>
          </w:p>
        </w:tc>
      </w:tr>
      <w:tr w:rsidR="006E08C2" w:rsidRPr="008A23B2" w14:paraId="78B6F86E" w14:textId="77777777" w:rsidTr="002A0ACD">
        <w:trPr>
          <w:cantSplit/>
          <w:trHeight w:val="397"/>
        </w:trPr>
        <w:tc>
          <w:tcPr>
            <w:tcW w:w="830" w:type="pct"/>
            <w:shd w:val="clear" w:color="auto" w:fill="auto"/>
          </w:tcPr>
          <w:p w14:paraId="308A43C2" w14:textId="77777777" w:rsidR="006E08C2" w:rsidRPr="008A23B2" w:rsidRDefault="006E08C2" w:rsidP="003B65CF">
            <w:pPr>
              <w:pStyle w:val="Tabletext1"/>
              <w:rPr>
                <w:snapToGrid w:val="0"/>
              </w:rPr>
            </w:pPr>
            <w:r w:rsidRPr="008A23B2">
              <w:t>Hauth et al. (2015)</w:t>
            </w:r>
          </w:p>
        </w:tc>
        <w:tc>
          <w:tcPr>
            <w:tcW w:w="636" w:type="pct"/>
            <w:shd w:val="clear" w:color="auto" w:fill="auto"/>
          </w:tcPr>
          <w:p w14:paraId="435626FE" w14:textId="77777777" w:rsidR="006E08C2" w:rsidRPr="008A23B2" w:rsidRDefault="00572113" w:rsidP="003B65CF">
            <w:pPr>
              <w:pStyle w:val="Tabletext1"/>
              <w:rPr>
                <w:snapToGrid w:val="0"/>
              </w:rPr>
            </w:pPr>
            <w:r>
              <w:rPr>
                <w:snapToGrid w:val="0"/>
              </w:rPr>
              <w:t>94</w:t>
            </w:r>
          </w:p>
        </w:tc>
        <w:tc>
          <w:tcPr>
            <w:tcW w:w="825" w:type="pct"/>
            <w:shd w:val="clear" w:color="auto" w:fill="auto"/>
          </w:tcPr>
          <w:p w14:paraId="5B22BCFB"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5EB8D9CD" w14:textId="77777777" w:rsidR="006E08C2" w:rsidRPr="008A23B2" w:rsidRDefault="008313FC" w:rsidP="003B65CF">
            <w:pPr>
              <w:pStyle w:val="Tabletext1"/>
              <w:rPr>
                <w:snapToGrid w:val="0"/>
              </w:rPr>
            </w:pPr>
            <w:r>
              <w:rPr>
                <w:snapToGrid w:val="0"/>
              </w:rPr>
              <w:t>High</w:t>
            </w:r>
          </w:p>
        </w:tc>
        <w:tc>
          <w:tcPr>
            <w:tcW w:w="1066" w:type="pct"/>
            <w:shd w:val="clear" w:color="auto" w:fill="auto"/>
          </w:tcPr>
          <w:p w14:paraId="74886789"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2FF8D959" w14:textId="77777777" w:rsidR="006E08C2" w:rsidRPr="008A23B2" w:rsidRDefault="00660B0E" w:rsidP="003B65CF">
            <w:pPr>
              <w:pStyle w:val="Tabletext1"/>
              <w:rPr>
                <w:snapToGrid w:val="0"/>
              </w:rPr>
            </w:pPr>
            <w:r>
              <w:rPr>
                <w:snapToGrid w:val="0"/>
              </w:rPr>
              <w:t>Not used – PI-RADS ≥ 3</w:t>
            </w:r>
          </w:p>
        </w:tc>
      </w:tr>
      <w:tr w:rsidR="006E08C2" w:rsidRPr="008A23B2" w14:paraId="05235917" w14:textId="77777777" w:rsidTr="002A0ACD">
        <w:trPr>
          <w:cantSplit/>
          <w:trHeight w:val="397"/>
        </w:trPr>
        <w:tc>
          <w:tcPr>
            <w:tcW w:w="830" w:type="pct"/>
            <w:shd w:val="clear" w:color="auto" w:fill="auto"/>
          </w:tcPr>
          <w:p w14:paraId="1E6590A5" w14:textId="77777777" w:rsidR="006E08C2" w:rsidRPr="008A23B2" w:rsidRDefault="006E08C2" w:rsidP="003B65CF">
            <w:pPr>
              <w:pStyle w:val="Tabletext1"/>
              <w:rPr>
                <w:snapToGrid w:val="0"/>
              </w:rPr>
            </w:pPr>
            <w:r w:rsidRPr="008A23B2">
              <w:t>Itatani et al. (2014)</w:t>
            </w:r>
          </w:p>
        </w:tc>
        <w:tc>
          <w:tcPr>
            <w:tcW w:w="636" w:type="pct"/>
            <w:shd w:val="clear" w:color="auto" w:fill="auto"/>
          </w:tcPr>
          <w:p w14:paraId="396AC702" w14:textId="77777777" w:rsidR="006E08C2" w:rsidRPr="008A23B2" w:rsidRDefault="00A401C7" w:rsidP="003B65CF">
            <w:pPr>
              <w:pStyle w:val="Tabletext1"/>
              <w:rPr>
                <w:snapToGrid w:val="0"/>
              </w:rPr>
            </w:pPr>
            <w:r>
              <w:rPr>
                <w:snapToGrid w:val="0"/>
              </w:rPr>
              <w:t>193</w:t>
            </w:r>
          </w:p>
        </w:tc>
        <w:tc>
          <w:tcPr>
            <w:tcW w:w="825" w:type="pct"/>
            <w:shd w:val="clear" w:color="auto" w:fill="auto"/>
          </w:tcPr>
          <w:p w14:paraId="506172FD"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458536E4"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2297A0A5" w14:textId="77777777" w:rsidR="006E08C2" w:rsidRPr="008A23B2" w:rsidRDefault="00AF7111" w:rsidP="003B65CF">
            <w:pPr>
              <w:pStyle w:val="Tabletext1"/>
              <w:rPr>
                <w:snapToGrid w:val="0"/>
              </w:rPr>
            </w:pPr>
            <w:r>
              <w:rPr>
                <w:snapToGrid w:val="0"/>
              </w:rPr>
              <w:t>TN, FN</w:t>
            </w:r>
          </w:p>
        </w:tc>
        <w:tc>
          <w:tcPr>
            <w:tcW w:w="910" w:type="pct"/>
            <w:shd w:val="clear" w:color="auto" w:fill="auto"/>
          </w:tcPr>
          <w:p w14:paraId="2DFAAF49" w14:textId="77777777" w:rsidR="006E08C2" w:rsidRPr="008A23B2" w:rsidRDefault="00AF7111" w:rsidP="003B65CF">
            <w:pPr>
              <w:pStyle w:val="Tabletext1"/>
              <w:rPr>
                <w:snapToGrid w:val="0"/>
              </w:rPr>
            </w:pPr>
            <w:r>
              <w:rPr>
                <w:snapToGrid w:val="0"/>
              </w:rPr>
              <w:t>Not used – bivariate data not available</w:t>
            </w:r>
          </w:p>
        </w:tc>
      </w:tr>
      <w:tr w:rsidR="006E08C2" w:rsidRPr="008A23B2" w14:paraId="6328B956" w14:textId="77777777" w:rsidTr="002A0ACD">
        <w:trPr>
          <w:cantSplit/>
          <w:trHeight w:val="397"/>
        </w:trPr>
        <w:tc>
          <w:tcPr>
            <w:tcW w:w="830" w:type="pct"/>
            <w:shd w:val="clear" w:color="auto" w:fill="auto"/>
          </w:tcPr>
          <w:p w14:paraId="381D8B77" w14:textId="77777777" w:rsidR="006E08C2" w:rsidRPr="008A23B2" w:rsidRDefault="006E08C2" w:rsidP="003B65CF">
            <w:pPr>
              <w:pStyle w:val="Tabletext1"/>
              <w:rPr>
                <w:snapToGrid w:val="0"/>
              </w:rPr>
            </w:pPr>
            <w:r w:rsidRPr="008A23B2">
              <w:t>Jambor et al. (2014)</w:t>
            </w:r>
          </w:p>
        </w:tc>
        <w:tc>
          <w:tcPr>
            <w:tcW w:w="636" w:type="pct"/>
            <w:shd w:val="clear" w:color="auto" w:fill="auto"/>
          </w:tcPr>
          <w:p w14:paraId="607C3257" w14:textId="77777777" w:rsidR="006E08C2" w:rsidRPr="008A23B2" w:rsidRDefault="00A401C7" w:rsidP="003B65CF">
            <w:pPr>
              <w:pStyle w:val="Tabletext1"/>
              <w:rPr>
                <w:snapToGrid w:val="0"/>
              </w:rPr>
            </w:pPr>
            <w:r>
              <w:rPr>
                <w:snapToGrid w:val="0"/>
              </w:rPr>
              <w:t>55</w:t>
            </w:r>
          </w:p>
        </w:tc>
        <w:tc>
          <w:tcPr>
            <w:tcW w:w="825" w:type="pct"/>
            <w:shd w:val="clear" w:color="auto" w:fill="auto"/>
          </w:tcPr>
          <w:p w14:paraId="17A412D8"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0C7396C7" w14:textId="77777777" w:rsidR="006E08C2" w:rsidRPr="008A23B2" w:rsidRDefault="000E3144" w:rsidP="003B65CF">
            <w:pPr>
              <w:pStyle w:val="Tabletext1"/>
              <w:rPr>
                <w:snapToGrid w:val="0"/>
              </w:rPr>
            </w:pPr>
            <w:r>
              <w:rPr>
                <w:snapToGrid w:val="0"/>
              </w:rPr>
              <w:t>Unclear</w:t>
            </w:r>
          </w:p>
        </w:tc>
        <w:tc>
          <w:tcPr>
            <w:tcW w:w="1066" w:type="pct"/>
            <w:shd w:val="clear" w:color="auto" w:fill="auto"/>
          </w:tcPr>
          <w:p w14:paraId="496C0D82"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514F1D6D" w14:textId="77777777" w:rsidR="006E08C2" w:rsidRPr="008A23B2" w:rsidRDefault="000E3144" w:rsidP="003B65CF">
            <w:pPr>
              <w:pStyle w:val="Tabletext1"/>
              <w:rPr>
                <w:snapToGrid w:val="0"/>
              </w:rPr>
            </w:pPr>
            <w:r w:rsidRPr="002E0E75">
              <w:rPr>
                <w:snapToGrid w:val="0"/>
              </w:rPr>
              <w:t>Used</w:t>
            </w:r>
          </w:p>
        </w:tc>
      </w:tr>
      <w:tr w:rsidR="00660B0E" w:rsidRPr="008A23B2" w14:paraId="3D6015F5" w14:textId="77777777" w:rsidTr="002A0ACD">
        <w:trPr>
          <w:cantSplit/>
          <w:trHeight w:val="397"/>
        </w:trPr>
        <w:tc>
          <w:tcPr>
            <w:tcW w:w="830" w:type="pct"/>
            <w:shd w:val="clear" w:color="auto" w:fill="auto"/>
          </w:tcPr>
          <w:p w14:paraId="2C5AF0CF" w14:textId="77777777" w:rsidR="00660B0E" w:rsidRPr="008A23B2" w:rsidRDefault="00660B0E" w:rsidP="003B65CF">
            <w:pPr>
              <w:pStyle w:val="Tabletext1"/>
              <w:rPr>
                <w:snapToGrid w:val="0"/>
              </w:rPr>
            </w:pPr>
            <w:r w:rsidRPr="008A23B2">
              <w:t>Komai et al. (2013)</w:t>
            </w:r>
          </w:p>
        </w:tc>
        <w:tc>
          <w:tcPr>
            <w:tcW w:w="636" w:type="pct"/>
            <w:shd w:val="clear" w:color="auto" w:fill="auto"/>
          </w:tcPr>
          <w:p w14:paraId="37D50380" w14:textId="77777777" w:rsidR="00660B0E" w:rsidRPr="008A23B2" w:rsidRDefault="00660B0E" w:rsidP="003B65CF">
            <w:pPr>
              <w:pStyle w:val="Tabletext1"/>
              <w:rPr>
                <w:snapToGrid w:val="0"/>
              </w:rPr>
            </w:pPr>
            <w:r>
              <w:rPr>
                <w:snapToGrid w:val="0"/>
              </w:rPr>
              <w:t>324</w:t>
            </w:r>
          </w:p>
        </w:tc>
        <w:tc>
          <w:tcPr>
            <w:tcW w:w="825" w:type="pct"/>
            <w:shd w:val="clear" w:color="auto" w:fill="auto"/>
          </w:tcPr>
          <w:p w14:paraId="01F4183A" w14:textId="77777777" w:rsidR="00660B0E" w:rsidRPr="008A23B2" w:rsidRDefault="00660B0E" w:rsidP="003B65CF">
            <w:pPr>
              <w:pStyle w:val="Tabletext1"/>
              <w:rPr>
                <w:snapToGrid w:val="0"/>
              </w:rPr>
            </w:pPr>
            <w:r>
              <w:rPr>
                <w:snapToGrid w:val="0"/>
              </w:rPr>
              <w:t>III-2</w:t>
            </w:r>
          </w:p>
        </w:tc>
        <w:tc>
          <w:tcPr>
            <w:tcW w:w="733" w:type="pct"/>
            <w:shd w:val="clear" w:color="auto" w:fill="auto"/>
          </w:tcPr>
          <w:p w14:paraId="0C520A91" w14:textId="77777777" w:rsidR="00660B0E" w:rsidRPr="008A23B2" w:rsidRDefault="00660B0E" w:rsidP="003B65CF">
            <w:pPr>
              <w:pStyle w:val="Tabletext1"/>
              <w:rPr>
                <w:snapToGrid w:val="0"/>
              </w:rPr>
            </w:pPr>
            <w:r>
              <w:rPr>
                <w:snapToGrid w:val="0"/>
              </w:rPr>
              <w:t>High</w:t>
            </w:r>
          </w:p>
        </w:tc>
        <w:tc>
          <w:tcPr>
            <w:tcW w:w="1066" w:type="pct"/>
            <w:shd w:val="clear" w:color="auto" w:fill="auto"/>
          </w:tcPr>
          <w:p w14:paraId="426C1792" w14:textId="77777777" w:rsidR="00660B0E" w:rsidRPr="008A23B2" w:rsidRDefault="00660B0E" w:rsidP="003B65CF">
            <w:pPr>
              <w:pStyle w:val="Tabletext1"/>
              <w:rPr>
                <w:snapToGrid w:val="0"/>
              </w:rPr>
            </w:pPr>
            <w:r w:rsidRPr="000E3144">
              <w:rPr>
                <w:snapToGrid w:val="0"/>
              </w:rPr>
              <w:t>TP, TN, FP, FN</w:t>
            </w:r>
          </w:p>
        </w:tc>
        <w:tc>
          <w:tcPr>
            <w:tcW w:w="910" w:type="pct"/>
            <w:shd w:val="clear" w:color="auto" w:fill="auto"/>
          </w:tcPr>
          <w:p w14:paraId="47D12408" w14:textId="77777777" w:rsidR="00660B0E" w:rsidRPr="008A23B2" w:rsidRDefault="00660B0E" w:rsidP="003B65CF">
            <w:pPr>
              <w:pStyle w:val="Tabletext1"/>
              <w:rPr>
                <w:snapToGrid w:val="0"/>
              </w:rPr>
            </w:pPr>
            <w:r>
              <w:rPr>
                <w:snapToGrid w:val="0"/>
              </w:rPr>
              <w:t>Not used – PI-RADS ≥ 3</w:t>
            </w:r>
          </w:p>
        </w:tc>
      </w:tr>
      <w:tr w:rsidR="006E08C2" w:rsidRPr="008A23B2" w14:paraId="4A9C8926" w14:textId="77777777" w:rsidTr="002A0ACD">
        <w:trPr>
          <w:cantSplit/>
          <w:trHeight w:val="397"/>
        </w:trPr>
        <w:tc>
          <w:tcPr>
            <w:tcW w:w="830" w:type="pct"/>
            <w:shd w:val="clear" w:color="auto" w:fill="auto"/>
          </w:tcPr>
          <w:p w14:paraId="2A3723AF" w14:textId="3A30B1CE" w:rsidR="006E08C2" w:rsidRPr="008A23B2" w:rsidRDefault="006E08C2" w:rsidP="003B65CF">
            <w:pPr>
              <w:pStyle w:val="Tabletext1"/>
              <w:rPr>
                <w:snapToGrid w:val="0"/>
              </w:rPr>
            </w:pPr>
            <w:r w:rsidRPr="008A23B2">
              <w:t xml:space="preserve">Lamb et al. </w:t>
            </w:r>
            <w:r w:rsidR="00756215">
              <w:t>(</w:t>
            </w:r>
            <w:r w:rsidRPr="008A23B2">
              <w:t>2015</w:t>
            </w:r>
            <w:r w:rsidR="00756215">
              <w:t>)</w:t>
            </w:r>
          </w:p>
        </w:tc>
        <w:tc>
          <w:tcPr>
            <w:tcW w:w="636" w:type="pct"/>
            <w:shd w:val="clear" w:color="auto" w:fill="auto"/>
          </w:tcPr>
          <w:p w14:paraId="2060B596" w14:textId="77777777" w:rsidR="006E08C2" w:rsidRPr="008A23B2" w:rsidRDefault="005F4488" w:rsidP="003B65CF">
            <w:pPr>
              <w:pStyle w:val="Tabletext1"/>
              <w:rPr>
                <w:snapToGrid w:val="0"/>
              </w:rPr>
            </w:pPr>
            <w:r>
              <w:rPr>
                <w:snapToGrid w:val="0"/>
              </w:rPr>
              <w:t>173</w:t>
            </w:r>
          </w:p>
        </w:tc>
        <w:tc>
          <w:tcPr>
            <w:tcW w:w="825" w:type="pct"/>
            <w:shd w:val="clear" w:color="auto" w:fill="auto"/>
          </w:tcPr>
          <w:p w14:paraId="3922FA22" w14:textId="77777777" w:rsidR="006E08C2" w:rsidRPr="008A23B2" w:rsidRDefault="005F4488" w:rsidP="003B65CF">
            <w:pPr>
              <w:pStyle w:val="Tabletext1"/>
              <w:rPr>
                <w:snapToGrid w:val="0"/>
              </w:rPr>
            </w:pPr>
            <w:r>
              <w:rPr>
                <w:snapToGrid w:val="0"/>
              </w:rPr>
              <w:t>III-2</w:t>
            </w:r>
          </w:p>
        </w:tc>
        <w:tc>
          <w:tcPr>
            <w:tcW w:w="733" w:type="pct"/>
            <w:shd w:val="clear" w:color="auto" w:fill="auto"/>
          </w:tcPr>
          <w:p w14:paraId="0DE2BE80" w14:textId="77777777" w:rsidR="006E08C2" w:rsidRPr="008A23B2" w:rsidRDefault="003C1115" w:rsidP="003B65CF">
            <w:pPr>
              <w:pStyle w:val="Tabletext1"/>
              <w:rPr>
                <w:snapToGrid w:val="0"/>
              </w:rPr>
            </w:pPr>
            <w:r>
              <w:rPr>
                <w:snapToGrid w:val="0"/>
              </w:rPr>
              <w:t>Unclear</w:t>
            </w:r>
          </w:p>
        </w:tc>
        <w:tc>
          <w:tcPr>
            <w:tcW w:w="1066" w:type="pct"/>
            <w:shd w:val="clear" w:color="auto" w:fill="auto"/>
          </w:tcPr>
          <w:p w14:paraId="4EB2E74D"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406054A8" w14:textId="77777777" w:rsidR="006E08C2" w:rsidRPr="008A23B2" w:rsidRDefault="00113F2B" w:rsidP="003B65CF">
            <w:pPr>
              <w:pStyle w:val="Tabletext1"/>
              <w:rPr>
                <w:snapToGrid w:val="0"/>
              </w:rPr>
            </w:pPr>
            <w:r>
              <w:rPr>
                <w:snapToGrid w:val="0"/>
              </w:rPr>
              <w:t>Not used – other threshold</w:t>
            </w:r>
          </w:p>
        </w:tc>
      </w:tr>
      <w:tr w:rsidR="006E08C2" w:rsidRPr="008A23B2" w14:paraId="3CFB8835" w14:textId="77777777" w:rsidTr="002A0ACD">
        <w:trPr>
          <w:cantSplit/>
          <w:trHeight w:val="397"/>
        </w:trPr>
        <w:tc>
          <w:tcPr>
            <w:tcW w:w="830" w:type="pct"/>
            <w:shd w:val="clear" w:color="auto" w:fill="auto"/>
          </w:tcPr>
          <w:p w14:paraId="724641A8" w14:textId="28EA5367" w:rsidR="006E08C2" w:rsidRPr="008A23B2" w:rsidRDefault="006E08C2" w:rsidP="003B65CF">
            <w:pPr>
              <w:pStyle w:val="Tabletext1"/>
              <w:rPr>
                <w:snapToGrid w:val="0"/>
              </w:rPr>
            </w:pPr>
            <w:r w:rsidRPr="008A23B2">
              <w:t xml:space="preserve">Lista et al. </w:t>
            </w:r>
            <w:r w:rsidR="00756215">
              <w:t>(</w:t>
            </w:r>
            <w:r w:rsidRPr="008A23B2">
              <w:t>2015</w:t>
            </w:r>
            <w:r w:rsidR="00756215">
              <w:t>)</w:t>
            </w:r>
          </w:p>
        </w:tc>
        <w:tc>
          <w:tcPr>
            <w:tcW w:w="636" w:type="pct"/>
            <w:shd w:val="clear" w:color="auto" w:fill="auto"/>
          </w:tcPr>
          <w:p w14:paraId="0C51B57B" w14:textId="77777777" w:rsidR="006E08C2" w:rsidRPr="008A23B2" w:rsidRDefault="005F4488" w:rsidP="003B65CF">
            <w:pPr>
              <w:pStyle w:val="Tabletext1"/>
              <w:rPr>
                <w:snapToGrid w:val="0"/>
              </w:rPr>
            </w:pPr>
            <w:r>
              <w:rPr>
                <w:snapToGrid w:val="0"/>
              </w:rPr>
              <w:t>150</w:t>
            </w:r>
          </w:p>
        </w:tc>
        <w:tc>
          <w:tcPr>
            <w:tcW w:w="825" w:type="pct"/>
            <w:shd w:val="clear" w:color="auto" w:fill="auto"/>
          </w:tcPr>
          <w:p w14:paraId="35ABF571" w14:textId="77777777" w:rsidR="006E08C2" w:rsidRPr="008A23B2" w:rsidRDefault="005F4488" w:rsidP="003B65CF">
            <w:pPr>
              <w:pStyle w:val="Tabletext1"/>
              <w:rPr>
                <w:snapToGrid w:val="0"/>
              </w:rPr>
            </w:pPr>
            <w:r>
              <w:rPr>
                <w:snapToGrid w:val="0"/>
              </w:rPr>
              <w:t>III-2</w:t>
            </w:r>
          </w:p>
        </w:tc>
        <w:tc>
          <w:tcPr>
            <w:tcW w:w="733" w:type="pct"/>
            <w:shd w:val="clear" w:color="auto" w:fill="auto"/>
          </w:tcPr>
          <w:p w14:paraId="20F3CE03" w14:textId="77777777" w:rsidR="006E08C2" w:rsidRPr="008A23B2" w:rsidRDefault="003C1115" w:rsidP="003B65CF">
            <w:pPr>
              <w:pStyle w:val="Tabletext1"/>
              <w:rPr>
                <w:snapToGrid w:val="0"/>
              </w:rPr>
            </w:pPr>
            <w:r>
              <w:rPr>
                <w:snapToGrid w:val="0"/>
              </w:rPr>
              <w:t>Unclear</w:t>
            </w:r>
          </w:p>
        </w:tc>
        <w:tc>
          <w:tcPr>
            <w:tcW w:w="1066" w:type="pct"/>
            <w:shd w:val="clear" w:color="auto" w:fill="auto"/>
          </w:tcPr>
          <w:p w14:paraId="44331A63"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778824DF" w14:textId="77777777" w:rsidR="006E08C2" w:rsidRPr="008A23B2" w:rsidRDefault="000E3144" w:rsidP="003B65CF">
            <w:pPr>
              <w:pStyle w:val="Tabletext1"/>
              <w:rPr>
                <w:snapToGrid w:val="0"/>
              </w:rPr>
            </w:pPr>
            <w:r w:rsidRPr="002E0E75">
              <w:rPr>
                <w:snapToGrid w:val="0"/>
              </w:rPr>
              <w:t>Used</w:t>
            </w:r>
          </w:p>
        </w:tc>
      </w:tr>
      <w:tr w:rsidR="006E08C2" w:rsidRPr="008A23B2" w14:paraId="0BC164D9" w14:textId="77777777" w:rsidTr="002A0ACD">
        <w:trPr>
          <w:cantSplit/>
          <w:trHeight w:val="397"/>
        </w:trPr>
        <w:tc>
          <w:tcPr>
            <w:tcW w:w="830" w:type="pct"/>
            <w:shd w:val="clear" w:color="auto" w:fill="auto"/>
          </w:tcPr>
          <w:p w14:paraId="18A52336" w14:textId="77777777" w:rsidR="006E08C2" w:rsidRPr="008A23B2" w:rsidRDefault="006E08C2" w:rsidP="003B65CF">
            <w:pPr>
              <w:pStyle w:val="Tabletext1"/>
              <w:rPr>
                <w:snapToGrid w:val="0"/>
              </w:rPr>
            </w:pPr>
            <w:r w:rsidRPr="008A23B2">
              <w:t>Panebianco et al. (2015)</w:t>
            </w:r>
          </w:p>
        </w:tc>
        <w:tc>
          <w:tcPr>
            <w:tcW w:w="636" w:type="pct"/>
            <w:shd w:val="clear" w:color="auto" w:fill="auto"/>
          </w:tcPr>
          <w:p w14:paraId="12448CD0" w14:textId="77777777" w:rsidR="006E08C2" w:rsidRPr="008A23B2" w:rsidRDefault="00A401C7" w:rsidP="003B65CF">
            <w:pPr>
              <w:pStyle w:val="Tabletext1"/>
              <w:rPr>
                <w:snapToGrid w:val="0"/>
              </w:rPr>
            </w:pPr>
            <w:r>
              <w:rPr>
                <w:snapToGrid w:val="0"/>
              </w:rPr>
              <w:t>570</w:t>
            </w:r>
          </w:p>
        </w:tc>
        <w:tc>
          <w:tcPr>
            <w:tcW w:w="825" w:type="pct"/>
            <w:shd w:val="clear" w:color="auto" w:fill="auto"/>
          </w:tcPr>
          <w:p w14:paraId="6ADAB1E5"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62E79015" w14:textId="77777777" w:rsidR="006E08C2" w:rsidRPr="008A23B2" w:rsidRDefault="000E3144" w:rsidP="003B65CF">
            <w:pPr>
              <w:pStyle w:val="Tabletext1"/>
              <w:rPr>
                <w:snapToGrid w:val="0"/>
              </w:rPr>
            </w:pPr>
            <w:r>
              <w:rPr>
                <w:snapToGrid w:val="0"/>
              </w:rPr>
              <w:t>Unclear</w:t>
            </w:r>
          </w:p>
        </w:tc>
        <w:tc>
          <w:tcPr>
            <w:tcW w:w="1066" w:type="pct"/>
            <w:shd w:val="clear" w:color="auto" w:fill="auto"/>
          </w:tcPr>
          <w:p w14:paraId="688F5310"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5D727A0E" w14:textId="77777777" w:rsidR="006E08C2" w:rsidRPr="008A23B2" w:rsidRDefault="00660B0E" w:rsidP="003B65CF">
            <w:pPr>
              <w:pStyle w:val="Tabletext1"/>
              <w:rPr>
                <w:snapToGrid w:val="0"/>
              </w:rPr>
            </w:pPr>
            <w:r>
              <w:rPr>
                <w:snapToGrid w:val="0"/>
              </w:rPr>
              <w:t>Not used – PI-RADS ≥ 3</w:t>
            </w:r>
          </w:p>
        </w:tc>
      </w:tr>
      <w:tr w:rsidR="006E08C2" w:rsidRPr="008A23B2" w14:paraId="36EC22FB" w14:textId="77777777" w:rsidTr="002A0ACD">
        <w:trPr>
          <w:cantSplit/>
          <w:trHeight w:val="397"/>
        </w:trPr>
        <w:tc>
          <w:tcPr>
            <w:tcW w:w="830" w:type="pct"/>
            <w:shd w:val="clear" w:color="auto" w:fill="auto"/>
          </w:tcPr>
          <w:p w14:paraId="154692AE" w14:textId="77777777" w:rsidR="006E08C2" w:rsidRPr="008A23B2" w:rsidRDefault="006E08C2" w:rsidP="003B65CF">
            <w:pPr>
              <w:pStyle w:val="Tabletext1"/>
              <w:rPr>
                <w:snapToGrid w:val="0"/>
              </w:rPr>
            </w:pPr>
            <w:r w:rsidRPr="008A23B2">
              <w:t>Pepe et al. (2014)</w:t>
            </w:r>
          </w:p>
        </w:tc>
        <w:tc>
          <w:tcPr>
            <w:tcW w:w="636" w:type="pct"/>
            <w:shd w:val="clear" w:color="auto" w:fill="auto"/>
          </w:tcPr>
          <w:p w14:paraId="4F75D961" w14:textId="77777777" w:rsidR="006E08C2" w:rsidRPr="008A23B2" w:rsidRDefault="00A401C7" w:rsidP="003B65CF">
            <w:pPr>
              <w:pStyle w:val="Tabletext1"/>
              <w:rPr>
                <w:snapToGrid w:val="0"/>
              </w:rPr>
            </w:pPr>
            <w:r>
              <w:rPr>
                <w:snapToGrid w:val="0"/>
              </w:rPr>
              <w:t>168</w:t>
            </w:r>
          </w:p>
        </w:tc>
        <w:tc>
          <w:tcPr>
            <w:tcW w:w="825" w:type="pct"/>
            <w:shd w:val="clear" w:color="auto" w:fill="auto"/>
          </w:tcPr>
          <w:p w14:paraId="7721329B"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4F9F5261"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2E2826A3"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555EF50F" w14:textId="77777777" w:rsidR="006E08C2" w:rsidRPr="008A23B2" w:rsidRDefault="00113F2B" w:rsidP="003B65CF">
            <w:pPr>
              <w:pStyle w:val="Tabletext1"/>
              <w:rPr>
                <w:snapToGrid w:val="0"/>
              </w:rPr>
            </w:pPr>
            <w:r>
              <w:rPr>
                <w:snapToGrid w:val="0"/>
              </w:rPr>
              <w:t>Not used – other threshold</w:t>
            </w:r>
          </w:p>
        </w:tc>
      </w:tr>
      <w:tr w:rsidR="006E08C2" w:rsidRPr="008A23B2" w14:paraId="27CBF073" w14:textId="77777777" w:rsidTr="002A0ACD">
        <w:trPr>
          <w:cantSplit/>
          <w:trHeight w:val="397"/>
        </w:trPr>
        <w:tc>
          <w:tcPr>
            <w:tcW w:w="830" w:type="pct"/>
            <w:shd w:val="clear" w:color="auto" w:fill="auto"/>
          </w:tcPr>
          <w:p w14:paraId="1C06CB8E" w14:textId="77777777" w:rsidR="006E08C2" w:rsidRPr="008A23B2" w:rsidRDefault="006E08C2" w:rsidP="003B65CF">
            <w:pPr>
              <w:pStyle w:val="Tabletext1"/>
              <w:rPr>
                <w:snapToGrid w:val="0"/>
              </w:rPr>
            </w:pPr>
            <w:r w:rsidRPr="008A23B2">
              <w:t>Petrillo et al. 2013</w:t>
            </w:r>
          </w:p>
        </w:tc>
        <w:tc>
          <w:tcPr>
            <w:tcW w:w="636" w:type="pct"/>
            <w:shd w:val="clear" w:color="auto" w:fill="auto"/>
          </w:tcPr>
          <w:p w14:paraId="4BBBCE4B" w14:textId="77777777" w:rsidR="006E08C2" w:rsidRPr="008A23B2" w:rsidRDefault="005F4488" w:rsidP="003B65CF">
            <w:pPr>
              <w:pStyle w:val="Tabletext1"/>
              <w:rPr>
                <w:snapToGrid w:val="0"/>
              </w:rPr>
            </w:pPr>
            <w:r>
              <w:rPr>
                <w:snapToGrid w:val="0"/>
              </w:rPr>
              <w:t>136</w:t>
            </w:r>
          </w:p>
        </w:tc>
        <w:tc>
          <w:tcPr>
            <w:tcW w:w="825" w:type="pct"/>
            <w:shd w:val="clear" w:color="auto" w:fill="auto"/>
          </w:tcPr>
          <w:p w14:paraId="7EE5E690" w14:textId="77777777" w:rsidR="006E08C2" w:rsidRPr="008A23B2" w:rsidRDefault="005F4488" w:rsidP="003B65CF">
            <w:pPr>
              <w:pStyle w:val="Tabletext1"/>
              <w:rPr>
                <w:snapToGrid w:val="0"/>
              </w:rPr>
            </w:pPr>
            <w:r>
              <w:rPr>
                <w:snapToGrid w:val="0"/>
              </w:rPr>
              <w:t>II</w:t>
            </w:r>
          </w:p>
        </w:tc>
        <w:tc>
          <w:tcPr>
            <w:tcW w:w="733" w:type="pct"/>
            <w:shd w:val="clear" w:color="auto" w:fill="auto"/>
          </w:tcPr>
          <w:p w14:paraId="54CB21EA" w14:textId="77777777" w:rsidR="006E08C2" w:rsidRPr="008A23B2" w:rsidRDefault="003C1115" w:rsidP="003B65CF">
            <w:pPr>
              <w:pStyle w:val="Tabletext1"/>
              <w:rPr>
                <w:snapToGrid w:val="0"/>
              </w:rPr>
            </w:pPr>
            <w:r>
              <w:rPr>
                <w:snapToGrid w:val="0"/>
              </w:rPr>
              <w:t>Unclear</w:t>
            </w:r>
          </w:p>
        </w:tc>
        <w:tc>
          <w:tcPr>
            <w:tcW w:w="1066" w:type="pct"/>
            <w:shd w:val="clear" w:color="auto" w:fill="auto"/>
          </w:tcPr>
          <w:p w14:paraId="0FE0F4BD"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4419AB43" w14:textId="77777777" w:rsidR="006E08C2" w:rsidRPr="008A23B2" w:rsidRDefault="00113F2B" w:rsidP="003B65CF">
            <w:pPr>
              <w:pStyle w:val="Tabletext1"/>
              <w:rPr>
                <w:snapToGrid w:val="0"/>
              </w:rPr>
            </w:pPr>
            <w:r>
              <w:rPr>
                <w:snapToGrid w:val="0"/>
              </w:rPr>
              <w:t>Not used – other threshold</w:t>
            </w:r>
          </w:p>
        </w:tc>
      </w:tr>
      <w:tr w:rsidR="006E08C2" w:rsidRPr="008A23B2" w14:paraId="3A58C367" w14:textId="77777777" w:rsidTr="002A0ACD">
        <w:trPr>
          <w:cantSplit/>
          <w:trHeight w:val="397"/>
        </w:trPr>
        <w:tc>
          <w:tcPr>
            <w:tcW w:w="830" w:type="pct"/>
            <w:shd w:val="clear" w:color="auto" w:fill="auto"/>
          </w:tcPr>
          <w:p w14:paraId="55D42DB7" w14:textId="77777777" w:rsidR="006E08C2" w:rsidRPr="008A23B2" w:rsidRDefault="006E08C2" w:rsidP="003B65CF">
            <w:pPr>
              <w:pStyle w:val="Tabletext1"/>
              <w:rPr>
                <w:snapToGrid w:val="0"/>
              </w:rPr>
            </w:pPr>
            <w:r w:rsidRPr="008A23B2">
              <w:lastRenderedPageBreak/>
              <w:t>Pokorny et al. (2014)</w:t>
            </w:r>
          </w:p>
        </w:tc>
        <w:tc>
          <w:tcPr>
            <w:tcW w:w="636" w:type="pct"/>
            <w:shd w:val="clear" w:color="auto" w:fill="auto"/>
          </w:tcPr>
          <w:p w14:paraId="47EA9953" w14:textId="77777777" w:rsidR="006E08C2" w:rsidRPr="008A23B2" w:rsidRDefault="00572113" w:rsidP="003B65CF">
            <w:pPr>
              <w:pStyle w:val="Tabletext1"/>
              <w:rPr>
                <w:snapToGrid w:val="0"/>
              </w:rPr>
            </w:pPr>
            <w:r>
              <w:rPr>
                <w:snapToGrid w:val="0"/>
              </w:rPr>
              <w:t>226</w:t>
            </w:r>
          </w:p>
        </w:tc>
        <w:tc>
          <w:tcPr>
            <w:tcW w:w="825" w:type="pct"/>
            <w:shd w:val="clear" w:color="auto" w:fill="auto"/>
          </w:tcPr>
          <w:p w14:paraId="0E08E8CF" w14:textId="77777777" w:rsidR="006E08C2" w:rsidRPr="008A23B2" w:rsidRDefault="00F015C0" w:rsidP="003B65CF">
            <w:pPr>
              <w:pStyle w:val="Tabletext1"/>
              <w:rPr>
                <w:snapToGrid w:val="0"/>
              </w:rPr>
            </w:pPr>
            <w:r>
              <w:rPr>
                <w:snapToGrid w:val="0"/>
              </w:rPr>
              <w:t>II</w:t>
            </w:r>
          </w:p>
        </w:tc>
        <w:tc>
          <w:tcPr>
            <w:tcW w:w="733" w:type="pct"/>
            <w:shd w:val="clear" w:color="auto" w:fill="auto"/>
          </w:tcPr>
          <w:p w14:paraId="06D81702"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2AF757FB"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6DF7111F" w14:textId="77777777" w:rsidR="006E08C2" w:rsidRPr="008A23B2" w:rsidRDefault="000E3144" w:rsidP="003B65CF">
            <w:pPr>
              <w:pStyle w:val="Tabletext1"/>
              <w:rPr>
                <w:snapToGrid w:val="0"/>
              </w:rPr>
            </w:pPr>
            <w:r w:rsidRPr="002E0E75">
              <w:rPr>
                <w:snapToGrid w:val="0"/>
              </w:rPr>
              <w:t>Used</w:t>
            </w:r>
          </w:p>
        </w:tc>
      </w:tr>
      <w:tr w:rsidR="006E08C2" w:rsidRPr="008A23B2" w14:paraId="6E14E3F2" w14:textId="77777777" w:rsidTr="002A0ACD">
        <w:trPr>
          <w:cantSplit/>
          <w:trHeight w:val="397"/>
        </w:trPr>
        <w:tc>
          <w:tcPr>
            <w:tcW w:w="830" w:type="pct"/>
            <w:shd w:val="clear" w:color="auto" w:fill="auto"/>
          </w:tcPr>
          <w:p w14:paraId="7A4D2B0B" w14:textId="77777777" w:rsidR="006E08C2" w:rsidRPr="008A23B2" w:rsidRDefault="006E08C2" w:rsidP="003B65CF">
            <w:pPr>
              <w:pStyle w:val="Tabletext1"/>
              <w:rPr>
                <w:snapToGrid w:val="0"/>
              </w:rPr>
            </w:pPr>
            <w:r w:rsidRPr="008A23B2">
              <w:t>Porpiglia et al. (2014)</w:t>
            </w:r>
          </w:p>
        </w:tc>
        <w:tc>
          <w:tcPr>
            <w:tcW w:w="636" w:type="pct"/>
            <w:shd w:val="clear" w:color="auto" w:fill="auto"/>
          </w:tcPr>
          <w:p w14:paraId="7D794306" w14:textId="77777777" w:rsidR="006E08C2" w:rsidRPr="008A23B2" w:rsidRDefault="00A401C7" w:rsidP="003B65CF">
            <w:pPr>
              <w:pStyle w:val="Tabletext1"/>
              <w:rPr>
                <w:snapToGrid w:val="0"/>
              </w:rPr>
            </w:pPr>
            <w:r>
              <w:rPr>
                <w:snapToGrid w:val="0"/>
              </w:rPr>
              <w:t>170</w:t>
            </w:r>
          </w:p>
        </w:tc>
        <w:tc>
          <w:tcPr>
            <w:tcW w:w="825" w:type="pct"/>
            <w:shd w:val="clear" w:color="auto" w:fill="auto"/>
          </w:tcPr>
          <w:p w14:paraId="300D2B1A" w14:textId="77777777" w:rsidR="006E08C2" w:rsidRPr="008A23B2" w:rsidRDefault="00F015C0" w:rsidP="003B65CF">
            <w:pPr>
              <w:pStyle w:val="Tabletext1"/>
              <w:rPr>
                <w:snapToGrid w:val="0"/>
              </w:rPr>
            </w:pPr>
            <w:r>
              <w:rPr>
                <w:snapToGrid w:val="0"/>
              </w:rPr>
              <w:t>III-1</w:t>
            </w:r>
          </w:p>
        </w:tc>
        <w:tc>
          <w:tcPr>
            <w:tcW w:w="733" w:type="pct"/>
            <w:shd w:val="clear" w:color="auto" w:fill="auto"/>
          </w:tcPr>
          <w:p w14:paraId="043B49E8" w14:textId="77777777" w:rsidR="006E08C2" w:rsidRPr="008A23B2" w:rsidRDefault="000E3144" w:rsidP="003B65CF">
            <w:pPr>
              <w:pStyle w:val="Tabletext1"/>
              <w:rPr>
                <w:snapToGrid w:val="0"/>
              </w:rPr>
            </w:pPr>
            <w:r>
              <w:rPr>
                <w:snapToGrid w:val="0"/>
              </w:rPr>
              <w:t>Unclear</w:t>
            </w:r>
          </w:p>
        </w:tc>
        <w:tc>
          <w:tcPr>
            <w:tcW w:w="1066" w:type="pct"/>
            <w:shd w:val="clear" w:color="auto" w:fill="auto"/>
          </w:tcPr>
          <w:p w14:paraId="718F0B5E"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17B3F6EF" w14:textId="77777777" w:rsidR="006E08C2" w:rsidRPr="008A23B2" w:rsidRDefault="00113F2B" w:rsidP="003B65CF">
            <w:pPr>
              <w:pStyle w:val="Tabletext1"/>
              <w:rPr>
                <w:snapToGrid w:val="0"/>
              </w:rPr>
            </w:pPr>
            <w:r>
              <w:rPr>
                <w:snapToGrid w:val="0"/>
              </w:rPr>
              <w:t>Not used – other threshold</w:t>
            </w:r>
          </w:p>
        </w:tc>
      </w:tr>
      <w:tr w:rsidR="00DB69EF" w:rsidRPr="008A23B2" w14:paraId="00C65978" w14:textId="77777777" w:rsidTr="002A0ACD">
        <w:trPr>
          <w:cantSplit/>
          <w:trHeight w:val="397"/>
        </w:trPr>
        <w:tc>
          <w:tcPr>
            <w:tcW w:w="830" w:type="pct"/>
            <w:shd w:val="clear" w:color="auto" w:fill="auto"/>
          </w:tcPr>
          <w:p w14:paraId="3279B2CD" w14:textId="2EEC19E6" w:rsidR="00DB69EF" w:rsidRPr="008A23B2" w:rsidRDefault="00DB69EF" w:rsidP="003B65CF">
            <w:pPr>
              <w:pStyle w:val="Tabletext1"/>
              <w:rPr>
                <w:snapToGrid w:val="0"/>
              </w:rPr>
            </w:pPr>
            <w:r w:rsidRPr="008A23B2">
              <w:t xml:space="preserve">Renard-Penna et al. </w:t>
            </w:r>
            <w:r w:rsidR="00756215">
              <w:t>(</w:t>
            </w:r>
            <w:r w:rsidRPr="008A23B2">
              <w:t>2016</w:t>
            </w:r>
            <w:r w:rsidR="00756215">
              <w:t>)</w:t>
            </w:r>
          </w:p>
        </w:tc>
        <w:tc>
          <w:tcPr>
            <w:tcW w:w="636" w:type="pct"/>
            <w:shd w:val="clear" w:color="auto" w:fill="auto"/>
          </w:tcPr>
          <w:p w14:paraId="01CD2DEE" w14:textId="77777777" w:rsidR="00DB69EF" w:rsidRPr="008A23B2" w:rsidRDefault="00DB69EF" w:rsidP="003B65CF">
            <w:pPr>
              <w:pStyle w:val="Tabletext1"/>
              <w:rPr>
                <w:snapToGrid w:val="0"/>
              </w:rPr>
            </w:pPr>
            <w:r>
              <w:rPr>
                <w:snapToGrid w:val="0"/>
              </w:rPr>
              <w:t>78</w:t>
            </w:r>
          </w:p>
        </w:tc>
        <w:tc>
          <w:tcPr>
            <w:tcW w:w="825" w:type="pct"/>
            <w:shd w:val="clear" w:color="auto" w:fill="auto"/>
          </w:tcPr>
          <w:p w14:paraId="3767B391" w14:textId="77777777" w:rsidR="00DB69EF" w:rsidRPr="008A23B2" w:rsidRDefault="00DB69EF" w:rsidP="003B65CF">
            <w:pPr>
              <w:pStyle w:val="Tabletext1"/>
              <w:rPr>
                <w:snapToGrid w:val="0"/>
              </w:rPr>
            </w:pPr>
            <w:r>
              <w:rPr>
                <w:snapToGrid w:val="0"/>
              </w:rPr>
              <w:t>III-2</w:t>
            </w:r>
          </w:p>
        </w:tc>
        <w:tc>
          <w:tcPr>
            <w:tcW w:w="733" w:type="pct"/>
            <w:shd w:val="clear" w:color="auto" w:fill="auto"/>
          </w:tcPr>
          <w:p w14:paraId="20608CAF" w14:textId="77777777" w:rsidR="00DB69EF" w:rsidRPr="008A23B2" w:rsidRDefault="00DB69EF" w:rsidP="003B65CF">
            <w:pPr>
              <w:pStyle w:val="Tabletext1"/>
              <w:rPr>
                <w:snapToGrid w:val="0"/>
              </w:rPr>
            </w:pPr>
            <w:r>
              <w:rPr>
                <w:snapToGrid w:val="0"/>
              </w:rPr>
              <w:t>Unclear</w:t>
            </w:r>
          </w:p>
        </w:tc>
        <w:tc>
          <w:tcPr>
            <w:tcW w:w="1066" w:type="pct"/>
            <w:shd w:val="clear" w:color="auto" w:fill="auto"/>
          </w:tcPr>
          <w:p w14:paraId="3301D93C" w14:textId="77777777" w:rsidR="00DB69EF" w:rsidRPr="008A23B2" w:rsidRDefault="00DB69EF" w:rsidP="003B65CF">
            <w:pPr>
              <w:pStyle w:val="Tabletext1"/>
              <w:rPr>
                <w:snapToGrid w:val="0"/>
              </w:rPr>
            </w:pPr>
            <w:r>
              <w:rPr>
                <w:snapToGrid w:val="0"/>
              </w:rPr>
              <w:t>TN, FN</w:t>
            </w:r>
          </w:p>
        </w:tc>
        <w:tc>
          <w:tcPr>
            <w:tcW w:w="910" w:type="pct"/>
            <w:shd w:val="clear" w:color="auto" w:fill="auto"/>
          </w:tcPr>
          <w:p w14:paraId="68F7AD75" w14:textId="77777777" w:rsidR="00DB69EF" w:rsidRPr="008A23B2" w:rsidRDefault="00DB69EF" w:rsidP="003B65CF">
            <w:pPr>
              <w:pStyle w:val="Tabletext1"/>
              <w:rPr>
                <w:snapToGrid w:val="0"/>
              </w:rPr>
            </w:pPr>
            <w:r>
              <w:rPr>
                <w:snapToGrid w:val="0"/>
              </w:rPr>
              <w:t>Not used – bivariate data not available</w:t>
            </w:r>
          </w:p>
        </w:tc>
      </w:tr>
      <w:tr w:rsidR="006E08C2" w:rsidRPr="008A23B2" w14:paraId="20D4306A" w14:textId="77777777" w:rsidTr="002A0ACD">
        <w:trPr>
          <w:cantSplit/>
          <w:trHeight w:val="397"/>
        </w:trPr>
        <w:tc>
          <w:tcPr>
            <w:tcW w:w="830" w:type="pct"/>
            <w:shd w:val="clear" w:color="auto" w:fill="auto"/>
          </w:tcPr>
          <w:p w14:paraId="5462FCA7" w14:textId="77777777" w:rsidR="006E08C2" w:rsidRPr="008A23B2" w:rsidRDefault="006E08C2" w:rsidP="003B65CF">
            <w:pPr>
              <w:pStyle w:val="Tabletext1"/>
              <w:rPr>
                <w:snapToGrid w:val="0"/>
              </w:rPr>
            </w:pPr>
            <w:r w:rsidRPr="008A23B2">
              <w:t>Rosenkrantz et al. (2013)</w:t>
            </w:r>
          </w:p>
        </w:tc>
        <w:tc>
          <w:tcPr>
            <w:tcW w:w="636" w:type="pct"/>
            <w:shd w:val="clear" w:color="auto" w:fill="auto"/>
          </w:tcPr>
          <w:p w14:paraId="74836503" w14:textId="77777777" w:rsidR="006E08C2" w:rsidRPr="008A23B2" w:rsidRDefault="00A401C7" w:rsidP="003B65CF">
            <w:pPr>
              <w:pStyle w:val="Tabletext1"/>
              <w:rPr>
                <w:snapToGrid w:val="0"/>
              </w:rPr>
            </w:pPr>
            <w:r>
              <w:rPr>
                <w:snapToGrid w:val="0"/>
              </w:rPr>
              <w:t>42</w:t>
            </w:r>
          </w:p>
        </w:tc>
        <w:tc>
          <w:tcPr>
            <w:tcW w:w="825" w:type="pct"/>
            <w:shd w:val="clear" w:color="auto" w:fill="auto"/>
          </w:tcPr>
          <w:p w14:paraId="6FC7214B"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4555282A"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6EF2BF14"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71994AB7" w14:textId="77777777" w:rsidR="006E08C2" w:rsidRPr="008A23B2" w:rsidRDefault="00113F2B" w:rsidP="003B65CF">
            <w:pPr>
              <w:pStyle w:val="Tabletext1"/>
              <w:rPr>
                <w:snapToGrid w:val="0"/>
              </w:rPr>
            </w:pPr>
            <w:r>
              <w:rPr>
                <w:snapToGrid w:val="0"/>
              </w:rPr>
              <w:t>Not used – other threshold</w:t>
            </w:r>
          </w:p>
        </w:tc>
      </w:tr>
      <w:tr w:rsidR="006E08C2" w:rsidRPr="008A23B2" w14:paraId="77C6CE2F" w14:textId="77777777" w:rsidTr="002A0ACD">
        <w:trPr>
          <w:cantSplit/>
          <w:trHeight w:val="397"/>
        </w:trPr>
        <w:tc>
          <w:tcPr>
            <w:tcW w:w="830" w:type="pct"/>
            <w:shd w:val="clear" w:color="auto" w:fill="auto"/>
          </w:tcPr>
          <w:p w14:paraId="07521593" w14:textId="77777777" w:rsidR="006E08C2" w:rsidRPr="008A23B2" w:rsidRDefault="006E08C2" w:rsidP="003B65CF">
            <w:pPr>
              <w:pStyle w:val="Tabletext1"/>
              <w:rPr>
                <w:snapToGrid w:val="0"/>
              </w:rPr>
            </w:pPr>
            <w:r w:rsidRPr="008A23B2">
              <w:t>Rouse et al. (2011)</w:t>
            </w:r>
          </w:p>
        </w:tc>
        <w:tc>
          <w:tcPr>
            <w:tcW w:w="636" w:type="pct"/>
            <w:shd w:val="clear" w:color="auto" w:fill="auto"/>
          </w:tcPr>
          <w:p w14:paraId="73124B51" w14:textId="77777777" w:rsidR="006E08C2" w:rsidRPr="008A23B2" w:rsidRDefault="00A401C7" w:rsidP="003B65CF">
            <w:pPr>
              <w:pStyle w:val="Tabletext1"/>
              <w:rPr>
                <w:snapToGrid w:val="0"/>
              </w:rPr>
            </w:pPr>
            <w:r>
              <w:rPr>
                <w:snapToGrid w:val="0"/>
              </w:rPr>
              <w:t>114</w:t>
            </w:r>
          </w:p>
        </w:tc>
        <w:tc>
          <w:tcPr>
            <w:tcW w:w="825" w:type="pct"/>
            <w:shd w:val="clear" w:color="auto" w:fill="auto"/>
          </w:tcPr>
          <w:p w14:paraId="1FE054FE"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7C2963C5"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5AE5720D"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2F5555BC" w14:textId="77777777" w:rsidR="006E08C2" w:rsidRPr="008A23B2" w:rsidRDefault="00660B0E" w:rsidP="003B65CF">
            <w:pPr>
              <w:pStyle w:val="Tabletext1"/>
              <w:rPr>
                <w:snapToGrid w:val="0"/>
              </w:rPr>
            </w:pPr>
            <w:r>
              <w:rPr>
                <w:snapToGrid w:val="0"/>
              </w:rPr>
              <w:t>Not used – PI-RADS ≥ 3</w:t>
            </w:r>
          </w:p>
        </w:tc>
      </w:tr>
      <w:tr w:rsidR="006E08C2" w:rsidRPr="008A23B2" w14:paraId="4E608D8D" w14:textId="77777777" w:rsidTr="002A0ACD">
        <w:trPr>
          <w:cantSplit/>
          <w:trHeight w:val="397"/>
        </w:trPr>
        <w:tc>
          <w:tcPr>
            <w:tcW w:w="830" w:type="pct"/>
            <w:shd w:val="clear" w:color="auto" w:fill="auto"/>
          </w:tcPr>
          <w:p w14:paraId="20E0C674" w14:textId="77777777" w:rsidR="006E08C2" w:rsidRPr="008A23B2" w:rsidRDefault="006E08C2" w:rsidP="003B65CF">
            <w:pPr>
              <w:pStyle w:val="Tabletext1"/>
              <w:rPr>
                <w:snapToGrid w:val="0"/>
              </w:rPr>
            </w:pPr>
            <w:r w:rsidRPr="008A23B2">
              <w:t>Tamada et al. (2011)</w:t>
            </w:r>
          </w:p>
        </w:tc>
        <w:tc>
          <w:tcPr>
            <w:tcW w:w="636" w:type="pct"/>
            <w:shd w:val="clear" w:color="auto" w:fill="auto"/>
          </w:tcPr>
          <w:p w14:paraId="6A2A20D6" w14:textId="77777777" w:rsidR="006E08C2" w:rsidRPr="008A23B2" w:rsidRDefault="00572113" w:rsidP="003B65CF">
            <w:pPr>
              <w:pStyle w:val="Tabletext1"/>
              <w:rPr>
                <w:snapToGrid w:val="0"/>
              </w:rPr>
            </w:pPr>
            <w:r>
              <w:rPr>
                <w:snapToGrid w:val="0"/>
              </w:rPr>
              <w:t>50</w:t>
            </w:r>
          </w:p>
        </w:tc>
        <w:tc>
          <w:tcPr>
            <w:tcW w:w="825" w:type="pct"/>
            <w:shd w:val="clear" w:color="auto" w:fill="auto"/>
          </w:tcPr>
          <w:p w14:paraId="6D3AA3A1"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7DA45B49" w14:textId="77777777" w:rsidR="006E08C2" w:rsidRPr="008A23B2" w:rsidRDefault="008313FC" w:rsidP="003B65CF">
            <w:pPr>
              <w:pStyle w:val="Tabletext1"/>
              <w:rPr>
                <w:snapToGrid w:val="0"/>
              </w:rPr>
            </w:pPr>
            <w:r>
              <w:rPr>
                <w:snapToGrid w:val="0"/>
              </w:rPr>
              <w:t>High</w:t>
            </w:r>
          </w:p>
        </w:tc>
        <w:tc>
          <w:tcPr>
            <w:tcW w:w="1066" w:type="pct"/>
            <w:shd w:val="clear" w:color="auto" w:fill="auto"/>
          </w:tcPr>
          <w:p w14:paraId="254EECD8"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5FE0CE8B" w14:textId="77777777" w:rsidR="006E08C2" w:rsidRPr="008A23B2" w:rsidRDefault="00113F2B" w:rsidP="003B65CF">
            <w:pPr>
              <w:pStyle w:val="Tabletext1"/>
              <w:rPr>
                <w:snapToGrid w:val="0"/>
              </w:rPr>
            </w:pPr>
            <w:r>
              <w:rPr>
                <w:snapToGrid w:val="0"/>
              </w:rPr>
              <w:t>Not used – other threshold</w:t>
            </w:r>
          </w:p>
        </w:tc>
      </w:tr>
      <w:tr w:rsidR="006E08C2" w:rsidRPr="008A23B2" w14:paraId="6EC67BC8" w14:textId="77777777" w:rsidTr="002A0ACD">
        <w:trPr>
          <w:cantSplit/>
          <w:trHeight w:val="397"/>
        </w:trPr>
        <w:tc>
          <w:tcPr>
            <w:tcW w:w="830" w:type="pct"/>
            <w:shd w:val="clear" w:color="auto" w:fill="auto"/>
          </w:tcPr>
          <w:p w14:paraId="69233901" w14:textId="77777777" w:rsidR="006E08C2" w:rsidRPr="008A23B2" w:rsidRDefault="006E08C2" w:rsidP="003B65CF">
            <w:pPr>
              <w:pStyle w:val="Tabletext1"/>
              <w:rPr>
                <w:snapToGrid w:val="0"/>
              </w:rPr>
            </w:pPr>
            <w:r w:rsidRPr="008A23B2">
              <w:t>Tanimoto et al. (2007)</w:t>
            </w:r>
          </w:p>
        </w:tc>
        <w:tc>
          <w:tcPr>
            <w:tcW w:w="636" w:type="pct"/>
            <w:shd w:val="clear" w:color="auto" w:fill="auto"/>
          </w:tcPr>
          <w:p w14:paraId="074ED2F4" w14:textId="77777777" w:rsidR="006E08C2" w:rsidRPr="008A23B2" w:rsidRDefault="00572113" w:rsidP="003B65CF">
            <w:pPr>
              <w:pStyle w:val="Tabletext1"/>
              <w:rPr>
                <w:snapToGrid w:val="0"/>
              </w:rPr>
            </w:pPr>
            <w:r>
              <w:rPr>
                <w:snapToGrid w:val="0"/>
              </w:rPr>
              <w:t>83</w:t>
            </w:r>
          </w:p>
        </w:tc>
        <w:tc>
          <w:tcPr>
            <w:tcW w:w="825" w:type="pct"/>
            <w:shd w:val="clear" w:color="auto" w:fill="auto"/>
          </w:tcPr>
          <w:p w14:paraId="75FF8A38"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67666D4B" w14:textId="77777777" w:rsidR="006E08C2" w:rsidRPr="008A23B2" w:rsidRDefault="008313FC" w:rsidP="003B65CF">
            <w:pPr>
              <w:pStyle w:val="Tabletext1"/>
              <w:rPr>
                <w:snapToGrid w:val="0"/>
              </w:rPr>
            </w:pPr>
            <w:r>
              <w:rPr>
                <w:snapToGrid w:val="0"/>
              </w:rPr>
              <w:t>High</w:t>
            </w:r>
          </w:p>
        </w:tc>
        <w:tc>
          <w:tcPr>
            <w:tcW w:w="1066" w:type="pct"/>
            <w:shd w:val="clear" w:color="auto" w:fill="auto"/>
          </w:tcPr>
          <w:p w14:paraId="5F7BC643"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2A71E763" w14:textId="77777777" w:rsidR="006E08C2" w:rsidRPr="008A23B2" w:rsidRDefault="00113F2B" w:rsidP="003B65CF">
            <w:pPr>
              <w:pStyle w:val="Tabletext1"/>
              <w:rPr>
                <w:snapToGrid w:val="0"/>
              </w:rPr>
            </w:pPr>
            <w:r>
              <w:rPr>
                <w:snapToGrid w:val="0"/>
              </w:rPr>
              <w:t>Not used – other threshold</w:t>
            </w:r>
          </w:p>
        </w:tc>
      </w:tr>
      <w:tr w:rsidR="006E08C2" w:rsidRPr="008A23B2" w14:paraId="3BA6CC24" w14:textId="77777777" w:rsidTr="002A0ACD">
        <w:trPr>
          <w:cantSplit/>
          <w:trHeight w:val="397"/>
        </w:trPr>
        <w:tc>
          <w:tcPr>
            <w:tcW w:w="830" w:type="pct"/>
            <w:shd w:val="clear" w:color="auto" w:fill="auto"/>
          </w:tcPr>
          <w:p w14:paraId="4F87980C" w14:textId="77777777" w:rsidR="006E08C2" w:rsidRPr="008A23B2" w:rsidRDefault="006E08C2" w:rsidP="003B65CF">
            <w:pPr>
              <w:pStyle w:val="Tabletext1"/>
              <w:rPr>
                <w:snapToGrid w:val="0"/>
              </w:rPr>
            </w:pPr>
            <w:r w:rsidRPr="008A23B2">
              <w:t>Thompson et al. (2014)</w:t>
            </w:r>
          </w:p>
        </w:tc>
        <w:tc>
          <w:tcPr>
            <w:tcW w:w="636" w:type="pct"/>
            <w:shd w:val="clear" w:color="auto" w:fill="auto"/>
          </w:tcPr>
          <w:p w14:paraId="1FE0EFE2" w14:textId="77777777" w:rsidR="006E08C2" w:rsidRPr="008A23B2" w:rsidRDefault="00A401C7" w:rsidP="003B65CF">
            <w:pPr>
              <w:pStyle w:val="Tabletext1"/>
              <w:rPr>
                <w:snapToGrid w:val="0"/>
              </w:rPr>
            </w:pPr>
            <w:r>
              <w:rPr>
                <w:snapToGrid w:val="0"/>
              </w:rPr>
              <w:t>150</w:t>
            </w:r>
          </w:p>
        </w:tc>
        <w:tc>
          <w:tcPr>
            <w:tcW w:w="825" w:type="pct"/>
            <w:shd w:val="clear" w:color="auto" w:fill="auto"/>
          </w:tcPr>
          <w:p w14:paraId="135F7DAE"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5165481D"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358C5A73"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6476C66A" w14:textId="77777777" w:rsidR="006E08C2" w:rsidRPr="008A23B2" w:rsidRDefault="000E3144" w:rsidP="003B65CF">
            <w:pPr>
              <w:pStyle w:val="Tabletext1"/>
              <w:rPr>
                <w:snapToGrid w:val="0"/>
              </w:rPr>
            </w:pPr>
            <w:r w:rsidRPr="002E0E75">
              <w:rPr>
                <w:snapToGrid w:val="0"/>
              </w:rPr>
              <w:t>Used</w:t>
            </w:r>
          </w:p>
        </w:tc>
      </w:tr>
      <w:tr w:rsidR="006E08C2" w:rsidRPr="008A23B2" w14:paraId="574B4206" w14:textId="77777777" w:rsidTr="002A0ACD">
        <w:trPr>
          <w:cantSplit/>
          <w:trHeight w:val="397"/>
        </w:trPr>
        <w:tc>
          <w:tcPr>
            <w:tcW w:w="830" w:type="pct"/>
            <w:shd w:val="clear" w:color="auto" w:fill="auto"/>
          </w:tcPr>
          <w:p w14:paraId="08F24FAE" w14:textId="4AA06AF9" w:rsidR="006E08C2" w:rsidRPr="008A23B2" w:rsidRDefault="006E08C2" w:rsidP="003B65CF">
            <w:pPr>
              <w:pStyle w:val="Tabletext1"/>
              <w:rPr>
                <w:snapToGrid w:val="0"/>
              </w:rPr>
            </w:pPr>
            <w:r w:rsidRPr="008A23B2">
              <w:t xml:space="preserve">Thompson et al. </w:t>
            </w:r>
            <w:r w:rsidR="00756215">
              <w:t>(</w:t>
            </w:r>
            <w:r w:rsidRPr="008A23B2">
              <w:t>2016</w:t>
            </w:r>
            <w:r w:rsidR="00756215">
              <w:t>)</w:t>
            </w:r>
          </w:p>
        </w:tc>
        <w:tc>
          <w:tcPr>
            <w:tcW w:w="636" w:type="pct"/>
            <w:shd w:val="clear" w:color="auto" w:fill="auto"/>
          </w:tcPr>
          <w:p w14:paraId="52E78E71" w14:textId="77777777" w:rsidR="006E08C2" w:rsidRPr="008A23B2" w:rsidRDefault="005F4488" w:rsidP="003B65CF">
            <w:pPr>
              <w:pStyle w:val="Tabletext1"/>
              <w:rPr>
                <w:snapToGrid w:val="0"/>
              </w:rPr>
            </w:pPr>
            <w:r>
              <w:rPr>
                <w:snapToGrid w:val="0"/>
              </w:rPr>
              <w:t>344</w:t>
            </w:r>
          </w:p>
        </w:tc>
        <w:tc>
          <w:tcPr>
            <w:tcW w:w="825" w:type="pct"/>
            <w:shd w:val="clear" w:color="auto" w:fill="auto"/>
          </w:tcPr>
          <w:p w14:paraId="185062CA" w14:textId="77777777" w:rsidR="006E08C2" w:rsidRPr="008A23B2" w:rsidRDefault="005F4488" w:rsidP="003B65CF">
            <w:pPr>
              <w:pStyle w:val="Tabletext1"/>
              <w:rPr>
                <w:snapToGrid w:val="0"/>
              </w:rPr>
            </w:pPr>
            <w:r>
              <w:rPr>
                <w:snapToGrid w:val="0"/>
              </w:rPr>
              <w:t>III-2</w:t>
            </w:r>
          </w:p>
        </w:tc>
        <w:tc>
          <w:tcPr>
            <w:tcW w:w="733" w:type="pct"/>
            <w:shd w:val="clear" w:color="auto" w:fill="auto"/>
          </w:tcPr>
          <w:p w14:paraId="5EEA9BC6" w14:textId="77777777" w:rsidR="006E08C2" w:rsidRPr="008A23B2" w:rsidRDefault="003C1115" w:rsidP="003B65CF">
            <w:pPr>
              <w:pStyle w:val="Tabletext1"/>
              <w:rPr>
                <w:snapToGrid w:val="0"/>
              </w:rPr>
            </w:pPr>
            <w:r>
              <w:rPr>
                <w:snapToGrid w:val="0"/>
              </w:rPr>
              <w:t>Unclear</w:t>
            </w:r>
          </w:p>
        </w:tc>
        <w:tc>
          <w:tcPr>
            <w:tcW w:w="1066" w:type="pct"/>
            <w:shd w:val="clear" w:color="auto" w:fill="auto"/>
          </w:tcPr>
          <w:p w14:paraId="6966E434"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2B4D8099" w14:textId="77777777" w:rsidR="006E08C2" w:rsidRPr="008A23B2" w:rsidRDefault="000E3144" w:rsidP="003B65CF">
            <w:pPr>
              <w:pStyle w:val="Tabletext1"/>
              <w:rPr>
                <w:snapToGrid w:val="0"/>
              </w:rPr>
            </w:pPr>
            <w:r w:rsidRPr="002E0E75">
              <w:rPr>
                <w:snapToGrid w:val="0"/>
              </w:rPr>
              <w:t>Used</w:t>
            </w:r>
          </w:p>
        </w:tc>
      </w:tr>
      <w:tr w:rsidR="006E08C2" w:rsidRPr="008A23B2" w14:paraId="2A5F9253" w14:textId="77777777" w:rsidTr="002A0ACD">
        <w:trPr>
          <w:cantSplit/>
          <w:trHeight w:val="397"/>
        </w:trPr>
        <w:tc>
          <w:tcPr>
            <w:tcW w:w="830" w:type="pct"/>
            <w:shd w:val="clear" w:color="auto" w:fill="auto"/>
          </w:tcPr>
          <w:p w14:paraId="7D30D537" w14:textId="77777777" w:rsidR="006E08C2" w:rsidRPr="008A23B2" w:rsidRDefault="006E08C2" w:rsidP="003B65CF">
            <w:pPr>
              <w:pStyle w:val="Tabletext1"/>
              <w:rPr>
                <w:snapToGrid w:val="0"/>
              </w:rPr>
            </w:pPr>
            <w:r w:rsidRPr="008A23B2">
              <w:t>Tonttila et al. (2016)</w:t>
            </w:r>
          </w:p>
        </w:tc>
        <w:tc>
          <w:tcPr>
            <w:tcW w:w="636" w:type="pct"/>
            <w:shd w:val="clear" w:color="auto" w:fill="auto"/>
          </w:tcPr>
          <w:p w14:paraId="5570948B" w14:textId="77777777" w:rsidR="006E08C2" w:rsidRPr="008A23B2" w:rsidRDefault="00A401C7" w:rsidP="003B65CF">
            <w:pPr>
              <w:pStyle w:val="Tabletext1"/>
              <w:rPr>
                <w:snapToGrid w:val="0"/>
              </w:rPr>
            </w:pPr>
            <w:r>
              <w:rPr>
                <w:snapToGrid w:val="0"/>
              </w:rPr>
              <w:t>113</w:t>
            </w:r>
          </w:p>
        </w:tc>
        <w:tc>
          <w:tcPr>
            <w:tcW w:w="825" w:type="pct"/>
            <w:shd w:val="clear" w:color="auto" w:fill="auto"/>
          </w:tcPr>
          <w:p w14:paraId="5AFF722F"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14CC5F2D" w14:textId="77777777" w:rsidR="006E08C2" w:rsidRPr="008A23B2" w:rsidRDefault="000E3144" w:rsidP="003B65CF">
            <w:pPr>
              <w:pStyle w:val="Tabletext1"/>
              <w:rPr>
                <w:snapToGrid w:val="0"/>
              </w:rPr>
            </w:pPr>
            <w:r>
              <w:rPr>
                <w:snapToGrid w:val="0"/>
              </w:rPr>
              <w:t>High</w:t>
            </w:r>
          </w:p>
        </w:tc>
        <w:tc>
          <w:tcPr>
            <w:tcW w:w="1066" w:type="pct"/>
            <w:shd w:val="clear" w:color="auto" w:fill="auto"/>
          </w:tcPr>
          <w:p w14:paraId="7F6BFC9D"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6CC706DF" w14:textId="77777777" w:rsidR="006E08C2" w:rsidRPr="008A23B2" w:rsidRDefault="00113F2B" w:rsidP="003B65CF">
            <w:pPr>
              <w:pStyle w:val="Tabletext1"/>
              <w:rPr>
                <w:snapToGrid w:val="0"/>
              </w:rPr>
            </w:pPr>
            <w:r>
              <w:rPr>
                <w:snapToGrid w:val="0"/>
              </w:rPr>
              <w:t>Not used – other threshold</w:t>
            </w:r>
          </w:p>
        </w:tc>
      </w:tr>
      <w:tr w:rsidR="006E08C2" w:rsidRPr="008A23B2" w14:paraId="31950D3E" w14:textId="77777777" w:rsidTr="002A0ACD">
        <w:trPr>
          <w:cantSplit/>
          <w:trHeight w:val="397"/>
        </w:trPr>
        <w:tc>
          <w:tcPr>
            <w:tcW w:w="830" w:type="pct"/>
            <w:shd w:val="clear" w:color="auto" w:fill="auto"/>
          </w:tcPr>
          <w:p w14:paraId="2F7D30A0" w14:textId="77777777" w:rsidR="006E08C2" w:rsidRPr="008A23B2" w:rsidRDefault="006E08C2" w:rsidP="003B65CF">
            <w:pPr>
              <w:pStyle w:val="Tabletext1"/>
              <w:rPr>
                <w:snapToGrid w:val="0"/>
              </w:rPr>
            </w:pPr>
            <w:r w:rsidRPr="008A23B2">
              <w:t>Vilanova et al. (2011)</w:t>
            </w:r>
          </w:p>
        </w:tc>
        <w:tc>
          <w:tcPr>
            <w:tcW w:w="636" w:type="pct"/>
            <w:shd w:val="clear" w:color="auto" w:fill="auto"/>
          </w:tcPr>
          <w:p w14:paraId="70BF45FC" w14:textId="77777777" w:rsidR="006E08C2" w:rsidRPr="008A23B2" w:rsidRDefault="00A401C7" w:rsidP="003B65CF">
            <w:pPr>
              <w:pStyle w:val="Tabletext1"/>
              <w:rPr>
                <w:snapToGrid w:val="0"/>
              </w:rPr>
            </w:pPr>
            <w:r>
              <w:rPr>
                <w:snapToGrid w:val="0"/>
              </w:rPr>
              <w:t>70</w:t>
            </w:r>
          </w:p>
        </w:tc>
        <w:tc>
          <w:tcPr>
            <w:tcW w:w="825" w:type="pct"/>
            <w:shd w:val="clear" w:color="auto" w:fill="auto"/>
          </w:tcPr>
          <w:p w14:paraId="74ECC8E8" w14:textId="77777777" w:rsidR="006E08C2" w:rsidRPr="008A23B2" w:rsidRDefault="00F015C0" w:rsidP="003B65CF">
            <w:pPr>
              <w:pStyle w:val="Tabletext1"/>
              <w:rPr>
                <w:snapToGrid w:val="0"/>
              </w:rPr>
            </w:pPr>
            <w:r>
              <w:rPr>
                <w:snapToGrid w:val="0"/>
              </w:rPr>
              <w:t>II</w:t>
            </w:r>
          </w:p>
        </w:tc>
        <w:tc>
          <w:tcPr>
            <w:tcW w:w="733" w:type="pct"/>
            <w:shd w:val="clear" w:color="auto" w:fill="auto"/>
          </w:tcPr>
          <w:p w14:paraId="3AE46FEE" w14:textId="77777777" w:rsidR="006E08C2" w:rsidRPr="008A23B2" w:rsidRDefault="000E3144" w:rsidP="003B65CF">
            <w:pPr>
              <w:pStyle w:val="Tabletext1"/>
              <w:rPr>
                <w:snapToGrid w:val="0"/>
              </w:rPr>
            </w:pPr>
            <w:r>
              <w:rPr>
                <w:snapToGrid w:val="0"/>
              </w:rPr>
              <w:t>Low</w:t>
            </w:r>
          </w:p>
        </w:tc>
        <w:tc>
          <w:tcPr>
            <w:tcW w:w="1066" w:type="pct"/>
            <w:shd w:val="clear" w:color="auto" w:fill="auto"/>
          </w:tcPr>
          <w:p w14:paraId="68A6DCD8"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64732D13" w14:textId="539D8BC9" w:rsidR="006E08C2" w:rsidRPr="008A23B2" w:rsidRDefault="004B5171" w:rsidP="003B65CF">
            <w:pPr>
              <w:pStyle w:val="Tabletext1"/>
              <w:rPr>
                <w:snapToGrid w:val="0"/>
              </w:rPr>
            </w:pPr>
            <w:r w:rsidRPr="008A23B2">
              <w:rPr>
                <w:snapToGrid w:val="0"/>
              </w:rPr>
              <w:t>Not used</w:t>
            </w:r>
            <w:r>
              <w:rPr>
                <w:snapToGrid w:val="0"/>
              </w:rPr>
              <w:t xml:space="preserve">, </w:t>
            </w:r>
            <w:r w:rsidR="00D311ED">
              <w:rPr>
                <w:snapToGrid w:val="0"/>
              </w:rPr>
              <w:t>per-patient</w:t>
            </w:r>
            <w:r w:rsidR="00DB69EF">
              <w:rPr>
                <w:snapToGrid w:val="0"/>
              </w:rPr>
              <w:t xml:space="preserve"> analysis not available </w:t>
            </w:r>
          </w:p>
        </w:tc>
      </w:tr>
      <w:tr w:rsidR="006E08C2" w:rsidRPr="008A23B2" w14:paraId="14034875" w14:textId="77777777" w:rsidTr="002A0ACD">
        <w:trPr>
          <w:cantSplit/>
          <w:trHeight w:val="397"/>
        </w:trPr>
        <w:tc>
          <w:tcPr>
            <w:tcW w:w="830" w:type="pct"/>
            <w:shd w:val="clear" w:color="auto" w:fill="auto"/>
          </w:tcPr>
          <w:p w14:paraId="3E29C71C" w14:textId="77777777" w:rsidR="006E08C2" w:rsidRPr="008A23B2" w:rsidRDefault="006E08C2" w:rsidP="003B65CF">
            <w:pPr>
              <w:pStyle w:val="Tabletext1"/>
              <w:rPr>
                <w:snapToGrid w:val="0"/>
              </w:rPr>
            </w:pPr>
            <w:r w:rsidRPr="008A23B2">
              <w:t>Wang et al. (2015)</w:t>
            </w:r>
          </w:p>
        </w:tc>
        <w:tc>
          <w:tcPr>
            <w:tcW w:w="636" w:type="pct"/>
            <w:shd w:val="clear" w:color="auto" w:fill="auto"/>
          </w:tcPr>
          <w:p w14:paraId="63C850DD" w14:textId="77777777" w:rsidR="006E08C2" w:rsidRPr="008A23B2" w:rsidRDefault="00A401C7" w:rsidP="003B65CF">
            <w:pPr>
              <w:pStyle w:val="Tabletext1"/>
              <w:rPr>
                <w:snapToGrid w:val="0"/>
              </w:rPr>
            </w:pPr>
            <w:r>
              <w:rPr>
                <w:snapToGrid w:val="0"/>
              </w:rPr>
              <w:t>586</w:t>
            </w:r>
          </w:p>
        </w:tc>
        <w:tc>
          <w:tcPr>
            <w:tcW w:w="825" w:type="pct"/>
            <w:shd w:val="clear" w:color="auto" w:fill="auto"/>
          </w:tcPr>
          <w:p w14:paraId="16D32A5F"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3E0D2A32" w14:textId="77777777" w:rsidR="006E08C2" w:rsidRPr="008A23B2" w:rsidRDefault="008313FC" w:rsidP="003B65CF">
            <w:pPr>
              <w:pStyle w:val="Tabletext1"/>
              <w:rPr>
                <w:snapToGrid w:val="0"/>
              </w:rPr>
            </w:pPr>
            <w:r>
              <w:rPr>
                <w:snapToGrid w:val="0"/>
              </w:rPr>
              <w:t>High</w:t>
            </w:r>
          </w:p>
        </w:tc>
        <w:tc>
          <w:tcPr>
            <w:tcW w:w="1066" w:type="pct"/>
            <w:shd w:val="clear" w:color="auto" w:fill="auto"/>
          </w:tcPr>
          <w:p w14:paraId="1A189609" w14:textId="77777777" w:rsidR="006E08C2" w:rsidRPr="008A23B2" w:rsidRDefault="000E3144" w:rsidP="003B65CF">
            <w:pPr>
              <w:pStyle w:val="Tabletext1"/>
              <w:rPr>
                <w:snapToGrid w:val="0"/>
              </w:rPr>
            </w:pPr>
            <w:r w:rsidRPr="000E3144">
              <w:rPr>
                <w:snapToGrid w:val="0"/>
              </w:rPr>
              <w:t>TP, TN, FP, FN</w:t>
            </w:r>
          </w:p>
        </w:tc>
        <w:tc>
          <w:tcPr>
            <w:tcW w:w="910" w:type="pct"/>
            <w:shd w:val="clear" w:color="auto" w:fill="auto"/>
          </w:tcPr>
          <w:p w14:paraId="3C4090E4" w14:textId="77777777" w:rsidR="006E08C2" w:rsidRPr="008A23B2" w:rsidRDefault="000E3144" w:rsidP="003B65CF">
            <w:pPr>
              <w:pStyle w:val="Tabletext1"/>
              <w:rPr>
                <w:snapToGrid w:val="0"/>
              </w:rPr>
            </w:pPr>
            <w:r w:rsidRPr="002E0E75">
              <w:rPr>
                <w:snapToGrid w:val="0"/>
              </w:rPr>
              <w:t>Used</w:t>
            </w:r>
          </w:p>
        </w:tc>
      </w:tr>
      <w:tr w:rsidR="006E08C2" w:rsidRPr="008A23B2" w14:paraId="72DBC9F7" w14:textId="77777777" w:rsidTr="002A0ACD">
        <w:trPr>
          <w:cantSplit/>
          <w:trHeight w:val="397"/>
        </w:trPr>
        <w:tc>
          <w:tcPr>
            <w:tcW w:w="830" w:type="pct"/>
            <w:shd w:val="clear" w:color="auto" w:fill="auto"/>
          </w:tcPr>
          <w:p w14:paraId="5CFF6ADF" w14:textId="77777777" w:rsidR="006E08C2" w:rsidRPr="008A23B2" w:rsidRDefault="006E08C2" w:rsidP="003B65CF">
            <w:pPr>
              <w:pStyle w:val="Tabletext1"/>
              <w:rPr>
                <w:snapToGrid w:val="0"/>
              </w:rPr>
            </w:pPr>
            <w:r w:rsidRPr="008A23B2">
              <w:t>Washino et al. (2016)</w:t>
            </w:r>
          </w:p>
        </w:tc>
        <w:tc>
          <w:tcPr>
            <w:tcW w:w="636" w:type="pct"/>
            <w:shd w:val="clear" w:color="auto" w:fill="auto"/>
          </w:tcPr>
          <w:p w14:paraId="4DB3D9F5" w14:textId="77777777" w:rsidR="006E08C2" w:rsidRPr="008A23B2" w:rsidRDefault="00A401C7" w:rsidP="003B65CF">
            <w:pPr>
              <w:pStyle w:val="Tabletext1"/>
              <w:rPr>
                <w:snapToGrid w:val="0"/>
              </w:rPr>
            </w:pPr>
            <w:r>
              <w:rPr>
                <w:snapToGrid w:val="0"/>
              </w:rPr>
              <w:t>288</w:t>
            </w:r>
          </w:p>
        </w:tc>
        <w:tc>
          <w:tcPr>
            <w:tcW w:w="825" w:type="pct"/>
            <w:shd w:val="clear" w:color="auto" w:fill="auto"/>
          </w:tcPr>
          <w:p w14:paraId="07BD69E5" w14:textId="77777777" w:rsidR="006E08C2" w:rsidRPr="008A23B2" w:rsidRDefault="00F015C0" w:rsidP="003B65CF">
            <w:pPr>
              <w:pStyle w:val="Tabletext1"/>
              <w:rPr>
                <w:snapToGrid w:val="0"/>
              </w:rPr>
            </w:pPr>
            <w:r>
              <w:rPr>
                <w:snapToGrid w:val="0"/>
              </w:rPr>
              <w:t>III-1</w:t>
            </w:r>
          </w:p>
        </w:tc>
        <w:tc>
          <w:tcPr>
            <w:tcW w:w="733" w:type="pct"/>
            <w:shd w:val="clear" w:color="auto" w:fill="auto"/>
          </w:tcPr>
          <w:p w14:paraId="08941A29" w14:textId="77777777" w:rsidR="006E08C2" w:rsidRPr="008A23B2" w:rsidRDefault="008313FC" w:rsidP="003B65CF">
            <w:pPr>
              <w:pStyle w:val="Tabletext1"/>
              <w:rPr>
                <w:snapToGrid w:val="0"/>
              </w:rPr>
            </w:pPr>
            <w:r>
              <w:rPr>
                <w:snapToGrid w:val="0"/>
              </w:rPr>
              <w:t>High</w:t>
            </w:r>
          </w:p>
        </w:tc>
        <w:tc>
          <w:tcPr>
            <w:tcW w:w="1066" w:type="pct"/>
            <w:shd w:val="clear" w:color="auto" w:fill="auto"/>
          </w:tcPr>
          <w:p w14:paraId="34BC5190" w14:textId="77777777" w:rsidR="006E08C2" w:rsidRPr="008A23B2" w:rsidRDefault="00065408" w:rsidP="003B65CF">
            <w:pPr>
              <w:pStyle w:val="Tabletext1"/>
              <w:rPr>
                <w:snapToGrid w:val="0"/>
              </w:rPr>
            </w:pPr>
            <w:r>
              <w:rPr>
                <w:snapToGrid w:val="0"/>
              </w:rPr>
              <w:t>TP, TN, FP, FN</w:t>
            </w:r>
          </w:p>
        </w:tc>
        <w:tc>
          <w:tcPr>
            <w:tcW w:w="910" w:type="pct"/>
            <w:shd w:val="clear" w:color="auto" w:fill="auto"/>
          </w:tcPr>
          <w:p w14:paraId="3791E3C5" w14:textId="77777777" w:rsidR="006E08C2" w:rsidRPr="008A23B2" w:rsidRDefault="00660B0E" w:rsidP="003B65CF">
            <w:pPr>
              <w:pStyle w:val="Tabletext1"/>
              <w:rPr>
                <w:snapToGrid w:val="0"/>
              </w:rPr>
            </w:pPr>
            <w:r>
              <w:rPr>
                <w:snapToGrid w:val="0"/>
              </w:rPr>
              <w:t>Not used – PI-RADS ≥ 3</w:t>
            </w:r>
          </w:p>
        </w:tc>
      </w:tr>
      <w:tr w:rsidR="006E08C2" w:rsidRPr="008A23B2" w14:paraId="53999212" w14:textId="77777777" w:rsidTr="002A0ACD">
        <w:trPr>
          <w:cantSplit/>
          <w:trHeight w:val="397"/>
        </w:trPr>
        <w:tc>
          <w:tcPr>
            <w:tcW w:w="830" w:type="pct"/>
            <w:shd w:val="clear" w:color="auto" w:fill="auto"/>
          </w:tcPr>
          <w:p w14:paraId="74DFFAEB" w14:textId="77777777" w:rsidR="006E08C2" w:rsidRPr="008A23B2" w:rsidRDefault="006E08C2" w:rsidP="003B65CF">
            <w:pPr>
              <w:pStyle w:val="Tabletext1"/>
              <w:rPr>
                <w:snapToGrid w:val="0"/>
              </w:rPr>
            </w:pPr>
            <w:r w:rsidRPr="008A23B2">
              <w:t>Wysock et al. (2016)</w:t>
            </w:r>
          </w:p>
        </w:tc>
        <w:tc>
          <w:tcPr>
            <w:tcW w:w="636" w:type="pct"/>
            <w:shd w:val="clear" w:color="auto" w:fill="auto"/>
          </w:tcPr>
          <w:p w14:paraId="4FAA02AE" w14:textId="77777777" w:rsidR="006E08C2" w:rsidRPr="008A23B2" w:rsidRDefault="00572113" w:rsidP="003B65CF">
            <w:pPr>
              <w:pStyle w:val="Tabletext1"/>
              <w:rPr>
                <w:snapToGrid w:val="0"/>
              </w:rPr>
            </w:pPr>
            <w:r>
              <w:rPr>
                <w:snapToGrid w:val="0"/>
              </w:rPr>
              <w:t>54</w:t>
            </w:r>
          </w:p>
        </w:tc>
        <w:tc>
          <w:tcPr>
            <w:tcW w:w="825" w:type="pct"/>
            <w:shd w:val="clear" w:color="auto" w:fill="auto"/>
          </w:tcPr>
          <w:p w14:paraId="4835AA0C"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4DC96A39" w14:textId="77777777" w:rsidR="006E08C2" w:rsidRPr="008A23B2" w:rsidRDefault="008313FC" w:rsidP="003B65CF">
            <w:pPr>
              <w:pStyle w:val="Tabletext1"/>
              <w:rPr>
                <w:snapToGrid w:val="0"/>
              </w:rPr>
            </w:pPr>
            <w:r>
              <w:rPr>
                <w:snapToGrid w:val="0"/>
              </w:rPr>
              <w:t>Unclear</w:t>
            </w:r>
          </w:p>
        </w:tc>
        <w:tc>
          <w:tcPr>
            <w:tcW w:w="1066" w:type="pct"/>
            <w:shd w:val="clear" w:color="auto" w:fill="auto"/>
          </w:tcPr>
          <w:p w14:paraId="42FCDAB5" w14:textId="77777777" w:rsidR="006E08C2" w:rsidRPr="008A23B2" w:rsidRDefault="00660B0E" w:rsidP="003B65CF">
            <w:pPr>
              <w:pStyle w:val="Tabletext1"/>
              <w:rPr>
                <w:snapToGrid w:val="0"/>
              </w:rPr>
            </w:pPr>
            <w:r>
              <w:rPr>
                <w:snapToGrid w:val="0"/>
              </w:rPr>
              <w:t>TN, FN</w:t>
            </w:r>
          </w:p>
        </w:tc>
        <w:tc>
          <w:tcPr>
            <w:tcW w:w="910" w:type="pct"/>
            <w:shd w:val="clear" w:color="auto" w:fill="auto"/>
          </w:tcPr>
          <w:p w14:paraId="795F2EF6" w14:textId="77777777" w:rsidR="006E08C2" w:rsidRPr="008A23B2" w:rsidRDefault="00660B0E" w:rsidP="003B65CF">
            <w:pPr>
              <w:pStyle w:val="Tabletext1"/>
              <w:rPr>
                <w:snapToGrid w:val="0"/>
              </w:rPr>
            </w:pPr>
            <w:r>
              <w:rPr>
                <w:snapToGrid w:val="0"/>
              </w:rPr>
              <w:t>Not used only – bivariate data not available</w:t>
            </w:r>
          </w:p>
        </w:tc>
      </w:tr>
      <w:tr w:rsidR="006E08C2" w:rsidRPr="00183E4D" w14:paraId="62EE9413" w14:textId="77777777" w:rsidTr="002A0ACD">
        <w:trPr>
          <w:cantSplit/>
          <w:trHeight w:val="397"/>
        </w:trPr>
        <w:tc>
          <w:tcPr>
            <w:tcW w:w="830" w:type="pct"/>
            <w:shd w:val="clear" w:color="auto" w:fill="auto"/>
          </w:tcPr>
          <w:p w14:paraId="45859C5F" w14:textId="77777777" w:rsidR="006E08C2" w:rsidRPr="008A23B2" w:rsidRDefault="006E08C2" w:rsidP="003B65CF">
            <w:pPr>
              <w:pStyle w:val="Tabletext1"/>
              <w:rPr>
                <w:snapToGrid w:val="0"/>
              </w:rPr>
            </w:pPr>
            <w:r w:rsidRPr="008A23B2">
              <w:t>Zhao et al. (2016)</w:t>
            </w:r>
          </w:p>
        </w:tc>
        <w:tc>
          <w:tcPr>
            <w:tcW w:w="636" w:type="pct"/>
            <w:shd w:val="clear" w:color="auto" w:fill="auto"/>
          </w:tcPr>
          <w:p w14:paraId="31CCCE91" w14:textId="77777777" w:rsidR="006E08C2" w:rsidRPr="008A23B2" w:rsidRDefault="00A401C7" w:rsidP="003B65CF">
            <w:pPr>
              <w:pStyle w:val="Tabletext1"/>
              <w:rPr>
                <w:snapToGrid w:val="0"/>
              </w:rPr>
            </w:pPr>
            <w:r>
              <w:rPr>
                <w:snapToGrid w:val="0"/>
              </w:rPr>
              <w:t>372</w:t>
            </w:r>
          </w:p>
        </w:tc>
        <w:tc>
          <w:tcPr>
            <w:tcW w:w="825" w:type="pct"/>
            <w:shd w:val="clear" w:color="auto" w:fill="auto"/>
          </w:tcPr>
          <w:p w14:paraId="191D534A" w14:textId="77777777" w:rsidR="006E08C2" w:rsidRPr="008A23B2" w:rsidRDefault="00F015C0" w:rsidP="003B65CF">
            <w:pPr>
              <w:pStyle w:val="Tabletext1"/>
              <w:rPr>
                <w:snapToGrid w:val="0"/>
              </w:rPr>
            </w:pPr>
            <w:r>
              <w:rPr>
                <w:snapToGrid w:val="0"/>
              </w:rPr>
              <w:t>III-2</w:t>
            </w:r>
          </w:p>
        </w:tc>
        <w:tc>
          <w:tcPr>
            <w:tcW w:w="733" w:type="pct"/>
            <w:shd w:val="clear" w:color="auto" w:fill="auto"/>
          </w:tcPr>
          <w:p w14:paraId="151103B8" w14:textId="77777777" w:rsidR="006E08C2" w:rsidRPr="008A23B2" w:rsidRDefault="008313FC" w:rsidP="003B65CF">
            <w:pPr>
              <w:pStyle w:val="Tabletext1"/>
              <w:rPr>
                <w:snapToGrid w:val="0"/>
              </w:rPr>
            </w:pPr>
            <w:r>
              <w:rPr>
                <w:snapToGrid w:val="0"/>
              </w:rPr>
              <w:t>High</w:t>
            </w:r>
          </w:p>
        </w:tc>
        <w:tc>
          <w:tcPr>
            <w:tcW w:w="1066" w:type="pct"/>
            <w:shd w:val="clear" w:color="auto" w:fill="auto"/>
          </w:tcPr>
          <w:p w14:paraId="48C86869" w14:textId="77777777" w:rsidR="006E08C2" w:rsidRPr="008A23B2" w:rsidRDefault="00660B0E" w:rsidP="003B65CF">
            <w:pPr>
              <w:pStyle w:val="Tabletext1"/>
              <w:rPr>
                <w:snapToGrid w:val="0"/>
              </w:rPr>
            </w:pPr>
            <w:r>
              <w:rPr>
                <w:snapToGrid w:val="0"/>
              </w:rPr>
              <w:t>TP, TN, FP, FN</w:t>
            </w:r>
          </w:p>
        </w:tc>
        <w:tc>
          <w:tcPr>
            <w:tcW w:w="910" w:type="pct"/>
            <w:shd w:val="clear" w:color="auto" w:fill="auto"/>
          </w:tcPr>
          <w:p w14:paraId="4B5A5152" w14:textId="77777777" w:rsidR="006E08C2" w:rsidRPr="008A23B2" w:rsidRDefault="00660B0E" w:rsidP="003B65CF">
            <w:pPr>
              <w:pStyle w:val="Tabletext1"/>
              <w:rPr>
                <w:snapToGrid w:val="0"/>
              </w:rPr>
            </w:pPr>
            <w:r>
              <w:rPr>
                <w:snapToGrid w:val="0"/>
              </w:rPr>
              <w:t>Used</w:t>
            </w:r>
          </w:p>
        </w:tc>
      </w:tr>
    </w:tbl>
    <w:p w14:paraId="75B37C35" w14:textId="11D04910" w:rsidR="00F35CAB" w:rsidRPr="00736FAB" w:rsidRDefault="00A86749" w:rsidP="00736FAB">
      <w:pPr>
        <w:pStyle w:val="TableNotes"/>
        <w:rPr>
          <w:rStyle w:val="TablenotesChar0"/>
          <w:rFonts w:cs="Tahoma"/>
          <w:snapToGrid/>
          <w:lang w:eastAsia="en-AU"/>
        </w:rPr>
      </w:pPr>
      <w:r w:rsidRPr="00736FAB">
        <w:rPr>
          <w:rStyle w:val="TablenotesChar0"/>
          <w:rFonts w:cs="Tahoma"/>
          <w:snapToGrid/>
          <w:vertAlign w:val="superscript"/>
          <w:lang w:eastAsia="en-AU"/>
        </w:rPr>
        <w:t>a</w:t>
      </w:r>
      <w:r w:rsidRPr="00736FAB">
        <w:rPr>
          <w:rStyle w:val="TablenotesChar0"/>
          <w:rFonts w:cs="Tahoma"/>
          <w:snapToGrid/>
          <w:lang w:eastAsia="en-AU"/>
        </w:rPr>
        <w:t xml:space="preserve">: </w:t>
      </w:r>
      <w:r w:rsidR="0050644D" w:rsidRPr="00736FAB">
        <w:rPr>
          <w:rStyle w:val="TablenotesChar0"/>
          <w:rFonts w:cs="Tahoma"/>
          <w:snapToGrid/>
          <w:lang w:eastAsia="en-AU"/>
        </w:rPr>
        <w:t>I=systematic review of level II studies; II=a study of test accuracy with an independent, blinded comparison with a valid reference standard, among consecutive patients with a defined clinical presentation</w:t>
      </w:r>
      <w:r w:rsidRPr="00736FAB">
        <w:rPr>
          <w:rStyle w:val="TablenotesChar0"/>
          <w:rFonts w:cs="Tahoma"/>
          <w:snapToGrid/>
          <w:lang w:eastAsia="en-AU"/>
        </w:rPr>
        <w:t>;</w:t>
      </w:r>
      <w:r w:rsidR="009142A9">
        <w:rPr>
          <w:rStyle w:val="TablenotesChar0"/>
          <w:rFonts w:cs="Tahoma"/>
          <w:snapToGrid/>
          <w:lang w:eastAsia="en-AU"/>
        </w:rPr>
        <w:t xml:space="preserve"> </w:t>
      </w:r>
      <w:r w:rsidR="0050644D" w:rsidRPr="00736FAB">
        <w:rPr>
          <w:rStyle w:val="TablenotesChar0"/>
          <w:rFonts w:cs="Tahoma"/>
          <w:snapToGrid/>
          <w:lang w:eastAsia="en-AU"/>
        </w:rPr>
        <w:t>III-1=at study of test accuracy with an independent blinded comparison with a valid reference standard, among non-consecutive persons with a defined clinical presentation</w:t>
      </w:r>
      <w:r w:rsidRPr="00736FAB">
        <w:rPr>
          <w:rStyle w:val="TablenotesChar0"/>
          <w:rFonts w:cs="Tahoma"/>
          <w:snapToGrid/>
          <w:lang w:eastAsia="en-AU"/>
        </w:rPr>
        <w:t>;</w:t>
      </w:r>
      <w:r w:rsidR="0050644D" w:rsidRPr="00736FAB">
        <w:rPr>
          <w:rStyle w:val="TablenotesChar0"/>
          <w:rFonts w:cs="Tahoma"/>
          <w:snapToGrid/>
          <w:lang w:eastAsia="en-AU"/>
        </w:rPr>
        <w:t>III-2=a comparison with reference standard that does not meet the criteria for level II and III-1 evidence</w:t>
      </w:r>
      <w:r w:rsidRPr="00736FAB">
        <w:rPr>
          <w:rStyle w:val="TablenotesChar0"/>
          <w:rFonts w:cs="Tahoma"/>
          <w:snapToGrid/>
          <w:lang w:eastAsia="en-AU"/>
        </w:rPr>
        <w:t>;</w:t>
      </w:r>
      <w:r w:rsidR="0050644D" w:rsidRPr="00736FAB">
        <w:rPr>
          <w:rStyle w:val="TablenotesChar0"/>
          <w:rFonts w:cs="Tahoma"/>
          <w:snapToGrid/>
          <w:lang w:eastAsia="en-AU"/>
        </w:rPr>
        <w:t>III-3=diagnostic case-control study</w:t>
      </w:r>
      <w:r w:rsidRPr="00736FAB">
        <w:rPr>
          <w:rStyle w:val="TablenotesChar0"/>
          <w:rFonts w:cs="Tahoma"/>
          <w:snapToGrid/>
          <w:lang w:eastAsia="en-AU"/>
        </w:rPr>
        <w:t xml:space="preserve">; </w:t>
      </w:r>
      <w:r w:rsidR="0050644D" w:rsidRPr="00736FAB">
        <w:rPr>
          <w:rStyle w:val="TablenotesChar0"/>
          <w:rFonts w:cs="Tahoma"/>
          <w:snapToGrid/>
          <w:lang w:eastAsia="en-AU"/>
        </w:rPr>
        <w:t>IV=study of diagnostic yield (no reference standard)</w:t>
      </w:r>
      <w:r w:rsidR="00F35CAB" w:rsidRPr="00736FAB">
        <w:rPr>
          <w:rStyle w:val="TablenotesChar0"/>
          <w:rFonts w:cs="Tahoma"/>
          <w:snapToGrid/>
          <w:lang w:eastAsia="en-AU"/>
        </w:rPr>
        <w:t xml:space="preserve">. </w:t>
      </w:r>
    </w:p>
    <w:p w14:paraId="01B0FF42" w14:textId="5C793F70" w:rsidR="00F35CAB" w:rsidRPr="00736FAB" w:rsidRDefault="00736FAB" w:rsidP="00736FAB">
      <w:pPr>
        <w:pStyle w:val="TableNotes"/>
        <w:rPr>
          <w:rStyle w:val="TablenotesChar0"/>
          <w:rFonts w:cs="Tahoma"/>
          <w:snapToGrid/>
          <w:lang w:eastAsia="en-AU"/>
        </w:rPr>
      </w:pPr>
      <w:r w:rsidRPr="00736FAB">
        <w:rPr>
          <w:vertAlign w:val="superscript"/>
        </w:rPr>
        <w:t>b</w:t>
      </w:r>
      <w:r>
        <w:t>:</w:t>
      </w:r>
      <w:r w:rsidR="006A187D">
        <w:t xml:space="preserve"> I</w:t>
      </w:r>
      <w:r w:rsidR="00512E64" w:rsidRPr="00736FAB">
        <w:t>f any domain</w:t>
      </w:r>
      <w:r w:rsidR="00512E64" w:rsidRPr="00736FAB">
        <w:rPr>
          <w:rStyle w:val="TablenotesChar0"/>
          <w:rFonts w:cs="Tahoma"/>
          <w:snapToGrid/>
          <w:lang w:eastAsia="en-AU"/>
        </w:rPr>
        <w:t xml:space="preserve"> in the QUADAS-II assessment of risk of bias was rated as high then the overall assessment was high. If no domain was judged to have a high risk of bias but any domain was rated unclear then the overall assessment was rated as unclear. An overall rating of low was only given to studies where every domain had a low risk of bias. The breakdown of risk of bias by domain is provided in Subsection B3.3.</w:t>
      </w:r>
      <w:r w:rsidR="00F35CAB" w:rsidRPr="00736FAB">
        <w:rPr>
          <w:rStyle w:val="TablenotesChar0"/>
          <w:rFonts w:cs="Tahoma"/>
          <w:snapToGrid/>
          <w:lang w:eastAsia="en-AU"/>
        </w:rPr>
        <w:t xml:space="preserve"> </w:t>
      </w:r>
    </w:p>
    <w:p w14:paraId="7E3D4025" w14:textId="5B86BDD0" w:rsidR="00F35CAB" w:rsidRPr="00736FAB" w:rsidRDefault="00F35CAB" w:rsidP="00736FAB">
      <w:pPr>
        <w:pStyle w:val="TableNotes"/>
        <w:rPr>
          <w:rStyle w:val="TablenotesChar0"/>
          <w:rFonts w:cs="Tahoma"/>
          <w:snapToGrid/>
          <w:lang w:eastAsia="en-AU"/>
        </w:rPr>
      </w:pPr>
      <w:r w:rsidRPr="00736FAB">
        <w:rPr>
          <w:rStyle w:val="TablenotesChar0"/>
          <w:rFonts w:cs="Tahoma"/>
          <w:snapToGrid/>
          <w:vertAlign w:val="superscript"/>
          <w:lang w:eastAsia="en-AU"/>
        </w:rPr>
        <w:t>c</w:t>
      </w:r>
      <w:r w:rsidR="00931F07">
        <w:rPr>
          <w:rStyle w:val="TablenotesChar0"/>
          <w:rFonts w:cs="Tahoma"/>
          <w:snapToGrid/>
          <w:lang w:eastAsia="en-AU"/>
        </w:rPr>
        <w:t>: O</w:t>
      </w:r>
      <w:r w:rsidRPr="00736FAB">
        <w:rPr>
          <w:rStyle w:val="TablenotesChar0"/>
          <w:rFonts w:cs="Tahoma"/>
          <w:snapToGrid/>
          <w:lang w:eastAsia="en-AU"/>
        </w:rPr>
        <w:t>nly TP, TN, FP and FN data were extracted from the primary studies, where sensitivity and specificity data only were reported then this was used to calculate TP, TN, FP and FN data.</w:t>
      </w:r>
    </w:p>
    <w:p w14:paraId="45829CB8" w14:textId="06CB3A83" w:rsidR="008A23B2" w:rsidRPr="00736FAB" w:rsidRDefault="00F35CAB" w:rsidP="00736FAB">
      <w:pPr>
        <w:pStyle w:val="TableNotes"/>
        <w:rPr>
          <w:rStyle w:val="TablenotesChar0"/>
          <w:rFonts w:cs="Tahoma"/>
          <w:snapToGrid/>
          <w:lang w:eastAsia="en-AU"/>
        </w:rPr>
      </w:pPr>
      <w:r w:rsidRPr="00736FAB">
        <w:rPr>
          <w:rStyle w:val="TablenotesChar0"/>
          <w:rFonts w:cs="Tahoma"/>
          <w:snapToGrid/>
          <w:vertAlign w:val="superscript"/>
          <w:lang w:eastAsia="en-AU"/>
        </w:rPr>
        <w:t>d</w:t>
      </w:r>
      <w:r w:rsidRPr="00736FAB">
        <w:rPr>
          <w:rStyle w:val="TablenotesChar0"/>
          <w:rFonts w:cs="Tahoma"/>
          <w:snapToGrid/>
          <w:lang w:eastAsia="en-AU"/>
        </w:rPr>
        <w:t xml:space="preserve"> </w:t>
      </w:r>
      <w:r w:rsidR="00C6258F" w:rsidRPr="00736FAB">
        <w:rPr>
          <w:rStyle w:val="TablenotesChar0"/>
          <w:rFonts w:cs="Tahoma"/>
          <w:snapToGrid/>
          <w:lang w:eastAsia="en-AU"/>
        </w:rPr>
        <w:t>Only studies that reported bivariate diagno</w:t>
      </w:r>
      <w:r w:rsidR="00023843" w:rsidRPr="00736FAB">
        <w:rPr>
          <w:rStyle w:val="TablenotesChar0"/>
          <w:rFonts w:cs="Tahoma"/>
          <w:snapToGrid/>
          <w:lang w:eastAsia="en-AU"/>
        </w:rPr>
        <w:t xml:space="preserve">stic accuracy outcomes on a </w:t>
      </w:r>
      <w:r w:rsidR="00D311ED">
        <w:rPr>
          <w:rStyle w:val="TablenotesChar0"/>
          <w:rFonts w:cs="Tahoma"/>
          <w:snapToGrid/>
          <w:lang w:eastAsia="en-AU"/>
        </w:rPr>
        <w:t>per-patient</w:t>
      </w:r>
      <w:r w:rsidR="00C6258F" w:rsidRPr="00736FAB">
        <w:rPr>
          <w:rStyle w:val="TablenotesChar0"/>
          <w:rFonts w:cs="Tahoma"/>
          <w:snapToGrid/>
          <w:lang w:eastAsia="en-AU"/>
        </w:rPr>
        <w:t xml:space="preserve"> basis that used a PI-RADS ≥ 4 threshold were included. Some studies used a ≥ 3 PI-RADS threshold, these are presented separately in A</w:t>
      </w:r>
      <w:r w:rsidR="00A67E0F" w:rsidRPr="00736FAB">
        <w:rPr>
          <w:rStyle w:val="TablenotesChar0"/>
          <w:rFonts w:cs="Tahoma"/>
          <w:snapToGrid/>
          <w:lang w:eastAsia="en-AU"/>
        </w:rPr>
        <w:t>ppendix G</w:t>
      </w:r>
      <w:r w:rsidR="00C6258F" w:rsidRPr="00736FAB">
        <w:rPr>
          <w:rStyle w:val="TablenotesChar0"/>
          <w:rFonts w:cs="Tahoma"/>
          <w:snapToGrid/>
          <w:lang w:eastAsia="en-AU"/>
        </w:rPr>
        <w:t>. Other threshold refers to studies that did not report what threshold they used or that used a system other than PI-RADS to analyse the mpMRI images. These are also presented in A</w:t>
      </w:r>
      <w:r w:rsidR="00A67E0F" w:rsidRPr="00736FAB">
        <w:rPr>
          <w:rStyle w:val="TablenotesChar0"/>
          <w:rFonts w:cs="Tahoma"/>
          <w:snapToGrid/>
          <w:lang w:eastAsia="en-AU"/>
        </w:rPr>
        <w:t>ppendix G</w:t>
      </w:r>
      <w:r w:rsidR="00C6258F" w:rsidRPr="00736FAB">
        <w:rPr>
          <w:rStyle w:val="TablenotesChar0"/>
          <w:rFonts w:cs="Tahoma"/>
          <w:snapToGrid/>
          <w:lang w:eastAsia="en-AU"/>
        </w:rPr>
        <w:t>.</w:t>
      </w:r>
    </w:p>
    <w:p w14:paraId="722ADDEB" w14:textId="7E1BC06E" w:rsidR="00AF6417" w:rsidRPr="00736FAB" w:rsidRDefault="00AF6417" w:rsidP="00736FAB">
      <w:pPr>
        <w:pStyle w:val="TableNotes"/>
        <w:rPr>
          <w:rStyle w:val="TablenotesChar0"/>
          <w:rFonts w:cs="Tahoma"/>
          <w:snapToGrid/>
          <w:lang w:eastAsia="en-AU"/>
        </w:rPr>
      </w:pPr>
      <w:r w:rsidRPr="00736FAB">
        <w:rPr>
          <w:rStyle w:val="TablenotesChar0"/>
          <w:rFonts w:cs="Tahoma"/>
          <w:snapToGrid/>
          <w:lang w:eastAsia="en-AU"/>
        </w:rPr>
        <w:t xml:space="preserve">TP = true positive, </w:t>
      </w:r>
      <w:r w:rsidR="00760653">
        <w:rPr>
          <w:rStyle w:val="TablenotesChar0"/>
          <w:rFonts w:cs="Tahoma"/>
          <w:snapToGrid/>
          <w:lang w:eastAsia="en-AU"/>
        </w:rPr>
        <w:t>FP = false</w:t>
      </w:r>
      <w:r w:rsidR="001B1E7C">
        <w:rPr>
          <w:rStyle w:val="TablenotesChar0"/>
          <w:rFonts w:cs="Tahoma"/>
          <w:snapToGrid/>
          <w:lang w:eastAsia="en-AU"/>
        </w:rPr>
        <w:t xml:space="preserve"> positives, </w:t>
      </w:r>
      <w:r w:rsidRPr="00736FAB">
        <w:rPr>
          <w:rStyle w:val="TablenotesChar0"/>
          <w:rFonts w:cs="Tahoma"/>
          <w:snapToGrid/>
          <w:lang w:eastAsia="en-AU"/>
        </w:rPr>
        <w:t>TN = true negative, FN = false negative</w:t>
      </w:r>
      <w:r w:rsidR="00F175A8" w:rsidRPr="00736FAB">
        <w:rPr>
          <w:rStyle w:val="TablenotesChar0"/>
          <w:rFonts w:cs="Tahoma"/>
          <w:snapToGrid/>
          <w:lang w:eastAsia="en-AU"/>
        </w:rPr>
        <w:t>, PI-RADS = Prostate Imaging Reporting and Data System</w:t>
      </w:r>
      <w:r w:rsidR="006A187D">
        <w:rPr>
          <w:rStyle w:val="TablenotesChar0"/>
          <w:rFonts w:cs="Tahoma"/>
          <w:snapToGrid/>
          <w:lang w:eastAsia="en-AU"/>
        </w:rPr>
        <w:t>.</w:t>
      </w:r>
    </w:p>
    <w:p w14:paraId="5FCD09C4" w14:textId="77777777" w:rsidR="00DE63BC" w:rsidRPr="00183E4D" w:rsidRDefault="00DE63BC" w:rsidP="00DE63BC">
      <w:pPr>
        <w:pStyle w:val="Heading2"/>
      </w:pPr>
      <w:bookmarkStart w:id="285" w:name="_Toc460513912"/>
      <w:r w:rsidRPr="00183E4D">
        <w:lastRenderedPageBreak/>
        <w:t>Appraisal of the evidence</w:t>
      </w:r>
      <w:bookmarkEnd w:id="285"/>
    </w:p>
    <w:p w14:paraId="57FC9DBC" w14:textId="77777777" w:rsidR="00DE63BC" w:rsidRPr="00183E4D" w:rsidRDefault="00DE63BC" w:rsidP="0054356E">
      <w:r w:rsidRPr="00183E4D">
        <w:t xml:space="preserve">Appraisal of the evidence was conducted in </w:t>
      </w:r>
      <w:r>
        <w:t>4</w:t>
      </w:r>
      <w:r w:rsidRPr="00183E4D">
        <w:t xml:space="preserve"> stages:</w:t>
      </w:r>
    </w:p>
    <w:p w14:paraId="113C26F7" w14:textId="1EA6D66F" w:rsidR="00A52420" w:rsidRPr="00183E4D" w:rsidRDefault="00A52420" w:rsidP="00A52420">
      <w:r w:rsidRPr="00183E4D">
        <w:t xml:space="preserve">Stage 1: Appraisal of the </w:t>
      </w:r>
      <w:r>
        <w:t>risk of bias within</w:t>
      </w:r>
      <w:r w:rsidRPr="00183E4D">
        <w:t xml:space="preserve"> individual studies (or systematic reviews) included in the review</w:t>
      </w:r>
      <w:r>
        <w:t xml:space="preserve"> </w:t>
      </w:r>
      <w:r w:rsidRPr="00183E4D">
        <w:t>(S</w:t>
      </w:r>
      <w:r>
        <w:t>ubs</w:t>
      </w:r>
      <w:r w:rsidRPr="00183E4D">
        <w:t>ection</w:t>
      </w:r>
      <w:r>
        <w:t>s</w:t>
      </w:r>
      <w:r w:rsidRPr="00183E4D">
        <w:t xml:space="preserve"> </w:t>
      </w:r>
      <w:r w:rsidR="002E09E9">
        <w:t>B3.3</w:t>
      </w:r>
      <w:r w:rsidR="00812421">
        <w:t>, B5.2.3</w:t>
      </w:r>
      <w:r w:rsidR="0014252D">
        <w:t xml:space="preserve"> </w:t>
      </w:r>
      <w:r w:rsidR="0066172B">
        <w:t>&amp; B6.3</w:t>
      </w:r>
      <w:r w:rsidRPr="00183E4D">
        <w:t>)</w:t>
      </w:r>
      <w:r w:rsidR="00482CFE">
        <w:t>.</w:t>
      </w:r>
    </w:p>
    <w:p w14:paraId="4BAF9A43" w14:textId="0D719EA2" w:rsidR="00A52420" w:rsidRPr="00183E4D" w:rsidRDefault="00A52420" w:rsidP="00A52420">
      <w:r w:rsidRPr="00183E4D">
        <w:t>Stage 2: Appraisal of the precision, size of effect and clinical importance of the results reported in the evidence base as they relate to the pre-specified primary outcomes for this assessment (S</w:t>
      </w:r>
      <w:r>
        <w:t>ubs</w:t>
      </w:r>
      <w:r w:rsidRPr="00183E4D">
        <w:t>ection</w:t>
      </w:r>
      <w:r w:rsidR="002E09E9">
        <w:t>s B3.6, B5.2.</w:t>
      </w:r>
      <w:r w:rsidR="00812421">
        <w:t xml:space="preserve">6 </w:t>
      </w:r>
      <w:r w:rsidR="002E09E9">
        <w:t xml:space="preserve">&amp; </w:t>
      </w:r>
      <w:r>
        <w:t>B6.6</w:t>
      </w:r>
      <w:r w:rsidRPr="00183E4D">
        <w:t>)</w:t>
      </w:r>
      <w:r w:rsidR="00482CFE">
        <w:t>.</w:t>
      </w:r>
    </w:p>
    <w:p w14:paraId="2ABDCF96" w14:textId="77777777" w:rsidR="00DE63BC" w:rsidRDefault="00DE63BC" w:rsidP="0054356E">
      <w:r w:rsidRPr="00183E4D">
        <w:t xml:space="preserve">Stage 3: </w:t>
      </w:r>
      <w:r>
        <w:t xml:space="preserve">Rating the overall quality of the evidence per outcome, across studies, based on the study limitations (risk of bias), imprecision, inconsistency of results, indirectness of evidence, and the likelihood of publication bias (Evidence profile tables, </w:t>
      </w:r>
      <w:r>
        <w:fldChar w:fldCharType="begin"/>
      </w:r>
      <w:r>
        <w:instrText xml:space="preserve"> REF _Ref421611175 \h </w:instrText>
      </w:r>
      <w:r w:rsidR="0054356E">
        <w:instrText xml:space="preserve"> \* MERGEFORMAT </w:instrText>
      </w:r>
      <w:r>
        <w:fldChar w:fldCharType="separate"/>
      </w:r>
      <w:r w:rsidR="0029649D">
        <w:t xml:space="preserve">Appendix </w:t>
      </w:r>
      <w:r w:rsidR="0029649D">
        <w:rPr>
          <w:noProof/>
        </w:rPr>
        <w:t>D</w:t>
      </w:r>
      <w:r>
        <w:fldChar w:fldCharType="end"/>
      </w:r>
      <w:r>
        <w:t>).</w:t>
      </w:r>
    </w:p>
    <w:p w14:paraId="4ED17FC3" w14:textId="05EB84F6" w:rsidR="00DE63BC" w:rsidRDefault="00DE63BC" w:rsidP="0054356E">
      <w:r>
        <w:t xml:space="preserve">Stage 4: </w:t>
      </w:r>
      <w:r w:rsidRPr="00183E4D">
        <w:t xml:space="preserve">Integration of this evidence </w:t>
      </w:r>
      <w:r>
        <w:t xml:space="preserve">(across outcomes) </w:t>
      </w:r>
      <w:r w:rsidR="00482CFE">
        <w:t xml:space="preserve">to </w:t>
      </w:r>
      <w:r w:rsidRPr="00183E4D">
        <w:t>for</w:t>
      </w:r>
      <w:r w:rsidR="00482CFE">
        <w:t>m</w:t>
      </w:r>
      <w:r w:rsidRPr="00183E4D">
        <w:t xml:space="preserve"> conclusions about the net clinical benefit of the </w:t>
      </w:r>
      <w:r>
        <w:t>test and associated interventions</w:t>
      </w:r>
      <w:r w:rsidRPr="00183E4D">
        <w:t xml:space="preserve"> in the context </w:t>
      </w:r>
      <w:r w:rsidR="00482CFE">
        <w:t>of Australian clinical practice</w:t>
      </w:r>
      <w:r w:rsidRPr="00183E4D">
        <w:t xml:space="preserve"> </w:t>
      </w:r>
      <w:r>
        <w:t>(Section B.</w:t>
      </w:r>
      <w:r w:rsidRPr="00183E4D">
        <w:t>8)</w:t>
      </w:r>
      <w:r w:rsidR="00482CFE">
        <w:t>.</w:t>
      </w:r>
    </w:p>
    <w:p w14:paraId="561F469D" w14:textId="74C67E9F" w:rsidR="007A49EE" w:rsidRPr="007A49EE" w:rsidRDefault="007A49EE" w:rsidP="00F87EE4">
      <w:pPr>
        <w:pStyle w:val="Heading2"/>
        <w:numPr>
          <w:ilvl w:val="1"/>
          <w:numId w:val="14"/>
        </w:numPr>
      </w:pPr>
      <w:bookmarkStart w:id="286" w:name="_Toc460513913"/>
      <w:r w:rsidRPr="00183E4D">
        <w:t>Risk of Bias Assessment</w:t>
      </w:r>
      <w:r w:rsidR="007B29FE">
        <w:t>: diagnostic accuracy (Population 1)</w:t>
      </w:r>
      <w:bookmarkEnd w:id="286"/>
    </w:p>
    <w:p w14:paraId="35264526" w14:textId="42821725" w:rsidR="00455076" w:rsidRDefault="00455076" w:rsidP="00712678">
      <w:r>
        <w:t xml:space="preserve">Risk of bias </w:t>
      </w:r>
      <w:r w:rsidRPr="00B66166">
        <w:t>of the identified diagnostic accuracy studies was determined using a modified version of the Q</w:t>
      </w:r>
      <w:r>
        <w:t>U</w:t>
      </w:r>
      <w:r w:rsidRPr="00B66166">
        <w:t>ADAS</w:t>
      </w:r>
      <w:r>
        <w:t>-2</w:t>
      </w:r>
      <w:r w:rsidRPr="00B66166">
        <w:t xml:space="preserve"> quality appraisal tool</w:t>
      </w:r>
      <w:r w:rsidR="00DF77B0">
        <w:t xml:space="preserve"> </w:t>
      </w:r>
      <w:r w:rsidR="008E0B00">
        <w:fldChar w:fldCharType="begin"/>
      </w:r>
      <w:r w:rsidR="008E0B00">
        <w:instrText xml:space="preserve"> ADDIN EN.CITE &lt;EndNote&gt;&lt;Cite&gt;&lt;Author&gt;Whiting&lt;/Author&gt;&lt;Year&gt;2011&lt;/Year&gt;&lt;RecNum&gt;67&lt;/RecNum&gt;&lt;DisplayText&gt;(Whiting et al. 2011)&lt;/DisplayText&gt;&lt;record&gt;&lt;rec-number&gt;67&lt;/rec-number&gt;&lt;foreign-keys&gt;&lt;key app="EN" db-id="2p9terxr22fx91epzebpfdwuzrwtw2a2ep2t" timestamp="1472684612"&gt;67&lt;/key&gt;&lt;/foreign-keys&gt;&lt;ref-type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0003-4819&lt;/isbn&gt;&lt;accession-num&gt;22007046&lt;/accession-num&gt;&lt;urls&gt;&lt;/urls&gt;&lt;electronic-resource-num&gt;10.7326/0003-4819-155-8-201110180-00009&lt;/electronic-resource-num&gt;&lt;remote-database-provider&gt;NLM&lt;/remote-database-provider&gt;&lt;language&gt;eng&lt;/language&gt;&lt;/record&gt;&lt;/Cite&gt;&lt;/EndNote&gt;</w:instrText>
      </w:r>
      <w:r w:rsidR="008E0B00">
        <w:fldChar w:fldCharType="separate"/>
      </w:r>
      <w:r w:rsidR="008E0B00">
        <w:rPr>
          <w:noProof/>
        </w:rPr>
        <w:t>(</w:t>
      </w:r>
      <w:hyperlink w:anchor="_ENREF_180" w:tooltip="Whiting, 2011 #67" w:history="1">
        <w:r w:rsidR="008E0B00">
          <w:rPr>
            <w:noProof/>
          </w:rPr>
          <w:t>Whiting et al. 2011</w:t>
        </w:r>
      </w:hyperlink>
      <w:r w:rsidR="008E0B00">
        <w:rPr>
          <w:noProof/>
        </w:rPr>
        <w:t>)</w:t>
      </w:r>
      <w:r w:rsidR="008E0B00">
        <w:fldChar w:fldCharType="end"/>
      </w:r>
      <w:r>
        <w:t xml:space="preserve">. The QUADAS-2 quality appraisal tool, with triggering questions and the criteria used to apply the tool is outlined in </w:t>
      </w:r>
      <w:r w:rsidR="00DF77B0">
        <w:fldChar w:fldCharType="begin"/>
      </w:r>
      <w:r w:rsidR="00DF77B0">
        <w:instrText xml:space="preserve"> REF _Ref460489183 \h </w:instrText>
      </w:r>
      <w:r w:rsidR="00DF77B0">
        <w:fldChar w:fldCharType="separate"/>
      </w:r>
      <w:r w:rsidR="0029649D">
        <w:t xml:space="preserve">Table </w:t>
      </w:r>
      <w:r w:rsidR="0029649D">
        <w:rPr>
          <w:noProof/>
        </w:rPr>
        <w:t>80</w:t>
      </w:r>
      <w:r w:rsidR="00DF77B0">
        <w:fldChar w:fldCharType="end"/>
      </w:r>
      <w:r w:rsidR="00DF77B0">
        <w:t xml:space="preserve"> </w:t>
      </w:r>
      <w:r>
        <w:t>while t</w:t>
      </w:r>
      <w:r w:rsidRPr="00B66166">
        <w:t xml:space="preserve">he results from the quality appraisal are summarised </w:t>
      </w:r>
      <w:r w:rsidR="00CE57A7" w:rsidRPr="00B66166">
        <w:t>in</w:t>
      </w:r>
      <w:r w:rsidR="002A6B91">
        <w:t xml:space="preserve"> </w:t>
      </w:r>
      <w:r w:rsidR="002A6B91">
        <w:fldChar w:fldCharType="begin"/>
      </w:r>
      <w:r w:rsidR="002A6B91">
        <w:instrText xml:space="preserve"> REF _Ref456768816 \h </w:instrText>
      </w:r>
      <w:r w:rsidR="002A6B91">
        <w:fldChar w:fldCharType="separate"/>
      </w:r>
      <w:r w:rsidR="0029649D">
        <w:t xml:space="preserve">Table </w:t>
      </w:r>
      <w:r w:rsidR="0029649D">
        <w:rPr>
          <w:noProof/>
        </w:rPr>
        <w:t>82</w:t>
      </w:r>
      <w:r w:rsidR="002A6B91">
        <w:fldChar w:fldCharType="end"/>
      </w:r>
      <w:r w:rsidR="00D735BB">
        <w:t xml:space="preserve"> (Appendix F)</w:t>
      </w:r>
      <w:r>
        <w:t xml:space="preserve">. </w:t>
      </w:r>
      <w:r w:rsidR="00CE57A7">
        <w:t xml:space="preserve">Quality appraisal was performed by one researcher and checked by a second. Any disagreement was resolved by consensus agreement with a third researcher. </w:t>
      </w:r>
    </w:p>
    <w:p w14:paraId="18377FF3" w14:textId="2C622736" w:rsidR="00712678" w:rsidRDefault="00455076" w:rsidP="00712678">
      <w:r>
        <w:t xml:space="preserve">Risk of bias was assessed in four domains: patient selection, index test, reference standard, and flow and timing. </w:t>
      </w:r>
      <w:r w:rsidR="00235BBB">
        <w:t>N</w:t>
      </w:r>
      <w:r w:rsidR="00DC7C46">
        <w:t>o study was excluded due to an inappropriate risk of bias.</w:t>
      </w:r>
    </w:p>
    <w:p w14:paraId="24344926" w14:textId="3819BB7A" w:rsidR="00455076" w:rsidRDefault="00455076" w:rsidP="00712678">
      <w:r>
        <w:t xml:space="preserve">In the </w:t>
      </w:r>
      <w:r w:rsidR="00F944B5">
        <w:t>‘p</w:t>
      </w:r>
      <w:r>
        <w:t>atient selection</w:t>
      </w:r>
      <w:r w:rsidR="00F944B5">
        <w:t>’</w:t>
      </w:r>
      <w:r>
        <w:t xml:space="preserve"> domain </w:t>
      </w:r>
      <w:r w:rsidR="00564D27">
        <w:t>20</w:t>
      </w:r>
      <w:r>
        <w:t xml:space="preserve"> studies </w:t>
      </w:r>
      <w:r w:rsidR="00564D27">
        <w:t>were found to have</w:t>
      </w:r>
      <w:r>
        <w:t xml:space="preserve"> a low risk of bias. One study</w:t>
      </w:r>
      <w:r w:rsidR="00520681">
        <w:t xml:space="preserve"> </w:t>
      </w:r>
      <w:r w:rsidR="008E0B00">
        <w:fldChar w:fldCharType="begin">
          <w:fldData xml:space="preserve">PEVuZE5vdGU+PENpdGU+PEF1dGhvcj5GZXJkYTwvQXV0aG9yPjxZZWFyPjIwMTM8L1llYXI+PFJl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==
</w:fldData>
        </w:fldChar>
      </w:r>
      <w:r w:rsidR="008E0B00">
        <w:instrText xml:space="preserve"> ADDIN EN.CITE </w:instrText>
      </w:r>
      <w:r w:rsidR="008E0B00">
        <w:fldChar w:fldCharType="begin">
          <w:fldData xml:space="preserve">PEVuZE5vdGU+PENpdGU+PEF1dGhvcj5GZXJkYTwvQXV0aG9yPjxZZWFyPjIwMTM8L1llYXI+PFJl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==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49" w:tooltip="Ferda, 2013 #39" w:history="1">
        <w:r w:rsidR="008E0B00">
          <w:rPr>
            <w:noProof/>
          </w:rPr>
          <w:t>Ferda et al. 2013</w:t>
        </w:r>
      </w:hyperlink>
      <w:r w:rsidR="008E0B00">
        <w:rPr>
          <w:noProof/>
        </w:rPr>
        <w:t>)</w:t>
      </w:r>
      <w:r w:rsidR="008E0B00">
        <w:fldChar w:fldCharType="end"/>
      </w:r>
      <w:r w:rsidR="00564D27">
        <w:t xml:space="preserve"> </w:t>
      </w:r>
      <w:r w:rsidR="009B781C">
        <w:t>was judged to have</w:t>
      </w:r>
      <w:r w:rsidR="00564D27">
        <w:t xml:space="preserve"> a high risk of bias due to the exclusion of some, but not all, patients with a negative MRI from biopsy. Twelve studies were assessed to have an unclear risk of bias in this domain. This was largely due to </w:t>
      </w:r>
      <w:r w:rsidR="00907DE3">
        <w:t>a failure to report whether patient enrolment was consecutive (12 studies) and/or a failure to report exclusion criteria (</w:t>
      </w:r>
      <w:r w:rsidR="00AA485B">
        <w:t>four</w:t>
      </w:r>
      <w:r w:rsidR="00907DE3">
        <w:t xml:space="preserve"> studies).</w:t>
      </w:r>
    </w:p>
    <w:p w14:paraId="04E6EF4E" w14:textId="17699867" w:rsidR="00A63198" w:rsidRPr="00F7720E" w:rsidRDefault="00A63198" w:rsidP="00712678">
      <w:r>
        <w:t xml:space="preserve">In the </w:t>
      </w:r>
      <w:r w:rsidR="00F944B5">
        <w:t>‘i</w:t>
      </w:r>
      <w:r w:rsidR="00DC7C46">
        <w:t>ndex test</w:t>
      </w:r>
      <w:r w:rsidR="00F944B5">
        <w:t>’</w:t>
      </w:r>
      <w:r w:rsidR="00DC7C46">
        <w:t xml:space="preserve"> domain 22 studies were found to have a low risk of bias. </w:t>
      </w:r>
      <w:r w:rsidR="009B781C">
        <w:t>Two studies</w:t>
      </w:r>
      <w:r w:rsidR="0046021B">
        <w:t xml:space="preserve"> </w:t>
      </w:r>
      <w:r w:rsidR="009B781C">
        <w:t xml:space="preserve">were judged to have a high risk of bias for failing to </w:t>
      </w:r>
      <w:r w:rsidR="006319F9">
        <w:t>determine</w:t>
      </w:r>
      <w:r w:rsidR="009B781C">
        <w:t xml:space="preserve"> the threshold for a positive test </w:t>
      </w:r>
      <w:r w:rsidR="009B781C" w:rsidRPr="00E95C28">
        <w:rPr>
          <w:i/>
        </w:rPr>
        <w:t>a priori</w:t>
      </w:r>
      <w:r w:rsidR="00F740C6" w:rsidRPr="00F175A8">
        <w:t xml:space="preserve"> </w:t>
      </w:r>
      <w:r w:rsidR="008E0B00">
        <w:fldChar w:fldCharType="begin">
          <w:fldData xml:space="preserve">PEVuZE5vdGU+PENpdGU+PEF1dGhvcj5CYWxkaXNzZXJvdHRvPC9BdXRob3I+PFllYXI+MjAxNjwv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</w:fldData>
        </w:fldChar>
      </w:r>
      <w:r w:rsidR="008E0B00">
        <w:instrText xml:space="preserve"> ADDIN EN.CITE </w:instrText>
      </w:r>
      <w:r w:rsidR="008E0B00">
        <w:fldChar w:fldCharType="begin">
          <w:fldData xml:space="preserve">PEVuZE5vdGU+PENpdGU+PEF1dGhvcj5CYWxkaXNzZXJvdHRvPC9BdXRob3I+PFllYXI+MjAxNjwv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12" w:tooltip="Baldisserotto, 2016 #34" w:history="1">
        <w:r w:rsidR="008E0B00">
          <w:rPr>
            <w:noProof/>
          </w:rPr>
          <w:t>Baldisserotto et al. 2016</w:t>
        </w:r>
      </w:hyperlink>
      <w:r w:rsidR="008E0B00">
        <w:rPr>
          <w:noProof/>
        </w:rPr>
        <w:t xml:space="preserve">; </w:t>
      </w:r>
      <w:hyperlink w:anchor="_ENREF_177" w:tooltip="Washino, 2016 #63" w:history="1">
        <w:r w:rsidR="008E0B00">
          <w:rPr>
            <w:noProof/>
          </w:rPr>
          <w:t>Washino et al. 2016</w:t>
        </w:r>
      </w:hyperlink>
      <w:r w:rsidR="008E0B00">
        <w:rPr>
          <w:noProof/>
        </w:rPr>
        <w:t>)</w:t>
      </w:r>
      <w:r w:rsidR="008E0B00">
        <w:fldChar w:fldCharType="end"/>
      </w:r>
      <w:r w:rsidR="009B781C" w:rsidRPr="00F740C6">
        <w:t xml:space="preserve">. </w:t>
      </w:r>
      <w:r w:rsidR="009B781C" w:rsidRPr="009B781C">
        <w:t xml:space="preserve">Nine studies were assessed to have an unclear risk of bias due to a failure to report whether the mpMRI results were interpreted without knowledge of </w:t>
      </w:r>
      <w:r w:rsidR="009B781C" w:rsidRPr="009B781C">
        <w:lastRenderedPageBreak/>
        <w:t>the biopsy results (</w:t>
      </w:r>
      <w:r w:rsidR="00AA485B">
        <w:t>seven</w:t>
      </w:r>
      <w:r w:rsidR="009B781C" w:rsidRPr="009B781C">
        <w:t xml:space="preserve"> studies) and/or whether the threshold for a positive result was determined</w:t>
      </w:r>
      <w:r w:rsidR="009B781C">
        <w:rPr>
          <w:i/>
        </w:rPr>
        <w:t xml:space="preserve"> </w:t>
      </w:r>
      <w:r w:rsidR="009B781C" w:rsidRPr="00E95C28">
        <w:rPr>
          <w:i/>
        </w:rPr>
        <w:t>a priori</w:t>
      </w:r>
      <w:r w:rsidR="009B781C" w:rsidRPr="00107D38">
        <w:t xml:space="preserve"> </w:t>
      </w:r>
      <w:r w:rsidR="009B781C">
        <w:t>(</w:t>
      </w:r>
      <w:r w:rsidR="00AA485B">
        <w:t>four</w:t>
      </w:r>
      <w:r w:rsidR="009B781C">
        <w:t xml:space="preserve"> studies)</w:t>
      </w:r>
      <w:r w:rsidR="009B781C">
        <w:rPr>
          <w:i/>
        </w:rPr>
        <w:t xml:space="preserve">. </w:t>
      </w:r>
    </w:p>
    <w:p w14:paraId="2A77352A" w14:textId="20B79A6F" w:rsidR="00046AD6" w:rsidRDefault="00F944B5" w:rsidP="00712678">
      <w:r>
        <w:t>In the ‘r</w:t>
      </w:r>
      <w:r w:rsidR="00F7720E" w:rsidRPr="00F7720E">
        <w:t>eference standard</w:t>
      </w:r>
      <w:r>
        <w:t>’</w:t>
      </w:r>
      <w:r w:rsidR="00F7720E" w:rsidRPr="00F7720E">
        <w:t xml:space="preserve"> domain </w:t>
      </w:r>
      <w:r w:rsidR="00F7720E">
        <w:t xml:space="preserve">risk of bias was assessed to be low in six studies, high in 13 studies due to a lack of blinding to the results of the index test and unclear in 14 studies </w:t>
      </w:r>
      <w:r w:rsidR="00C95CA0">
        <w:t>due to inexplicit r</w:t>
      </w:r>
      <w:r w:rsidR="00C219D2">
        <w:t>eporting of whether the result of</w:t>
      </w:r>
      <w:r w:rsidR="00C95CA0">
        <w:t xml:space="preserve"> the reference test were interpreted without knowledge of the index test. All studies used a reference standard that was likely to classify to the condition correctly; pathology from biopsy specimens was used in all studies.</w:t>
      </w:r>
    </w:p>
    <w:p w14:paraId="3A3F5E15" w14:textId="647BE04E" w:rsidR="00F7720E" w:rsidRPr="00F7720E" w:rsidRDefault="00046AD6" w:rsidP="00712678">
      <w:r>
        <w:t xml:space="preserve">In the </w:t>
      </w:r>
      <w:r w:rsidR="00F944B5">
        <w:t>‘f</w:t>
      </w:r>
      <w:r>
        <w:t>low and timing</w:t>
      </w:r>
      <w:r w:rsidR="00F944B5">
        <w:t>’</w:t>
      </w:r>
      <w:r>
        <w:t xml:space="preserve"> domain </w:t>
      </w:r>
      <w:r w:rsidR="001557DC">
        <w:t>nine</w:t>
      </w:r>
      <w:r w:rsidR="006319F9">
        <w:t xml:space="preserve"> studies were assessed as having a low risk of bias. </w:t>
      </w:r>
      <w:r w:rsidR="001557DC">
        <w:t>Eight</w:t>
      </w:r>
      <w:r w:rsidR="006319F9">
        <w:t xml:space="preserve"> studies were assessed to have a high risk</w:t>
      </w:r>
      <w:r w:rsidR="001557DC">
        <w:t xml:space="preserve">. This was primarily due to the reference standard being performed more than three months after the mpMRI images were obtained in some or all included patients. In addition, Washino et al. (2016) only included patients with high risk disease in the reported results. Pokorny et al. (2014) had three patients withdraw from the study who were therefore not included in the analysis. Ferda et al. (2013) did not include all patients in the analysis as discussed above. Sixteen studies did not report the timing of the reference standard in relation to the index test and were therefore judged to have an unclear risk of bias in this domain. </w:t>
      </w:r>
      <w:r w:rsidR="0014252D">
        <w:t>Results of the Q</w:t>
      </w:r>
      <w:r w:rsidR="00107D38">
        <w:t>U</w:t>
      </w:r>
      <w:r w:rsidR="0014252D">
        <w:t>ADAS</w:t>
      </w:r>
      <w:r w:rsidR="00107D38">
        <w:t>-2</w:t>
      </w:r>
      <w:r w:rsidR="0014252D">
        <w:t xml:space="preserve"> appraisal are presented in </w:t>
      </w:r>
      <w:r w:rsidR="0014252D">
        <w:fldChar w:fldCharType="begin"/>
      </w:r>
      <w:r w:rsidR="0014252D">
        <w:instrText xml:space="preserve"> REF _Ref456768816 \h </w:instrText>
      </w:r>
      <w:r w:rsidR="0014252D">
        <w:fldChar w:fldCharType="separate"/>
      </w:r>
      <w:r w:rsidR="0029649D">
        <w:t xml:space="preserve">Table </w:t>
      </w:r>
      <w:r w:rsidR="0029649D">
        <w:rPr>
          <w:noProof/>
        </w:rPr>
        <w:t>82</w:t>
      </w:r>
      <w:r w:rsidR="0014252D">
        <w:fldChar w:fldCharType="end"/>
      </w:r>
      <w:r w:rsidR="0014252D">
        <w:t>, Appendix F.</w:t>
      </w:r>
    </w:p>
    <w:p w14:paraId="4B109396" w14:textId="79E77BC8" w:rsidR="00DA3984" w:rsidRDefault="00DE559A" w:rsidP="002351F0">
      <w:pPr>
        <w:rPr>
          <w:rFonts w:ascii="Arial Narrow" w:hAnsi="Arial Narrow" w:cs="Arial"/>
          <w:snapToGrid w:val="0"/>
          <w:sz w:val="18"/>
          <w:szCs w:val="20"/>
          <w:lang w:eastAsia="en-US"/>
        </w:rPr>
      </w:pPr>
      <w:r>
        <w:t xml:space="preserve">There </w:t>
      </w:r>
      <w:r w:rsidR="00D572F0">
        <w:t>was</w:t>
      </w:r>
      <w:r>
        <w:t xml:space="preserve"> no applicability issue </w:t>
      </w:r>
      <w:r w:rsidR="0033770F">
        <w:t>identified relating to</w:t>
      </w:r>
      <w:r>
        <w:t xml:space="preserve"> patient selection or the </w:t>
      </w:r>
      <w:r w:rsidR="0033770F">
        <w:t xml:space="preserve">choice of </w:t>
      </w:r>
      <w:r>
        <w:t xml:space="preserve">reference standard in any of the included </w:t>
      </w:r>
      <w:r w:rsidR="00E91419">
        <w:t>studies. Twenty</w:t>
      </w:r>
      <w:r>
        <w:t xml:space="preserve">-two studies were assessed as having applicability issues relating to the index test. </w:t>
      </w:r>
      <w:r w:rsidR="007D1133">
        <w:t>None of these studies used a PI-</w:t>
      </w:r>
      <w:r w:rsidR="00FD39EC">
        <w:t xml:space="preserve">RADS ≥4 as the threshold </w:t>
      </w:r>
      <w:r w:rsidR="00FF3A51">
        <w:t>for</w:t>
      </w:r>
      <w:r w:rsidR="004809E2">
        <w:t xml:space="preserve"> </w:t>
      </w:r>
      <w:r w:rsidR="00FD39EC">
        <w:t>a</w:t>
      </w:r>
      <w:r>
        <w:t xml:space="preserve"> positive result. </w:t>
      </w:r>
      <w:r w:rsidR="00E91419">
        <w:t>This applicability issue was judged to be serious as the threshold used in a diagnostic accuracy study will have a large impact on the sensitivity and specificity results. Due to this, studies with an applicability issue were</w:t>
      </w:r>
      <w:r>
        <w:t xml:space="preserve"> not included in the meta-analysis of results</w:t>
      </w:r>
      <w:r w:rsidR="00E91419">
        <w:t>; however</w:t>
      </w:r>
      <w:r w:rsidR="00FF3A51">
        <w:t>,</w:t>
      </w:r>
      <w:r w:rsidR="00E91419">
        <w:t xml:space="preserve"> results from these studies are reported separately in Appendix </w:t>
      </w:r>
      <w:r w:rsidR="00A67E0F">
        <w:t>G</w:t>
      </w:r>
      <w:r w:rsidR="00E91419">
        <w:t xml:space="preserve">. </w:t>
      </w:r>
      <w:r w:rsidR="00DA3984">
        <w:br w:type="page"/>
      </w:r>
    </w:p>
    <w:p w14:paraId="55FAC871" w14:textId="24142E44" w:rsidR="007A49EE" w:rsidRPr="00183E4D" w:rsidRDefault="007A49EE" w:rsidP="00F87EE4">
      <w:pPr>
        <w:pStyle w:val="Heading2"/>
        <w:numPr>
          <w:ilvl w:val="1"/>
          <w:numId w:val="16"/>
        </w:numPr>
      </w:pPr>
      <w:bookmarkStart w:id="287" w:name="_Toc421610006"/>
      <w:bookmarkStart w:id="288" w:name="_Toc423451336"/>
      <w:bookmarkStart w:id="289" w:name="_Toc421610007"/>
      <w:bookmarkStart w:id="290" w:name="_Toc423451337"/>
      <w:bookmarkStart w:id="291" w:name="_Toc460513914"/>
      <w:bookmarkEnd w:id="287"/>
      <w:bookmarkEnd w:id="288"/>
      <w:bookmarkEnd w:id="289"/>
      <w:bookmarkEnd w:id="290"/>
      <w:r w:rsidRPr="00183E4D">
        <w:lastRenderedPageBreak/>
        <w:t>Characteristics of the Evidence Base</w:t>
      </w:r>
      <w:r w:rsidR="005D298E">
        <w:t xml:space="preserve">: diagnostic accuracy </w:t>
      </w:r>
      <w:r w:rsidR="006A187D">
        <w:br/>
      </w:r>
      <w:r w:rsidR="005D298E">
        <w:t>(Population 1)</w:t>
      </w:r>
      <w:bookmarkEnd w:id="291"/>
    </w:p>
    <w:p w14:paraId="10E886EC" w14:textId="4A53C362" w:rsidR="007A49EE" w:rsidRDefault="007A49EE" w:rsidP="007A49EE">
      <w:r w:rsidRPr="00142882">
        <w:t>Appendix C</w:t>
      </w:r>
      <w:r w:rsidR="009C28F6" w:rsidRPr="00142882">
        <w:t xml:space="preserve"> c</w:t>
      </w:r>
      <w:r w:rsidR="009C28F6">
        <w:t>ontains the tabulated details of the entire cohort of</w:t>
      </w:r>
      <w:r w:rsidRPr="00183E4D">
        <w:t xml:space="preserve"> individual studies included in the evidence base. </w:t>
      </w:r>
      <w:r w:rsidR="009C28F6">
        <w:t xml:space="preserve">Only studies </w:t>
      </w:r>
      <w:r w:rsidR="00AA485B">
        <w:t>without</w:t>
      </w:r>
      <w:r w:rsidR="009C28F6">
        <w:t xml:space="preserve"> applicability issues are discussed in </w:t>
      </w:r>
      <w:r w:rsidR="004A2C15">
        <w:t xml:space="preserve">detail in </w:t>
      </w:r>
      <w:r w:rsidR="009C28F6">
        <w:t>this section of the report</w:t>
      </w:r>
      <w:r w:rsidR="00840728">
        <w:t>.</w:t>
      </w:r>
      <w:r w:rsidR="009C28F6">
        <w:t xml:space="preserve"> </w:t>
      </w:r>
      <w:r w:rsidR="00FB4B86">
        <w:t>These studies are referred to as ‘key studies</w:t>
      </w:r>
      <w:r w:rsidR="009829C9">
        <w:t>’</w:t>
      </w:r>
      <w:r w:rsidR="00F12F6F">
        <w:t xml:space="preserve"> </w:t>
      </w:r>
      <w:r w:rsidR="008E0B00">
        <w:fldChar w:fldCharType="begin">
          <w:fldData xml:space="preserve">PEVuZE5vdGU+PENpdGU+PEF1dGhvcj5CYWxkaXNzZXJvdHRvPC9BdXRob3I+PFllYXI+MjAxNjwv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PlBsb1Mgb25lPC9hYmJyLTE+PC9hbHQtcGVyaW9kaWNhbD48cGFnZXM+ZTAxMzAyMDc8L3BhZ2Vz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</w:fldData>
        </w:fldChar>
      </w:r>
      <w:r w:rsidR="008E0B00">
        <w:instrText xml:space="preserve"> ADDIN EN.CITE </w:instrText>
      </w:r>
      <w:r w:rsidR="008E0B00">
        <w:fldChar w:fldCharType="begin">
          <w:fldData xml:space="preserve">PEVuZE5vdGU+PENpdGU+PEF1dGhvcj5CYWxkaXNzZXJvdHRvPC9BdXRob3I+PFllYXI+MjAxNjwv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12" w:tooltip="Baldisserotto, 2016 #34" w:history="1">
        <w:r w:rsidR="008E0B00">
          <w:rPr>
            <w:noProof/>
          </w:rPr>
          <w:t>Baldisserotto et al. 2016</w:t>
        </w:r>
      </w:hyperlink>
      <w:r w:rsidR="008E0B00">
        <w:rPr>
          <w:noProof/>
        </w:rPr>
        <w:t xml:space="preserve">; </w:t>
      </w:r>
      <w:hyperlink w:anchor="_ENREF_15" w:tooltip="Baur, 2016 #66" w:history="1">
        <w:r w:rsidR="008E0B00">
          <w:rPr>
            <w:noProof/>
          </w:rPr>
          <w:t>Baur et al. 2016</w:t>
        </w:r>
      </w:hyperlink>
      <w:r w:rsidR="008E0B00">
        <w:rPr>
          <w:noProof/>
        </w:rPr>
        <w:t xml:space="preserve">; </w:t>
      </w:r>
      <w:hyperlink w:anchor="_ENREF_37" w:tooltip="Dikaios, 2014 #38" w:history="1">
        <w:r w:rsidR="008E0B00">
          <w:rPr>
            <w:noProof/>
          </w:rPr>
          <w:t>Dikaios et al. 2014</w:t>
        </w:r>
      </w:hyperlink>
      <w:r w:rsidR="008E0B00">
        <w:rPr>
          <w:noProof/>
        </w:rPr>
        <w:t xml:space="preserve">; </w:t>
      </w:r>
      <w:hyperlink w:anchor="_ENREF_71" w:tooltip="Jambor, 2014 #44" w:history="1">
        <w:r w:rsidR="008E0B00">
          <w:rPr>
            <w:noProof/>
          </w:rPr>
          <w:t>Jambor et al. 2014</w:t>
        </w:r>
      </w:hyperlink>
      <w:r w:rsidR="008E0B00">
        <w:rPr>
          <w:noProof/>
        </w:rPr>
        <w:t xml:space="preserve">; </w:t>
      </w:r>
      <w:hyperlink w:anchor="_ENREF_85" w:tooltip="Lista, 2015 #47" w:history="1">
        <w:r w:rsidR="008E0B00">
          <w:rPr>
            <w:noProof/>
          </w:rPr>
          <w:t>Lista et al. 2015</w:t>
        </w:r>
      </w:hyperlink>
      <w:r w:rsidR="008E0B00">
        <w:rPr>
          <w:noProof/>
        </w:rPr>
        <w:t xml:space="preserve">; </w:t>
      </w:r>
      <w:hyperlink w:anchor="_ENREF_115" w:tooltip="Pokorny, 2014 #51" w:history="1">
        <w:r w:rsidR="008E0B00">
          <w:rPr>
            <w:noProof/>
          </w:rPr>
          <w:t>Pokorny et al. 2014</w:t>
        </w:r>
      </w:hyperlink>
      <w:r w:rsidR="008E0B00">
        <w:rPr>
          <w:noProof/>
        </w:rPr>
        <w:t xml:space="preserve">; </w:t>
      </w:r>
      <w:hyperlink w:anchor="_ENREF_161" w:tooltip="Thompson, 2014 #58" w:history="1">
        <w:r w:rsidR="008E0B00">
          <w:rPr>
            <w:noProof/>
          </w:rPr>
          <w:t>Thompson et al. 2014</w:t>
        </w:r>
      </w:hyperlink>
      <w:r w:rsidR="008E0B00">
        <w:rPr>
          <w:noProof/>
        </w:rPr>
        <w:t xml:space="preserve">; </w:t>
      </w:r>
      <w:hyperlink w:anchor="_ENREF_162" w:tooltip="Thompson, 2016 #59" w:history="1">
        <w:r w:rsidR="008E0B00">
          <w:rPr>
            <w:noProof/>
          </w:rPr>
          <w:t>Thompson et al. 2016</w:t>
        </w:r>
      </w:hyperlink>
      <w:r w:rsidR="008E0B00">
        <w:rPr>
          <w:noProof/>
        </w:rPr>
        <w:t xml:space="preserve">; </w:t>
      </w:r>
      <w:hyperlink w:anchor="_ENREF_175" w:tooltip="Wang, 2015 #62" w:history="1">
        <w:r w:rsidR="008E0B00">
          <w:rPr>
            <w:noProof/>
          </w:rPr>
          <w:t>Wang et al. 2015</w:t>
        </w:r>
      </w:hyperlink>
      <w:r w:rsidR="008E0B00">
        <w:rPr>
          <w:noProof/>
        </w:rPr>
        <w:t xml:space="preserve">; </w:t>
      </w:r>
      <w:hyperlink w:anchor="_ENREF_187" w:tooltip="Zhao, 2016 #65" w:history="1">
        <w:r w:rsidR="008E0B00">
          <w:rPr>
            <w:noProof/>
          </w:rPr>
          <w:t>Zhao et al. 2016</w:t>
        </w:r>
      </w:hyperlink>
      <w:r w:rsidR="008E0B00">
        <w:rPr>
          <w:noProof/>
        </w:rPr>
        <w:t>)</w:t>
      </w:r>
      <w:r w:rsidR="008E0B00">
        <w:fldChar w:fldCharType="end"/>
      </w:r>
      <w:r w:rsidR="00FB4B86">
        <w:t>.</w:t>
      </w:r>
      <w:r w:rsidR="005436CA">
        <w:t xml:space="preserve"> While Abd-Alazeez et al. (2014) did not hav</w:t>
      </w:r>
      <w:r w:rsidR="00023843">
        <w:t xml:space="preserve">e any applicability issues, </w:t>
      </w:r>
      <w:r w:rsidR="00D311ED">
        <w:t>per-patient</w:t>
      </w:r>
      <w:r w:rsidR="005436CA">
        <w:t xml:space="preserve"> results were not reported and therefore this study was </w:t>
      </w:r>
      <w:r w:rsidR="00FD39EC">
        <w:t xml:space="preserve">not </w:t>
      </w:r>
      <w:r w:rsidR="004809E2">
        <w:t>i</w:t>
      </w:r>
      <w:r w:rsidR="00FD39EC">
        <w:t>ncluded as a key study</w:t>
      </w:r>
      <w:r w:rsidR="005436CA">
        <w:t>.</w:t>
      </w:r>
    </w:p>
    <w:p w14:paraId="06FF14F2" w14:textId="1B518EB5" w:rsidR="00840728" w:rsidRDefault="00FB4B86" w:rsidP="00E1321C">
      <w:r>
        <w:t xml:space="preserve">Selected characteristics of the key studies for Population 1 are presented in </w:t>
      </w:r>
      <w:r>
        <w:fldChar w:fldCharType="begin"/>
      </w:r>
      <w:r>
        <w:instrText xml:space="preserve"> REF _Ref456170024 \h </w:instrText>
      </w:r>
      <w:r>
        <w:fldChar w:fldCharType="separate"/>
      </w:r>
      <w:r w:rsidR="0029649D">
        <w:t xml:space="preserve">Table </w:t>
      </w:r>
      <w:r w:rsidR="0029649D">
        <w:rPr>
          <w:noProof/>
        </w:rPr>
        <w:t>20</w:t>
      </w:r>
      <w:r>
        <w:fldChar w:fldCharType="end"/>
      </w:r>
      <w:r w:rsidR="009829C9">
        <w:t>.</w:t>
      </w:r>
      <w:r w:rsidR="00E1321C" w:rsidRPr="00E1321C">
        <w:t xml:space="preserve"> </w:t>
      </w:r>
    </w:p>
    <w:p w14:paraId="42C6DBF8" w14:textId="221AE282" w:rsidR="003010CF" w:rsidRDefault="00E1321C" w:rsidP="003010CF">
      <w:r>
        <w:t xml:space="preserve">Overall </w:t>
      </w:r>
      <w:r w:rsidR="00490C25">
        <w:t>patient characteristics</w:t>
      </w:r>
      <w:r w:rsidR="00A04345">
        <w:t xml:space="preserve"> </w:t>
      </w:r>
      <w:r w:rsidR="00490C25">
        <w:t>in</w:t>
      </w:r>
      <w:r>
        <w:t xml:space="preserve"> the key studies </w:t>
      </w:r>
      <w:r w:rsidR="00215875">
        <w:t xml:space="preserve">were </w:t>
      </w:r>
      <w:r>
        <w:t xml:space="preserve">judged to be consistent with the proposed population (Population 1) in the Protocol. </w:t>
      </w:r>
      <w:r w:rsidR="00501BB1">
        <w:t xml:space="preserve">Only studies that included patients with a suspicion of </w:t>
      </w:r>
      <w:r w:rsidR="006818E1">
        <w:t>PCa</w:t>
      </w:r>
      <w:r w:rsidR="00501BB1">
        <w:t xml:space="preserve"> were included. Studies </w:t>
      </w:r>
      <w:r w:rsidR="00FD39EC">
        <w:t>which</w:t>
      </w:r>
      <w:r>
        <w:t xml:space="preserve"> limited inclusion to</w:t>
      </w:r>
      <w:r w:rsidR="00501BB1">
        <w:t xml:space="preserve"> patients with known disease were excluded</w:t>
      </w:r>
      <w:r>
        <w:t xml:space="preserve"> from this assessment</w:t>
      </w:r>
      <w:r w:rsidR="00501BB1">
        <w:t xml:space="preserve"> due to the potential for verification bias and applicability issues. </w:t>
      </w:r>
      <w:r w:rsidR="009829C9">
        <w:t>All key studies included pat</w:t>
      </w:r>
      <w:r w:rsidR="008E013C">
        <w:t>i</w:t>
      </w:r>
      <w:r w:rsidR="009829C9">
        <w:t xml:space="preserve">ents on the basis of concerning PSA </w:t>
      </w:r>
      <w:r w:rsidR="00D612CA">
        <w:t>and/</w:t>
      </w:r>
      <w:r w:rsidR="009829C9">
        <w:t>or DRE</w:t>
      </w:r>
      <w:r w:rsidR="000E7E2F">
        <w:t xml:space="preserve"> results</w:t>
      </w:r>
      <w:r w:rsidR="009E7D97">
        <w:t>; however</w:t>
      </w:r>
      <w:r w:rsidR="0034123A">
        <w:t>,</w:t>
      </w:r>
      <w:r w:rsidR="009E7D97">
        <w:t xml:space="preserve"> only two studies reported the PSA cut-off they used as an inclusion criteri</w:t>
      </w:r>
      <w:r w:rsidR="00EF1798">
        <w:t>on</w:t>
      </w:r>
      <w:r w:rsidR="009829C9">
        <w:t xml:space="preserve">. </w:t>
      </w:r>
      <w:r w:rsidR="009E7D97">
        <w:t xml:space="preserve">Both Jambor et al. (2014) and Lista et al. (2015) included patients with a PSA </w:t>
      </w:r>
      <w:r w:rsidR="005F38B9">
        <w:rPr>
          <w:rFonts w:cs="Calibri"/>
        </w:rPr>
        <w:t>greater than</w:t>
      </w:r>
      <w:r w:rsidR="009E7D97">
        <w:t xml:space="preserve"> 4ng/ml. The m</w:t>
      </w:r>
      <w:r w:rsidR="00D612CA">
        <w:t xml:space="preserve">ean PSA in the key studies ranged </w:t>
      </w:r>
      <w:r w:rsidR="009E7D97">
        <w:t>from 8.4 to 15.0</w:t>
      </w:r>
      <w:r w:rsidR="00D612CA">
        <w:t xml:space="preserve">ng/ml while </w:t>
      </w:r>
      <w:r w:rsidR="009E7D97">
        <w:t>the median</w:t>
      </w:r>
      <w:r w:rsidR="00D612CA">
        <w:t xml:space="preserve"> PSA ranged </w:t>
      </w:r>
      <w:r w:rsidR="009E7D97">
        <w:t>from 5.2-10ng/ml</w:t>
      </w:r>
      <w:r w:rsidR="003C39D4">
        <w:t xml:space="preserve">, these </w:t>
      </w:r>
      <w:r w:rsidR="008E013C">
        <w:t>are in line</w:t>
      </w:r>
      <w:r w:rsidR="003C39D4">
        <w:t xml:space="preserve"> with median PSA levels reported by the Victorian Prostate Cancer Registry (median PSA 7.8ng/ml and the South Australian Prostate Cancer Clinical Outcomes Collaborative (median PSA 6.5ng/ml)</w:t>
      </w:r>
      <w:r w:rsidR="0005426D">
        <w:t xml:space="preserve"> </w:t>
      </w:r>
      <w:r w:rsidR="008E0B00">
        <w:fldChar w:fldCharType="begin">
          <w:fldData xml:space="preserve">PEVuZE5vdGU+PENpdGU+PEF1dGhvcj5LaW5uZWFyPC9BdXRob3I+PFllYXI+MjAxNjwvWWVhcj48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</w:fldData>
        </w:fldChar>
      </w:r>
      <w:r w:rsidR="008E0B00">
        <w:instrText xml:space="preserve"> ADDIN EN.CITE </w:instrText>
      </w:r>
      <w:r w:rsidR="008E0B00">
        <w:fldChar w:fldCharType="begin">
          <w:fldData xml:space="preserve">PEVuZE5vdGU+PENpdGU+PEF1dGhvcj5LaW5uZWFyPC9BdXRob3I+PFllYXI+MjAxNjwvWWVhcj48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</w:fldData>
        </w:fldChar>
      </w:r>
      <w:r w:rsidR="008E0B00">
        <w:instrText xml:space="preserve"> ADDIN EN.CITE.DATA </w:instrText>
      </w:r>
      <w:r w:rsidR="008E0B00">
        <w:fldChar w:fldCharType="end"/>
      </w:r>
      <w:r w:rsidR="008E0B00">
        <w:fldChar w:fldCharType="separate"/>
      </w:r>
      <w:r w:rsidR="008E0B00">
        <w:rPr>
          <w:noProof/>
        </w:rPr>
        <w:t>(</w:t>
      </w:r>
      <w:hyperlink w:anchor="_ENREF_77" w:tooltip="Kinnear, 2016 #70" w:history="1">
        <w:r w:rsidR="008E0B00">
          <w:rPr>
            <w:noProof/>
          </w:rPr>
          <w:t>Kinnear et al. 2016</w:t>
        </w:r>
      </w:hyperlink>
      <w:r w:rsidR="008E0B00">
        <w:rPr>
          <w:noProof/>
        </w:rPr>
        <w:t xml:space="preserve">; </w:t>
      </w:r>
      <w:hyperlink w:anchor="_ENREF_136" w:tooltip="Ruseckaite, 2016 #69" w:history="1">
        <w:r w:rsidR="008E0B00">
          <w:rPr>
            <w:noProof/>
          </w:rPr>
          <w:t>Ruseckaite et al. 2016</w:t>
        </w:r>
      </w:hyperlink>
      <w:r w:rsidR="008E0B00">
        <w:rPr>
          <w:noProof/>
        </w:rPr>
        <w:t xml:space="preserve">; </w:t>
      </w:r>
      <w:hyperlink w:anchor="_ENREF_138" w:tooltip="SA Prostate Cancer Clinical Outcomes Collaborative, 2014 #68" w:history="1">
        <w:r w:rsidR="008E0B00">
          <w:rPr>
            <w:noProof/>
          </w:rPr>
          <w:t>SA Prostate Cancer Clinical Outcomes Collaborative 2014</w:t>
        </w:r>
      </w:hyperlink>
      <w:r w:rsidR="008E0B00">
        <w:rPr>
          <w:noProof/>
        </w:rPr>
        <w:t>)</w:t>
      </w:r>
      <w:r w:rsidR="008E0B00">
        <w:fldChar w:fldCharType="end"/>
      </w:r>
      <w:r w:rsidR="009E7D97">
        <w:t xml:space="preserve">. </w:t>
      </w:r>
      <w:r w:rsidR="007C5F92">
        <w:t>Patients in the key studies had a mean age ranging from 62.4-70.0 years or a median age ranging from 62.9-66 years. This is consistent with the mean age at diagnosis for men in the Victorian Registry of 66 years and the South Australian Registry of 67 years</w:t>
      </w:r>
      <w:r w:rsidR="00424419">
        <w:t xml:space="preserve"> </w:t>
      </w:r>
      <w:r w:rsidR="008E0B00">
        <w:fldChar w:fldCharType="begin">
          <w:fldData xml:space="preserve">PEVuZE5vdGU+PENpdGU+PEF1dGhvcj5LaW5uZWFyPC9BdXRob3I+PFllYXI+MjAxNjwvWWVhcj48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</w:fldData>
        </w:fldChar>
      </w:r>
      <w:r w:rsidR="008E0B00">
        <w:instrText xml:space="preserve"> ADDIN EN.CITE </w:instrText>
      </w:r>
      <w:r w:rsidR="008E0B00">
        <w:fldChar w:fldCharType="begin">
          <w:fldData xml:space="preserve">PEVuZE5vdGU+PENpdGU+PEF1dGhvcj5LaW5uZWFyPC9BdXRob3I+PFllYXI+MjAxNjwvWWVhcj48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</w:fldData>
        </w:fldChar>
      </w:r>
      <w:r w:rsidR="008E0B00">
        <w:instrText xml:space="preserve"> ADDIN EN.CITE.DATA </w:instrText>
      </w:r>
      <w:r w:rsidR="008E0B00">
        <w:fldChar w:fldCharType="end"/>
      </w:r>
      <w:r w:rsidR="008E0B00">
        <w:fldChar w:fldCharType="separate"/>
      </w:r>
      <w:r w:rsidR="008E0B00">
        <w:rPr>
          <w:noProof/>
        </w:rPr>
        <w:t>(</w:t>
      </w:r>
      <w:hyperlink w:anchor="_ENREF_77" w:tooltip="Kinnear, 2016 #70" w:history="1">
        <w:r w:rsidR="008E0B00">
          <w:rPr>
            <w:noProof/>
          </w:rPr>
          <w:t>Kinnear et al. 2016</w:t>
        </w:r>
      </w:hyperlink>
      <w:r w:rsidR="008E0B00">
        <w:rPr>
          <w:noProof/>
        </w:rPr>
        <w:t xml:space="preserve">; </w:t>
      </w:r>
      <w:hyperlink w:anchor="_ENREF_136" w:tooltip="Ruseckaite, 2016 #69" w:history="1">
        <w:r w:rsidR="008E0B00">
          <w:rPr>
            <w:noProof/>
          </w:rPr>
          <w:t>Ruseckaite et al. 2016</w:t>
        </w:r>
      </w:hyperlink>
      <w:r w:rsidR="008E0B00">
        <w:rPr>
          <w:noProof/>
        </w:rPr>
        <w:t xml:space="preserve">; </w:t>
      </w:r>
      <w:hyperlink w:anchor="_ENREF_138" w:tooltip="SA Prostate Cancer Clinical Outcomes Collaborative, 2014 #68" w:history="1">
        <w:r w:rsidR="008E0B00">
          <w:rPr>
            <w:noProof/>
          </w:rPr>
          <w:t>SA Prostate Cancer Clinical Outcomes Collaborative 2014</w:t>
        </w:r>
      </w:hyperlink>
      <w:r w:rsidR="008E0B00">
        <w:rPr>
          <w:noProof/>
        </w:rPr>
        <w:t>)</w:t>
      </w:r>
      <w:r w:rsidR="008E0B00">
        <w:fldChar w:fldCharType="end"/>
      </w:r>
      <w:r w:rsidR="004C2E67">
        <w:t>.</w:t>
      </w:r>
    </w:p>
    <w:p w14:paraId="41286D5D" w14:textId="06F323AA" w:rsidR="003010CF" w:rsidRDefault="003010CF" w:rsidP="003010CF">
      <w:r>
        <w:t xml:space="preserve">The included studies did not report results separately for patients with </w:t>
      </w:r>
      <w:r w:rsidR="0058672B">
        <w:t>high-concern</w:t>
      </w:r>
      <w:r>
        <w:t xml:space="preserve"> (defined as a positive family history/BRCA gene mutation, a free/Total PSA Ratio &lt;12% or a</w:t>
      </w:r>
      <w:r w:rsidR="002E09E9">
        <w:t xml:space="preserve"> </w:t>
      </w:r>
      <w:r>
        <w:t xml:space="preserve">PSA density </w:t>
      </w:r>
      <w:r w:rsidR="007B5C3D">
        <w:rPr>
          <w:rFonts w:cs="Calibri"/>
        </w:rPr>
        <w:t>&gt;</w:t>
      </w:r>
      <w:r>
        <w:t xml:space="preserve">0.15). However, while patients with </w:t>
      </w:r>
      <w:r w:rsidR="0058672B">
        <w:t>high-concern</w:t>
      </w:r>
      <w:r>
        <w:t xml:space="preserve"> are more likely to have clinically significant </w:t>
      </w:r>
      <w:r w:rsidR="008E1CD1">
        <w:t>disease</w:t>
      </w:r>
      <w:r w:rsidR="00087784">
        <w:t xml:space="preserve"> </w:t>
      </w:r>
      <w:r w:rsidR="008E0B00">
        <w:fldChar w:fldCharType="begin"/>
      </w:r>
      <w:r w:rsidR="008E0B00">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fldChar w:fldCharType="separate"/>
      </w:r>
      <w:r w:rsidR="008E0B00">
        <w:rPr>
          <w:noProof/>
        </w:rPr>
        <w:t>(</w:t>
      </w:r>
      <w:hyperlink w:anchor="_ENREF_9" w:tooltip="Applicant, 2016 #9" w:history="1">
        <w:r w:rsidR="008E0B00">
          <w:rPr>
            <w:noProof/>
          </w:rPr>
          <w:t>Applicant 2016</w:t>
        </w:r>
      </w:hyperlink>
      <w:r w:rsidR="008E0B00">
        <w:rPr>
          <w:noProof/>
        </w:rPr>
        <w:t>)</w:t>
      </w:r>
      <w:r w:rsidR="008E0B00">
        <w:fldChar w:fldCharType="end"/>
      </w:r>
      <w:r w:rsidR="00585799">
        <w:t>,</w:t>
      </w:r>
      <w:r>
        <w:t xml:space="preserve"> there is no evidence that being of </w:t>
      </w:r>
      <w:r w:rsidR="0058672B">
        <w:t>high-concern</w:t>
      </w:r>
      <w:r>
        <w:t xml:space="preserve"> will impact the diagnostic accuracy of mpMRI</w:t>
      </w:r>
      <w:r w:rsidR="0014252D">
        <w:t xml:space="preserve">. </w:t>
      </w:r>
    </w:p>
    <w:p w14:paraId="4879ABAB" w14:textId="07BEF3F2" w:rsidR="00D727F4" w:rsidRDefault="00344BB4" w:rsidP="007A49EE">
      <w:r>
        <w:t xml:space="preserve">The included studies used a 1.5T </w:t>
      </w:r>
      <w:r w:rsidR="00C0351B">
        <w:t>and/</w:t>
      </w:r>
      <w:r>
        <w:t>or 3.0T MRI machine</w:t>
      </w:r>
      <w:r w:rsidR="00C0351B">
        <w:t>s.</w:t>
      </w:r>
      <w:r>
        <w:t xml:space="preserve"> All key studies used the PI-RADS system</w:t>
      </w:r>
      <w:r w:rsidR="00C0351B">
        <w:t xml:space="preserve"> for image analysis</w:t>
      </w:r>
      <w:r>
        <w:t>. Where reported, all studies used gadolinium</w:t>
      </w:r>
      <w:r w:rsidR="00A04345">
        <w:t xml:space="preserve"> based contrast agents</w:t>
      </w:r>
      <w:r>
        <w:t xml:space="preserve"> </w:t>
      </w:r>
      <w:r w:rsidR="008E0B00">
        <w:fldChar w:fldCharType="begin">
          <w:fldData xml:space="preserve">PEVuZE5vdGU+PENpdGU+PEF1dGhvcj5MaXN0YTwvQXV0aG9yPjxZZWFyPjIwMTU8L1llYXI+PFJl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ZTAxMzAyMDc8L3BhZ2VzPjx2b2x1bWU+MTA8L3ZvbHVtZT48bnVtYmVyPjY8L251bWJlcj48ZWRp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</w:fldData>
        </w:fldChar>
      </w:r>
      <w:r w:rsidR="008E0B00">
        <w:instrText xml:space="preserve"> ADDIN EN.CITE </w:instrText>
      </w:r>
      <w:r w:rsidR="008E0B00">
        <w:fldChar w:fldCharType="begin">
          <w:fldData xml:space="preserve">PEVuZE5vdGU+PENpdGU+PEF1dGhvcj5MaXN0YTwvQXV0aG9yPjxZZWFyPjIwMTU8L1llYXI+PFJl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85" w:tooltip="Lista, 2015 #47" w:history="1">
        <w:r w:rsidR="008E0B00">
          <w:rPr>
            <w:noProof/>
          </w:rPr>
          <w:t>Lista et al. 2015</w:t>
        </w:r>
      </w:hyperlink>
      <w:r w:rsidR="008E0B00">
        <w:rPr>
          <w:noProof/>
        </w:rPr>
        <w:t xml:space="preserve">; </w:t>
      </w:r>
      <w:hyperlink w:anchor="_ENREF_175" w:tooltip="Wang, 2015 #62" w:history="1">
        <w:r w:rsidR="008E0B00">
          <w:rPr>
            <w:noProof/>
          </w:rPr>
          <w:t>Wang et al. 2015</w:t>
        </w:r>
      </w:hyperlink>
      <w:r w:rsidR="008E0B00">
        <w:rPr>
          <w:noProof/>
        </w:rPr>
        <w:t>)</w:t>
      </w:r>
      <w:r w:rsidR="008E0B00">
        <w:fldChar w:fldCharType="end"/>
      </w:r>
      <w:r w:rsidR="00A04345">
        <w:t>.</w:t>
      </w:r>
    </w:p>
    <w:p w14:paraId="59A2475F" w14:textId="400089AC" w:rsidR="009142A9" w:rsidRDefault="00ED71E0" w:rsidP="001D76FF">
      <w:r>
        <w:t>T</w:t>
      </w:r>
      <w:r w:rsidR="007F498C">
        <w:t>he comparator described in the P</w:t>
      </w:r>
      <w:r>
        <w:t>rotocol was TRUSGB or TPUSGB in combination with PSA</w:t>
      </w:r>
      <w:r w:rsidR="001E1FD1">
        <w:t>/DRE</w:t>
      </w:r>
      <w:r>
        <w:t xml:space="preserve"> and clinical judgement or PSA</w:t>
      </w:r>
      <w:r w:rsidR="006C3E25">
        <w:t>/DRE</w:t>
      </w:r>
      <w:r>
        <w:t xml:space="preserve"> and clinical judgement alone in men who opt to not have a biopsy. </w:t>
      </w:r>
      <w:r>
        <w:lastRenderedPageBreak/>
        <w:t xml:space="preserve">The reference standard in the Protocol was the pathological analysis of the biopsy obtained samples. </w:t>
      </w:r>
      <w:r w:rsidR="00320120">
        <w:t xml:space="preserve">Pathology of samples obtained from </w:t>
      </w:r>
      <w:r>
        <w:t xml:space="preserve">biopsy was used as a reference standard </w:t>
      </w:r>
      <w:r w:rsidR="00320120">
        <w:t>(</w:t>
      </w:r>
      <w:r>
        <w:t>and assumed to be accurate</w:t>
      </w:r>
      <w:r w:rsidR="00320120">
        <w:t>) by all included studies</w:t>
      </w:r>
      <w:r>
        <w:t xml:space="preserve">. </w:t>
      </w:r>
      <w:r w:rsidR="00320120">
        <w:t xml:space="preserve">As </w:t>
      </w:r>
      <w:r>
        <w:t>di</w:t>
      </w:r>
      <w:r w:rsidR="0014252D">
        <w:t>scussed in Subsection B3.1</w:t>
      </w:r>
      <w:r>
        <w:t xml:space="preserve">; biopsy is not a perfect reference standard. </w:t>
      </w:r>
      <w:r w:rsidR="00CA258C">
        <w:t xml:space="preserve">TRUSGB </w:t>
      </w:r>
      <w:r w:rsidR="00D0031E">
        <w:t xml:space="preserve">was used </w:t>
      </w:r>
      <w:r w:rsidR="00CA258C">
        <w:t>alone or in combination with core</w:t>
      </w:r>
      <w:r w:rsidR="00766A32">
        <w:t>s</w:t>
      </w:r>
      <w:r w:rsidR="00CA258C">
        <w:t xml:space="preserve"> taken </w:t>
      </w:r>
      <w:r w:rsidR="00766A32">
        <w:t xml:space="preserve">from MRI-suspicious </w:t>
      </w:r>
      <w:r w:rsidR="00D0031E">
        <w:t>regions using</w:t>
      </w:r>
      <w:r w:rsidR="00766A32">
        <w:t xml:space="preserve"> </w:t>
      </w:r>
      <w:r w:rsidR="00CA258C">
        <w:t>either cognitive guidance (C-MRIGB) or using MRI and US fusion guided biopsy (MRI/US FGB)</w:t>
      </w:r>
      <w:r w:rsidR="00C3730E">
        <w:t xml:space="preserve">. As the use of MRIGB was not a comparator listed in the </w:t>
      </w:r>
      <w:r w:rsidR="00D0031E">
        <w:t>P</w:t>
      </w:r>
      <w:r w:rsidR="00C3730E">
        <w:t>rotocol</w:t>
      </w:r>
      <w:r w:rsidR="00D0031E">
        <w:t>,</w:t>
      </w:r>
      <w:r w:rsidR="00C3730E">
        <w:t xml:space="preserve"> subgroups analysis </w:t>
      </w:r>
      <w:r w:rsidR="0009782E">
        <w:t>was</w:t>
      </w:r>
      <w:r w:rsidR="00C3730E">
        <w:t xml:space="preserve"> performed (Subsection B3.6) to estimate the effect, if any, this deviation had on the diagnostic accuracy results. </w:t>
      </w:r>
    </w:p>
    <w:p w14:paraId="7BDCBE93" w14:textId="276A71A8" w:rsidR="00F523CB" w:rsidRDefault="00005EE3" w:rsidP="00466B3D">
      <w:pPr>
        <w:pStyle w:val="Caption"/>
      </w:pPr>
      <w:bookmarkStart w:id="292" w:name="_Ref456170024"/>
      <w:bookmarkStart w:id="293" w:name="_Toc460514520"/>
      <w:r>
        <w:t xml:space="preserve">Table </w:t>
      </w:r>
      <w:fldSimple w:instr=" SEQ Table \* ARABIC ">
        <w:r w:rsidR="0029649D">
          <w:rPr>
            <w:noProof/>
          </w:rPr>
          <w:t>20</w:t>
        </w:r>
      </w:fldSimple>
      <w:bookmarkEnd w:id="292"/>
      <w:r>
        <w:tab/>
        <w:t>Selected characteristics of the key diagnostic accuracy studies</w:t>
      </w:r>
      <w:r w:rsidR="0021757E">
        <w:t xml:space="preserve"> for Population 1</w:t>
      </w:r>
      <w:bookmarkEnd w:id="293"/>
    </w:p>
    <w:tbl>
      <w:tblPr>
        <w:tblW w:w="9435"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2278"/>
        <w:gridCol w:w="1189"/>
        <w:gridCol w:w="2579"/>
        <w:gridCol w:w="1985"/>
        <w:gridCol w:w="1404"/>
      </w:tblGrid>
      <w:tr w:rsidR="00005EE3" w:rsidRPr="009142A9" w14:paraId="0D0D15CF" w14:textId="77777777" w:rsidTr="009142A9">
        <w:trPr>
          <w:cantSplit/>
          <w:trHeight w:val="397"/>
          <w:tblHeader/>
        </w:trPr>
        <w:tc>
          <w:tcPr>
            <w:tcW w:w="0" w:type="auto"/>
            <w:shd w:val="clear" w:color="auto" w:fill="auto"/>
          </w:tcPr>
          <w:p w14:paraId="5E87FBEC" w14:textId="77777777" w:rsidR="00005EE3" w:rsidRPr="009142A9" w:rsidRDefault="00005EE3" w:rsidP="0060578C">
            <w:pPr>
              <w:pStyle w:val="Tableheading1"/>
            </w:pPr>
            <w:r w:rsidRPr="009142A9">
              <w:t>Trial/Study</w:t>
            </w:r>
          </w:p>
          <w:p w14:paraId="21D86394" w14:textId="77777777" w:rsidR="00005EE3" w:rsidRPr="009142A9" w:rsidRDefault="007C51A9" w:rsidP="0060578C">
            <w:pPr>
              <w:pStyle w:val="Tableheading1"/>
            </w:pPr>
            <w:r w:rsidRPr="009142A9">
              <w:t>Country</w:t>
            </w:r>
          </w:p>
          <w:p w14:paraId="0570EC40" w14:textId="77777777" w:rsidR="006E76D5" w:rsidRPr="009142A9" w:rsidRDefault="006E76D5" w:rsidP="0060578C">
            <w:pPr>
              <w:pStyle w:val="Tableheading1"/>
            </w:pPr>
            <w:r w:rsidRPr="009142A9">
              <w:t>Prospective or retrospective?</w:t>
            </w:r>
          </w:p>
        </w:tc>
        <w:tc>
          <w:tcPr>
            <w:tcW w:w="0" w:type="auto"/>
            <w:shd w:val="clear" w:color="auto" w:fill="auto"/>
          </w:tcPr>
          <w:p w14:paraId="582411AA" w14:textId="653FBF7F" w:rsidR="008E5171" w:rsidRPr="009142A9" w:rsidRDefault="009142A9" w:rsidP="0060578C">
            <w:pPr>
              <w:pStyle w:val="Tableheading1"/>
            </w:pPr>
            <w:r>
              <w:t>n</w:t>
            </w:r>
          </w:p>
          <w:p w14:paraId="7AC68C5B" w14:textId="77777777" w:rsidR="00005EE3" w:rsidRPr="009142A9" w:rsidRDefault="00005EE3" w:rsidP="0060578C">
            <w:pPr>
              <w:pStyle w:val="Tableheading1"/>
            </w:pPr>
            <w:r w:rsidRPr="009142A9">
              <w:t>Age</w:t>
            </w:r>
            <w:r w:rsidR="008E5171" w:rsidRPr="009142A9">
              <w:t xml:space="preserve"> </w:t>
            </w:r>
            <w:r w:rsidR="00214BDD" w:rsidRPr="009142A9">
              <w:t>(years)</w:t>
            </w:r>
          </w:p>
        </w:tc>
        <w:tc>
          <w:tcPr>
            <w:tcW w:w="2579" w:type="dxa"/>
            <w:shd w:val="clear" w:color="auto" w:fill="auto"/>
          </w:tcPr>
          <w:p w14:paraId="2E038AF3" w14:textId="77777777" w:rsidR="006E76D5" w:rsidRPr="009142A9" w:rsidRDefault="000E7E2F" w:rsidP="0060578C">
            <w:pPr>
              <w:pStyle w:val="Tableheading1"/>
            </w:pPr>
            <w:r w:rsidRPr="009142A9">
              <w:t>Basis for</w:t>
            </w:r>
            <w:r w:rsidR="006E76D5" w:rsidRPr="009142A9">
              <w:t xml:space="preserve"> inclusion</w:t>
            </w:r>
          </w:p>
          <w:p w14:paraId="58F66AE9" w14:textId="77777777" w:rsidR="00005EE3" w:rsidRPr="009142A9" w:rsidRDefault="00005EE3" w:rsidP="0060578C">
            <w:pPr>
              <w:pStyle w:val="Tableheading1"/>
            </w:pPr>
            <w:r w:rsidRPr="009142A9">
              <w:t>PSA level (ng/ml)</w:t>
            </w:r>
          </w:p>
          <w:p w14:paraId="0070564C" w14:textId="77777777" w:rsidR="00CF63C6" w:rsidRPr="009142A9" w:rsidRDefault="00005EE3" w:rsidP="0060578C">
            <w:pPr>
              <w:pStyle w:val="Tableheading1"/>
            </w:pPr>
            <w:r w:rsidRPr="009142A9">
              <w:t>PSA density</w:t>
            </w:r>
            <w:r w:rsidR="006D7BDE" w:rsidRPr="009142A9">
              <w:t xml:space="preserve"> (ng/ml</w:t>
            </w:r>
            <w:r w:rsidR="006D7BDE" w:rsidRPr="009142A9">
              <w:rPr>
                <w:vertAlign w:val="superscript"/>
              </w:rPr>
              <w:t>2</w:t>
            </w:r>
            <w:r w:rsidR="006D7BDE" w:rsidRPr="009142A9">
              <w:t>)</w:t>
            </w:r>
            <w:r w:rsidR="00CF63C6" w:rsidRPr="009142A9">
              <w:t xml:space="preserve"> </w:t>
            </w:r>
          </w:p>
          <w:p w14:paraId="70AB596E" w14:textId="77777777" w:rsidR="00005EE3" w:rsidRPr="009142A9" w:rsidRDefault="00CF63C6" w:rsidP="0060578C">
            <w:pPr>
              <w:pStyle w:val="Tableheading1"/>
            </w:pPr>
            <w:r w:rsidRPr="009142A9">
              <w:t>% Prior negative biopsy</w:t>
            </w:r>
          </w:p>
        </w:tc>
        <w:tc>
          <w:tcPr>
            <w:tcW w:w="1985" w:type="dxa"/>
          </w:tcPr>
          <w:p w14:paraId="7892B729" w14:textId="77777777" w:rsidR="00005EE3" w:rsidRPr="009142A9" w:rsidRDefault="00005EE3" w:rsidP="0060578C">
            <w:pPr>
              <w:pStyle w:val="Tableheading1"/>
            </w:pPr>
            <w:r w:rsidRPr="009142A9">
              <w:t>MRI details:</w:t>
            </w:r>
          </w:p>
          <w:p w14:paraId="2F89A259" w14:textId="77777777" w:rsidR="00005EE3" w:rsidRPr="009142A9" w:rsidRDefault="00005EE3" w:rsidP="0060578C">
            <w:pPr>
              <w:pStyle w:val="Tableheading1"/>
            </w:pPr>
            <w:r w:rsidRPr="009142A9">
              <w:t>T</w:t>
            </w:r>
          </w:p>
          <w:p w14:paraId="4E25ECF3" w14:textId="77777777" w:rsidR="00005EE3" w:rsidRPr="009142A9" w:rsidRDefault="00005EE3" w:rsidP="0060578C">
            <w:pPr>
              <w:pStyle w:val="Tableheading1"/>
            </w:pPr>
            <w:r w:rsidRPr="009142A9">
              <w:t>Coil</w:t>
            </w:r>
          </w:p>
          <w:p w14:paraId="1FFFFE18" w14:textId="77777777" w:rsidR="00005EE3" w:rsidRPr="009142A9" w:rsidRDefault="00005EE3" w:rsidP="0060578C">
            <w:pPr>
              <w:pStyle w:val="Tableheading1"/>
            </w:pPr>
            <w:r w:rsidRPr="009142A9">
              <w:t>Contrast</w:t>
            </w:r>
          </w:p>
        </w:tc>
        <w:tc>
          <w:tcPr>
            <w:tcW w:w="0" w:type="auto"/>
            <w:shd w:val="clear" w:color="auto" w:fill="auto"/>
          </w:tcPr>
          <w:p w14:paraId="3AC3B410" w14:textId="77777777" w:rsidR="00005EE3" w:rsidRPr="009142A9" w:rsidRDefault="00005EE3" w:rsidP="0060578C">
            <w:pPr>
              <w:pStyle w:val="Tableheading1"/>
            </w:pPr>
            <w:r w:rsidRPr="009142A9">
              <w:t>Biopsy details:</w:t>
            </w:r>
          </w:p>
          <w:p w14:paraId="00DF9F63" w14:textId="77777777" w:rsidR="00005EE3" w:rsidRPr="009142A9" w:rsidRDefault="00005EE3" w:rsidP="0060578C">
            <w:pPr>
              <w:pStyle w:val="Tableheading1"/>
            </w:pPr>
            <w:r w:rsidRPr="009142A9">
              <w:t>Type?</w:t>
            </w:r>
          </w:p>
          <w:p w14:paraId="7029C23A" w14:textId="77777777" w:rsidR="00005EE3" w:rsidRPr="009142A9" w:rsidRDefault="00005EE3" w:rsidP="0060578C">
            <w:pPr>
              <w:pStyle w:val="Tableheading1"/>
            </w:pPr>
          </w:p>
        </w:tc>
      </w:tr>
      <w:tr w:rsidR="00005EE3" w:rsidRPr="008A23B2" w14:paraId="510A9D32" w14:textId="77777777" w:rsidTr="009142A9">
        <w:trPr>
          <w:cantSplit/>
          <w:trHeight w:val="397"/>
        </w:trPr>
        <w:tc>
          <w:tcPr>
            <w:tcW w:w="0" w:type="auto"/>
            <w:shd w:val="clear" w:color="auto" w:fill="auto"/>
          </w:tcPr>
          <w:p w14:paraId="4A0A6344" w14:textId="57BA8594" w:rsidR="00005EE3" w:rsidRDefault="008E1CD1" w:rsidP="0060578C">
            <w:pPr>
              <w:pStyle w:val="Tabletext1"/>
              <w:rPr>
                <w:snapToGrid w:val="0"/>
              </w:rPr>
            </w:pPr>
            <w:r>
              <w:rPr>
                <w:snapToGrid w:val="0"/>
              </w:rPr>
              <w:t>Abd-Alazeez et al. (2014)</w:t>
            </w:r>
          </w:p>
          <w:p w14:paraId="0B8F02F8" w14:textId="77777777" w:rsidR="007C51A9" w:rsidRDefault="007C51A9" w:rsidP="0060578C">
            <w:pPr>
              <w:pStyle w:val="Tabletext1"/>
              <w:rPr>
                <w:snapToGrid w:val="0"/>
              </w:rPr>
            </w:pPr>
            <w:r>
              <w:rPr>
                <w:snapToGrid w:val="0"/>
              </w:rPr>
              <w:t>UK</w:t>
            </w:r>
          </w:p>
          <w:p w14:paraId="0871A0B7" w14:textId="77777777" w:rsidR="006E76D5" w:rsidRPr="008A23B2" w:rsidRDefault="006E76D5" w:rsidP="0060578C">
            <w:pPr>
              <w:pStyle w:val="Tabletext1"/>
              <w:rPr>
                <w:snapToGrid w:val="0"/>
              </w:rPr>
            </w:pPr>
            <w:r>
              <w:rPr>
                <w:snapToGrid w:val="0"/>
              </w:rPr>
              <w:t>Prospective</w:t>
            </w:r>
          </w:p>
        </w:tc>
        <w:tc>
          <w:tcPr>
            <w:tcW w:w="0" w:type="auto"/>
            <w:shd w:val="clear" w:color="auto" w:fill="auto"/>
          </w:tcPr>
          <w:p w14:paraId="0A2F3DF0" w14:textId="77777777" w:rsidR="00005EE3" w:rsidRDefault="008E5171" w:rsidP="0060578C">
            <w:pPr>
              <w:pStyle w:val="Tabletext1"/>
              <w:rPr>
                <w:snapToGrid w:val="0"/>
              </w:rPr>
            </w:pPr>
            <w:r>
              <w:rPr>
                <w:snapToGrid w:val="0"/>
              </w:rPr>
              <w:t>54</w:t>
            </w:r>
          </w:p>
          <w:p w14:paraId="5167CF2B" w14:textId="77777777" w:rsidR="008E5171" w:rsidRDefault="008E5171" w:rsidP="0060578C">
            <w:pPr>
              <w:pStyle w:val="Tabletext1"/>
              <w:rPr>
                <w:snapToGrid w:val="0"/>
              </w:rPr>
            </w:pPr>
            <w:r>
              <w:rPr>
                <w:snapToGrid w:val="0"/>
              </w:rPr>
              <w:t xml:space="preserve">Median 64 </w:t>
            </w:r>
          </w:p>
          <w:p w14:paraId="16837A31" w14:textId="02462D15" w:rsidR="008E5171" w:rsidRPr="008A23B2" w:rsidRDefault="008E5171" w:rsidP="0060578C">
            <w:pPr>
              <w:pStyle w:val="Tabletext1"/>
              <w:rPr>
                <w:snapToGrid w:val="0"/>
              </w:rPr>
            </w:pPr>
            <w:r>
              <w:rPr>
                <w:snapToGrid w:val="0"/>
              </w:rPr>
              <w:t>(range 39-75)</w:t>
            </w:r>
          </w:p>
        </w:tc>
        <w:tc>
          <w:tcPr>
            <w:tcW w:w="2579" w:type="dxa"/>
            <w:shd w:val="clear" w:color="auto" w:fill="auto"/>
          </w:tcPr>
          <w:p w14:paraId="4CF36DE9" w14:textId="77777777" w:rsidR="006E76D5" w:rsidRDefault="000E7E2F" w:rsidP="0060578C">
            <w:pPr>
              <w:pStyle w:val="Tabletext1"/>
              <w:rPr>
                <w:snapToGrid w:val="0"/>
              </w:rPr>
            </w:pPr>
            <w:r>
              <w:rPr>
                <w:snapToGrid w:val="0"/>
              </w:rPr>
              <w:t>High or increasing PSA</w:t>
            </w:r>
          </w:p>
          <w:p w14:paraId="31CC61C1" w14:textId="77777777" w:rsidR="00214BDD" w:rsidRDefault="00DB2B53" w:rsidP="0060578C">
            <w:pPr>
              <w:pStyle w:val="Tabletext1"/>
              <w:rPr>
                <w:snapToGrid w:val="0"/>
              </w:rPr>
            </w:pPr>
            <w:r>
              <w:rPr>
                <w:snapToGrid w:val="0"/>
              </w:rPr>
              <w:t>Median 10 (range 2-23)</w:t>
            </w:r>
          </w:p>
          <w:p w14:paraId="08CF085A" w14:textId="77777777" w:rsidR="00CF63C6" w:rsidRDefault="00CF63C6" w:rsidP="0060578C">
            <w:pPr>
              <w:pStyle w:val="Tabletext1"/>
              <w:rPr>
                <w:snapToGrid w:val="0"/>
              </w:rPr>
            </w:pPr>
            <w:r>
              <w:rPr>
                <w:snapToGrid w:val="0"/>
              </w:rPr>
              <w:t>Density NR</w:t>
            </w:r>
          </w:p>
          <w:p w14:paraId="09801301" w14:textId="77777777" w:rsidR="00CF63C6" w:rsidRPr="008A23B2" w:rsidRDefault="00CF63C6" w:rsidP="0060578C">
            <w:pPr>
              <w:pStyle w:val="Tabletext1"/>
              <w:rPr>
                <w:snapToGrid w:val="0"/>
              </w:rPr>
            </w:pPr>
            <w:r>
              <w:rPr>
                <w:snapToGrid w:val="0"/>
              </w:rPr>
              <w:t>100%</w:t>
            </w:r>
          </w:p>
        </w:tc>
        <w:tc>
          <w:tcPr>
            <w:tcW w:w="1985" w:type="dxa"/>
          </w:tcPr>
          <w:p w14:paraId="1165CA95" w14:textId="77777777" w:rsidR="00005EE3" w:rsidRDefault="00ED7420" w:rsidP="0060578C">
            <w:pPr>
              <w:pStyle w:val="Tabletext1"/>
              <w:rPr>
                <w:snapToGrid w:val="0"/>
              </w:rPr>
            </w:pPr>
            <w:r>
              <w:rPr>
                <w:snapToGrid w:val="0"/>
              </w:rPr>
              <w:t>1.5 or 3.0T</w:t>
            </w:r>
          </w:p>
          <w:p w14:paraId="091978F8" w14:textId="77777777" w:rsidR="00ED7420" w:rsidRDefault="00ED7420" w:rsidP="0060578C">
            <w:pPr>
              <w:pStyle w:val="Tabletext1"/>
              <w:rPr>
                <w:snapToGrid w:val="0"/>
              </w:rPr>
            </w:pPr>
            <w:r>
              <w:rPr>
                <w:snapToGrid w:val="0"/>
              </w:rPr>
              <w:t>PPAC</w:t>
            </w:r>
          </w:p>
          <w:p w14:paraId="31427678" w14:textId="28D1BC52" w:rsidR="00ED7420" w:rsidRDefault="00ED7420" w:rsidP="0060578C">
            <w:pPr>
              <w:pStyle w:val="Tabletext1"/>
              <w:rPr>
                <w:snapToGrid w:val="0"/>
              </w:rPr>
            </w:pPr>
            <w:r>
              <w:rPr>
                <w:snapToGrid w:val="0"/>
              </w:rPr>
              <w:t>G</w:t>
            </w:r>
            <w:r w:rsidRPr="00ED7420">
              <w:rPr>
                <w:snapToGrid w:val="0"/>
              </w:rPr>
              <w:t>adoterate meglumin</w:t>
            </w:r>
            <w:r w:rsidR="002E09E9">
              <w:rPr>
                <w:snapToGrid w:val="0"/>
              </w:rPr>
              <w:t>e</w:t>
            </w:r>
          </w:p>
        </w:tc>
        <w:tc>
          <w:tcPr>
            <w:tcW w:w="0" w:type="auto"/>
            <w:shd w:val="clear" w:color="auto" w:fill="auto"/>
          </w:tcPr>
          <w:p w14:paraId="5DC7B228" w14:textId="77777777" w:rsidR="00005EE3" w:rsidRPr="008A23B2" w:rsidRDefault="00F77793" w:rsidP="0060578C">
            <w:pPr>
              <w:pStyle w:val="Tabletext1"/>
              <w:rPr>
                <w:snapToGrid w:val="0"/>
              </w:rPr>
            </w:pPr>
            <w:r>
              <w:rPr>
                <w:snapToGrid w:val="0"/>
              </w:rPr>
              <w:t>TRUS + C-MRIGB</w:t>
            </w:r>
          </w:p>
        </w:tc>
      </w:tr>
      <w:tr w:rsidR="00214BDD" w:rsidRPr="008A23B2" w14:paraId="15F31E5D" w14:textId="77777777" w:rsidTr="009142A9">
        <w:trPr>
          <w:cantSplit/>
          <w:trHeight w:val="397"/>
        </w:trPr>
        <w:tc>
          <w:tcPr>
            <w:tcW w:w="0" w:type="auto"/>
            <w:shd w:val="clear" w:color="auto" w:fill="auto"/>
          </w:tcPr>
          <w:p w14:paraId="1F3D59E3" w14:textId="77777777" w:rsidR="00214BDD" w:rsidRPr="00802540" w:rsidRDefault="00214BDD" w:rsidP="0060578C">
            <w:pPr>
              <w:pStyle w:val="Tabletext1"/>
              <w:rPr>
                <w:snapToGrid w:val="0"/>
              </w:rPr>
            </w:pPr>
            <w:r>
              <w:rPr>
                <w:snapToGrid w:val="0"/>
              </w:rPr>
              <w:t>Baldisserotto et al. (2016)</w:t>
            </w:r>
          </w:p>
          <w:p w14:paraId="0FAE2153" w14:textId="77777777" w:rsidR="00214BDD" w:rsidRDefault="00214BDD" w:rsidP="0060578C">
            <w:pPr>
              <w:pStyle w:val="Tabletext1"/>
              <w:rPr>
                <w:snapToGrid w:val="0"/>
              </w:rPr>
            </w:pPr>
            <w:r>
              <w:rPr>
                <w:snapToGrid w:val="0"/>
              </w:rPr>
              <w:t>Brazil</w:t>
            </w:r>
          </w:p>
          <w:p w14:paraId="2641280C" w14:textId="77777777" w:rsidR="006E76D5" w:rsidRPr="008A23B2" w:rsidRDefault="006E76D5" w:rsidP="0060578C">
            <w:pPr>
              <w:pStyle w:val="Tabletext1"/>
              <w:rPr>
                <w:snapToGrid w:val="0"/>
              </w:rPr>
            </w:pPr>
            <w:r>
              <w:rPr>
                <w:snapToGrid w:val="0"/>
              </w:rPr>
              <w:t>Retrospective</w:t>
            </w:r>
          </w:p>
        </w:tc>
        <w:tc>
          <w:tcPr>
            <w:tcW w:w="0" w:type="auto"/>
            <w:shd w:val="clear" w:color="auto" w:fill="auto"/>
          </w:tcPr>
          <w:p w14:paraId="2CAA255C" w14:textId="77777777" w:rsidR="00214BDD" w:rsidRDefault="00214BDD" w:rsidP="0060578C">
            <w:pPr>
              <w:pStyle w:val="Tabletext1"/>
              <w:rPr>
                <w:snapToGrid w:val="0"/>
              </w:rPr>
            </w:pPr>
            <w:r>
              <w:rPr>
                <w:snapToGrid w:val="0"/>
              </w:rPr>
              <w:t>54</w:t>
            </w:r>
          </w:p>
          <w:p w14:paraId="1667FB76" w14:textId="77777777" w:rsidR="00214BDD" w:rsidRDefault="00214BDD" w:rsidP="0060578C">
            <w:pPr>
              <w:pStyle w:val="Tabletext1"/>
              <w:rPr>
                <w:snapToGrid w:val="0"/>
              </w:rPr>
            </w:pPr>
            <w:r>
              <w:rPr>
                <w:snapToGrid w:val="0"/>
              </w:rPr>
              <w:t xml:space="preserve">Mean 65.9 </w:t>
            </w:r>
          </w:p>
          <w:p w14:paraId="2E26AAD2" w14:textId="593C3B18" w:rsidR="00214BDD" w:rsidRPr="008A23B2" w:rsidRDefault="00214BDD" w:rsidP="0060578C">
            <w:pPr>
              <w:pStyle w:val="Tabletext1"/>
              <w:rPr>
                <w:snapToGrid w:val="0"/>
              </w:rPr>
            </w:pPr>
            <w:r>
              <w:rPr>
                <w:snapToGrid w:val="0"/>
              </w:rPr>
              <w:t>(range 53-81)</w:t>
            </w:r>
          </w:p>
        </w:tc>
        <w:tc>
          <w:tcPr>
            <w:tcW w:w="2579" w:type="dxa"/>
            <w:shd w:val="clear" w:color="auto" w:fill="auto"/>
          </w:tcPr>
          <w:p w14:paraId="1C7402AC" w14:textId="77777777" w:rsidR="006E76D5" w:rsidRDefault="000E7E2F" w:rsidP="0060578C">
            <w:pPr>
              <w:pStyle w:val="Tabletext1"/>
              <w:rPr>
                <w:snapToGrid w:val="0"/>
              </w:rPr>
            </w:pPr>
            <w:r>
              <w:rPr>
                <w:snapToGrid w:val="0"/>
              </w:rPr>
              <w:t xml:space="preserve">Concerning </w:t>
            </w:r>
            <w:r w:rsidR="00B32D19">
              <w:rPr>
                <w:snapToGrid w:val="0"/>
              </w:rPr>
              <w:t xml:space="preserve">PSA and/or </w:t>
            </w:r>
            <w:r>
              <w:rPr>
                <w:snapToGrid w:val="0"/>
              </w:rPr>
              <w:t>DRE</w:t>
            </w:r>
          </w:p>
          <w:p w14:paraId="299745CB" w14:textId="77777777" w:rsidR="00214BDD" w:rsidRDefault="00214BDD" w:rsidP="0060578C">
            <w:pPr>
              <w:pStyle w:val="Tabletext1"/>
              <w:rPr>
                <w:snapToGrid w:val="0"/>
              </w:rPr>
            </w:pPr>
            <w:r>
              <w:rPr>
                <w:snapToGrid w:val="0"/>
              </w:rPr>
              <w:t>Mean 8.4 (</w:t>
            </w:r>
            <w:r w:rsidR="007F29D5">
              <w:rPr>
                <w:snapToGrid w:val="0"/>
              </w:rPr>
              <w:t>range 3-31</w:t>
            </w:r>
            <w:r>
              <w:rPr>
                <w:snapToGrid w:val="0"/>
              </w:rPr>
              <w:t>)</w:t>
            </w:r>
          </w:p>
          <w:p w14:paraId="2B5D5743" w14:textId="77777777" w:rsidR="00214BDD" w:rsidRDefault="00CF63C6" w:rsidP="0060578C">
            <w:pPr>
              <w:pStyle w:val="Tabletext1"/>
              <w:rPr>
                <w:snapToGrid w:val="0"/>
              </w:rPr>
            </w:pPr>
            <w:r>
              <w:rPr>
                <w:snapToGrid w:val="0"/>
              </w:rPr>
              <w:t>Mean 0.16 (SD 0.14)</w:t>
            </w:r>
          </w:p>
          <w:p w14:paraId="36E96900" w14:textId="77777777" w:rsidR="00CF63C6" w:rsidRPr="008A23B2" w:rsidRDefault="00CF63C6" w:rsidP="0060578C">
            <w:pPr>
              <w:pStyle w:val="Tabletext1"/>
              <w:rPr>
                <w:snapToGrid w:val="0"/>
              </w:rPr>
            </w:pPr>
            <w:r>
              <w:rPr>
                <w:snapToGrid w:val="0"/>
              </w:rPr>
              <w:t>NR</w:t>
            </w:r>
          </w:p>
        </w:tc>
        <w:tc>
          <w:tcPr>
            <w:tcW w:w="1985" w:type="dxa"/>
          </w:tcPr>
          <w:p w14:paraId="336DFFAA" w14:textId="77777777" w:rsidR="00214BDD" w:rsidRDefault="00D727F4" w:rsidP="0060578C">
            <w:pPr>
              <w:pStyle w:val="Tabletext1"/>
              <w:rPr>
                <w:snapToGrid w:val="0"/>
              </w:rPr>
            </w:pPr>
            <w:r>
              <w:rPr>
                <w:snapToGrid w:val="0"/>
              </w:rPr>
              <w:t>3.0T</w:t>
            </w:r>
          </w:p>
          <w:p w14:paraId="1DF5EE5B" w14:textId="77777777" w:rsidR="00D727F4" w:rsidRDefault="00D727F4" w:rsidP="0060578C">
            <w:pPr>
              <w:pStyle w:val="Tabletext1"/>
              <w:rPr>
                <w:snapToGrid w:val="0"/>
              </w:rPr>
            </w:pPr>
            <w:r>
              <w:rPr>
                <w:snapToGrid w:val="0"/>
              </w:rPr>
              <w:t>PPAC</w:t>
            </w:r>
          </w:p>
          <w:p w14:paraId="7EC5EB7A" w14:textId="77777777" w:rsidR="00D727F4" w:rsidRDefault="00D727F4" w:rsidP="0060578C">
            <w:pPr>
              <w:pStyle w:val="Tabletext1"/>
              <w:rPr>
                <w:snapToGrid w:val="0"/>
              </w:rPr>
            </w:pPr>
            <w:r>
              <w:rPr>
                <w:snapToGrid w:val="0"/>
              </w:rPr>
              <w:t>NR</w:t>
            </w:r>
          </w:p>
        </w:tc>
        <w:tc>
          <w:tcPr>
            <w:tcW w:w="0" w:type="auto"/>
            <w:shd w:val="clear" w:color="auto" w:fill="auto"/>
          </w:tcPr>
          <w:p w14:paraId="09E7A009" w14:textId="77777777" w:rsidR="00214BDD" w:rsidRPr="008A23B2" w:rsidRDefault="00341AB6" w:rsidP="0060578C">
            <w:pPr>
              <w:pStyle w:val="Tabletext1"/>
              <w:rPr>
                <w:snapToGrid w:val="0"/>
              </w:rPr>
            </w:pPr>
            <w:r>
              <w:rPr>
                <w:snapToGrid w:val="0"/>
              </w:rPr>
              <w:t>TRUS + C-MRIGB</w:t>
            </w:r>
          </w:p>
        </w:tc>
      </w:tr>
      <w:tr w:rsidR="00214BDD" w:rsidRPr="008A23B2" w14:paraId="124FA437" w14:textId="77777777" w:rsidTr="009142A9">
        <w:trPr>
          <w:cantSplit/>
          <w:trHeight w:val="397"/>
        </w:trPr>
        <w:tc>
          <w:tcPr>
            <w:tcW w:w="0" w:type="auto"/>
            <w:shd w:val="clear" w:color="auto" w:fill="auto"/>
          </w:tcPr>
          <w:p w14:paraId="2AE085E4" w14:textId="77777777" w:rsidR="00214BDD" w:rsidRDefault="00214BDD" w:rsidP="0060578C">
            <w:pPr>
              <w:pStyle w:val="Tabletext1"/>
              <w:rPr>
                <w:snapToGrid w:val="0"/>
              </w:rPr>
            </w:pPr>
            <w:r w:rsidRPr="00802540">
              <w:rPr>
                <w:snapToGrid w:val="0"/>
              </w:rPr>
              <w:t xml:space="preserve">Baur et al. (2016) </w:t>
            </w:r>
          </w:p>
          <w:p w14:paraId="027D46D6" w14:textId="77777777" w:rsidR="00214BDD" w:rsidRDefault="00214BDD" w:rsidP="0060578C">
            <w:pPr>
              <w:pStyle w:val="Tabletext1"/>
              <w:rPr>
                <w:snapToGrid w:val="0"/>
              </w:rPr>
            </w:pPr>
            <w:r>
              <w:rPr>
                <w:snapToGrid w:val="0"/>
              </w:rPr>
              <w:t>Germany</w:t>
            </w:r>
          </w:p>
          <w:p w14:paraId="1B132C67" w14:textId="77777777" w:rsidR="006E76D5" w:rsidRPr="008A23B2" w:rsidRDefault="006E76D5" w:rsidP="0060578C">
            <w:pPr>
              <w:pStyle w:val="Tabletext1"/>
              <w:rPr>
                <w:snapToGrid w:val="0"/>
              </w:rPr>
            </w:pPr>
            <w:r>
              <w:rPr>
                <w:snapToGrid w:val="0"/>
              </w:rPr>
              <w:t>Prospective</w:t>
            </w:r>
          </w:p>
        </w:tc>
        <w:tc>
          <w:tcPr>
            <w:tcW w:w="0" w:type="auto"/>
            <w:shd w:val="clear" w:color="auto" w:fill="auto"/>
          </w:tcPr>
          <w:p w14:paraId="499B28C9" w14:textId="77777777" w:rsidR="00214BDD" w:rsidRDefault="00214BDD" w:rsidP="0060578C">
            <w:pPr>
              <w:pStyle w:val="Tabletext1"/>
              <w:rPr>
                <w:snapToGrid w:val="0"/>
              </w:rPr>
            </w:pPr>
            <w:r>
              <w:rPr>
                <w:snapToGrid w:val="0"/>
              </w:rPr>
              <w:t>45</w:t>
            </w:r>
          </w:p>
          <w:p w14:paraId="60788ECB" w14:textId="77777777" w:rsidR="00214BDD" w:rsidRDefault="00214BDD" w:rsidP="0060578C">
            <w:pPr>
              <w:pStyle w:val="Tabletext1"/>
              <w:rPr>
                <w:snapToGrid w:val="0"/>
              </w:rPr>
            </w:pPr>
            <w:r>
              <w:rPr>
                <w:snapToGrid w:val="0"/>
              </w:rPr>
              <w:t xml:space="preserve">Mean 66 </w:t>
            </w:r>
          </w:p>
          <w:p w14:paraId="0C0AF18B" w14:textId="77777777" w:rsidR="00214BDD" w:rsidRPr="008A23B2" w:rsidRDefault="00214BDD" w:rsidP="0060578C">
            <w:pPr>
              <w:pStyle w:val="Tabletext1"/>
              <w:rPr>
                <w:snapToGrid w:val="0"/>
              </w:rPr>
            </w:pPr>
            <w:r>
              <w:rPr>
                <w:snapToGrid w:val="0"/>
              </w:rPr>
              <w:t>(range 46-81)</w:t>
            </w:r>
          </w:p>
        </w:tc>
        <w:tc>
          <w:tcPr>
            <w:tcW w:w="2579" w:type="dxa"/>
            <w:shd w:val="clear" w:color="auto" w:fill="auto"/>
          </w:tcPr>
          <w:p w14:paraId="1AE11546" w14:textId="77777777" w:rsidR="00B32D19" w:rsidRDefault="00B32D19" w:rsidP="0060578C">
            <w:pPr>
              <w:pStyle w:val="Tabletext1"/>
              <w:rPr>
                <w:snapToGrid w:val="0"/>
              </w:rPr>
            </w:pPr>
            <w:r>
              <w:rPr>
                <w:snapToGrid w:val="0"/>
              </w:rPr>
              <w:t>Concerning PSA and/or DRE</w:t>
            </w:r>
          </w:p>
          <w:p w14:paraId="47F9E59D" w14:textId="23ABAF17" w:rsidR="00214BDD" w:rsidRDefault="00214BDD" w:rsidP="0060578C">
            <w:pPr>
              <w:pStyle w:val="Tabletext1"/>
              <w:rPr>
                <w:snapToGrid w:val="0"/>
              </w:rPr>
            </w:pPr>
            <w:r>
              <w:rPr>
                <w:snapToGrid w:val="0"/>
              </w:rPr>
              <w:t>Mean 12.3 (range</w:t>
            </w:r>
            <w:r w:rsidR="007F29D5">
              <w:rPr>
                <w:snapToGrid w:val="0"/>
              </w:rPr>
              <w:t xml:space="preserve"> </w:t>
            </w:r>
            <w:r>
              <w:rPr>
                <w:snapToGrid w:val="0"/>
              </w:rPr>
              <w:t>5.2-70)</w:t>
            </w:r>
          </w:p>
          <w:p w14:paraId="58EA80F0" w14:textId="77777777" w:rsidR="00CF63C6" w:rsidRDefault="00CF63C6" w:rsidP="0060578C">
            <w:pPr>
              <w:pStyle w:val="Tabletext1"/>
              <w:rPr>
                <w:snapToGrid w:val="0"/>
              </w:rPr>
            </w:pPr>
            <w:r>
              <w:rPr>
                <w:snapToGrid w:val="0"/>
              </w:rPr>
              <w:t>NR</w:t>
            </w:r>
          </w:p>
          <w:p w14:paraId="37616D46" w14:textId="77777777" w:rsidR="00CF63C6" w:rsidRPr="008A23B2" w:rsidRDefault="00CF63C6" w:rsidP="0060578C">
            <w:pPr>
              <w:pStyle w:val="Tabletext1"/>
              <w:rPr>
                <w:snapToGrid w:val="0"/>
              </w:rPr>
            </w:pPr>
            <w:r>
              <w:rPr>
                <w:snapToGrid w:val="0"/>
              </w:rPr>
              <w:t>100%</w:t>
            </w:r>
          </w:p>
        </w:tc>
        <w:tc>
          <w:tcPr>
            <w:tcW w:w="1985" w:type="dxa"/>
          </w:tcPr>
          <w:p w14:paraId="2FA9FA76" w14:textId="77777777" w:rsidR="00214BDD" w:rsidRDefault="00D727F4" w:rsidP="0060578C">
            <w:pPr>
              <w:pStyle w:val="Tabletext1"/>
              <w:rPr>
                <w:snapToGrid w:val="0"/>
              </w:rPr>
            </w:pPr>
            <w:r>
              <w:rPr>
                <w:snapToGrid w:val="0"/>
              </w:rPr>
              <w:t>3.0T</w:t>
            </w:r>
          </w:p>
          <w:p w14:paraId="26FA4727" w14:textId="0FCEDBE4" w:rsidR="00D727F4" w:rsidRDefault="00D727F4" w:rsidP="0060578C">
            <w:pPr>
              <w:pStyle w:val="Tabletext1"/>
              <w:rPr>
                <w:snapToGrid w:val="0"/>
              </w:rPr>
            </w:pPr>
            <w:r>
              <w:rPr>
                <w:snapToGrid w:val="0"/>
              </w:rPr>
              <w:t>PPAC</w:t>
            </w:r>
          </w:p>
          <w:p w14:paraId="6A88652D" w14:textId="77777777" w:rsidR="00D727F4" w:rsidRDefault="00D727F4" w:rsidP="0060578C">
            <w:pPr>
              <w:pStyle w:val="Tabletext1"/>
              <w:rPr>
                <w:snapToGrid w:val="0"/>
              </w:rPr>
            </w:pPr>
            <w:r>
              <w:rPr>
                <w:snapToGrid w:val="0"/>
              </w:rPr>
              <w:t>G</w:t>
            </w:r>
            <w:r w:rsidRPr="00D727F4">
              <w:rPr>
                <w:snapToGrid w:val="0"/>
              </w:rPr>
              <w:t>adobutrol</w:t>
            </w:r>
          </w:p>
        </w:tc>
        <w:tc>
          <w:tcPr>
            <w:tcW w:w="0" w:type="auto"/>
            <w:shd w:val="clear" w:color="auto" w:fill="auto"/>
          </w:tcPr>
          <w:p w14:paraId="0D9E7087" w14:textId="77777777" w:rsidR="00214BDD" w:rsidRPr="008A23B2" w:rsidRDefault="00341AB6" w:rsidP="0060578C">
            <w:pPr>
              <w:pStyle w:val="Tabletext1"/>
              <w:rPr>
                <w:snapToGrid w:val="0"/>
              </w:rPr>
            </w:pPr>
            <w:r>
              <w:rPr>
                <w:snapToGrid w:val="0"/>
              </w:rPr>
              <w:t>TRUS/MRI FGB</w:t>
            </w:r>
          </w:p>
        </w:tc>
      </w:tr>
      <w:tr w:rsidR="00214BDD" w:rsidRPr="008A23B2" w14:paraId="455DC472" w14:textId="77777777" w:rsidTr="009142A9">
        <w:trPr>
          <w:cantSplit/>
          <w:trHeight w:val="397"/>
        </w:trPr>
        <w:tc>
          <w:tcPr>
            <w:tcW w:w="0" w:type="auto"/>
            <w:shd w:val="clear" w:color="auto" w:fill="auto"/>
          </w:tcPr>
          <w:p w14:paraId="145B9C2A" w14:textId="77777777" w:rsidR="00214BDD" w:rsidRDefault="00214BDD" w:rsidP="0060578C">
            <w:pPr>
              <w:pStyle w:val="Tabletext1"/>
              <w:rPr>
                <w:snapToGrid w:val="0"/>
              </w:rPr>
            </w:pPr>
            <w:r>
              <w:rPr>
                <w:snapToGrid w:val="0"/>
              </w:rPr>
              <w:t>Dikaios et al. (2015)</w:t>
            </w:r>
          </w:p>
          <w:p w14:paraId="1982A3FE" w14:textId="77777777" w:rsidR="00214BDD" w:rsidRDefault="00214BDD" w:rsidP="0060578C">
            <w:pPr>
              <w:pStyle w:val="Tabletext1"/>
              <w:rPr>
                <w:snapToGrid w:val="0"/>
              </w:rPr>
            </w:pPr>
            <w:r>
              <w:rPr>
                <w:snapToGrid w:val="0"/>
              </w:rPr>
              <w:t>UK</w:t>
            </w:r>
          </w:p>
          <w:p w14:paraId="43DA0B9C" w14:textId="77777777" w:rsidR="006E76D5" w:rsidRPr="008A23B2" w:rsidRDefault="006E76D5" w:rsidP="0060578C">
            <w:pPr>
              <w:pStyle w:val="Tabletext1"/>
              <w:rPr>
                <w:snapToGrid w:val="0"/>
              </w:rPr>
            </w:pPr>
            <w:r>
              <w:rPr>
                <w:snapToGrid w:val="0"/>
              </w:rPr>
              <w:t>Retrospective</w:t>
            </w:r>
          </w:p>
        </w:tc>
        <w:tc>
          <w:tcPr>
            <w:tcW w:w="0" w:type="auto"/>
            <w:shd w:val="clear" w:color="auto" w:fill="auto"/>
          </w:tcPr>
          <w:p w14:paraId="1EFC2C53" w14:textId="77777777" w:rsidR="00214BDD" w:rsidRDefault="00214BDD" w:rsidP="0060578C">
            <w:pPr>
              <w:pStyle w:val="Tabletext1"/>
              <w:rPr>
                <w:snapToGrid w:val="0"/>
              </w:rPr>
            </w:pPr>
            <w:r>
              <w:rPr>
                <w:snapToGrid w:val="0"/>
              </w:rPr>
              <w:t>85</w:t>
            </w:r>
          </w:p>
          <w:p w14:paraId="4B3D3F06" w14:textId="77777777" w:rsidR="00214BDD" w:rsidRDefault="00214BDD" w:rsidP="0060578C">
            <w:pPr>
              <w:pStyle w:val="Tabletext1"/>
              <w:rPr>
                <w:snapToGrid w:val="0"/>
              </w:rPr>
            </w:pPr>
            <w:r>
              <w:rPr>
                <w:snapToGrid w:val="0"/>
              </w:rPr>
              <w:t xml:space="preserve">Mean 63 </w:t>
            </w:r>
          </w:p>
          <w:p w14:paraId="07A79EFA" w14:textId="77777777" w:rsidR="00214BDD" w:rsidRPr="008A23B2" w:rsidRDefault="00214BDD" w:rsidP="0060578C">
            <w:pPr>
              <w:pStyle w:val="Tabletext1"/>
              <w:rPr>
                <w:snapToGrid w:val="0"/>
              </w:rPr>
            </w:pPr>
            <w:r>
              <w:rPr>
                <w:snapToGrid w:val="0"/>
              </w:rPr>
              <w:t>(range 45-77)</w:t>
            </w:r>
          </w:p>
        </w:tc>
        <w:tc>
          <w:tcPr>
            <w:tcW w:w="2579" w:type="dxa"/>
            <w:shd w:val="clear" w:color="auto" w:fill="auto"/>
          </w:tcPr>
          <w:p w14:paraId="448A8F79" w14:textId="77777777" w:rsidR="00FF6D5E" w:rsidRDefault="00FF6D5E" w:rsidP="0060578C">
            <w:pPr>
              <w:pStyle w:val="Tabletext1"/>
              <w:rPr>
                <w:snapToGrid w:val="0"/>
              </w:rPr>
            </w:pPr>
            <w:r>
              <w:rPr>
                <w:snapToGrid w:val="0"/>
              </w:rPr>
              <w:t>Concerning PSA and/or DRE</w:t>
            </w:r>
          </w:p>
          <w:p w14:paraId="12AEE6B5" w14:textId="77777777" w:rsidR="00214BDD" w:rsidRDefault="00C07FAC" w:rsidP="0060578C">
            <w:pPr>
              <w:pStyle w:val="Tabletext1"/>
              <w:rPr>
                <w:snapToGrid w:val="0"/>
              </w:rPr>
            </w:pPr>
            <w:r>
              <w:rPr>
                <w:snapToGrid w:val="0"/>
              </w:rPr>
              <w:t>Mean 8.39 (range 1</w:t>
            </w:r>
            <w:r w:rsidR="00214BDD">
              <w:rPr>
                <w:snapToGrid w:val="0"/>
              </w:rPr>
              <w:t>.2-</w:t>
            </w:r>
            <w:r>
              <w:rPr>
                <w:snapToGrid w:val="0"/>
              </w:rPr>
              <w:t>40</w:t>
            </w:r>
            <w:r w:rsidR="00214BDD">
              <w:rPr>
                <w:snapToGrid w:val="0"/>
              </w:rPr>
              <w:t>)</w:t>
            </w:r>
          </w:p>
          <w:p w14:paraId="5AD567BF" w14:textId="77777777" w:rsidR="00CF63C6" w:rsidRDefault="00CF63C6" w:rsidP="0060578C">
            <w:pPr>
              <w:pStyle w:val="Tabletext1"/>
              <w:rPr>
                <w:snapToGrid w:val="0"/>
              </w:rPr>
            </w:pPr>
            <w:r>
              <w:rPr>
                <w:snapToGrid w:val="0"/>
              </w:rPr>
              <w:t>NR</w:t>
            </w:r>
          </w:p>
          <w:p w14:paraId="47F9FADB" w14:textId="77777777" w:rsidR="00CF63C6" w:rsidRPr="008A23B2" w:rsidRDefault="00CF63C6" w:rsidP="0060578C">
            <w:pPr>
              <w:pStyle w:val="Tabletext1"/>
              <w:rPr>
                <w:snapToGrid w:val="0"/>
              </w:rPr>
            </w:pPr>
            <w:r>
              <w:rPr>
                <w:snapToGrid w:val="0"/>
              </w:rPr>
              <w:t>NR</w:t>
            </w:r>
          </w:p>
        </w:tc>
        <w:tc>
          <w:tcPr>
            <w:tcW w:w="1985" w:type="dxa"/>
          </w:tcPr>
          <w:p w14:paraId="5C196FAF" w14:textId="77777777" w:rsidR="00214BDD" w:rsidRDefault="00D727F4" w:rsidP="0060578C">
            <w:pPr>
              <w:pStyle w:val="Tabletext1"/>
              <w:rPr>
                <w:snapToGrid w:val="0"/>
              </w:rPr>
            </w:pPr>
            <w:r>
              <w:rPr>
                <w:snapToGrid w:val="0"/>
              </w:rPr>
              <w:t>1.5T</w:t>
            </w:r>
          </w:p>
          <w:p w14:paraId="56DE7B64" w14:textId="77777777" w:rsidR="00D727F4" w:rsidRDefault="00D727F4" w:rsidP="0060578C">
            <w:pPr>
              <w:pStyle w:val="Tabletext1"/>
              <w:rPr>
                <w:snapToGrid w:val="0"/>
              </w:rPr>
            </w:pPr>
            <w:r>
              <w:rPr>
                <w:snapToGrid w:val="0"/>
              </w:rPr>
              <w:t>PPAC</w:t>
            </w:r>
          </w:p>
          <w:p w14:paraId="30309DF8" w14:textId="77777777" w:rsidR="00D727F4" w:rsidRDefault="00B32D19" w:rsidP="0060578C">
            <w:pPr>
              <w:pStyle w:val="Tabletext1"/>
              <w:rPr>
                <w:snapToGrid w:val="0"/>
              </w:rPr>
            </w:pPr>
            <w:r>
              <w:rPr>
                <w:snapToGrid w:val="0"/>
              </w:rPr>
              <w:t>NR</w:t>
            </w:r>
          </w:p>
        </w:tc>
        <w:tc>
          <w:tcPr>
            <w:tcW w:w="0" w:type="auto"/>
            <w:shd w:val="clear" w:color="auto" w:fill="auto"/>
          </w:tcPr>
          <w:p w14:paraId="5429097C" w14:textId="77777777" w:rsidR="00214BDD" w:rsidRPr="008A23B2" w:rsidRDefault="00341AB6" w:rsidP="0060578C">
            <w:pPr>
              <w:pStyle w:val="Tabletext1"/>
              <w:rPr>
                <w:snapToGrid w:val="0"/>
              </w:rPr>
            </w:pPr>
            <w:r>
              <w:rPr>
                <w:snapToGrid w:val="0"/>
              </w:rPr>
              <w:t>Template</w:t>
            </w:r>
          </w:p>
        </w:tc>
      </w:tr>
      <w:tr w:rsidR="00214BDD" w:rsidRPr="008A23B2" w14:paraId="302EDFDF" w14:textId="77777777" w:rsidTr="009142A9">
        <w:trPr>
          <w:cantSplit/>
          <w:trHeight w:val="397"/>
        </w:trPr>
        <w:tc>
          <w:tcPr>
            <w:tcW w:w="0" w:type="auto"/>
            <w:shd w:val="clear" w:color="auto" w:fill="auto"/>
          </w:tcPr>
          <w:p w14:paraId="3946208E" w14:textId="77777777" w:rsidR="00214BDD" w:rsidRDefault="00214BDD" w:rsidP="0060578C">
            <w:pPr>
              <w:pStyle w:val="Tabletext1"/>
              <w:rPr>
                <w:snapToGrid w:val="0"/>
              </w:rPr>
            </w:pPr>
            <w:r w:rsidRPr="00802540">
              <w:rPr>
                <w:snapToGrid w:val="0"/>
              </w:rPr>
              <w:t xml:space="preserve">Jambor et al. (2014) </w:t>
            </w:r>
          </w:p>
          <w:p w14:paraId="525BCAF1" w14:textId="77777777" w:rsidR="00214BDD" w:rsidRDefault="00214BDD" w:rsidP="0060578C">
            <w:pPr>
              <w:pStyle w:val="Tabletext1"/>
              <w:rPr>
                <w:snapToGrid w:val="0"/>
              </w:rPr>
            </w:pPr>
            <w:r>
              <w:rPr>
                <w:snapToGrid w:val="0"/>
              </w:rPr>
              <w:t>Finland</w:t>
            </w:r>
          </w:p>
          <w:p w14:paraId="268553D9" w14:textId="77777777" w:rsidR="006E76D5" w:rsidRPr="008A23B2" w:rsidRDefault="006E76D5" w:rsidP="0060578C">
            <w:pPr>
              <w:pStyle w:val="Tabletext1"/>
              <w:rPr>
                <w:snapToGrid w:val="0"/>
              </w:rPr>
            </w:pPr>
            <w:r>
              <w:rPr>
                <w:snapToGrid w:val="0"/>
              </w:rPr>
              <w:t>Retrospective</w:t>
            </w:r>
          </w:p>
        </w:tc>
        <w:tc>
          <w:tcPr>
            <w:tcW w:w="0" w:type="auto"/>
            <w:shd w:val="clear" w:color="auto" w:fill="auto"/>
          </w:tcPr>
          <w:p w14:paraId="63EE6C91" w14:textId="77777777" w:rsidR="00214BDD" w:rsidRDefault="00214BDD" w:rsidP="0060578C">
            <w:pPr>
              <w:pStyle w:val="Tabletext1"/>
              <w:rPr>
                <w:snapToGrid w:val="0"/>
              </w:rPr>
            </w:pPr>
            <w:r>
              <w:rPr>
                <w:snapToGrid w:val="0"/>
              </w:rPr>
              <w:t>55</w:t>
            </w:r>
          </w:p>
          <w:p w14:paraId="4CC7F47B" w14:textId="77777777" w:rsidR="00214BDD" w:rsidRDefault="00214BDD" w:rsidP="0060578C">
            <w:pPr>
              <w:pStyle w:val="Tabletext1"/>
              <w:rPr>
                <w:snapToGrid w:val="0"/>
              </w:rPr>
            </w:pPr>
            <w:r>
              <w:rPr>
                <w:snapToGrid w:val="0"/>
              </w:rPr>
              <w:t xml:space="preserve">Median 66 </w:t>
            </w:r>
          </w:p>
          <w:p w14:paraId="2DFAEB8D" w14:textId="77777777" w:rsidR="00214BDD" w:rsidRPr="008A23B2" w:rsidRDefault="00214BDD" w:rsidP="0060578C">
            <w:pPr>
              <w:pStyle w:val="Tabletext1"/>
              <w:rPr>
                <w:snapToGrid w:val="0"/>
              </w:rPr>
            </w:pPr>
            <w:r>
              <w:rPr>
                <w:snapToGrid w:val="0"/>
              </w:rPr>
              <w:t>(range 47-76)</w:t>
            </w:r>
          </w:p>
        </w:tc>
        <w:tc>
          <w:tcPr>
            <w:tcW w:w="2579" w:type="dxa"/>
            <w:shd w:val="clear" w:color="auto" w:fill="auto"/>
          </w:tcPr>
          <w:p w14:paraId="0E2B4409" w14:textId="606D3D61" w:rsidR="00D612CA" w:rsidRPr="00BA4E34" w:rsidRDefault="00BA4E34" w:rsidP="0060578C">
            <w:pPr>
              <w:pStyle w:val="Tabletext1"/>
              <w:rPr>
                <w:snapToGrid w:val="0"/>
                <w:vertAlign w:val="superscript"/>
              </w:rPr>
            </w:pPr>
            <w:r>
              <w:rPr>
                <w:snapToGrid w:val="0"/>
              </w:rPr>
              <w:t xml:space="preserve">PSA </w:t>
            </w:r>
            <w:r w:rsidR="00D612CA" w:rsidRPr="00F175A8">
              <w:rPr>
                <w:snapToGrid w:val="0"/>
              </w:rPr>
              <w:t>&gt;4</w:t>
            </w:r>
            <w:r w:rsidRPr="00F175A8">
              <w:rPr>
                <w:snapToGrid w:val="0"/>
                <w:vertAlign w:val="superscript"/>
              </w:rPr>
              <w:t>c</w:t>
            </w:r>
          </w:p>
          <w:p w14:paraId="2CDDCF82" w14:textId="77777777" w:rsidR="00214BDD" w:rsidRDefault="00214BDD" w:rsidP="0060578C">
            <w:pPr>
              <w:pStyle w:val="Tabletext1"/>
              <w:rPr>
                <w:snapToGrid w:val="0"/>
              </w:rPr>
            </w:pPr>
            <w:r>
              <w:rPr>
                <w:snapToGrid w:val="0"/>
              </w:rPr>
              <w:t>Median 7.4 (range 4-14)</w:t>
            </w:r>
          </w:p>
          <w:p w14:paraId="546E7795" w14:textId="77777777" w:rsidR="00CF63C6" w:rsidRDefault="00CF63C6" w:rsidP="0060578C">
            <w:pPr>
              <w:pStyle w:val="Tabletext1"/>
              <w:rPr>
                <w:snapToGrid w:val="0"/>
              </w:rPr>
            </w:pPr>
            <w:r>
              <w:rPr>
                <w:snapToGrid w:val="0"/>
              </w:rPr>
              <w:t>NR</w:t>
            </w:r>
          </w:p>
          <w:p w14:paraId="2CEE624D" w14:textId="77777777" w:rsidR="00CF63C6" w:rsidRPr="008A23B2" w:rsidRDefault="00CF63C6" w:rsidP="0060578C">
            <w:pPr>
              <w:pStyle w:val="Tabletext1"/>
              <w:rPr>
                <w:snapToGrid w:val="0"/>
              </w:rPr>
            </w:pPr>
            <w:r>
              <w:rPr>
                <w:snapToGrid w:val="0"/>
              </w:rPr>
              <w:t>0%</w:t>
            </w:r>
          </w:p>
        </w:tc>
        <w:tc>
          <w:tcPr>
            <w:tcW w:w="1985" w:type="dxa"/>
          </w:tcPr>
          <w:p w14:paraId="503DEF46" w14:textId="77777777" w:rsidR="00214BDD" w:rsidRDefault="00D727F4" w:rsidP="0060578C">
            <w:pPr>
              <w:pStyle w:val="Tabletext1"/>
              <w:rPr>
                <w:snapToGrid w:val="0"/>
              </w:rPr>
            </w:pPr>
            <w:r>
              <w:rPr>
                <w:snapToGrid w:val="0"/>
              </w:rPr>
              <w:t>3.0T</w:t>
            </w:r>
          </w:p>
          <w:p w14:paraId="73113F52" w14:textId="77777777" w:rsidR="00D727F4" w:rsidRDefault="00D727F4" w:rsidP="0060578C">
            <w:pPr>
              <w:pStyle w:val="Tabletext1"/>
              <w:rPr>
                <w:snapToGrid w:val="0"/>
              </w:rPr>
            </w:pPr>
            <w:r>
              <w:rPr>
                <w:snapToGrid w:val="0"/>
              </w:rPr>
              <w:t>BAC + SAC</w:t>
            </w:r>
          </w:p>
          <w:p w14:paraId="77B72665" w14:textId="2F04B5C9" w:rsidR="00D727F4" w:rsidRDefault="00405BF0" w:rsidP="0060578C">
            <w:pPr>
              <w:pStyle w:val="Tabletext1"/>
              <w:rPr>
                <w:snapToGrid w:val="0"/>
              </w:rPr>
            </w:pPr>
            <w:r>
              <w:rPr>
                <w:snapToGrid w:val="0"/>
              </w:rPr>
              <w:t>G</w:t>
            </w:r>
            <w:r w:rsidRPr="00ED7420">
              <w:rPr>
                <w:snapToGrid w:val="0"/>
              </w:rPr>
              <w:t>adoterate meglumin</w:t>
            </w:r>
            <w:r w:rsidR="002E09E9">
              <w:rPr>
                <w:snapToGrid w:val="0"/>
              </w:rPr>
              <w:t xml:space="preserve">e </w:t>
            </w:r>
            <w:r w:rsidR="00D727F4">
              <w:rPr>
                <w:snapToGrid w:val="0"/>
              </w:rPr>
              <w:t xml:space="preserve">or </w:t>
            </w:r>
            <w:r>
              <w:rPr>
                <w:snapToGrid w:val="0"/>
              </w:rPr>
              <w:t>G</w:t>
            </w:r>
            <w:r w:rsidRPr="00D727F4">
              <w:rPr>
                <w:snapToGrid w:val="0"/>
              </w:rPr>
              <w:t>adobutrol</w:t>
            </w:r>
          </w:p>
        </w:tc>
        <w:tc>
          <w:tcPr>
            <w:tcW w:w="0" w:type="auto"/>
            <w:shd w:val="clear" w:color="auto" w:fill="auto"/>
          </w:tcPr>
          <w:p w14:paraId="4848E967" w14:textId="77777777" w:rsidR="00214BDD" w:rsidRPr="008A23B2" w:rsidRDefault="00341AB6" w:rsidP="0060578C">
            <w:pPr>
              <w:pStyle w:val="Tabletext1"/>
              <w:rPr>
                <w:snapToGrid w:val="0"/>
              </w:rPr>
            </w:pPr>
            <w:r>
              <w:rPr>
                <w:snapToGrid w:val="0"/>
              </w:rPr>
              <w:t>TRUS + C-MRIGB</w:t>
            </w:r>
          </w:p>
        </w:tc>
      </w:tr>
      <w:tr w:rsidR="00214BDD" w:rsidRPr="008A23B2" w14:paraId="22017902" w14:textId="77777777" w:rsidTr="009142A9">
        <w:trPr>
          <w:cantSplit/>
          <w:trHeight w:val="397"/>
        </w:trPr>
        <w:tc>
          <w:tcPr>
            <w:tcW w:w="0" w:type="auto"/>
            <w:shd w:val="clear" w:color="auto" w:fill="auto"/>
          </w:tcPr>
          <w:p w14:paraId="114F447B" w14:textId="797150A7" w:rsidR="00214BDD" w:rsidRDefault="00214BDD" w:rsidP="0060578C">
            <w:pPr>
              <w:pStyle w:val="Tabletext1"/>
              <w:rPr>
                <w:snapToGrid w:val="0"/>
              </w:rPr>
            </w:pPr>
            <w:r w:rsidRPr="00802540">
              <w:rPr>
                <w:snapToGrid w:val="0"/>
              </w:rPr>
              <w:t xml:space="preserve">Lista et al. </w:t>
            </w:r>
            <w:r w:rsidR="008E1CD1">
              <w:rPr>
                <w:snapToGrid w:val="0"/>
              </w:rPr>
              <w:t>(</w:t>
            </w:r>
            <w:r w:rsidRPr="00802540">
              <w:rPr>
                <w:snapToGrid w:val="0"/>
              </w:rPr>
              <w:t>2015</w:t>
            </w:r>
            <w:r w:rsidR="008E1CD1">
              <w:rPr>
                <w:snapToGrid w:val="0"/>
              </w:rPr>
              <w:t>)</w:t>
            </w:r>
            <w:r w:rsidRPr="00802540">
              <w:rPr>
                <w:snapToGrid w:val="0"/>
              </w:rPr>
              <w:t xml:space="preserve"> </w:t>
            </w:r>
          </w:p>
          <w:p w14:paraId="2902EDB0" w14:textId="77777777" w:rsidR="00214BDD" w:rsidRDefault="00214BDD" w:rsidP="0060578C">
            <w:pPr>
              <w:pStyle w:val="Tabletext1"/>
              <w:rPr>
                <w:snapToGrid w:val="0"/>
              </w:rPr>
            </w:pPr>
            <w:r>
              <w:rPr>
                <w:snapToGrid w:val="0"/>
              </w:rPr>
              <w:t>Spain</w:t>
            </w:r>
          </w:p>
          <w:p w14:paraId="70654BF5" w14:textId="77777777" w:rsidR="006E76D5" w:rsidRPr="008A23B2" w:rsidRDefault="006E76D5" w:rsidP="0060578C">
            <w:pPr>
              <w:pStyle w:val="Tabletext1"/>
              <w:rPr>
                <w:snapToGrid w:val="0"/>
              </w:rPr>
            </w:pPr>
            <w:r>
              <w:rPr>
                <w:snapToGrid w:val="0"/>
              </w:rPr>
              <w:t>Prospective</w:t>
            </w:r>
          </w:p>
        </w:tc>
        <w:tc>
          <w:tcPr>
            <w:tcW w:w="0" w:type="auto"/>
            <w:shd w:val="clear" w:color="auto" w:fill="auto"/>
          </w:tcPr>
          <w:p w14:paraId="791FD9BB" w14:textId="77777777" w:rsidR="00214BDD" w:rsidRDefault="00214BDD" w:rsidP="0060578C">
            <w:pPr>
              <w:pStyle w:val="Tabletext1"/>
              <w:rPr>
                <w:snapToGrid w:val="0"/>
              </w:rPr>
            </w:pPr>
            <w:r>
              <w:rPr>
                <w:snapToGrid w:val="0"/>
              </w:rPr>
              <w:t>150</w:t>
            </w:r>
          </w:p>
          <w:p w14:paraId="55F0D225" w14:textId="77777777" w:rsidR="00214BDD" w:rsidRDefault="00214BDD" w:rsidP="0060578C">
            <w:pPr>
              <w:pStyle w:val="Tabletext1"/>
              <w:rPr>
                <w:snapToGrid w:val="0"/>
              </w:rPr>
            </w:pPr>
            <w:r>
              <w:rPr>
                <w:snapToGrid w:val="0"/>
              </w:rPr>
              <w:t xml:space="preserve">Mean 66 </w:t>
            </w:r>
          </w:p>
          <w:p w14:paraId="12BAAEFC" w14:textId="77777777" w:rsidR="00214BDD" w:rsidRPr="008A23B2" w:rsidRDefault="00214BDD" w:rsidP="0060578C">
            <w:pPr>
              <w:pStyle w:val="Tabletext1"/>
              <w:rPr>
                <w:snapToGrid w:val="0"/>
              </w:rPr>
            </w:pPr>
            <w:r>
              <w:rPr>
                <w:snapToGrid w:val="0"/>
              </w:rPr>
              <w:t>(SD 5)</w:t>
            </w:r>
          </w:p>
        </w:tc>
        <w:tc>
          <w:tcPr>
            <w:tcW w:w="2579" w:type="dxa"/>
            <w:shd w:val="clear" w:color="auto" w:fill="auto"/>
          </w:tcPr>
          <w:p w14:paraId="1ED7AF59" w14:textId="77777777" w:rsidR="00035671" w:rsidRDefault="00035671" w:rsidP="0060578C">
            <w:pPr>
              <w:pStyle w:val="Tabletext1"/>
              <w:rPr>
                <w:snapToGrid w:val="0"/>
              </w:rPr>
            </w:pPr>
            <w:r>
              <w:rPr>
                <w:snapToGrid w:val="0"/>
              </w:rPr>
              <w:t>PSA &gt;4ng/ml</w:t>
            </w:r>
          </w:p>
          <w:p w14:paraId="536EACD7" w14:textId="77777777" w:rsidR="00214BDD" w:rsidRDefault="00214BDD" w:rsidP="0060578C">
            <w:pPr>
              <w:pStyle w:val="Tabletext1"/>
              <w:rPr>
                <w:snapToGrid w:val="0"/>
              </w:rPr>
            </w:pPr>
            <w:r>
              <w:rPr>
                <w:snapToGrid w:val="0"/>
              </w:rPr>
              <w:t>Mean 11.3 (</w:t>
            </w:r>
            <w:r w:rsidR="00035671">
              <w:rPr>
                <w:snapToGrid w:val="0"/>
              </w:rPr>
              <w:t>range 0.9-75</w:t>
            </w:r>
            <w:r>
              <w:rPr>
                <w:snapToGrid w:val="0"/>
              </w:rPr>
              <w:t>)</w:t>
            </w:r>
          </w:p>
          <w:p w14:paraId="57E9A732" w14:textId="77777777" w:rsidR="00CF63C6" w:rsidRDefault="00CF63C6" w:rsidP="0060578C">
            <w:pPr>
              <w:pStyle w:val="Tabletext1"/>
              <w:rPr>
                <w:snapToGrid w:val="0"/>
              </w:rPr>
            </w:pPr>
            <w:r>
              <w:rPr>
                <w:snapToGrid w:val="0"/>
              </w:rPr>
              <w:t>NR</w:t>
            </w:r>
          </w:p>
          <w:p w14:paraId="39C00301" w14:textId="77777777" w:rsidR="00CF63C6" w:rsidRPr="008A23B2" w:rsidRDefault="00CF63C6" w:rsidP="0060578C">
            <w:pPr>
              <w:pStyle w:val="Tabletext1"/>
              <w:rPr>
                <w:snapToGrid w:val="0"/>
              </w:rPr>
            </w:pPr>
            <w:r>
              <w:rPr>
                <w:snapToGrid w:val="0"/>
              </w:rPr>
              <w:t>100%</w:t>
            </w:r>
          </w:p>
        </w:tc>
        <w:tc>
          <w:tcPr>
            <w:tcW w:w="1985" w:type="dxa"/>
          </w:tcPr>
          <w:p w14:paraId="16400F0A" w14:textId="77777777" w:rsidR="00214BDD" w:rsidRDefault="00D727F4" w:rsidP="0060578C">
            <w:pPr>
              <w:pStyle w:val="Tabletext1"/>
              <w:rPr>
                <w:snapToGrid w:val="0"/>
              </w:rPr>
            </w:pPr>
            <w:r>
              <w:rPr>
                <w:snapToGrid w:val="0"/>
              </w:rPr>
              <w:t>1.5T</w:t>
            </w:r>
          </w:p>
          <w:p w14:paraId="328DA5A9" w14:textId="77777777" w:rsidR="00D727F4" w:rsidRDefault="00D727F4" w:rsidP="0060578C">
            <w:pPr>
              <w:pStyle w:val="Tabletext1"/>
              <w:rPr>
                <w:snapToGrid w:val="0"/>
              </w:rPr>
            </w:pPr>
            <w:r>
              <w:rPr>
                <w:snapToGrid w:val="0"/>
              </w:rPr>
              <w:t>ERC + pelvic antenna</w:t>
            </w:r>
          </w:p>
          <w:p w14:paraId="7F19129E" w14:textId="77777777" w:rsidR="00D727F4" w:rsidRDefault="00D727F4" w:rsidP="0060578C">
            <w:pPr>
              <w:pStyle w:val="Tabletext1"/>
              <w:rPr>
                <w:snapToGrid w:val="0"/>
              </w:rPr>
            </w:pPr>
            <w:r>
              <w:rPr>
                <w:snapToGrid w:val="0"/>
              </w:rPr>
              <w:t>NR</w:t>
            </w:r>
          </w:p>
        </w:tc>
        <w:tc>
          <w:tcPr>
            <w:tcW w:w="0" w:type="auto"/>
            <w:shd w:val="clear" w:color="auto" w:fill="auto"/>
          </w:tcPr>
          <w:p w14:paraId="7FEC2983" w14:textId="77777777" w:rsidR="00214BDD" w:rsidRPr="008A23B2" w:rsidRDefault="00341AB6" w:rsidP="0060578C">
            <w:pPr>
              <w:pStyle w:val="Tabletext1"/>
              <w:rPr>
                <w:snapToGrid w:val="0"/>
              </w:rPr>
            </w:pPr>
            <w:r>
              <w:rPr>
                <w:snapToGrid w:val="0"/>
              </w:rPr>
              <w:t>TRUSGB</w:t>
            </w:r>
          </w:p>
        </w:tc>
      </w:tr>
      <w:tr w:rsidR="00214BDD" w:rsidRPr="008A23B2" w14:paraId="370771B0" w14:textId="77777777" w:rsidTr="009142A9">
        <w:trPr>
          <w:cantSplit/>
          <w:trHeight w:val="397"/>
        </w:trPr>
        <w:tc>
          <w:tcPr>
            <w:tcW w:w="0" w:type="auto"/>
            <w:shd w:val="clear" w:color="auto" w:fill="auto"/>
          </w:tcPr>
          <w:p w14:paraId="2D8C034A" w14:textId="77777777" w:rsidR="00214BDD" w:rsidRPr="00802540" w:rsidRDefault="00214BDD" w:rsidP="0060578C">
            <w:pPr>
              <w:pStyle w:val="Tabletext1"/>
              <w:rPr>
                <w:snapToGrid w:val="0"/>
              </w:rPr>
            </w:pPr>
            <w:r w:rsidRPr="00802540">
              <w:rPr>
                <w:snapToGrid w:val="0"/>
              </w:rPr>
              <w:t>Pokorny et al. (2014)</w:t>
            </w:r>
          </w:p>
          <w:p w14:paraId="6F67053F" w14:textId="77777777" w:rsidR="00214BDD" w:rsidRDefault="00214BDD" w:rsidP="0060578C">
            <w:pPr>
              <w:pStyle w:val="Tabletext1"/>
              <w:rPr>
                <w:snapToGrid w:val="0"/>
              </w:rPr>
            </w:pPr>
            <w:r>
              <w:rPr>
                <w:snapToGrid w:val="0"/>
              </w:rPr>
              <w:t>Australia</w:t>
            </w:r>
          </w:p>
          <w:p w14:paraId="5E413A25" w14:textId="77777777" w:rsidR="006E76D5" w:rsidRPr="008A23B2" w:rsidRDefault="006E76D5" w:rsidP="0060578C">
            <w:pPr>
              <w:pStyle w:val="Tabletext1"/>
              <w:rPr>
                <w:snapToGrid w:val="0"/>
              </w:rPr>
            </w:pPr>
            <w:r>
              <w:rPr>
                <w:snapToGrid w:val="0"/>
              </w:rPr>
              <w:t>Prospective</w:t>
            </w:r>
          </w:p>
        </w:tc>
        <w:tc>
          <w:tcPr>
            <w:tcW w:w="0" w:type="auto"/>
            <w:shd w:val="clear" w:color="auto" w:fill="auto"/>
          </w:tcPr>
          <w:p w14:paraId="07608BD1" w14:textId="77777777" w:rsidR="00214BDD" w:rsidRDefault="00214BDD" w:rsidP="0060578C">
            <w:pPr>
              <w:pStyle w:val="Tabletext1"/>
              <w:rPr>
                <w:snapToGrid w:val="0"/>
                <w:vertAlign w:val="superscript"/>
              </w:rPr>
            </w:pPr>
            <w:r>
              <w:rPr>
                <w:snapToGrid w:val="0"/>
              </w:rPr>
              <w:t>226</w:t>
            </w:r>
            <w:r>
              <w:rPr>
                <w:snapToGrid w:val="0"/>
                <w:vertAlign w:val="superscript"/>
              </w:rPr>
              <w:t>a</w:t>
            </w:r>
          </w:p>
          <w:p w14:paraId="1DE07365" w14:textId="77777777" w:rsidR="00214BDD" w:rsidRDefault="00214BDD" w:rsidP="0060578C">
            <w:pPr>
              <w:pStyle w:val="Tabletext1"/>
              <w:rPr>
                <w:snapToGrid w:val="0"/>
              </w:rPr>
            </w:pPr>
            <w:r w:rsidRPr="008E5171">
              <w:rPr>
                <w:snapToGrid w:val="0"/>
              </w:rPr>
              <w:t xml:space="preserve">Median 63 </w:t>
            </w:r>
          </w:p>
          <w:p w14:paraId="46B7B272" w14:textId="77777777" w:rsidR="00214BDD" w:rsidRPr="008E5171" w:rsidRDefault="00214BDD" w:rsidP="0060578C">
            <w:pPr>
              <w:pStyle w:val="Tabletext1"/>
              <w:rPr>
                <w:snapToGrid w:val="0"/>
              </w:rPr>
            </w:pPr>
            <w:r w:rsidRPr="008E5171">
              <w:rPr>
                <w:snapToGrid w:val="0"/>
              </w:rPr>
              <w:t>(IQR 57-68)</w:t>
            </w:r>
          </w:p>
        </w:tc>
        <w:tc>
          <w:tcPr>
            <w:tcW w:w="2579" w:type="dxa"/>
            <w:shd w:val="clear" w:color="auto" w:fill="auto"/>
          </w:tcPr>
          <w:p w14:paraId="1045A791" w14:textId="77777777" w:rsidR="00506AD7" w:rsidRDefault="00506AD7" w:rsidP="0060578C">
            <w:pPr>
              <w:pStyle w:val="Tabletext1"/>
              <w:rPr>
                <w:snapToGrid w:val="0"/>
              </w:rPr>
            </w:pPr>
            <w:r>
              <w:rPr>
                <w:snapToGrid w:val="0"/>
              </w:rPr>
              <w:t>Concerning PSA and/or DRE</w:t>
            </w:r>
          </w:p>
          <w:p w14:paraId="5B3A2B95" w14:textId="77777777" w:rsidR="00214BDD" w:rsidRDefault="00214BDD" w:rsidP="0060578C">
            <w:pPr>
              <w:pStyle w:val="Tabletext1"/>
              <w:rPr>
                <w:snapToGrid w:val="0"/>
              </w:rPr>
            </w:pPr>
            <w:r>
              <w:rPr>
                <w:snapToGrid w:val="0"/>
              </w:rPr>
              <w:t>Median 5.3 (IQR 4.1-6.6)</w:t>
            </w:r>
          </w:p>
          <w:p w14:paraId="61A6DF06" w14:textId="77777777" w:rsidR="00CF63C6" w:rsidRDefault="00CF63C6" w:rsidP="0060578C">
            <w:pPr>
              <w:pStyle w:val="Tabletext1"/>
              <w:rPr>
                <w:snapToGrid w:val="0"/>
              </w:rPr>
            </w:pPr>
            <w:r>
              <w:rPr>
                <w:snapToGrid w:val="0"/>
              </w:rPr>
              <w:t>NR</w:t>
            </w:r>
          </w:p>
          <w:p w14:paraId="59C6D899" w14:textId="77777777" w:rsidR="00CF63C6" w:rsidRPr="008A23B2" w:rsidRDefault="00CF63C6" w:rsidP="0060578C">
            <w:pPr>
              <w:pStyle w:val="Tabletext1"/>
              <w:rPr>
                <w:snapToGrid w:val="0"/>
              </w:rPr>
            </w:pPr>
            <w:r>
              <w:rPr>
                <w:snapToGrid w:val="0"/>
              </w:rPr>
              <w:t>NR</w:t>
            </w:r>
          </w:p>
        </w:tc>
        <w:tc>
          <w:tcPr>
            <w:tcW w:w="1985" w:type="dxa"/>
          </w:tcPr>
          <w:p w14:paraId="3C70433E" w14:textId="77777777" w:rsidR="00214BDD" w:rsidRDefault="00D727F4" w:rsidP="0060578C">
            <w:pPr>
              <w:pStyle w:val="Tabletext1"/>
              <w:rPr>
                <w:snapToGrid w:val="0"/>
              </w:rPr>
            </w:pPr>
            <w:r>
              <w:rPr>
                <w:snapToGrid w:val="0"/>
              </w:rPr>
              <w:t>3.0T</w:t>
            </w:r>
          </w:p>
          <w:p w14:paraId="39D07D50" w14:textId="77777777" w:rsidR="00D727F4" w:rsidRDefault="00D727F4" w:rsidP="0060578C">
            <w:pPr>
              <w:pStyle w:val="Tabletext1"/>
              <w:rPr>
                <w:snapToGrid w:val="0"/>
              </w:rPr>
            </w:pPr>
            <w:r>
              <w:rPr>
                <w:snapToGrid w:val="0"/>
              </w:rPr>
              <w:t>NR (no ERC)</w:t>
            </w:r>
          </w:p>
          <w:p w14:paraId="0E642D19" w14:textId="77777777" w:rsidR="00D727F4" w:rsidRDefault="00D727F4" w:rsidP="0060578C">
            <w:pPr>
              <w:pStyle w:val="Tabletext1"/>
              <w:rPr>
                <w:snapToGrid w:val="0"/>
              </w:rPr>
            </w:pPr>
            <w:r>
              <w:rPr>
                <w:snapToGrid w:val="0"/>
              </w:rPr>
              <w:t>NR</w:t>
            </w:r>
          </w:p>
        </w:tc>
        <w:tc>
          <w:tcPr>
            <w:tcW w:w="0" w:type="auto"/>
            <w:shd w:val="clear" w:color="auto" w:fill="auto"/>
          </w:tcPr>
          <w:p w14:paraId="3422D30D" w14:textId="77777777" w:rsidR="00214BDD" w:rsidRPr="008A23B2" w:rsidRDefault="00131915" w:rsidP="0060578C">
            <w:pPr>
              <w:pStyle w:val="Tabletext1"/>
              <w:rPr>
                <w:snapToGrid w:val="0"/>
              </w:rPr>
            </w:pPr>
            <w:r>
              <w:rPr>
                <w:snapToGrid w:val="0"/>
              </w:rPr>
              <w:t>TRUSGB</w:t>
            </w:r>
          </w:p>
        </w:tc>
      </w:tr>
      <w:tr w:rsidR="00214BDD" w:rsidRPr="008A23B2" w14:paraId="4FADB883" w14:textId="77777777" w:rsidTr="009142A9">
        <w:trPr>
          <w:cantSplit/>
          <w:trHeight w:val="397"/>
        </w:trPr>
        <w:tc>
          <w:tcPr>
            <w:tcW w:w="0" w:type="auto"/>
            <w:shd w:val="clear" w:color="auto" w:fill="auto"/>
          </w:tcPr>
          <w:p w14:paraId="33A15038" w14:textId="77777777" w:rsidR="00214BDD" w:rsidRDefault="00214BDD" w:rsidP="0060578C">
            <w:pPr>
              <w:pStyle w:val="Tabletext1"/>
              <w:rPr>
                <w:snapToGrid w:val="0"/>
              </w:rPr>
            </w:pPr>
            <w:r>
              <w:rPr>
                <w:snapToGrid w:val="0"/>
              </w:rPr>
              <w:t>Thompson et al. (2014) Australia</w:t>
            </w:r>
          </w:p>
          <w:p w14:paraId="4E8F41AB" w14:textId="77777777" w:rsidR="006E76D5" w:rsidRPr="008A23B2" w:rsidRDefault="006E76D5" w:rsidP="0060578C">
            <w:pPr>
              <w:pStyle w:val="Tabletext1"/>
              <w:rPr>
                <w:snapToGrid w:val="0"/>
              </w:rPr>
            </w:pPr>
            <w:r>
              <w:rPr>
                <w:snapToGrid w:val="0"/>
              </w:rPr>
              <w:t>Prospective</w:t>
            </w:r>
          </w:p>
        </w:tc>
        <w:tc>
          <w:tcPr>
            <w:tcW w:w="0" w:type="auto"/>
            <w:shd w:val="clear" w:color="auto" w:fill="auto"/>
          </w:tcPr>
          <w:p w14:paraId="68D72857" w14:textId="77777777" w:rsidR="00214BDD" w:rsidRDefault="00214BDD" w:rsidP="0060578C">
            <w:pPr>
              <w:pStyle w:val="Tabletext1"/>
              <w:rPr>
                <w:snapToGrid w:val="0"/>
              </w:rPr>
            </w:pPr>
            <w:r>
              <w:rPr>
                <w:snapToGrid w:val="0"/>
              </w:rPr>
              <w:t>150</w:t>
            </w:r>
          </w:p>
          <w:p w14:paraId="21338F0A" w14:textId="77777777" w:rsidR="00214BDD" w:rsidRDefault="00214BDD" w:rsidP="0060578C">
            <w:pPr>
              <w:pStyle w:val="Tabletext1"/>
              <w:rPr>
                <w:snapToGrid w:val="0"/>
              </w:rPr>
            </w:pPr>
            <w:r>
              <w:rPr>
                <w:snapToGrid w:val="0"/>
              </w:rPr>
              <w:t xml:space="preserve">Median 62.4 </w:t>
            </w:r>
          </w:p>
          <w:p w14:paraId="520328A8" w14:textId="77777777" w:rsidR="00214BDD" w:rsidRPr="008A23B2" w:rsidRDefault="00214BDD" w:rsidP="0060578C">
            <w:pPr>
              <w:pStyle w:val="Tabletext1"/>
              <w:rPr>
                <w:snapToGrid w:val="0"/>
              </w:rPr>
            </w:pPr>
            <w:r>
              <w:rPr>
                <w:snapToGrid w:val="0"/>
              </w:rPr>
              <w:t>(IQR 55-66.4)</w:t>
            </w:r>
          </w:p>
        </w:tc>
        <w:tc>
          <w:tcPr>
            <w:tcW w:w="2579" w:type="dxa"/>
            <w:shd w:val="clear" w:color="auto" w:fill="auto"/>
          </w:tcPr>
          <w:p w14:paraId="5E3B8D72" w14:textId="77777777" w:rsidR="00506AD7" w:rsidRDefault="00506AD7" w:rsidP="0060578C">
            <w:pPr>
              <w:pStyle w:val="Tabletext1"/>
              <w:rPr>
                <w:snapToGrid w:val="0"/>
              </w:rPr>
            </w:pPr>
            <w:r>
              <w:rPr>
                <w:snapToGrid w:val="0"/>
              </w:rPr>
              <w:t>Concerning PSA and/or DRE</w:t>
            </w:r>
          </w:p>
          <w:p w14:paraId="2DAE3524" w14:textId="77777777" w:rsidR="00214BDD" w:rsidRDefault="00395143" w:rsidP="0060578C">
            <w:pPr>
              <w:pStyle w:val="Tabletext1"/>
              <w:rPr>
                <w:snapToGrid w:val="0"/>
              </w:rPr>
            </w:pPr>
            <w:r>
              <w:rPr>
                <w:snapToGrid w:val="0"/>
              </w:rPr>
              <w:t>Median 5.6 (IQR 4.5-7.5)</w:t>
            </w:r>
          </w:p>
          <w:p w14:paraId="0F39810B" w14:textId="77777777" w:rsidR="00CF63C6" w:rsidRDefault="00CF63C6" w:rsidP="0060578C">
            <w:pPr>
              <w:pStyle w:val="Tabletext1"/>
              <w:rPr>
                <w:snapToGrid w:val="0"/>
              </w:rPr>
            </w:pPr>
            <w:r>
              <w:rPr>
                <w:snapToGrid w:val="0"/>
              </w:rPr>
              <w:t>NR</w:t>
            </w:r>
          </w:p>
          <w:p w14:paraId="2C184A1B" w14:textId="77777777" w:rsidR="00CF63C6" w:rsidRPr="008A23B2" w:rsidRDefault="00CF63C6" w:rsidP="0060578C">
            <w:pPr>
              <w:pStyle w:val="Tabletext1"/>
              <w:rPr>
                <w:snapToGrid w:val="0"/>
              </w:rPr>
            </w:pPr>
            <w:r>
              <w:rPr>
                <w:snapToGrid w:val="0"/>
              </w:rPr>
              <w:t>NR</w:t>
            </w:r>
          </w:p>
        </w:tc>
        <w:tc>
          <w:tcPr>
            <w:tcW w:w="1985" w:type="dxa"/>
          </w:tcPr>
          <w:p w14:paraId="3ADFAFBF" w14:textId="77777777" w:rsidR="00D727F4" w:rsidRDefault="00D727F4" w:rsidP="0060578C">
            <w:pPr>
              <w:pStyle w:val="Tabletext1"/>
              <w:rPr>
                <w:snapToGrid w:val="0"/>
              </w:rPr>
            </w:pPr>
            <w:r>
              <w:rPr>
                <w:snapToGrid w:val="0"/>
              </w:rPr>
              <w:t>1.5 or 3.0T</w:t>
            </w:r>
          </w:p>
          <w:p w14:paraId="3266063C" w14:textId="77777777" w:rsidR="00214BDD" w:rsidRDefault="00D727F4" w:rsidP="0060578C">
            <w:pPr>
              <w:pStyle w:val="Tabletext1"/>
              <w:rPr>
                <w:snapToGrid w:val="0"/>
              </w:rPr>
            </w:pPr>
            <w:r>
              <w:rPr>
                <w:snapToGrid w:val="0"/>
              </w:rPr>
              <w:t>NR (no ERC)</w:t>
            </w:r>
          </w:p>
          <w:p w14:paraId="0F09E917" w14:textId="77777777" w:rsidR="00D727F4" w:rsidRDefault="00405BF0" w:rsidP="0060578C">
            <w:pPr>
              <w:pStyle w:val="Tabletext1"/>
              <w:rPr>
                <w:snapToGrid w:val="0"/>
              </w:rPr>
            </w:pPr>
            <w:r>
              <w:rPr>
                <w:snapToGrid w:val="0"/>
              </w:rPr>
              <w:t>Ga</w:t>
            </w:r>
            <w:r w:rsidR="00D727F4">
              <w:rPr>
                <w:snapToGrid w:val="0"/>
              </w:rPr>
              <w:t>dopentetic acid</w:t>
            </w:r>
          </w:p>
        </w:tc>
        <w:tc>
          <w:tcPr>
            <w:tcW w:w="0" w:type="auto"/>
            <w:shd w:val="clear" w:color="auto" w:fill="auto"/>
          </w:tcPr>
          <w:p w14:paraId="0A3FE12A" w14:textId="77777777" w:rsidR="00214BDD" w:rsidRPr="008A23B2" w:rsidRDefault="00F77793" w:rsidP="0060578C">
            <w:pPr>
              <w:pStyle w:val="Tabletext1"/>
              <w:rPr>
                <w:snapToGrid w:val="0"/>
              </w:rPr>
            </w:pPr>
            <w:r>
              <w:rPr>
                <w:snapToGrid w:val="0"/>
              </w:rPr>
              <w:t>TRUS + C-MRIGB</w:t>
            </w:r>
          </w:p>
        </w:tc>
      </w:tr>
      <w:tr w:rsidR="00214BDD" w:rsidRPr="008A23B2" w14:paraId="3D4C0E39" w14:textId="77777777" w:rsidTr="009142A9">
        <w:trPr>
          <w:cantSplit/>
          <w:trHeight w:val="397"/>
        </w:trPr>
        <w:tc>
          <w:tcPr>
            <w:tcW w:w="0" w:type="auto"/>
            <w:shd w:val="clear" w:color="auto" w:fill="auto"/>
          </w:tcPr>
          <w:p w14:paraId="17CEEC07" w14:textId="57749754" w:rsidR="008E1CD1" w:rsidRDefault="00214BDD" w:rsidP="0060578C">
            <w:pPr>
              <w:pStyle w:val="Tabletext1"/>
              <w:rPr>
                <w:snapToGrid w:val="0"/>
              </w:rPr>
            </w:pPr>
            <w:r w:rsidRPr="00802540">
              <w:rPr>
                <w:snapToGrid w:val="0"/>
              </w:rPr>
              <w:lastRenderedPageBreak/>
              <w:t xml:space="preserve">Thompson et al. </w:t>
            </w:r>
            <w:r w:rsidR="008E1CD1">
              <w:rPr>
                <w:snapToGrid w:val="0"/>
              </w:rPr>
              <w:t>(</w:t>
            </w:r>
            <w:r w:rsidRPr="00802540">
              <w:rPr>
                <w:snapToGrid w:val="0"/>
              </w:rPr>
              <w:t>2016</w:t>
            </w:r>
            <w:r w:rsidR="008E1CD1">
              <w:rPr>
                <w:snapToGrid w:val="0"/>
              </w:rPr>
              <w:t>)</w:t>
            </w:r>
          </w:p>
          <w:p w14:paraId="568C5287" w14:textId="065619ED" w:rsidR="00214BDD" w:rsidRDefault="00214BDD" w:rsidP="0060578C">
            <w:pPr>
              <w:pStyle w:val="Tabletext1"/>
              <w:rPr>
                <w:snapToGrid w:val="0"/>
              </w:rPr>
            </w:pPr>
            <w:r>
              <w:rPr>
                <w:snapToGrid w:val="0"/>
              </w:rPr>
              <w:t>Australia</w:t>
            </w:r>
          </w:p>
          <w:p w14:paraId="6046F62F" w14:textId="65C9A4D6" w:rsidR="006E76D5" w:rsidRPr="008A23B2" w:rsidRDefault="00756215" w:rsidP="0060578C">
            <w:pPr>
              <w:pStyle w:val="Tabletext1"/>
              <w:rPr>
                <w:snapToGrid w:val="0"/>
              </w:rPr>
            </w:pPr>
            <w:r>
              <w:rPr>
                <w:snapToGrid w:val="0"/>
              </w:rPr>
              <w:t>Prospective</w:t>
            </w:r>
          </w:p>
        </w:tc>
        <w:tc>
          <w:tcPr>
            <w:tcW w:w="0" w:type="auto"/>
            <w:shd w:val="clear" w:color="auto" w:fill="auto"/>
          </w:tcPr>
          <w:p w14:paraId="1D5F4D8E" w14:textId="77777777" w:rsidR="00214BDD" w:rsidRDefault="00214BDD" w:rsidP="0060578C">
            <w:pPr>
              <w:pStyle w:val="Tabletext1"/>
              <w:rPr>
                <w:snapToGrid w:val="0"/>
              </w:rPr>
            </w:pPr>
            <w:r>
              <w:rPr>
                <w:snapToGrid w:val="0"/>
              </w:rPr>
              <w:t>344</w:t>
            </w:r>
          </w:p>
          <w:p w14:paraId="6C2F0A50" w14:textId="77777777" w:rsidR="00214BDD" w:rsidRDefault="00214BDD" w:rsidP="0060578C">
            <w:pPr>
              <w:pStyle w:val="Tabletext1"/>
              <w:rPr>
                <w:snapToGrid w:val="0"/>
              </w:rPr>
            </w:pPr>
            <w:r>
              <w:rPr>
                <w:snapToGrid w:val="0"/>
              </w:rPr>
              <w:t xml:space="preserve">Median 62.9 </w:t>
            </w:r>
          </w:p>
          <w:p w14:paraId="63AB9513" w14:textId="77777777" w:rsidR="00214BDD" w:rsidRPr="008A23B2" w:rsidRDefault="00214BDD" w:rsidP="0060578C">
            <w:pPr>
              <w:pStyle w:val="Tabletext1"/>
              <w:rPr>
                <w:snapToGrid w:val="0"/>
              </w:rPr>
            </w:pPr>
            <w:r>
              <w:rPr>
                <w:snapToGrid w:val="0"/>
              </w:rPr>
              <w:t>(IQR 55.9-67.1)</w:t>
            </w:r>
          </w:p>
        </w:tc>
        <w:tc>
          <w:tcPr>
            <w:tcW w:w="2579" w:type="dxa"/>
            <w:shd w:val="clear" w:color="auto" w:fill="auto"/>
          </w:tcPr>
          <w:p w14:paraId="4882D70A" w14:textId="77777777" w:rsidR="00506AD7" w:rsidRDefault="00506AD7" w:rsidP="0060578C">
            <w:pPr>
              <w:pStyle w:val="Tabletext1"/>
              <w:rPr>
                <w:snapToGrid w:val="0"/>
              </w:rPr>
            </w:pPr>
            <w:r>
              <w:rPr>
                <w:snapToGrid w:val="0"/>
              </w:rPr>
              <w:t>Concerning PSA and/or DRE</w:t>
            </w:r>
          </w:p>
          <w:p w14:paraId="5E806C01" w14:textId="77777777" w:rsidR="00214BDD" w:rsidRDefault="00395143" w:rsidP="0060578C">
            <w:pPr>
              <w:pStyle w:val="Tabletext1"/>
              <w:rPr>
                <w:snapToGrid w:val="0"/>
              </w:rPr>
            </w:pPr>
            <w:r>
              <w:rPr>
                <w:snapToGrid w:val="0"/>
              </w:rPr>
              <w:t>Median 5.2 (IQR 3.7-7.1)</w:t>
            </w:r>
          </w:p>
          <w:p w14:paraId="7FBC463D" w14:textId="77777777" w:rsidR="00CF63C6" w:rsidRDefault="00CF63C6" w:rsidP="0060578C">
            <w:pPr>
              <w:pStyle w:val="Tabletext1"/>
              <w:rPr>
                <w:snapToGrid w:val="0"/>
              </w:rPr>
            </w:pPr>
            <w:r>
              <w:rPr>
                <w:snapToGrid w:val="0"/>
              </w:rPr>
              <w:t>NR</w:t>
            </w:r>
          </w:p>
          <w:p w14:paraId="74DF973B" w14:textId="77777777" w:rsidR="00CF63C6" w:rsidRPr="008A23B2" w:rsidRDefault="00CF63C6" w:rsidP="0060578C">
            <w:pPr>
              <w:pStyle w:val="Tabletext1"/>
              <w:rPr>
                <w:snapToGrid w:val="0"/>
              </w:rPr>
            </w:pPr>
            <w:r>
              <w:rPr>
                <w:snapToGrid w:val="0"/>
              </w:rPr>
              <w:t>0%</w:t>
            </w:r>
          </w:p>
        </w:tc>
        <w:tc>
          <w:tcPr>
            <w:tcW w:w="1985" w:type="dxa"/>
          </w:tcPr>
          <w:p w14:paraId="40B9A30D" w14:textId="77777777" w:rsidR="00D727F4" w:rsidRDefault="00D727F4" w:rsidP="0060578C">
            <w:pPr>
              <w:pStyle w:val="Tabletext1"/>
              <w:rPr>
                <w:snapToGrid w:val="0"/>
              </w:rPr>
            </w:pPr>
            <w:r>
              <w:rPr>
                <w:snapToGrid w:val="0"/>
              </w:rPr>
              <w:t>1.5 or 3.0T</w:t>
            </w:r>
          </w:p>
          <w:p w14:paraId="2CB103DD" w14:textId="77777777" w:rsidR="00D727F4" w:rsidRDefault="00D727F4" w:rsidP="0060578C">
            <w:pPr>
              <w:pStyle w:val="Tabletext1"/>
              <w:rPr>
                <w:snapToGrid w:val="0"/>
              </w:rPr>
            </w:pPr>
            <w:r>
              <w:rPr>
                <w:snapToGrid w:val="0"/>
              </w:rPr>
              <w:t>NR (no ERC)</w:t>
            </w:r>
          </w:p>
          <w:p w14:paraId="1DEDFC78" w14:textId="77777777" w:rsidR="00214BDD" w:rsidRDefault="00405BF0" w:rsidP="0060578C">
            <w:pPr>
              <w:pStyle w:val="Tabletext1"/>
              <w:rPr>
                <w:snapToGrid w:val="0"/>
              </w:rPr>
            </w:pPr>
            <w:r>
              <w:rPr>
                <w:snapToGrid w:val="0"/>
              </w:rPr>
              <w:t>Ga</w:t>
            </w:r>
            <w:r w:rsidR="00D727F4">
              <w:rPr>
                <w:snapToGrid w:val="0"/>
              </w:rPr>
              <w:t>dopentetic acid</w:t>
            </w:r>
          </w:p>
        </w:tc>
        <w:tc>
          <w:tcPr>
            <w:tcW w:w="0" w:type="auto"/>
            <w:shd w:val="clear" w:color="auto" w:fill="auto"/>
          </w:tcPr>
          <w:p w14:paraId="4DFB5080" w14:textId="77777777" w:rsidR="00214BDD" w:rsidRPr="008A23B2" w:rsidRDefault="00F77793" w:rsidP="0060578C">
            <w:pPr>
              <w:pStyle w:val="Tabletext1"/>
              <w:rPr>
                <w:snapToGrid w:val="0"/>
              </w:rPr>
            </w:pPr>
            <w:r>
              <w:rPr>
                <w:snapToGrid w:val="0"/>
              </w:rPr>
              <w:t>TRUS + C-MRIGB</w:t>
            </w:r>
          </w:p>
        </w:tc>
      </w:tr>
      <w:tr w:rsidR="00214BDD" w:rsidRPr="008A23B2" w14:paraId="6005A025" w14:textId="77777777" w:rsidTr="009142A9">
        <w:trPr>
          <w:cantSplit/>
          <w:trHeight w:val="397"/>
        </w:trPr>
        <w:tc>
          <w:tcPr>
            <w:tcW w:w="0" w:type="auto"/>
            <w:shd w:val="clear" w:color="auto" w:fill="auto"/>
          </w:tcPr>
          <w:p w14:paraId="29CA84BD" w14:textId="77777777" w:rsidR="00214BDD" w:rsidRDefault="00214BDD" w:rsidP="0060578C">
            <w:pPr>
              <w:pStyle w:val="Tabletext1"/>
              <w:rPr>
                <w:snapToGrid w:val="0"/>
              </w:rPr>
            </w:pPr>
            <w:r w:rsidRPr="00802540">
              <w:rPr>
                <w:snapToGrid w:val="0"/>
              </w:rPr>
              <w:t xml:space="preserve">Wang et al. (2015) </w:t>
            </w:r>
          </w:p>
          <w:p w14:paraId="59530CF1" w14:textId="77777777" w:rsidR="00214BDD" w:rsidRDefault="00214BDD" w:rsidP="0060578C">
            <w:pPr>
              <w:pStyle w:val="Tabletext1"/>
              <w:rPr>
                <w:snapToGrid w:val="0"/>
              </w:rPr>
            </w:pPr>
            <w:r>
              <w:rPr>
                <w:snapToGrid w:val="0"/>
              </w:rPr>
              <w:t>China</w:t>
            </w:r>
          </w:p>
          <w:p w14:paraId="622461ED" w14:textId="77777777" w:rsidR="006E76D5" w:rsidRPr="008A23B2" w:rsidRDefault="006E76D5" w:rsidP="0060578C">
            <w:pPr>
              <w:pStyle w:val="Tabletext1"/>
              <w:rPr>
                <w:snapToGrid w:val="0"/>
              </w:rPr>
            </w:pPr>
            <w:r>
              <w:rPr>
                <w:snapToGrid w:val="0"/>
              </w:rPr>
              <w:t>NR</w:t>
            </w:r>
          </w:p>
        </w:tc>
        <w:tc>
          <w:tcPr>
            <w:tcW w:w="0" w:type="auto"/>
            <w:shd w:val="clear" w:color="auto" w:fill="auto"/>
          </w:tcPr>
          <w:p w14:paraId="28CD9BEA" w14:textId="77777777" w:rsidR="00214BDD" w:rsidRPr="00395143" w:rsidRDefault="00214BDD" w:rsidP="0060578C">
            <w:pPr>
              <w:pStyle w:val="Tabletext1"/>
              <w:rPr>
                <w:snapToGrid w:val="0"/>
                <w:vertAlign w:val="superscript"/>
              </w:rPr>
            </w:pPr>
            <w:r>
              <w:rPr>
                <w:snapToGrid w:val="0"/>
              </w:rPr>
              <w:t>586</w:t>
            </w:r>
            <w:r w:rsidR="00395143">
              <w:rPr>
                <w:snapToGrid w:val="0"/>
                <w:vertAlign w:val="superscript"/>
              </w:rPr>
              <w:t>b</w:t>
            </w:r>
          </w:p>
          <w:p w14:paraId="72E3192D" w14:textId="77777777" w:rsidR="00214BDD" w:rsidRDefault="00214BDD" w:rsidP="0060578C">
            <w:pPr>
              <w:pStyle w:val="Tabletext1"/>
              <w:rPr>
                <w:snapToGrid w:val="0"/>
              </w:rPr>
            </w:pPr>
            <w:r>
              <w:rPr>
                <w:snapToGrid w:val="0"/>
              </w:rPr>
              <w:t xml:space="preserve">Mean 70.0 </w:t>
            </w:r>
          </w:p>
          <w:p w14:paraId="0D49C3E5" w14:textId="77777777" w:rsidR="00214BDD" w:rsidRPr="008A23B2" w:rsidRDefault="00214BDD" w:rsidP="0060578C">
            <w:pPr>
              <w:pStyle w:val="Tabletext1"/>
              <w:rPr>
                <w:snapToGrid w:val="0"/>
              </w:rPr>
            </w:pPr>
            <w:r>
              <w:rPr>
                <w:snapToGrid w:val="0"/>
              </w:rPr>
              <w:t>(SD 8.3)</w:t>
            </w:r>
          </w:p>
        </w:tc>
        <w:tc>
          <w:tcPr>
            <w:tcW w:w="2579" w:type="dxa"/>
            <w:shd w:val="clear" w:color="auto" w:fill="auto"/>
          </w:tcPr>
          <w:p w14:paraId="61ECD512" w14:textId="77777777" w:rsidR="00506AD7" w:rsidRDefault="00506AD7" w:rsidP="0060578C">
            <w:pPr>
              <w:pStyle w:val="Tabletext1"/>
              <w:rPr>
                <w:snapToGrid w:val="0"/>
              </w:rPr>
            </w:pPr>
            <w:r>
              <w:rPr>
                <w:snapToGrid w:val="0"/>
              </w:rPr>
              <w:t>Concerning PSA and/or DRE and/or family history</w:t>
            </w:r>
          </w:p>
          <w:p w14:paraId="55B70C2C" w14:textId="66EC859F" w:rsidR="00E910B0" w:rsidRDefault="00E910B0" w:rsidP="0060578C">
            <w:pPr>
              <w:pStyle w:val="Tabletext1"/>
              <w:rPr>
                <w:snapToGrid w:val="0"/>
              </w:rPr>
            </w:pPr>
            <w:r>
              <w:rPr>
                <w:snapToGrid w:val="0"/>
              </w:rPr>
              <w:t xml:space="preserve">PSA 0-4: n=132, </w:t>
            </w:r>
          </w:p>
          <w:p w14:paraId="6A5ADEC1" w14:textId="13F2D5A3" w:rsidR="00214BDD" w:rsidRDefault="00E910B0" w:rsidP="0060578C">
            <w:pPr>
              <w:pStyle w:val="Tabletext1"/>
              <w:rPr>
                <w:snapToGrid w:val="0"/>
              </w:rPr>
            </w:pPr>
            <w:r>
              <w:rPr>
                <w:snapToGrid w:val="0"/>
              </w:rPr>
              <w:t>PSA 4.01-10: n=345</w:t>
            </w:r>
          </w:p>
          <w:p w14:paraId="3B208C19" w14:textId="54BBC714" w:rsidR="00E910B0" w:rsidRDefault="00E910B0" w:rsidP="0060578C">
            <w:pPr>
              <w:pStyle w:val="Tabletext1"/>
              <w:rPr>
                <w:snapToGrid w:val="0"/>
              </w:rPr>
            </w:pPr>
            <w:r>
              <w:rPr>
                <w:snapToGrid w:val="0"/>
              </w:rPr>
              <w:t>PSA &gt;10: n=587</w:t>
            </w:r>
          </w:p>
          <w:p w14:paraId="6AAB69D4" w14:textId="6C8B2FAB" w:rsidR="00E910B0" w:rsidRDefault="00E910B0" w:rsidP="0060578C">
            <w:pPr>
              <w:pStyle w:val="Tabletext1"/>
              <w:rPr>
                <w:snapToGrid w:val="0"/>
              </w:rPr>
            </w:pPr>
            <w:r>
              <w:rPr>
                <w:snapToGrid w:val="0"/>
              </w:rPr>
              <w:t>PSA NR: n=49</w:t>
            </w:r>
          </w:p>
          <w:p w14:paraId="4D07E68C" w14:textId="77777777" w:rsidR="00E910B0" w:rsidRDefault="00E910B0" w:rsidP="0060578C">
            <w:pPr>
              <w:pStyle w:val="Tabletext1"/>
              <w:rPr>
                <w:snapToGrid w:val="0"/>
              </w:rPr>
            </w:pPr>
            <w:r>
              <w:rPr>
                <w:snapToGrid w:val="0"/>
              </w:rPr>
              <w:t>PSA density: NR</w:t>
            </w:r>
          </w:p>
          <w:p w14:paraId="43245E5A" w14:textId="77777777" w:rsidR="00CF63C6" w:rsidRPr="008A23B2" w:rsidRDefault="00CF63C6" w:rsidP="0060578C">
            <w:pPr>
              <w:pStyle w:val="Tabletext1"/>
              <w:rPr>
                <w:snapToGrid w:val="0"/>
              </w:rPr>
            </w:pPr>
            <w:r>
              <w:rPr>
                <w:snapToGrid w:val="0"/>
              </w:rPr>
              <w:t>Prior negative biopsy: NR</w:t>
            </w:r>
          </w:p>
        </w:tc>
        <w:tc>
          <w:tcPr>
            <w:tcW w:w="1985" w:type="dxa"/>
          </w:tcPr>
          <w:p w14:paraId="65448633" w14:textId="77777777" w:rsidR="00214BDD" w:rsidRDefault="00D727F4" w:rsidP="0060578C">
            <w:pPr>
              <w:pStyle w:val="Tabletext1"/>
              <w:rPr>
                <w:snapToGrid w:val="0"/>
              </w:rPr>
            </w:pPr>
            <w:r>
              <w:rPr>
                <w:snapToGrid w:val="0"/>
              </w:rPr>
              <w:t>1.5T</w:t>
            </w:r>
          </w:p>
          <w:p w14:paraId="10DD34C3" w14:textId="77777777" w:rsidR="00D727F4" w:rsidRDefault="00D727F4" w:rsidP="0060578C">
            <w:pPr>
              <w:pStyle w:val="Tabletext1"/>
              <w:rPr>
                <w:snapToGrid w:val="0"/>
              </w:rPr>
            </w:pPr>
            <w:r>
              <w:rPr>
                <w:snapToGrid w:val="0"/>
              </w:rPr>
              <w:t>PPAC + ERC</w:t>
            </w:r>
          </w:p>
          <w:p w14:paraId="113DD557" w14:textId="77777777" w:rsidR="00D727F4" w:rsidRDefault="00405BF0" w:rsidP="0060578C">
            <w:pPr>
              <w:pStyle w:val="Tabletext1"/>
              <w:rPr>
                <w:snapToGrid w:val="0"/>
              </w:rPr>
            </w:pPr>
            <w:r>
              <w:rPr>
                <w:snapToGrid w:val="0"/>
              </w:rPr>
              <w:t>Gadopentetic acid</w:t>
            </w:r>
          </w:p>
        </w:tc>
        <w:tc>
          <w:tcPr>
            <w:tcW w:w="0" w:type="auto"/>
            <w:shd w:val="clear" w:color="auto" w:fill="auto"/>
          </w:tcPr>
          <w:p w14:paraId="0C2E1C70" w14:textId="77777777" w:rsidR="00214BDD" w:rsidRPr="008A23B2" w:rsidRDefault="00F77793" w:rsidP="0060578C">
            <w:pPr>
              <w:pStyle w:val="Tabletext1"/>
              <w:rPr>
                <w:snapToGrid w:val="0"/>
              </w:rPr>
            </w:pPr>
            <w:r>
              <w:rPr>
                <w:snapToGrid w:val="0"/>
              </w:rPr>
              <w:t>TRUSGB</w:t>
            </w:r>
          </w:p>
        </w:tc>
      </w:tr>
      <w:tr w:rsidR="00214BDD" w:rsidRPr="008A23B2" w14:paraId="6B71ABEA" w14:textId="77777777" w:rsidTr="009142A9">
        <w:trPr>
          <w:cantSplit/>
          <w:trHeight w:val="397"/>
        </w:trPr>
        <w:tc>
          <w:tcPr>
            <w:tcW w:w="0" w:type="auto"/>
            <w:shd w:val="clear" w:color="auto" w:fill="auto"/>
          </w:tcPr>
          <w:p w14:paraId="52DD92C4" w14:textId="77777777" w:rsidR="00214BDD" w:rsidRDefault="00214BDD" w:rsidP="0060578C">
            <w:pPr>
              <w:pStyle w:val="Tabletext1"/>
              <w:rPr>
                <w:snapToGrid w:val="0"/>
              </w:rPr>
            </w:pPr>
            <w:r w:rsidRPr="00802540">
              <w:rPr>
                <w:snapToGrid w:val="0"/>
              </w:rPr>
              <w:t xml:space="preserve">Zhao et al. (2016) </w:t>
            </w:r>
          </w:p>
          <w:p w14:paraId="1954558D" w14:textId="77777777" w:rsidR="00214BDD" w:rsidRDefault="00214BDD" w:rsidP="0060578C">
            <w:pPr>
              <w:pStyle w:val="Tabletext1"/>
              <w:rPr>
                <w:snapToGrid w:val="0"/>
              </w:rPr>
            </w:pPr>
            <w:r>
              <w:rPr>
                <w:snapToGrid w:val="0"/>
              </w:rPr>
              <w:t>China</w:t>
            </w:r>
          </w:p>
          <w:p w14:paraId="5362CEB9" w14:textId="77777777" w:rsidR="006E76D5" w:rsidRPr="008A23B2" w:rsidRDefault="006E76D5" w:rsidP="0060578C">
            <w:pPr>
              <w:pStyle w:val="Tabletext1"/>
              <w:rPr>
                <w:snapToGrid w:val="0"/>
              </w:rPr>
            </w:pPr>
            <w:r>
              <w:rPr>
                <w:snapToGrid w:val="0"/>
              </w:rPr>
              <w:t>Retrospective</w:t>
            </w:r>
          </w:p>
        </w:tc>
        <w:tc>
          <w:tcPr>
            <w:tcW w:w="0" w:type="auto"/>
            <w:shd w:val="clear" w:color="auto" w:fill="auto"/>
          </w:tcPr>
          <w:p w14:paraId="10A17A82" w14:textId="77777777" w:rsidR="00214BDD" w:rsidRDefault="00214BDD" w:rsidP="0060578C">
            <w:pPr>
              <w:pStyle w:val="Tabletext1"/>
              <w:rPr>
                <w:snapToGrid w:val="0"/>
              </w:rPr>
            </w:pPr>
            <w:r>
              <w:rPr>
                <w:snapToGrid w:val="0"/>
              </w:rPr>
              <w:t>372</w:t>
            </w:r>
          </w:p>
          <w:p w14:paraId="1DE584E7" w14:textId="77777777" w:rsidR="00214BDD" w:rsidRDefault="00214BDD" w:rsidP="0060578C">
            <w:pPr>
              <w:pStyle w:val="Tabletext1"/>
              <w:rPr>
                <w:snapToGrid w:val="0"/>
              </w:rPr>
            </w:pPr>
            <w:r>
              <w:rPr>
                <w:snapToGrid w:val="0"/>
              </w:rPr>
              <w:t xml:space="preserve">Mean 68.5 </w:t>
            </w:r>
          </w:p>
          <w:p w14:paraId="092843D3" w14:textId="77777777" w:rsidR="00214BDD" w:rsidRPr="008A23B2" w:rsidRDefault="00214BDD" w:rsidP="0060578C">
            <w:pPr>
              <w:pStyle w:val="Tabletext1"/>
              <w:rPr>
                <w:snapToGrid w:val="0"/>
              </w:rPr>
            </w:pPr>
            <w:r>
              <w:rPr>
                <w:snapToGrid w:val="0"/>
              </w:rPr>
              <w:t>(SD 9.2)</w:t>
            </w:r>
          </w:p>
        </w:tc>
        <w:tc>
          <w:tcPr>
            <w:tcW w:w="2579" w:type="dxa"/>
            <w:shd w:val="clear" w:color="auto" w:fill="auto"/>
          </w:tcPr>
          <w:p w14:paraId="68BEA814" w14:textId="77777777" w:rsidR="00506AD7" w:rsidRDefault="00506AD7" w:rsidP="0060578C">
            <w:pPr>
              <w:pStyle w:val="Tabletext1"/>
              <w:rPr>
                <w:snapToGrid w:val="0"/>
              </w:rPr>
            </w:pPr>
            <w:r>
              <w:rPr>
                <w:snapToGrid w:val="0"/>
              </w:rPr>
              <w:t>Concerning PSA and/or DRE</w:t>
            </w:r>
          </w:p>
          <w:p w14:paraId="7542EA78" w14:textId="77777777" w:rsidR="00214BDD" w:rsidRDefault="00CF63C6" w:rsidP="0060578C">
            <w:pPr>
              <w:pStyle w:val="Tabletext1"/>
              <w:rPr>
                <w:snapToGrid w:val="0"/>
              </w:rPr>
            </w:pPr>
            <w:r>
              <w:rPr>
                <w:snapToGrid w:val="0"/>
              </w:rPr>
              <w:t>Mean 15 (SD 13.3)</w:t>
            </w:r>
          </w:p>
          <w:p w14:paraId="2329EA51" w14:textId="77777777" w:rsidR="00CF63C6" w:rsidRDefault="00CF63C6" w:rsidP="0060578C">
            <w:pPr>
              <w:pStyle w:val="Tabletext1"/>
              <w:rPr>
                <w:snapToGrid w:val="0"/>
              </w:rPr>
            </w:pPr>
            <w:r>
              <w:rPr>
                <w:snapToGrid w:val="0"/>
              </w:rPr>
              <w:t>NR</w:t>
            </w:r>
          </w:p>
          <w:p w14:paraId="1A0EEE7C" w14:textId="77777777" w:rsidR="00CF63C6" w:rsidRPr="008A23B2" w:rsidRDefault="00CF63C6" w:rsidP="0060578C">
            <w:pPr>
              <w:pStyle w:val="Tabletext1"/>
              <w:rPr>
                <w:snapToGrid w:val="0"/>
              </w:rPr>
            </w:pPr>
            <w:r>
              <w:rPr>
                <w:snapToGrid w:val="0"/>
              </w:rPr>
              <w:t>NR</w:t>
            </w:r>
          </w:p>
        </w:tc>
        <w:tc>
          <w:tcPr>
            <w:tcW w:w="1985" w:type="dxa"/>
          </w:tcPr>
          <w:p w14:paraId="49DFC258" w14:textId="77777777" w:rsidR="00214BDD" w:rsidRDefault="00405BF0" w:rsidP="0060578C">
            <w:pPr>
              <w:pStyle w:val="Tabletext1"/>
              <w:rPr>
                <w:snapToGrid w:val="0"/>
              </w:rPr>
            </w:pPr>
            <w:r>
              <w:rPr>
                <w:snapToGrid w:val="0"/>
              </w:rPr>
              <w:t>3.0T</w:t>
            </w:r>
          </w:p>
          <w:p w14:paraId="282F85C2" w14:textId="77777777" w:rsidR="00405BF0" w:rsidRDefault="00405BF0" w:rsidP="0060578C">
            <w:pPr>
              <w:pStyle w:val="Tabletext1"/>
              <w:rPr>
                <w:snapToGrid w:val="0"/>
              </w:rPr>
            </w:pPr>
            <w:r>
              <w:rPr>
                <w:snapToGrid w:val="0"/>
              </w:rPr>
              <w:t>BAC</w:t>
            </w:r>
          </w:p>
          <w:p w14:paraId="422B2A82" w14:textId="77777777" w:rsidR="00405BF0" w:rsidRDefault="00405BF0" w:rsidP="0060578C">
            <w:pPr>
              <w:pStyle w:val="Tabletext1"/>
              <w:rPr>
                <w:snapToGrid w:val="0"/>
              </w:rPr>
            </w:pPr>
            <w:r>
              <w:rPr>
                <w:snapToGrid w:val="0"/>
              </w:rPr>
              <w:t>NR</w:t>
            </w:r>
          </w:p>
        </w:tc>
        <w:tc>
          <w:tcPr>
            <w:tcW w:w="0" w:type="auto"/>
            <w:shd w:val="clear" w:color="auto" w:fill="auto"/>
          </w:tcPr>
          <w:p w14:paraId="0D0A9E90" w14:textId="77777777" w:rsidR="00214BDD" w:rsidRPr="008A23B2" w:rsidRDefault="00F77793" w:rsidP="0060578C">
            <w:pPr>
              <w:pStyle w:val="Tabletext1"/>
              <w:rPr>
                <w:snapToGrid w:val="0"/>
              </w:rPr>
            </w:pPr>
            <w:r>
              <w:rPr>
                <w:snapToGrid w:val="0"/>
              </w:rPr>
              <w:t>TRUS + C-MRIGB</w:t>
            </w:r>
          </w:p>
        </w:tc>
      </w:tr>
    </w:tbl>
    <w:p w14:paraId="02DD134B" w14:textId="6D4F41D0" w:rsidR="00F523CB" w:rsidRDefault="008E5171" w:rsidP="00A04345">
      <w:pPr>
        <w:pStyle w:val="TableNotes"/>
      </w:pPr>
      <w:r>
        <w:rPr>
          <w:vertAlign w:val="superscript"/>
        </w:rPr>
        <w:t>a</w:t>
      </w:r>
      <w:r w:rsidR="00736FAB">
        <w:t>:</w:t>
      </w:r>
      <w:r>
        <w:rPr>
          <w:vertAlign w:val="superscript"/>
        </w:rPr>
        <w:t xml:space="preserve"> </w:t>
      </w:r>
      <w:r>
        <w:t>3 patents in Pokorny et al. (2014) withdrew and were not included in the analysis.</w:t>
      </w:r>
    </w:p>
    <w:p w14:paraId="7639CB48" w14:textId="5D16E13A" w:rsidR="00395143" w:rsidRDefault="00395143" w:rsidP="00A04345">
      <w:pPr>
        <w:pStyle w:val="TableNotes"/>
      </w:pPr>
      <w:r>
        <w:rPr>
          <w:vertAlign w:val="superscript"/>
        </w:rPr>
        <w:t>b</w:t>
      </w:r>
      <w:r w:rsidR="00736FAB">
        <w:t xml:space="preserve">: </w:t>
      </w:r>
      <w:r w:rsidRPr="00395143">
        <w:t>Wang et al. (2015)</w:t>
      </w:r>
      <w:r>
        <w:t xml:space="preserve"> enrolled 1</w:t>
      </w:r>
      <w:r w:rsidR="00107D38">
        <w:t>,</w:t>
      </w:r>
      <w:r>
        <w:t>113 patients into the study but only 586 received the reference</w:t>
      </w:r>
      <w:r w:rsidR="00D0461A">
        <w:t xml:space="preserve"> standard and were include</w:t>
      </w:r>
      <w:r>
        <w:t>d</w:t>
      </w:r>
      <w:r w:rsidR="00D0461A">
        <w:t xml:space="preserve"> </w:t>
      </w:r>
      <w:r>
        <w:t>in</w:t>
      </w:r>
      <w:r w:rsidR="00D0461A">
        <w:t xml:space="preserve"> </w:t>
      </w:r>
      <w:r>
        <w:t xml:space="preserve">the analysis. </w:t>
      </w:r>
      <w:r w:rsidR="00D0461A">
        <w:t>Baseline characteristics were only reported for the entire cohort of 1</w:t>
      </w:r>
      <w:r w:rsidR="00107D38">
        <w:t>,</w:t>
      </w:r>
      <w:r w:rsidR="00D0461A">
        <w:t>113 patients.</w:t>
      </w:r>
      <w:r>
        <w:t xml:space="preserve"> </w:t>
      </w:r>
    </w:p>
    <w:p w14:paraId="22387B5A" w14:textId="3EB18B4D" w:rsidR="00BA4E34" w:rsidRPr="00BA4E34" w:rsidRDefault="00BA4E34" w:rsidP="00A04345">
      <w:pPr>
        <w:pStyle w:val="TableNotes"/>
      </w:pPr>
      <w:r>
        <w:rPr>
          <w:vertAlign w:val="superscript"/>
        </w:rPr>
        <w:t>c</w:t>
      </w:r>
      <w:r w:rsidR="00736FAB">
        <w:t xml:space="preserve">: </w:t>
      </w:r>
      <w:r>
        <w:t>Jambor et al. (2015) excluded patients with an abnormal DRE result</w:t>
      </w:r>
      <w:r w:rsidR="00736FAB">
        <w:t>.</w:t>
      </w:r>
    </w:p>
    <w:p w14:paraId="6BE0EF5A" w14:textId="32B09F8B" w:rsidR="00341AB6" w:rsidRPr="00395143" w:rsidRDefault="00341AB6" w:rsidP="00A04345">
      <w:pPr>
        <w:pStyle w:val="TableNotes"/>
        <w:rPr>
          <w:vertAlign w:val="superscript"/>
        </w:rPr>
      </w:pPr>
      <w:r>
        <w:t xml:space="preserve">BAC = </w:t>
      </w:r>
      <w:r w:rsidR="002E09E9">
        <w:t>body</w:t>
      </w:r>
      <w:r>
        <w:t xml:space="preserve"> array coil, </w:t>
      </w:r>
      <w:r w:rsidR="00462D15">
        <w:t xml:space="preserve">C-MRIGB = cognitive MRI guided biopsy, </w:t>
      </w:r>
      <w:r>
        <w:t xml:space="preserve">PPAC = pelvic phased array coil, ERC = endorectal coil, SAC = spine array coil, NR </w:t>
      </w:r>
      <w:r w:rsidR="00376C7C">
        <w:t>=</w:t>
      </w:r>
      <w:r>
        <w:t xml:space="preserve"> not reported, SD = standard deviation, UK = United Kingdom, T = </w:t>
      </w:r>
      <w:r w:rsidR="00D97A4B">
        <w:t>T</w:t>
      </w:r>
      <w:r>
        <w:t xml:space="preserve">esla, C-MRIGB = cognitive </w:t>
      </w:r>
      <w:r w:rsidR="0029690D">
        <w:t>MRI guided biopsy, TRUS = trans</w:t>
      </w:r>
      <w:r w:rsidR="006F3F56">
        <w:t>-</w:t>
      </w:r>
      <w:r>
        <w:t xml:space="preserve">rectal ultrasound, GB = guided biopsy, FGB = fusion guided biopsy, </w:t>
      </w:r>
      <w:r w:rsidR="0026699D">
        <w:t>PSA = prostate specific antigen</w:t>
      </w:r>
      <w:r w:rsidR="00A04345">
        <w:t>.</w:t>
      </w:r>
    </w:p>
    <w:p w14:paraId="2F4B50B9" w14:textId="6CAE9301" w:rsidR="007A49EE" w:rsidRPr="00183E4D" w:rsidRDefault="007A49EE" w:rsidP="00F87EE4">
      <w:pPr>
        <w:pStyle w:val="Heading2"/>
        <w:numPr>
          <w:ilvl w:val="1"/>
          <w:numId w:val="18"/>
        </w:numPr>
      </w:pPr>
      <w:bookmarkStart w:id="294" w:name="_Toc460513915"/>
      <w:r w:rsidRPr="00183E4D">
        <w:t>Outcome Measures and Analysis</w:t>
      </w:r>
      <w:r w:rsidR="00362378">
        <w:t>: diagnostic accuracy (Population 1)</w:t>
      </w:r>
      <w:bookmarkEnd w:id="294"/>
    </w:p>
    <w:p w14:paraId="77649AF3" w14:textId="531B4B5E" w:rsidR="00B44AF2" w:rsidRDefault="00B44AF2" w:rsidP="001D76FF">
      <w:r w:rsidRPr="00B44AF2">
        <w:t xml:space="preserve">To assess the diagnostic accuracy of the proposed test, </w:t>
      </w:r>
      <w:r w:rsidR="005038F6">
        <w:t xml:space="preserve">key </w:t>
      </w:r>
      <w:r w:rsidRPr="00B44AF2">
        <w:t>studies were only included if they provided data that could be extracted into a classic 2 x 2 table, in which the results of the index test were cross-classified against the results of the reference</w:t>
      </w:r>
      <w:r w:rsidR="00082A02">
        <w:t xml:space="preserve"> standard</w:t>
      </w:r>
      <w:r w:rsidR="00A04345">
        <w:t>,</w:t>
      </w:r>
      <w:r w:rsidR="00082A02">
        <w:rPr>
          <w:rStyle w:val="FootnoteReference"/>
        </w:rPr>
        <w:footnoteReference w:id="2"/>
      </w:r>
      <w:r w:rsidRPr="00901DD6">
        <w:t xml:space="preserve"> and </w:t>
      </w:r>
      <w:bookmarkStart w:id="295" w:name="OLE_LINK436"/>
      <w:bookmarkStart w:id="296" w:name="OLE_LINK437"/>
      <w:r w:rsidRPr="00901DD6">
        <w:t>Bayes</w:t>
      </w:r>
      <w:r>
        <w:t>’</w:t>
      </w:r>
      <w:r w:rsidRPr="00901DD6">
        <w:t xml:space="preserve"> Theorem </w:t>
      </w:r>
      <w:bookmarkEnd w:id="295"/>
      <w:bookmarkEnd w:id="296"/>
      <w:r w:rsidRPr="00901DD6">
        <w:t>was applied</w:t>
      </w:r>
      <w:r w:rsidR="00F85F7F">
        <w:t xml:space="preserve"> (</w:t>
      </w:r>
      <w:r w:rsidR="00A04345">
        <w:fldChar w:fldCharType="begin"/>
      </w:r>
      <w:r w:rsidR="00A04345">
        <w:instrText xml:space="preserve"> REF _Ref406161847 \h </w:instrText>
      </w:r>
      <w:r w:rsidR="00A04345">
        <w:fldChar w:fldCharType="separate"/>
      </w:r>
      <w:r w:rsidR="0029649D" w:rsidRPr="005613FD">
        <w:t xml:space="preserve">Table </w:t>
      </w:r>
      <w:r w:rsidR="0029649D">
        <w:rPr>
          <w:noProof/>
        </w:rPr>
        <w:t>21</w:t>
      </w:r>
      <w:r w:rsidR="00A04345">
        <w:fldChar w:fldCharType="end"/>
      </w:r>
      <w:r w:rsidR="00F85F7F">
        <w:t>)</w:t>
      </w:r>
      <w:r w:rsidR="00A04345">
        <w:t>.</w:t>
      </w:r>
    </w:p>
    <w:p w14:paraId="699962FF" w14:textId="399700FD" w:rsidR="00B44AF2" w:rsidRPr="005613FD" w:rsidRDefault="00B44AF2" w:rsidP="00466B3D">
      <w:pPr>
        <w:pStyle w:val="Caption"/>
      </w:pPr>
      <w:bookmarkStart w:id="297" w:name="_Ref406161847"/>
      <w:bookmarkStart w:id="298" w:name="_Toc460514521"/>
      <w:bookmarkStart w:id="299" w:name="_Toc406659807"/>
      <w:r w:rsidRPr="005613FD">
        <w:lastRenderedPageBreak/>
        <w:t xml:space="preserve">Table </w:t>
      </w:r>
      <w:fldSimple w:instr=" SEQ Table \* ARABIC ">
        <w:r w:rsidR="0029649D">
          <w:rPr>
            <w:noProof/>
          </w:rPr>
          <w:t>21</w:t>
        </w:r>
      </w:fldSimple>
      <w:bookmarkEnd w:id="297"/>
      <w:r>
        <w:tab/>
      </w:r>
      <w:r w:rsidRPr="005613FD">
        <w:t>Diagnostic accuracy data extraction</w:t>
      </w:r>
      <w:bookmarkEnd w:id="298"/>
      <w:r w:rsidRPr="005613FD">
        <w:t xml:space="preserve"> </w:t>
      </w:r>
      <w:bookmarkEnd w:id="299"/>
    </w:p>
    <w:tbl>
      <w:tblPr>
        <w:tblW w:w="9039" w:type="dxa"/>
        <w:tblLayout w:type="fixed"/>
        <w:tblLook w:val="0000" w:firstRow="0" w:lastRow="0" w:firstColumn="0" w:lastColumn="0" w:noHBand="0" w:noVBand="0"/>
      </w:tblPr>
      <w:tblGrid>
        <w:gridCol w:w="1526"/>
        <w:gridCol w:w="1134"/>
        <w:gridCol w:w="2268"/>
        <w:gridCol w:w="1984"/>
        <w:gridCol w:w="2127"/>
      </w:tblGrid>
      <w:tr w:rsidR="00321705" w:rsidRPr="00637462" w14:paraId="0BB1D383" w14:textId="77777777" w:rsidTr="00321705">
        <w:trPr>
          <w:cantSplit/>
          <w:trHeight w:val="177"/>
        </w:trPr>
        <w:tc>
          <w:tcPr>
            <w:tcW w:w="1526" w:type="dxa"/>
            <w:vAlign w:val="bottom"/>
          </w:tcPr>
          <w:p w14:paraId="3C77C141" w14:textId="77777777" w:rsidR="00321705" w:rsidRPr="00637462" w:rsidRDefault="00321705" w:rsidP="009142A9">
            <w:pPr>
              <w:pStyle w:val="TableText0"/>
            </w:pPr>
            <w:r w:rsidRPr="00637462">
              <w:t>-</w:t>
            </w:r>
          </w:p>
        </w:tc>
        <w:tc>
          <w:tcPr>
            <w:tcW w:w="1134" w:type="dxa"/>
            <w:vAlign w:val="bottom"/>
          </w:tcPr>
          <w:p w14:paraId="593DB4AD" w14:textId="77777777" w:rsidR="00321705" w:rsidRPr="00637462" w:rsidRDefault="00321705" w:rsidP="009142A9">
            <w:pPr>
              <w:pStyle w:val="TableText0"/>
            </w:pPr>
            <w:r w:rsidRPr="00637462">
              <w:t>-</w:t>
            </w:r>
          </w:p>
        </w:tc>
        <w:tc>
          <w:tcPr>
            <w:tcW w:w="2268" w:type="dxa"/>
            <w:vAlign w:val="bottom"/>
          </w:tcPr>
          <w:p w14:paraId="2F49376D" w14:textId="77777777" w:rsidR="00321705" w:rsidRPr="00637462" w:rsidRDefault="00321705" w:rsidP="009142A9">
            <w:pPr>
              <w:pStyle w:val="TableText0"/>
              <w:rPr>
                <w:b/>
              </w:rPr>
            </w:pPr>
            <w:r w:rsidRPr="00637462">
              <w:rPr>
                <w:b/>
              </w:rPr>
              <w:t>Reference standard</w:t>
            </w:r>
          </w:p>
        </w:tc>
        <w:tc>
          <w:tcPr>
            <w:tcW w:w="1984" w:type="dxa"/>
            <w:vAlign w:val="bottom"/>
          </w:tcPr>
          <w:p w14:paraId="26E01DA0" w14:textId="77777777" w:rsidR="00321705" w:rsidRPr="00637462" w:rsidRDefault="00321705" w:rsidP="009142A9">
            <w:pPr>
              <w:pStyle w:val="TableText0"/>
              <w:rPr>
                <w:b/>
              </w:rPr>
            </w:pPr>
          </w:p>
        </w:tc>
        <w:tc>
          <w:tcPr>
            <w:tcW w:w="2127" w:type="dxa"/>
            <w:vAlign w:val="bottom"/>
          </w:tcPr>
          <w:p w14:paraId="7EDD5278" w14:textId="77777777" w:rsidR="00321705" w:rsidRPr="00637462" w:rsidRDefault="00321705" w:rsidP="009142A9">
            <w:pPr>
              <w:pStyle w:val="TableText0"/>
            </w:pPr>
            <w:r w:rsidRPr="00637462">
              <w:t>-</w:t>
            </w:r>
          </w:p>
        </w:tc>
      </w:tr>
      <w:tr w:rsidR="00321705" w:rsidRPr="00637462" w14:paraId="2082FB40" w14:textId="77777777" w:rsidTr="00321705">
        <w:trPr>
          <w:trHeight w:val="310"/>
        </w:trPr>
        <w:tc>
          <w:tcPr>
            <w:tcW w:w="1526" w:type="dxa"/>
            <w:vAlign w:val="center"/>
          </w:tcPr>
          <w:p w14:paraId="400BFD44" w14:textId="77777777" w:rsidR="00321705" w:rsidRPr="00637462" w:rsidRDefault="00321705" w:rsidP="009142A9">
            <w:pPr>
              <w:pStyle w:val="TableText0"/>
            </w:pPr>
            <w:r w:rsidRPr="00637462">
              <w:t>-</w:t>
            </w:r>
          </w:p>
        </w:tc>
        <w:tc>
          <w:tcPr>
            <w:tcW w:w="1134" w:type="dxa"/>
            <w:vAlign w:val="center"/>
          </w:tcPr>
          <w:p w14:paraId="26FFE7C8" w14:textId="77777777" w:rsidR="00321705" w:rsidRPr="00637462" w:rsidRDefault="00321705" w:rsidP="009142A9">
            <w:pPr>
              <w:pStyle w:val="TableText0"/>
            </w:pPr>
            <w:r w:rsidRPr="00637462">
              <w:t>-</w:t>
            </w:r>
          </w:p>
        </w:tc>
        <w:tc>
          <w:tcPr>
            <w:tcW w:w="2268" w:type="dxa"/>
            <w:tcBorders>
              <w:bottom w:val="single" w:sz="4" w:space="0" w:color="auto"/>
            </w:tcBorders>
            <w:vAlign w:val="center"/>
          </w:tcPr>
          <w:p w14:paraId="426BA179" w14:textId="77777777" w:rsidR="00321705" w:rsidRPr="00637462" w:rsidRDefault="00321705" w:rsidP="009142A9">
            <w:pPr>
              <w:pStyle w:val="TableText0"/>
            </w:pPr>
            <w:r w:rsidRPr="00637462">
              <w:rPr>
                <w:i/>
              </w:rPr>
              <w:t>Disease +</w:t>
            </w:r>
          </w:p>
        </w:tc>
        <w:tc>
          <w:tcPr>
            <w:tcW w:w="1984" w:type="dxa"/>
            <w:tcBorders>
              <w:bottom w:val="single" w:sz="4" w:space="0" w:color="auto"/>
            </w:tcBorders>
            <w:vAlign w:val="center"/>
          </w:tcPr>
          <w:p w14:paraId="361E732D" w14:textId="77777777" w:rsidR="00321705" w:rsidRPr="00637462" w:rsidRDefault="00321705" w:rsidP="009142A9">
            <w:pPr>
              <w:pStyle w:val="TableText0"/>
            </w:pPr>
            <w:r w:rsidRPr="00637462">
              <w:rPr>
                <w:i/>
              </w:rPr>
              <w:t>Disease –</w:t>
            </w:r>
          </w:p>
        </w:tc>
        <w:tc>
          <w:tcPr>
            <w:tcW w:w="2127" w:type="dxa"/>
            <w:vAlign w:val="center"/>
          </w:tcPr>
          <w:p w14:paraId="4935657B" w14:textId="77777777" w:rsidR="00321705" w:rsidRPr="00637462" w:rsidRDefault="00321705" w:rsidP="009142A9">
            <w:pPr>
              <w:pStyle w:val="TableText0"/>
            </w:pPr>
            <w:r w:rsidRPr="00637462">
              <w:t>-</w:t>
            </w:r>
          </w:p>
        </w:tc>
      </w:tr>
      <w:tr w:rsidR="00321705" w:rsidRPr="00637462" w14:paraId="3CD589F6" w14:textId="77777777" w:rsidTr="00321705">
        <w:trPr>
          <w:cantSplit/>
          <w:trHeight w:val="449"/>
        </w:trPr>
        <w:tc>
          <w:tcPr>
            <w:tcW w:w="1526" w:type="dxa"/>
            <w:vAlign w:val="center"/>
          </w:tcPr>
          <w:p w14:paraId="5BED7860" w14:textId="77777777" w:rsidR="00321705" w:rsidRPr="00637462" w:rsidRDefault="00321705" w:rsidP="009142A9">
            <w:pPr>
              <w:pStyle w:val="TableText0"/>
              <w:rPr>
                <w:b/>
              </w:rPr>
            </w:pPr>
            <w:r w:rsidRPr="00637462">
              <w:rPr>
                <w:b/>
              </w:rPr>
              <w:t xml:space="preserve">Index test </w:t>
            </w:r>
          </w:p>
        </w:tc>
        <w:tc>
          <w:tcPr>
            <w:tcW w:w="1134" w:type="dxa"/>
            <w:tcBorders>
              <w:right w:val="single" w:sz="4" w:space="0" w:color="auto"/>
            </w:tcBorders>
            <w:vAlign w:val="center"/>
          </w:tcPr>
          <w:p w14:paraId="402FE892" w14:textId="77777777" w:rsidR="00321705" w:rsidRPr="00637462" w:rsidRDefault="00321705" w:rsidP="009142A9">
            <w:pPr>
              <w:pStyle w:val="TableText0"/>
            </w:pPr>
            <w:r w:rsidRPr="00637462">
              <w:rPr>
                <w:i/>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08F9FFE2" w14:textId="77777777" w:rsidR="00321705" w:rsidRPr="00637462" w:rsidRDefault="00321705" w:rsidP="009142A9">
            <w:pPr>
              <w:pStyle w:val="TableText0"/>
            </w:pPr>
            <w:r w:rsidRPr="00637462">
              <w:t>true positive</w:t>
            </w:r>
          </w:p>
        </w:tc>
        <w:tc>
          <w:tcPr>
            <w:tcW w:w="1984" w:type="dxa"/>
            <w:tcBorders>
              <w:top w:val="single" w:sz="4" w:space="0" w:color="auto"/>
              <w:left w:val="single" w:sz="4" w:space="0" w:color="auto"/>
              <w:bottom w:val="single" w:sz="4" w:space="0" w:color="auto"/>
              <w:right w:val="single" w:sz="4" w:space="0" w:color="auto"/>
            </w:tcBorders>
            <w:vAlign w:val="center"/>
          </w:tcPr>
          <w:p w14:paraId="79DA4894" w14:textId="77777777" w:rsidR="00321705" w:rsidRPr="00637462" w:rsidRDefault="00321705" w:rsidP="009142A9">
            <w:pPr>
              <w:pStyle w:val="TableText0"/>
            </w:pPr>
            <w:r w:rsidRPr="00637462">
              <w:t>false positive</w:t>
            </w:r>
          </w:p>
        </w:tc>
        <w:tc>
          <w:tcPr>
            <w:tcW w:w="2127" w:type="dxa"/>
            <w:tcBorders>
              <w:left w:val="single" w:sz="4" w:space="0" w:color="auto"/>
              <w:right w:val="nil"/>
            </w:tcBorders>
            <w:vAlign w:val="center"/>
          </w:tcPr>
          <w:p w14:paraId="461F60E8" w14:textId="77777777" w:rsidR="00321705" w:rsidRPr="00637462" w:rsidRDefault="00321705" w:rsidP="009142A9">
            <w:pPr>
              <w:pStyle w:val="TableText0"/>
            </w:pPr>
            <w:r w:rsidRPr="00637462">
              <w:t>Total test positive</w:t>
            </w:r>
          </w:p>
        </w:tc>
      </w:tr>
      <w:tr w:rsidR="00321705" w:rsidRPr="00637462" w14:paraId="209BF577" w14:textId="77777777" w:rsidTr="00321705">
        <w:trPr>
          <w:cantSplit/>
          <w:trHeight w:val="426"/>
        </w:trPr>
        <w:tc>
          <w:tcPr>
            <w:tcW w:w="1526" w:type="dxa"/>
            <w:vAlign w:val="center"/>
          </w:tcPr>
          <w:p w14:paraId="671A687F" w14:textId="77777777" w:rsidR="00321705" w:rsidRPr="00637462" w:rsidRDefault="00321705" w:rsidP="009142A9">
            <w:pPr>
              <w:pStyle w:val="TableText0"/>
            </w:pPr>
            <w:r w:rsidRPr="00637462">
              <w:t xml:space="preserve">Or comparator </w:t>
            </w:r>
          </w:p>
        </w:tc>
        <w:tc>
          <w:tcPr>
            <w:tcW w:w="1134" w:type="dxa"/>
            <w:tcBorders>
              <w:right w:val="single" w:sz="4" w:space="0" w:color="auto"/>
            </w:tcBorders>
            <w:vAlign w:val="center"/>
          </w:tcPr>
          <w:p w14:paraId="7B27D0EF" w14:textId="77777777" w:rsidR="00321705" w:rsidRPr="00637462" w:rsidRDefault="00321705" w:rsidP="009142A9">
            <w:pPr>
              <w:pStyle w:val="TableText0"/>
            </w:pPr>
            <w:r w:rsidRPr="00637462">
              <w:rPr>
                <w:i/>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41876A3E" w14:textId="77777777" w:rsidR="00321705" w:rsidRPr="00637462" w:rsidRDefault="00321705" w:rsidP="009142A9">
            <w:pPr>
              <w:pStyle w:val="TableText0"/>
            </w:pPr>
            <w:r w:rsidRPr="00637462">
              <w:t>false negative</w:t>
            </w:r>
          </w:p>
        </w:tc>
        <w:tc>
          <w:tcPr>
            <w:tcW w:w="1984" w:type="dxa"/>
            <w:tcBorders>
              <w:top w:val="single" w:sz="4" w:space="0" w:color="auto"/>
              <w:left w:val="single" w:sz="4" w:space="0" w:color="auto"/>
              <w:bottom w:val="single" w:sz="4" w:space="0" w:color="auto"/>
              <w:right w:val="single" w:sz="4" w:space="0" w:color="auto"/>
            </w:tcBorders>
            <w:vAlign w:val="center"/>
          </w:tcPr>
          <w:p w14:paraId="0303AB76" w14:textId="77777777" w:rsidR="00321705" w:rsidRPr="00637462" w:rsidRDefault="00321705" w:rsidP="009142A9">
            <w:pPr>
              <w:pStyle w:val="TableText0"/>
            </w:pPr>
            <w:r w:rsidRPr="00637462">
              <w:t>true negative</w:t>
            </w:r>
          </w:p>
        </w:tc>
        <w:tc>
          <w:tcPr>
            <w:tcW w:w="2127" w:type="dxa"/>
            <w:tcBorders>
              <w:left w:val="single" w:sz="4" w:space="0" w:color="auto"/>
              <w:right w:val="nil"/>
            </w:tcBorders>
            <w:vAlign w:val="center"/>
          </w:tcPr>
          <w:p w14:paraId="3ED586AA" w14:textId="77777777" w:rsidR="00321705" w:rsidRPr="00637462" w:rsidRDefault="00321705" w:rsidP="009142A9">
            <w:pPr>
              <w:pStyle w:val="TableText0"/>
            </w:pPr>
            <w:r w:rsidRPr="00637462">
              <w:t>Total test negative</w:t>
            </w:r>
          </w:p>
        </w:tc>
      </w:tr>
      <w:tr w:rsidR="00321705" w:rsidRPr="00637462" w14:paraId="4C592371" w14:textId="77777777" w:rsidTr="00321705">
        <w:trPr>
          <w:trHeight w:val="149"/>
        </w:trPr>
        <w:tc>
          <w:tcPr>
            <w:tcW w:w="1526" w:type="dxa"/>
            <w:vAlign w:val="center"/>
          </w:tcPr>
          <w:p w14:paraId="1A248836" w14:textId="309A8961" w:rsidR="00321705" w:rsidRPr="00637462" w:rsidRDefault="00321705" w:rsidP="009142A9">
            <w:pPr>
              <w:pStyle w:val="TableText0"/>
            </w:pPr>
          </w:p>
        </w:tc>
        <w:tc>
          <w:tcPr>
            <w:tcW w:w="1134" w:type="dxa"/>
            <w:vAlign w:val="center"/>
          </w:tcPr>
          <w:p w14:paraId="068A3904" w14:textId="77777777" w:rsidR="00321705" w:rsidRPr="00637462" w:rsidRDefault="00321705" w:rsidP="009142A9">
            <w:pPr>
              <w:pStyle w:val="TableText0"/>
            </w:pPr>
            <w:r w:rsidRPr="00637462">
              <w:t>-</w:t>
            </w:r>
          </w:p>
        </w:tc>
        <w:tc>
          <w:tcPr>
            <w:tcW w:w="2268" w:type="dxa"/>
            <w:tcBorders>
              <w:top w:val="single" w:sz="4" w:space="0" w:color="auto"/>
              <w:bottom w:val="nil"/>
            </w:tcBorders>
            <w:vAlign w:val="center"/>
          </w:tcPr>
          <w:p w14:paraId="7FBA072C" w14:textId="77777777" w:rsidR="00321705" w:rsidRPr="00637462" w:rsidRDefault="00321705" w:rsidP="009142A9">
            <w:pPr>
              <w:pStyle w:val="TableText0"/>
              <w:rPr>
                <w:highlight w:val="yellow"/>
              </w:rPr>
            </w:pPr>
            <w:r w:rsidRPr="00637462">
              <w:t xml:space="preserve">Total with </w:t>
            </w:r>
            <w:r>
              <w:t>disease</w:t>
            </w:r>
          </w:p>
        </w:tc>
        <w:tc>
          <w:tcPr>
            <w:tcW w:w="1984" w:type="dxa"/>
            <w:tcBorders>
              <w:top w:val="single" w:sz="4" w:space="0" w:color="auto"/>
              <w:bottom w:val="nil"/>
            </w:tcBorders>
            <w:vAlign w:val="center"/>
          </w:tcPr>
          <w:p w14:paraId="1EB21015" w14:textId="77777777" w:rsidR="00321705" w:rsidRPr="00637462" w:rsidRDefault="00321705" w:rsidP="009142A9">
            <w:pPr>
              <w:pStyle w:val="TableText0"/>
              <w:rPr>
                <w:highlight w:val="yellow"/>
              </w:rPr>
            </w:pPr>
            <w:r w:rsidRPr="00637462">
              <w:t xml:space="preserve">Total without </w:t>
            </w:r>
            <w:r>
              <w:t>disease</w:t>
            </w:r>
          </w:p>
        </w:tc>
        <w:tc>
          <w:tcPr>
            <w:tcW w:w="2127" w:type="dxa"/>
            <w:tcBorders>
              <w:bottom w:val="nil"/>
            </w:tcBorders>
            <w:vAlign w:val="center"/>
          </w:tcPr>
          <w:p w14:paraId="301FBB17" w14:textId="77777777" w:rsidR="00321705" w:rsidRPr="00637462" w:rsidRDefault="00321705" w:rsidP="009142A9">
            <w:pPr>
              <w:pStyle w:val="TableText0"/>
            </w:pPr>
            <w:r w:rsidRPr="00637462">
              <w:t>-</w:t>
            </w:r>
          </w:p>
        </w:tc>
      </w:tr>
    </w:tbl>
    <w:p w14:paraId="12B187D6" w14:textId="77777777" w:rsidR="00B44AF2" w:rsidRPr="00B44AF2" w:rsidRDefault="00B44AF2" w:rsidP="007A49EE"/>
    <w:p w14:paraId="3FB4D1CB" w14:textId="53CDC3F0" w:rsidR="00A41491" w:rsidRDefault="00A41491" w:rsidP="005038F6">
      <w:r>
        <w:t xml:space="preserve">The primary outcomes reported by all of the key studies, </w:t>
      </w:r>
      <w:r w:rsidR="00751465">
        <w:t xml:space="preserve">were </w:t>
      </w:r>
      <w:r>
        <w:t xml:space="preserve">the </w:t>
      </w:r>
      <w:r w:rsidR="002D7DEF">
        <w:t>sensitivity and specific</w:t>
      </w:r>
      <w:r w:rsidR="0034123A">
        <w:t>i</w:t>
      </w:r>
      <w:r w:rsidR="002D7DEF">
        <w:t xml:space="preserve">ty </w:t>
      </w:r>
      <w:r>
        <w:t xml:space="preserve">of mpMRI </w:t>
      </w:r>
      <w:r w:rsidR="002D7DEF">
        <w:t>in the detection of</w:t>
      </w:r>
      <w:r>
        <w:t xml:space="preserve"> </w:t>
      </w:r>
      <w:r w:rsidR="002D7DEF">
        <w:t xml:space="preserve">PCa of </w:t>
      </w:r>
      <w:r>
        <w:t xml:space="preserve">any </w:t>
      </w:r>
      <w:r w:rsidR="002D7DEF">
        <w:t>severity</w:t>
      </w:r>
      <w:r>
        <w:t>.</w:t>
      </w:r>
      <w:r w:rsidR="004B5171">
        <w:rPr>
          <w:rStyle w:val="FootnoteReference"/>
        </w:rPr>
        <w:footnoteReference w:id="3"/>
      </w:r>
    </w:p>
    <w:p w14:paraId="16E1234D" w14:textId="36659675" w:rsidR="00B662A4" w:rsidRDefault="00023843" w:rsidP="005038F6">
      <w:r>
        <w:t xml:space="preserve">Only studies that provided </w:t>
      </w:r>
      <w:r w:rsidR="00D311ED">
        <w:t>per-patient</w:t>
      </w:r>
      <w:r w:rsidR="005038F6">
        <w:t xml:space="preserve"> data were included in the meta-analysis as the decision whether to perform a biopsy is made on a </w:t>
      </w:r>
      <w:r w:rsidR="00D311ED">
        <w:t>per-patient</w:t>
      </w:r>
      <w:r w:rsidR="005038F6">
        <w:t xml:space="preserve"> basis in the clinical algorithm. </w:t>
      </w:r>
      <w:r w:rsidR="005038F6" w:rsidRPr="005038F6">
        <w:t>A</w:t>
      </w:r>
      <w:r w:rsidR="007F2651">
        <w:t xml:space="preserve">bd-Alazeez et al. </w:t>
      </w:r>
      <w:r w:rsidR="00107D38">
        <w:t>(</w:t>
      </w:r>
      <w:r w:rsidR="007F2651">
        <w:t>2014</w:t>
      </w:r>
      <w:r w:rsidR="00107D38">
        <w:t>)</w:t>
      </w:r>
      <w:r w:rsidR="005038F6">
        <w:t xml:space="preserve"> was not included in the meta-analysis as results in this study were presented per</w:t>
      </w:r>
      <w:r>
        <w:t xml:space="preserve"> </w:t>
      </w:r>
      <w:r w:rsidR="005038F6">
        <w:t xml:space="preserve">hemisphere. </w:t>
      </w:r>
      <w:r w:rsidR="009C38B7">
        <w:t>No other key study was excluded from the meta-analysis.</w:t>
      </w:r>
    </w:p>
    <w:p w14:paraId="5614108C" w14:textId="3CE56B0B" w:rsidR="00A41491" w:rsidRDefault="00A41491" w:rsidP="005038F6">
      <w:r>
        <w:t>As a secondary outcome</w:t>
      </w:r>
      <w:r w:rsidR="002E7549">
        <w:t>, the sensitivity and specific</w:t>
      </w:r>
      <w:r w:rsidR="004809E2">
        <w:t>i</w:t>
      </w:r>
      <w:r w:rsidR="002E7549">
        <w:t>ty of mpMRI for the diagnosis of clinically significant cancer was calculated. Where studies reported this outcome,</w:t>
      </w:r>
      <w:r>
        <w:t xml:space="preserve"> the definition used by the authors was extracted. Other studies reported the diagnostic accuracy of mpMRI by Gleason score of the identified tumours. From these studies, a Gleason</w:t>
      </w:r>
      <w:r w:rsidR="00751465">
        <w:t xml:space="preserve"> score</w:t>
      </w:r>
      <w:r>
        <w:t xml:space="preserve"> ≥7 was considered clinically significant and this data was also included in </w:t>
      </w:r>
      <w:r w:rsidR="00751465">
        <w:t xml:space="preserve">the </w:t>
      </w:r>
      <w:r>
        <w:t xml:space="preserve">secondary analysis. </w:t>
      </w:r>
    </w:p>
    <w:p w14:paraId="5ACBA0F3" w14:textId="31E2B2A5" w:rsidR="009C38B7" w:rsidRDefault="009C38B7" w:rsidP="00B662A4">
      <w:r>
        <w:t xml:space="preserve">The bivariate model and hierarchical summary receiver operating characteristic (HSROC) analyses were conducted for Population 1. </w:t>
      </w:r>
      <w:r w:rsidRPr="0055577D">
        <w:t>The mixed modelling approach described by Reitsma et al. (2005) was</w:t>
      </w:r>
      <w:r>
        <w:t xml:space="preserve"> used to provide estimated summaries of sensitivity and specificity and the corresponding 95</w:t>
      </w:r>
      <w:r w:rsidR="004B6E15">
        <w:t xml:space="preserve"> per cent</w:t>
      </w:r>
      <w:r>
        <w:t xml:space="preserve"> confidence ellipses</w:t>
      </w:r>
      <w:r w:rsidR="0002098E">
        <w:t xml:space="preserve"> </w:t>
      </w:r>
      <w:r w:rsidR="008E0B00">
        <w:fldChar w:fldCharType="begin"/>
      </w:r>
      <w:r w:rsidR="008E0B00">
        <w:instrText xml:space="preserve"> ADDIN EN.CITE &lt;EndNote&gt;&lt;Cite&gt;&lt;Author&gt;Reitsma&lt;/Author&gt;&lt;Year&gt;2005&lt;/Year&gt;&lt;RecNum&gt;71&lt;/RecNum&gt;&lt;DisplayText&gt;(Reitsma et al. 2005)&lt;/DisplayText&gt;&lt;record&gt;&lt;rec-number&gt;71&lt;/rec-number&gt;&lt;foreign-keys&gt;&lt;key app="EN" db-id="2p9terxr22fx91epzebpfdwuzrwtw2a2ep2t" timestamp="1472684614"&gt;71&lt;/key&gt;&lt;/foreign-keys&gt;&lt;ref-type name="Journal Article"&gt;17&lt;/ref-type&gt;&lt;contributors&gt;&lt;authors&gt;&lt;author&gt;Reitsma, J. B.&lt;/author&gt;&lt;author&gt;Glas, A. S.&lt;/author&gt;&lt;author&gt;Rutjes, A. W.&lt;/author&gt;&lt;author&gt;Scholten, R. J.&lt;/author&gt;&lt;author&gt;Bossuyt, P. M.&lt;/author&gt;&lt;author&gt;Zwinderman, A. H.&lt;/author&gt;&lt;/authors&gt;&lt;/contributors&gt;&lt;auth-address&gt;Department of Clinical Epidemiology and Biostatistics, Academic Medical Center, University of Amsterdam, PO Box 22700, 1100 DE Amsterdam, The Netherlands. j.reitsma@amc.uva.nl&lt;/auth-address&gt;&lt;titles&gt;&lt;title&gt;Bivariate analysis of sensitivity and specificity produces informative summary measures in diagnostic reviews&lt;/title&gt;&lt;secondary-title&gt;J Clin Epidemiol&lt;/secondary-title&gt;&lt;alt-title&gt;Journal of clinical epidemiology&lt;/alt-title&gt;&lt;/titles&gt;&lt;periodical&gt;&lt;full-title&gt;J Clin Epidemiol&lt;/full-title&gt;&lt;/periodical&gt;&lt;pages&gt;982-90&lt;/pages&gt;&lt;volume&gt;58&lt;/volume&gt;&lt;number&gt;10&lt;/number&gt;&lt;edition&gt;2005/09/20&lt;/edition&gt;&lt;keywords&gt;&lt;keyword&gt;Data Interpretation, Statistical&lt;/keyword&gt;&lt;keyword&gt;*Diagnostic Techniques and Procedures&lt;/keyword&gt;&lt;keyword&gt;Humans&lt;/keyword&gt;&lt;keyword&gt;*Meta-Analysis as Topic&lt;/keyword&gt;&lt;keyword&gt;Outcome Assessment (Health Care)/methods&lt;/keyword&gt;&lt;keyword&gt;ROC Curve&lt;/keyword&gt;&lt;keyword&gt;Review Literature as Topic&lt;/keyword&gt;&lt;keyword&gt;Sensitivity and Specificity&lt;/keyword&gt;&lt;/keywords&gt;&lt;dates&gt;&lt;year&gt;2005&lt;/year&gt;&lt;pub-dates&gt;&lt;date&gt;Oct&lt;/date&gt;&lt;/pub-dates&gt;&lt;/dates&gt;&lt;isbn&gt;0895-4356 (Print)&amp;#xD;0895-4356&lt;/isbn&gt;&lt;accession-num&gt;16168343&lt;/accession-num&gt;&lt;urls&gt;&lt;/urls&gt;&lt;electronic-resource-num&gt;10.1016/j.jclinepi.2005.02.022&lt;/electronic-resource-num&gt;&lt;remote-database-provider&gt;NLM&lt;/remote-database-provider&gt;&lt;language&gt;eng&lt;/language&gt;&lt;/record&gt;&lt;/Cite&gt;&lt;/EndNote&gt;</w:instrText>
      </w:r>
      <w:r w:rsidR="008E0B00">
        <w:fldChar w:fldCharType="separate"/>
      </w:r>
      <w:r w:rsidR="008E0B00">
        <w:rPr>
          <w:noProof/>
        </w:rPr>
        <w:t>(</w:t>
      </w:r>
      <w:hyperlink w:anchor="_ENREF_125" w:tooltip="Reitsma, 2005 #71" w:history="1">
        <w:r w:rsidR="008E0B00">
          <w:rPr>
            <w:noProof/>
          </w:rPr>
          <w:t>Reitsma et al. 2005</w:t>
        </w:r>
      </w:hyperlink>
      <w:r w:rsidR="008E0B00">
        <w:rPr>
          <w:noProof/>
        </w:rPr>
        <w:t>)</w:t>
      </w:r>
      <w:r w:rsidR="008E0B00">
        <w:fldChar w:fldCharType="end"/>
      </w:r>
      <w:r w:rsidR="007F2651">
        <w:t>.</w:t>
      </w:r>
      <w:r>
        <w:t xml:space="preserve"> </w:t>
      </w:r>
      <w:r w:rsidRPr="00DD7E95">
        <w:t xml:space="preserve">The </w:t>
      </w:r>
      <w:r>
        <w:t>H</w:t>
      </w:r>
      <w:r w:rsidRPr="00DD7E95">
        <w:t>SROC cu</w:t>
      </w:r>
      <w:r w:rsidRPr="0055577D">
        <w:t xml:space="preserve">rve described by </w:t>
      </w:r>
      <w:r>
        <w:t>Rutter and Gatsonis</w:t>
      </w:r>
      <w:r w:rsidRPr="0055577D">
        <w:t xml:space="preserve"> </w:t>
      </w:r>
      <w:r w:rsidR="00EF1798">
        <w:t xml:space="preserve">(2001) </w:t>
      </w:r>
      <w:r>
        <w:t>was</w:t>
      </w:r>
      <w:r w:rsidRPr="0055577D">
        <w:t xml:space="preserve"> generated and the associated </w:t>
      </w:r>
      <w:r>
        <w:t>area under the curve (</w:t>
      </w:r>
      <w:r w:rsidRPr="0055577D">
        <w:t>AUC</w:t>
      </w:r>
      <w:r>
        <w:t>)</w:t>
      </w:r>
      <w:r w:rsidRPr="0055577D">
        <w:t xml:space="preserve"> was compared </w:t>
      </w:r>
      <w:r>
        <w:t>across</w:t>
      </w:r>
      <w:r w:rsidRPr="0055577D">
        <w:t xml:space="preserve"> imaging techniques</w:t>
      </w:r>
      <w:r w:rsidR="007F2651">
        <w:t xml:space="preserve"> </w:t>
      </w:r>
      <w:r w:rsidR="008E0B00">
        <w:fldChar w:fldCharType="begin"/>
      </w:r>
      <w:r w:rsidR="008E0B00">
        <w:instrText xml:space="preserve"> ADDIN EN.CITE &lt;EndNote&gt;&lt;Cite&gt;&lt;Author&gt;Rutter&lt;/Author&gt;&lt;Year&gt;2001&lt;/Year&gt;&lt;RecNum&gt;72&lt;/RecNum&gt;&lt;DisplayText&gt;(Rutter and Gatsonis 2001)&lt;/DisplayText&gt;&lt;record&gt;&lt;rec-number&gt;72&lt;/rec-number&gt;&lt;foreign-keys&gt;&lt;key app="EN" db-id="2p9terxr22fx91epzebpfdwuzrwtw2a2ep2t" timestamp="1472684614"&gt;72&lt;/key&gt;&lt;/foreign-keys&gt;&lt;ref-type name="Journal Article"&gt;17&lt;/ref-type&gt;&lt;contributors&gt;&lt;authors&gt;&lt;author&gt;Rutter, Carolyn M&lt;/author&gt;&lt;author&gt;Gatsonis, Constantine A&lt;/author&gt;&lt;/authors&gt;&lt;/contributors&gt;&lt;titles&gt;&lt;title&gt;A hierarchical regression approach to meta‐analysis of diagnostic test accuracy evaluations&lt;/title&gt;&lt;secondary-title&gt;Stat Med&lt;/secondary-title&gt;&lt;/titles&gt;&lt;periodical&gt;&lt;full-title&gt;Stat Med&lt;/full-title&gt;&lt;/periodical&gt;&lt;pages&gt;2865-2884&lt;/pages&gt;&lt;volume&gt;20&lt;/volume&gt;&lt;number&gt;19&lt;/number&gt;&lt;dates&gt;&lt;year&gt;2001&lt;/year&gt;&lt;/dates&gt;&lt;isbn&gt;1097-0258&lt;/isbn&gt;&lt;urls&gt;&lt;/urls&gt;&lt;/record&gt;&lt;/Cite&gt;&lt;/EndNote&gt;</w:instrText>
      </w:r>
      <w:r w:rsidR="008E0B00">
        <w:fldChar w:fldCharType="separate"/>
      </w:r>
      <w:r w:rsidR="008E0B00">
        <w:rPr>
          <w:noProof/>
        </w:rPr>
        <w:t>(</w:t>
      </w:r>
      <w:hyperlink w:anchor="_ENREF_137" w:tooltip="Rutter, 2001 #72" w:history="1">
        <w:r w:rsidR="008E0B00">
          <w:rPr>
            <w:noProof/>
          </w:rPr>
          <w:t>Rutter and Gatsonis 2001</w:t>
        </w:r>
      </w:hyperlink>
      <w:r w:rsidR="008E0B00">
        <w:rPr>
          <w:noProof/>
        </w:rPr>
        <w:t>)</w:t>
      </w:r>
      <w:r w:rsidR="008E0B00">
        <w:fldChar w:fldCharType="end"/>
      </w:r>
      <w:r w:rsidR="007F2651">
        <w:t>.</w:t>
      </w:r>
      <w:r w:rsidR="00ED3A26">
        <w:t xml:space="preserve"> Heterogeneity was estimated using visual inspection of the prediction interval. </w:t>
      </w:r>
    </w:p>
    <w:p w14:paraId="50EA7F2A" w14:textId="6248C77A" w:rsidR="00B662A4" w:rsidRDefault="00DE2A67" w:rsidP="00B662A4">
      <w:r w:rsidRPr="00E95C28">
        <w:rPr>
          <w:i/>
        </w:rPr>
        <w:t>A priori</w:t>
      </w:r>
      <w:r w:rsidRPr="004809E2">
        <w:t>, it</w:t>
      </w:r>
      <w:r>
        <w:t xml:space="preserve"> was determined that the following subgroups w</w:t>
      </w:r>
      <w:r w:rsidR="005C0D7A">
        <w:t>ould be investigated: use of an endorectal coil, type of biopsy and</w:t>
      </w:r>
      <w:r w:rsidR="00850633" w:rsidRPr="00850633">
        <w:t xml:space="preserve"> </w:t>
      </w:r>
      <w:r w:rsidR="00850633">
        <w:t>prospective versus retrospective studies</w:t>
      </w:r>
      <w:r w:rsidR="005C0D7A">
        <w:t xml:space="preserve">. </w:t>
      </w:r>
      <w:r w:rsidR="005C0D7A" w:rsidRPr="00160B25">
        <w:rPr>
          <w:i/>
        </w:rPr>
        <w:t>Post-hoc</w:t>
      </w:r>
      <w:r w:rsidR="005C0D7A">
        <w:t xml:space="preserve"> subgroup analyses were </w:t>
      </w:r>
      <w:r w:rsidR="005C0D7A" w:rsidRPr="00FD04FE">
        <w:t xml:space="preserve">performed on </w:t>
      </w:r>
      <w:r w:rsidR="00850633" w:rsidRPr="00FD04FE">
        <w:t>PI-RADS version 1 versus version 2.</w:t>
      </w:r>
      <w:r w:rsidR="005C0D7A">
        <w:t xml:space="preserve"> </w:t>
      </w:r>
    </w:p>
    <w:p w14:paraId="4F1D55E2" w14:textId="48484CC7" w:rsidR="00B34BEF" w:rsidRDefault="00B34BEF" w:rsidP="00B662A4">
      <w:r>
        <w:t>Estimates of sensitivity and specificity were performed for the detection of any type of cancer and for the detection of clinically significant cancer</w:t>
      </w:r>
      <w:r w:rsidR="002D7010">
        <w:t xml:space="preserve"> (as defined by the study or defined as Gleason ≥7)</w:t>
      </w:r>
      <w:r>
        <w:t>.</w:t>
      </w:r>
    </w:p>
    <w:p w14:paraId="3374A0F6" w14:textId="0AAB3154" w:rsidR="005C0D7A" w:rsidRDefault="005C0D7A" w:rsidP="00B662A4">
      <w:r>
        <w:lastRenderedPageBreak/>
        <w:t xml:space="preserve">Meta-analyses were conducted in R i386 v3.1.2 using the </w:t>
      </w:r>
      <w:r w:rsidDel="007E5BBD">
        <w:t>“mada”</w:t>
      </w:r>
      <w:r w:rsidR="007F2651">
        <w:t xml:space="preserve"> package</w:t>
      </w:r>
      <w:r w:rsidR="0002098E">
        <w:t xml:space="preserve"> </w:t>
      </w:r>
      <w:r w:rsidR="008E0B00">
        <w:fldChar w:fldCharType="begin"/>
      </w:r>
      <w:r w:rsidR="008E0B00">
        <w:instrText xml:space="preserve"> ADDIN EN.CITE &lt;EndNote&gt;&lt;Cite&gt;&lt;Author&gt;Doebler&lt;/Author&gt;&lt;Year&gt;2012&lt;/Year&gt;&lt;RecNum&gt;73&lt;/RecNum&gt;&lt;DisplayText&gt;(Doebler and Holling 2012)&lt;/DisplayText&gt;&lt;record&gt;&lt;rec-number&gt;73&lt;/rec-number&gt;&lt;foreign-keys&gt;&lt;key app="EN" db-id="2p9terxr22fx91epzebpfdwuzrwtw2a2ep2t" timestamp="1472684615"&gt;73&lt;/key&gt;&lt;/foreign-keys&gt;&lt;ref-type name="Web Page"&gt;12&lt;/ref-type&gt;&lt;contributors&gt;&lt;authors&gt;&lt;author&gt;Doebler, Philipp&lt;/author&gt;&lt;author&gt;Holling, Heinz&lt;/author&gt;&lt;/authors&gt;&lt;/contributors&gt;&lt;titles&gt;&lt;title&gt;Meta-Analysis of Diagnostic Accuracy with mada&lt;/title&gt;&lt;/titles&gt;&lt;volume&gt;2016&lt;/volume&gt;&lt;number&gt;1 September&lt;/number&gt;&lt;dates&gt;&lt;year&gt;2012&lt;/year&gt;&lt;/dates&gt;&lt;publisher&gt;CRAN&lt;/publisher&gt;&lt;urls&gt;&lt;related-urls&gt;&lt;url&gt;https://cran.r-project.org/web/packages/mada/vignettes/mada.pdf&lt;/url&gt;&lt;/related-urls&gt;&lt;/urls&gt;&lt;/record&gt;&lt;/Cite&gt;&lt;/EndNote&gt;</w:instrText>
      </w:r>
      <w:r w:rsidR="008E0B00">
        <w:fldChar w:fldCharType="separate"/>
      </w:r>
      <w:r w:rsidR="008E0B00">
        <w:rPr>
          <w:noProof/>
        </w:rPr>
        <w:t>(</w:t>
      </w:r>
      <w:hyperlink w:anchor="_ENREF_38" w:tooltip="Doebler, 2012 #73" w:history="1">
        <w:r w:rsidR="008E0B00">
          <w:rPr>
            <w:noProof/>
          </w:rPr>
          <w:t>Doebler and Holling 2012</w:t>
        </w:r>
      </w:hyperlink>
      <w:r w:rsidR="008E0B00">
        <w:rPr>
          <w:noProof/>
        </w:rPr>
        <w:t>)</w:t>
      </w:r>
      <w:r w:rsidR="008E0B00">
        <w:fldChar w:fldCharType="end"/>
      </w:r>
      <w:r w:rsidR="007F2651">
        <w:t>.</w:t>
      </w:r>
      <w:r>
        <w:t xml:space="preserve"> Publication bias was not assessed due to the inherent difficulty in estimating publication bias for diagnostic studies and inaccuracy in interpretation of results</w:t>
      </w:r>
      <w:r w:rsidR="0002098E">
        <w:t xml:space="preserve"> </w:t>
      </w:r>
      <w:r w:rsidR="008E0B00">
        <w:fldChar w:fldCharType="begin"/>
      </w:r>
      <w:r w:rsidR="008E0B00">
        <w:instrText xml:space="preserve"> ADDIN EN.CITE &lt;EndNote&gt;&lt;Cite&gt;&lt;Author&gt;Macaskill&lt;/Author&gt;&lt;Year&gt;2010&lt;/Year&gt;&lt;RecNum&gt;74&lt;/RecNum&gt;&lt;DisplayText&gt;(Macaskill et al. 2010)&lt;/DisplayText&gt;&lt;record&gt;&lt;rec-number&gt;74&lt;/rec-number&gt;&lt;foreign-keys&gt;&lt;key app="EN" db-id="2p9terxr22fx91epzebpfdwuzrwtw2a2ep2t" timestamp="1472684615"&gt;74&lt;/key&gt;&lt;/foreign-keys&gt;&lt;ref-type name="Web Page"&gt;12&lt;/ref-type&gt;&lt;contributors&gt;&lt;authors&gt;&lt;author&gt;Macaskill, P.&lt;/author&gt;&lt;author&gt;Gatsonis, C.&lt;/author&gt;&lt;author&gt;Deeks, J.&lt;/author&gt;&lt;author&gt;Harbord, R.&lt;/author&gt;&lt;author&gt;Takwoingi, Y.&lt;/author&gt;&lt;/authors&gt;&lt;/contributors&gt;&lt;titles&gt;&lt;title&gt;Cochrane Handbook for Systematic Reviews of Diagnostic Test Accuracy: Chapter 10: Analysing and Presenting Results&lt;/title&gt;&lt;/titles&gt;&lt;volume&gt;2015&lt;/volume&gt;&lt;number&gt;1 October&lt;/number&gt;&lt;dates&gt;&lt;year&gt;2010&lt;/year&gt;&lt;/dates&gt;&lt;publisher&gt;The Cochrane Collaboration&lt;/publisher&gt;&lt;urls&gt;&lt;related-urls&gt;&lt;url&gt;http://srdta.cochrane.org/&lt;/url&gt;&lt;/related-urls&gt;&lt;/urls&gt;&lt;/record&gt;&lt;/Cite&gt;&lt;/EndNote&gt;</w:instrText>
      </w:r>
      <w:r w:rsidR="008E0B00">
        <w:fldChar w:fldCharType="separate"/>
      </w:r>
      <w:r w:rsidR="008E0B00">
        <w:rPr>
          <w:noProof/>
        </w:rPr>
        <w:t>(</w:t>
      </w:r>
      <w:hyperlink w:anchor="_ENREF_89" w:tooltip="Macaskill, 2010 #74" w:history="1">
        <w:r w:rsidR="008E0B00">
          <w:rPr>
            <w:noProof/>
          </w:rPr>
          <w:t>Macaskill et al. 2010</w:t>
        </w:r>
      </w:hyperlink>
      <w:r w:rsidR="008E0B00">
        <w:rPr>
          <w:noProof/>
        </w:rPr>
        <w:t>)</w:t>
      </w:r>
      <w:r w:rsidR="008E0B00">
        <w:fldChar w:fldCharType="end"/>
      </w:r>
      <w:r>
        <w:t>.</w:t>
      </w:r>
      <w:r w:rsidR="007F2651">
        <w:t xml:space="preserve"> </w:t>
      </w:r>
    </w:p>
    <w:p w14:paraId="1C4FB963" w14:textId="77777777" w:rsidR="003A232F" w:rsidRDefault="003A232F" w:rsidP="007A49EE">
      <w:pPr>
        <w:rPr>
          <w:vanish/>
          <w:color w:val="C00000"/>
        </w:rPr>
      </w:pPr>
    </w:p>
    <w:p w14:paraId="3987D166" w14:textId="77777777" w:rsidR="003A232F" w:rsidRPr="00183E4D" w:rsidRDefault="003A232F" w:rsidP="007A49EE">
      <w:pPr>
        <w:sectPr w:rsidR="003A232F" w:rsidRPr="00183E4D" w:rsidSect="007A49EE">
          <w:headerReference w:type="even" r:id="rId30"/>
          <w:headerReference w:type="default" r:id="rId31"/>
          <w:headerReference w:type="first" r:id="rId32"/>
          <w:type w:val="oddPage"/>
          <w:pgSz w:w="11906" w:h="16838"/>
          <w:pgMar w:top="1440" w:right="1440" w:bottom="1440" w:left="1440" w:header="720" w:footer="720" w:gutter="0"/>
          <w:paperSrc w:first="2" w:other="2"/>
          <w:cols w:space="720"/>
        </w:sectPr>
      </w:pPr>
    </w:p>
    <w:p w14:paraId="2A790601" w14:textId="7CB54424" w:rsidR="007A49EE" w:rsidRDefault="007A49EE" w:rsidP="00F87EE4">
      <w:pPr>
        <w:pStyle w:val="Heading2"/>
        <w:numPr>
          <w:ilvl w:val="1"/>
          <w:numId w:val="18"/>
        </w:numPr>
      </w:pPr>
      <w:bookmarkStart w:id="300" w:name="_Toc460513916"/>
      <w:r w:rsidRPr="00183E4D">
        <w:lastRenderedPageBreak/>
        <w:t>Results of the Systematic Literature review</w:t>
      </w:r>
      <w:r w:rsidR="00D62E86">
        <w:t>: diagnostic accuracy (Population 1)</w:t>
      </w:r>
      <w:bookmarkEnd w:id="300"/>
    </w:p>
    <w:p w14:paraId="7FE826EE" w14:textId="0A4CD0E6" w:rsidR="003F7224" w:rsidRDefault="003F7224" w:rsidP="003F7224">
      <w:pPr>
        <w:pStyle w:val="Heading3"/>
      </w:pPr>
      <w:bookmarkStart w:id="301" w:name="_Toc460513917"/>
      <w:r>
        <w:t>I</w:t>
      </w:r>
      <w:r w:rsidR="009A220C">
        <w:t>s mpMRI</w:t>
      </w:r>
      <w:r>
        <w:t xml:space="preserve"> accurate?</w:t>
      </w:r>
      <w:bookmarkEnd w:id="301"/>
    </w:p>
    <w:p w14:paraId="082A7F1C" w14:textId="77777777" w:rsidR="00DB5940" w:rsidRDefault="00DB5940" w:rsidP="00DB5940">
      <w:pPr>
        <w:pStyle w:val="Summaryboxheading"/>
        <w:pBdr>
          <w:top w:val="single" w:sz="4" w:space="1" w:color="auto"/>
          <w:left w:val="single" w:sz="4" w:space="4" w:color="auto"/>
          <w:bottom w:val="single" w:sz="4" w:space="1" w:color="auto"/>
          <w:right w:val="single" w:sz="4" w:space="4" w:color="auto"/>
        </w:pBdr>
      </w:pPr>
      <w:r w:rsidRPr="00183E4D">
        <w:t xml:space="preserve">Summary – </w:t>
      </w:r>
      <w:r w:rsidR="00F56369">
        <w:t>What is the diagnostic accuracy of mpMRI compared to biopsy in patients with a suspicion of prostate cancer?</w:t>
      </w:r>
    </w:p>
    <w:p w14:paraId="615B1861" w14:textId="54B4326D" w:rsidR="00771062" w:rsidRDefault="00771062" w:rsidP="00DB5940">
      <w:pPr>
        <w:pStyle w:val="Summaryboxheading"/>
        <w:pBdr>
          <w:top w:val="single" w:sz="4" w:space="1" w:color="auto"/>
          <w:left w:val="single" w:sz="4" w:space="4" w:color="auto"/>
          <w:bottom w:val="single" w:sz="4" w:space="1" w:color="auto"/>
          <w:right w:val="single" w:sz="4" w:space="4" w:color="auto"/>
        </w:pBdr>
        <w:rPr>
          <w:b w:val="0"/>
        </w:rPr>
      </w:pPr>
      <w:r>
        <w:rPr>
          <w:b w:val="0"/>
        </w:rPr>
        <w:t>Ten studies</w:t>
      </w:r>
      <w:r w:rsidR="00517666">
        <w:rPr>
          <w:b w:val="0"/>
        </w:rPr>
        <w:t xml:space="preserve">, including 2,062 </w:t>
      </w:r>
      <w:r w:rsidR="00C219D2">
        <w:rPr>
          <w:b w:val="0"/>
        </w:rPr>
        <w:t>patients</w:t>
      </w:r>
      <w:r w:rsidR="00517666">
        <w:rPr>
          <w:b w:val="0"/>
        </w:rPr>
        <w:t>,</w:t>
      </w:r>
      <w:r>
        <w:rPr>
          <w:b w:val="0"/>
        </w:rPr>
        <w:t xml:space="preserve"> were</w:t>
      </w:r>
      <w:r w:rsidR="00023843">
        <w:rPr>
          <w:b w:val="0"/>
        </w:rPr>
        <w:t xml:space="preserve"> identified that reported a </w:t>
      </w:r>
      <w:r w:rsidR="00D311ED">
        <w:rPr>
          <w:b w:val="0"/>
        </w:rPr>
        <w:t>per-patient</w:t>
      </w:r>
      <w:r>
        <w:rPr>
          <w:b w:val="0"/>
        </w:rPr>
        <w:t xml:space="preserve"> analysis of the diagnostic accuracy of mpMRI in patients suspected of having </w:t>
      </w:r>
      <w:r w:rsidR="001327C8" w:rsidRPr="002D62D4">
        <w:rPr>
          <w:b w:val="0"/>
        </w:rPr>
        <w:t>PCa</w:t>
      </w:r>
      <w:r w:rsidR="00B27741">
        <w:rPr>
          <w:b w:val="0"/>
        </w:rPr>
        <w:t xml:space="preserve"> based on</w:t>
      </w:r>
      <w:r>
        <w:rPr>
          <w:b w:val="0"/>
        </w:rPr>
        <w:t xml:space="preserve"> concerning PSA or DRE results. </w:t>
      </w:r>
      <w:r w:rsidR="00D306FF">
        <w:rPr>
          <w:b w:val="0"/>
        </w:rPr>
        <w:t xml:space="preserve">Pathology of samples obtained by biopsy was the reference standard in all studies. </w:t>
      </w:r>
      <w:r>
        <w:rPr>
          <w:b w:val="0"/>
        </w:rPr>
        <w:t xml:space="preserve">There were no applicability issues identified between the included key studies and the proposed population in the Protocol. Only studies using </w:t>
      </w:r>
      <w:r w:rsidR="00A04345">
        <w:rPr>
          <w:b w:val="0"/>
        </w:rPr>
        <w:t xml:space="preserve">a </w:t>
      </w:r>
      <w:r>
        <w:rPr>
          <w:b w:val="0"/>
        </w:rPr>
        <w:t xml:space="preserve">threshold for PI-RADS scoring </w:t>
      </w:r>
      <w:r w:rsidR="00F9126D">
        <w:rPr>
          <w:b w:val="0"/>
        </w:rPr>
        <w:t xml:space="preserve">consistent with </w:t>
      </w:r>
      <w:r>
        <w:rPr>
          <w:b w:val="0"/>
        </w:rPr>
        <w:t xml:space="preserve">that stated in the Protocol (PI-RADS </w:t>
      </w:r>
      <w:r w:rsidR="00F9126D">
        <w:rPr>
          <w:b w:val="0"/>
        </w:rPr>
        <w:t>≥</w:t>
      </w:r>
      <w:r>
        <w:rPr>
          <w:b w:val="0"/>
        </w:rPr>
        <w:t xml:space="preserve">4 for a positive result) were included in this analysis. </w:t>
      </w:r>
    </w:p>
    <w:p w14:paraId="7EC33ED1" w14:textId="66028185" w:rsidR="00FA293F" w:rsidRPr="007A45BE" w:rsidRDefault="007A45BE" w:rsidP="00DB5940">
      <w:pPr>
        <w:pStyle w:val="Summaryboxheading"/>
        <w:pBdr>
          <w:top w:val="single" w:sz="4" w:space="1" w:color="auto"/>
          <w:left w:val="single" w:sz="4" w:space="4" w:color="auto"/>
          <w:bottom w:val="single" w:sz="4" w:space="1" w:color="auto"/>
          <w:right w:val="single" w:sz="4" w:space="4" w:color="auto"/>
        </w:pBdr>
        <w:rPr>
          <w:b w:val="0"/>
        </w:rPr>
      </w:pPr>
      <w:r w:rsidRPr="007A45BE">
        <w:rPr>
          <w:b w:val="0"/>
        </w:rPr>
        <w:t>For the detection of any cancer, mpMRI has a sensitivity of 73.4% (95% CI [57</w:t>
      </w:r>
      <w:r w:rsidR="00C219D2">
        <w:rPr>
          <w:b w:val="0"/>
        </w:rPr>
        <w:t>.0</w:t>
      </w:r>
      <w:r w:rsidRPr="007A45BE">
        <w:rPr>
          <w:b w:val="0"/>
        </w:rPr>
        <w:t>, 85</w:t>
      </w:r>
      <w:r w:rsidR="00C219D2">
        <w:rPr>
          <w:b w:val="0"/>
        </w:rPr>
        <w:t>.1</w:t>
      </w:r>
      <w:r w:rsidRPr="007A45BE">
        <w:rPr>
          <w:b w:val="0"/>
        </w:rPr>
        <w:t>]) and a specificity of 77.1% (95% CI [63.5</w:t>
      </w:r>
      <w:r w:rsidR="0019425C">
        <w:rPr>
          <w:b w:val="0"/>
        </w:rPr>
        <w:t>,</w:t>
      </w:r>
      <w:r w:rsidR="004809E2">
        <w:rPr>
          <w:b w:val="0"/>
        </w:rPr>
        <w:t xml:space="preserve"> </w:t>
      </w:r>
      <w:r w:rsidRPr="007A45BE">
        <w:rPr>
          <w:b w:val="0"/>
        </w:rPr>
        <w:t>86.7])</w:t>
      </w:r>
      <w:r>
        <w:rPr>
          <w:b w:val="0"/>
        </w:rPr>
        <w:t xml:space="preserve"> – results from meta-analysis of 10 studies including 2,062 patients</w:t>
      </w:r>
      <w:r w:rsidR="00771062">
        <w:rPr>
          <w:b w:val="0"/>
        </w:rPr>
        <w:t>.</w:t>
      </w:r>
    </w:p>
    <w:p w14:paraId="234DC240" w14:textId="14285E37" w:rsidR="007A45BE" w:rsidRPr="007A45BE" w:rsidRDefault="007A45BE" w:rsidP="00DB5940">
      <w:pPr>
        <w:pStyle w:val="Summaryboxheading"/>
        <w:pBdr>
          <w:top w:val="single" w:sz="4" w:space="1" w:color="auto"/>
          <w:left w:val="single" w:sz="4" w:space="4" w:color="auto"/>
          <w:bottom w:val="single" w:sz="4" w:space="1" w:color="auto"/>
          <w:right w:val="single" w:sz="4" w:space="4" w:color="auto"/>
        </w:pBdr>
        <w:rPr>
          <w:b w:val="0"/>
        </w:rPr>
      </w:pPr>
      <w:r w:rsidRPr="007A45BE">
        <w:rPr>
          <w:b w:val="0"/>
        </w:rPr>
        <w:t>For the detection of clinically significant cancer mpMRI has a sensitivity of 76.3% (95% CI [58.6, 88.0]) and a specificity of 82.9% (95% CI [71.5, 90.4]) (results from meta-analysis of 6 studies including 1,229 patients)</w:t>
      </w:r>
      <w:r w:rsidR="00771062">
        <w:rPr>
          <w:b w:val="0"/>
        </w:rPr>
        <w:t>.</w:t>
      </w:r>
    </w:p>
    <w:p w14:paraId="7921E17F" w14:textId="6138C4E9" w:rsidR="00DB5940" w:rsidRDefault="007A45BE" w:rsidP="00DB5940">
      <w:pPr>
        <w:pStyle w:val="Summaryboxheading"/>
        <w:pBdr>
          <w:top w:val="single" w:sz="4" w:space="1" w:color="auto"/>
          <w:left w:val="single" w:sz="4" w:space="4" w:color="auto"/>
          <w:bottom w:val="single" w:sz="4" w:space="1" w:color="auto"/>
          <w:right w:val="single" w:sz="4" w:space="4" w:color="auto"/>
        </w:pBdr>
        <w:rPr>
          <w:b w:val="0"/>
        </w:rPr>
      </w:pPr>
      <w:r>
        <w:rPr>
          <w:b w:val="0"/>
        </w:rPr>
        <w:t>The point estimates for sensitivity and specificity are associated with wide confidence intervals</w:t>
      </w:r>
      <w:r w:rsidR="007A7187">
        <w:rPr>
          <w:b w:val="0"/>
        </w:rPr>
        <w:t xml:space="preserve"> reflecting uncertainty in the results. H</w:t>
      </w:r>
      <w:r>
        <w:rPr>
          <w:b w:val="0"/>
        </w:rPr>
        <w:t xml:space="preserve">eterogeneity in the evidence base </w:t>
      </w:r>
      <w:r w:rsidR="00D62E86">
        <w:rPr>
          <w:b w:val="0"/>
        </w:rPr>
        <w:t xml:space="preserve">was </w:t>
      </w:r>
      <w:r>
        <w:rPr>
          <w:b w:val="0"/>
        </w:rPr>
        <w:t>high, particularly for studies reporting the diagnosis of any cancer</w:t>
      </w:r>
      <w:r w:rsidR="00EF1798">
        <w:rPr>
          <w:b w:val="0"/>
        </w:rPr>
        <w:t xml:space="preserve"> and could not be</w:t>
      </w:r>
      <w:r>
        <w:rPr>
          <w:b w:val="0"/>
        </w:rPr>
        <w:t xml:space="preserve"> explained through subgroup analysis of clinical features.</w:t>
      </w:r>
    </w:p>
    <w:p w14:paraId="18069075" w14:textId="42E4A2AF" w:rsidR="00082DBE" w:rsidRDefault="00082DBE" w:rsidP="00DB5940">
      <w:pPr>
        <w:pStyle w:val="Summaryboxheading"/>
        <w:pBdr>
          <w:top w:val="single" w:sz="4" w:space="1" w:color="auto"/>
          <w:left w:val="single" w:sz="4" w:space="4" w:color="auto"/>
          <w:bottom w:val="single" w:sz="4" w:space="1" w:color="auto"/>
          <w:right w:val="single" w:sz="4" w:space="4" w:color="auto"/>
        </w:pBdr>
        <w:rPr>
          <w:b w:val="0"/>
        </w:rPr>
      </w:pPr>
      <w:r>
        <w:rPr>
          <w:b w:val="0"/>
        </w:rPr>
        <w:t>The quality for the diagnostic accuracy outcomes was rated</w:t>
      </w:r>
      <w:r w:rsidR="00E742A6">
        <w:rPr>
          <w:b w:val="0"/>
        </w:rPr>
        <w:t xml:space="preserve"> as</w:t>
      </w:r>
      <w:r>
        <w:rPr>
          <w:b w:val="0"/>
        </w:rPr>
        <w:t xml:space="preserve"> </w:t>
      </w:r>
      <w:r w:rsidR="00E742A6">
        <w:rPr>
          <w:b w:val="0"/>
        </w:rPr>
        <w:t>‘</w:t>
      </w:r>
      <w:r>
        <w:rPr>
          <w:b w:val="0"/>
        </w:rPr>
        <w:t>poor</w:t>
      </w:r>
      <w:r w:rsidR="00E742A6">
        <w:rPr>
          <w:b w:val="0"/>
        </w:rPr>
        <w:t>’</w:t>
      </w:r>
      <w:r>
        <w:rPr>
          <w:b w:val="0"/>
        </w:rPr>
        <w:t xml:space="preserve"> using the GRADE tool. This reflects serious issues with the precision and consistency in the evidence base.</w:t>
      </w:r>
    </w:p>
    <w:p w14:paraId="7B25BE8A" w14:textId="235018C9" w:rsidR="00B27741" w:rsidRDefault="00B27741" w:rsidP="00B27741">
      <w:bookmarkStart w:id="302" w:name="_Ref456191610"/>
      <w:r>
        <w:t>Diagnostic accuracy data from the 10 key studies for Population 1 are reported in</w:t>
      </w:r>
      <w:r w:rsidR="002064E4">
        <w:rPr>
          <w:b/>
          <w:bCs/>
          <w:lang w:val="en-US"/>
        </w:rPr>
        <w:t xml:space="preserve"> </w:t>
      </w:r>
      <w:r w:rsidR="002064E4">
        <w:rPr>
          <w:b/>
          <w:bCs/>
          <w:lang w:val="en-US"/>
        </w:rPr>
        <w:fldChar w:fldCharType="begin"/>
      </w:r>
      <w:r w:rsidR="002064E4">
        <w:rPr>
          <w:b/>
          <w:bCs/>
          <w:lang w:val="en-US"/>
        </w:rPr>
        <w:instrText xml:space="preserve"> REF _Ref458504549 \h </w:instrText>
      </w:r>
      <w:r w:rsidR="002064E4">
        <w:rPr>
          <w:b/>
          <w:bCs/>
          <w:lang w:val="en-US"/>
        </w:rPr>
      </w:r>
      <w:r w:rsidR="002064E4">
        <w:rPr>
          <w:b/>
          <w:bCs/>
          <w:lang w:val="en-US"/>
        </w:rPr>
        <w:fldChar w:fldCharType="separate"/>
      </w:r>
      <w:r w:rsidR="0029649D" w:rsidRPr="00A47118">
        <w:t xml:space="preserve">Table </w:t>
      </w:r>
      <w:r w:rsidR="0029649D">
        <w:rPr>
          <w:noProof/>
        </w:rPr>
        <w:t>22</w:t>
      </w:r>
      <w:r w:rsidR="002064E4">
        <w:rPr>
          <w:b/>
          <w:bCs/>
          <w:lang w:val="en-US"/>
        </w:rPr>
        <w:fldChar w:fldCharType="end"/>
      </w:r>
      <w:r>
        <w:t xml:space="preserve">. The studies were judged to be clinically homogenous on the basis of similar patient enrolment criteria and index test characteristics with the use of a consistent threshold. On this basis a meta-analysis of the results was undertaken. A summary of the estimates of sensitivity and specificity generated from meta-analysis of the studies using the bivariate model are provided in </w:t>
      </w:r>
      <w:r>
        <w:fldChar w:fldCharType="begin"/>
      </w:r>
      <w:r>
        <w:instrText xml:space="preserve"> REF _Ref456772493 \h </w:instrText>
      </w:r>
      <w:r>
        <w:fldChar w:fldCharType="separate"/>
      </w:r>
      <w:r w:rsidR="0029649D">
        <w:t xml:space="preserve">Table </w:t>
      </w:r>
      <w:r w:rsidR="0029649D">
        <w:rPr>
          <w:noProof/>
        </w:rPr>
        <w:t>23</w:t>
      </w:r>
      <w:r>
        <w:fldChar w:fldCharType="end"/>
      </w:r>
      <w:r>
        <w:t>.</w:t>
      </w:r>
    </w:p>
    <w:p w14:paraId="4D1CA206" w14:textId="52D397AF" w:rsidR="007A49EE" w:rsidRPr="00466B3D" w:rsidRDefault="007A49EE" w:rsidP="00466B3D">
      <w:pPr>
        <w:pStyle w:val="Caption"/>
      </w:pPr>
      <w:bookmarkStart w:id="303" w:name="_Ref458504549"/>
      <w:bookmarkStart w:id="304" w:name="_Toc460514522"/>
      <w:r w:rsidRPr="00A47118">
        <w:lastRenderedPageBreak/>
        <w:t xml:space="preserve">Table </w:t>
      </w:r>
      <w:fldSimple w:instr=" SEQ Table \* ARABIC ">
        <w:r w:rsidR="0029649D">
          <w:rPr>
            <w:noProof/>
          </w:rPr>
          <w:t>22</w:t>
        </w:r>
      </w:fldSimple>
      <w:bookmarkEnd w:id="302"/>
      <w:bookmarkEnd w:id="303"/>
      <w:r w:rsidRPr="00A47118">
        <w:tab/>
      </w:r>
      <w:r w:rsidRPr="00466B3D">
        <w:t xml:space="preserve">Results of key </w:t>
      </w:r>
      <w:r w:rsidR="0017688C" w:rsidRPr="00466B3D">
        <w:t>accuracy</w:t>
      </w:r>
      <w:r w:rsidRPr="00466B3D">
        <w:t xml:space="preserve"> trials comparing </w:t>
      </w:r>
      <w:r w:rsidR="00A12ECD" w:rsidRPr="00466B3D">
        <w:t>mpMRI</w:t>
      </w:r>
      <w:r w:rsidRPr="00466B3D">
        <w:t xml:space="preserve"> against </w:t>
      </w:r>
      <w:r w:rsidR="00A12ECD" w:rsidRPr="00466B3D">
        <w:t>biopsy</w:t>
      </w:r>
      <w:bookmarkEnd w:id="304"/>
      <w:r w:rsidRPr="00466B3D">
        <w:t xml:space="preserve"> </w:t>
      </w:r>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308"/>
        <w:gridCol w:w="1992"/>
        <w:gridCol w:w="1564"/>
        <w:gridCol w:w="1706"/>
        <w:gridCol w:w="2542"/>
      </w:tblGrid>
      <w:tr w:rsidR="00A47118" w:rsidRPr="009142A9" w14:paraId="5B68D714" w14:textId="77777777" w:rsidTr="00E6732A">
        <w:trPr>
          <w:cantSplit/>
          <w:trHeight w:val="397"/>
          <w:tblHeader/>
        </w:trPr>
        <w:tc>
          <w:tcPr>
            <w:tcW w:w="718" w:type="pct"/>
            <w:shd w:val="clear" w:color="auto" w:fill="auto"/>
          </w:tcPr>
          <w:p w14:paraId="5E80A9AD" w14:textId="77777777" w:rsidR="00A47118" w:rsidRPr="009142A9" w:rsidRDefault="00A47118" w:rsidP="0060578C">
            <w:pPr>
              <w:pStyle w:val="Tableheading1"/>
              <w:keepNext/>
            </w:pPr>
            <w:r w:rsidRPr="009142A9">
              <w:t>Study ID</w:t>
            </w:r>
          </w:p>
        </w:tc>
        <w:tc>
          <w:tcPr>
            <w:tcW w:w="1093" w:type="pct"/>
          </w:tcPr>
          <w:p w14:paraId="08FA4876" w14:textId="77777777" w:rsidR="00A47118" w:rsidRPr="009142A9" w:rsidRDefault="00A47118" w:rsidP="0060578C">
            <w:pPr>
              <w:pStyle w:val="Tableheading1"/>
              <w:keepNext/>
            </w:pPr>
            <w:r w:rsidRPr="009142A9">
              <w:t xml:space="preserve">Study characteristics </w:t>
            </w:r>
          </w:p>
        </w:tc>
        <w:tc>
          <w:tcPr>
            <w:tcW w:w="858" w:type="pct"/>
          </w:tcPr>
          <w:p w14:paraId="04BA9EF4" w14:textId="483EEF86" w:rsidR="00A47118" w:rsidRPr="009142A9" w:rsidRDefault="00A47118" w:rsidP="0060578C">
            <w:pPr>
              <w:pStyle w:val="Tableheading1"/>
              <w:keepNext/>
            </w:pPr>
            <w:r w:rsidRPr="009142A9">
              <w:t xml:space="preserve">Result – </w:t>
            </w:r>
            <w:r w:rsidR="001D76FF" w:rsidRPr="009142A9">
              <w:t>any</w:t>
            </w:r>
            <w:r w:rsidRPr="009142A9">
              <w:t xml:space="preserve"> cancer</w:t>
            </w:r>
          </w:p>
        </w:tc>
        <w:tc>
          <w:tcPr>
            <w:tcW w:w="936" w:type="pct"/>
          </w:tcPr>
          <w:p w14:paraId="0670A014" w14:textId="77777777" w:rsidR="00A47118" w:rsidRPr="009142A9" w:rsidRDefault="00A47118" w:rsidP="0060578C">
            <w:pPr>
              <w:pStyle w:val="Tableheading1"/>
              <w:keepNext/>
            </w:pPr>
            <w:r w:rsidRPr="009142A9">
              <w:t>Result - clinically significant cancer</w:t>
            </w:r>
          </w:p>
        </w:tc>
        <w:tc>
          <w:tcPr>
            <w:tcW w:w="1395" w:type="pct"/>
          </w:tcPr>
          <w:p w14:paraId="29B9E3E7" w14:textId="77777777" w:rsidR="00A47118" w:rsidRPr="009142A9" w:rsidRDefault="00A47118" w:rsidP="0060578C">
            <w:pPr>
              <w:pStyle w:val="Tableheading1"/>
              <w:keepNext/>
            </w:pPr>
            <w:r w:rsidRPr="009142A9">
              <w:t>Definition of clinically significant cancer</w:t>
            </w:r>
          </w:p>
        </w:tc>
      </w:tr>
      <w:tr w:rsidR="00A47118" w:rsidRPr="00183E4D" w14:paraId="1DD63B23" w14:textId="77777777" w:rsidTr="00E6732A">
        <w:trPr>
          <w:cantSplit/>
          <w:trHeight w:val="397"/>
          <w:tblHeader/>
        </w:trPr>
        <w:tc>
          <w:tcPr>
            <w:tcW w:w="718" w:type="pct"/>
            <w:shd w:val="clear" w:color="auto" w:fill="auto"/>
          </w:tcPr>
          <w:p w14:paraId="60100304" w14:textId="77777777" w:rsidR="00A47118" w:rsidRDefault="00A47118" w:rsidP="0060578C">
            <w:pPr>
              <w:pStyle w:val="Tabletext1"/>
              <w:keepNext/>
            </w:pPr>
            <w:r>
              <w:t xml:space="preserve">Baldisserotto et al. (2016) </w:t>
            </w:r>
          </w:p>
        </w:tc>
        <w:tc>
          <w:tcPr>
            <w:tcW w:w="1093" w:type="pct"/>
          </w:tcPr>
          <w:p w14:paraId="615087BE" w14:textId="77777777" w:rsidR="00A47118" w:rsidRDefault="00A47118" w:rsidP="0060578C">
            <w:pPr>
              <w:pStyle w:val="Tabletext1"/>
              <w:keepNext/>
              <w:rPr>
                <w:snapToGrid w:val="0"/>
              </w:rPr>
            </w:pPr>
            <w:r>
              <w:rPr>
                <w:snapToGrid w:val="0"/>
              </w:rPr>
              <w:t>Retrospective</w:t>
            </w:r>
          </w:p>
          <w:p w14:paraId="69747550" w14:textId="77777777" w:rsidR="00A47118" w:rsidRDefault="00A47118" w:rsidP="0060578C">
            <w:pPr>
              <w:pStyle w:val="Tabletext1"/>
              <w:keepNext/>
              <w:rPr>
                <w:snapToGrid w:val="0"/>
              </w:rPr>
            </w:pPr>
            <w:r>
              <w:rPr>
                <w:snapToGrid w:val="0"/>
              </w:rPr>
              <w:t>No ERC</w:t>
            </w:r>
          </w:p>
          <w:p w14:paraId="33C5707B" w14:textId="77777777" w:rsidR="00A47118" w:rsidRDefault="00A47118" w:rsidP="0060578C">
            <w:pPr>
              <w:pStyle w:val="Tabletext1"/>
              <w:keepNext/>
              <w:rPr>
                <w:snapToGrid w:val="0"/>
              </w:rPr>
            </w:pPr>
            <w:r>
              <w:rPr>
                <w:snapToGrid w:val="0"/>
              </w:rPr>
              <w:t>TRUSGB + C-MRIGB</w:t>
            </w:r>
          </w:p>
          <w:p w14:paraId="3878E02C" w14:textId="77777777" w:rsidR="00A47118" w:rsidRDefault="00A47118" w:rsidP="0060578C">
            <w:pPr>
              <w:pStyle w:val="Tabletext1"/>
              <w:keepNext/>
              <w:rPr>
                <w:snapToGrid w:val="0"/>
              </w:rPr>
            </w:pPr>
            <w:r>
              <w:rPr>
                <w:snapToGrid w:val="0"/>
              </w:rPr>
              <w:t>PI-RADS v2</w:t>
            </w:r>
          </w:p>
        </w:tc>
        <w:tc>
          <w:tcPr>
            <w:tcW w:w="858" w:type="pct"/>
          </w:tcPr>
          <w:p w14:paraId="06E02DA0" w14:textId="112FECAC" w:rsidR="00A47118" w:rsidRDefault="001D76FF" w:rsidP="0060578C">
            <w:pPr>
              <w:pStyle w:val="Tabletext1"/>
              <w:keepNext/>
              <w:rPr>
                <w:snapToGrid w:val="0"/>
              </w:rPr>
            </w:pPr>
            <w:r>
              <w:rPr>
                <w:snapToGrid w:val="0"/>
              </w:rPr>
              <w:t>Sensitivity=73%</w:t>
            </w:r>
          </w:p>
          <w:p w14:paraId="6142F451" w14:textId="2462347F" w:rsidR="00A47118" w:rsidRDefault="00A47118" w:rsidP="0060578C">
            <w:pPr>
              <w:pStyle w:val="Tabletext1"/>
              <w:keepNext/>
              <w:rPr>
                <w:snapToGrid w:val="0"/>
              </w:rPr>
            </w:pPr>
            <w:r>
              <w:rPr>
                <w:snapToGrid w:val="0"/>
              </w:rPr>
              <w:t>Specificity=81%</w:t>
            </w:r>
          </w:p>
        </w:tc>
        <w:tc>
          <w:tcPr>
            <w:tcW w:w="936" w:type="pct"/>
          </w:tcPr>
          <w:p w14:paraId="60A3B32C" w14:textId="77777777" w:rsidR="00A47118" w:rsidRDefault="007644B6" w:rsidP="0060578C">
            <w:pPr>
              <w:pStyle w:val="Tabletext1"/>
              <w:keepNext/>
              <w:rPr>
                <w:snapToGrid w:val="0"/>
              </w:rPr>
            </w:pPr>
            <w:r>
              <w:rPr>
                <w:snapToGrid w:val="0"/>
              </w:rPr>
              <w:t>NR</w:t>
            </w:r>
          </w:p>
        </w:tc>
        <w:tc>
          <w:tcPr>
            <w:tcW w:w="1395" w:type="pct"/>
          </w:tcPr>
          <w:p w14:paraId="031D8078" w14:textId="77777777" w:rsidR="00A47118" w:rsidRDefault="00DC2068" w:rsidP="0060578C">
            <w:pPr>
              <w:pStyle w:val="Tabletext1"/>
              <w:keepNext/>
              <w:rPr>
                <w:snapToGrid w:val="0"/>
              </w:rPr>
            </w:pPr>
            <w:r>
              <w:rPr>
                <w:snapToGrid w:val="0"/>
              </w:rPr>
              <w:t>NA</w:t>
            </w:r>
          </w:p>
        </w:tc>
      </w:tr>
      <w:tr w:rsidR="00A47118" w:rsidRPr="00183E4D" w14:paraId="1B843124" w14:textId="77777777" w:rsidTr="00E6732A">
        <w:trPr>
          <w:cantSplit/>
          <w:trHeight w:val="397"/>
          <w:tblHeader/>
        </w:trPr>
        <w:tc>
          <w:tcPr>
            <w:tcW w:w="718" w:type="pct"/>
            <w:shd w:val="clear" w:color="auto" w:fill="auto"/>
          </w:tcPr>
          <w:p w14:paraId="3EA76264" w14:textId="77777777" w:rsidR="00A47118" w:rsidRDefault="00A47118" w:rsidP="0060578C">
            <w:pPr>
              <w:pStyle w:val="Tabletext1"/>
              <w:keepNext/>
            </w:pPr>
            <w:r>
              <w:t xml:space="preserve">Baur et al. (2016) </w:t>
            </w:r>
          </w:p>
        </w:tc>
        <w:tc>
          <w:tcPr>
            <w:tcW w:w="1093" w:type="pct"/>
          </w:tcPr>
          <w:p w14:paraId="36767B68" w14:textId="77777777" w:rsidR="00A47118" w:rsidRDefault="00A47118" w:rsidP="0060578C">
            <w:pPr>
              <w:pStyle w:val="Tabletext1"/>
              <w:keepNext/>
              <w:rPr>
                <w:snapToGrid w:val="0"/>
              </w:rPr>
            </w:pPr>
            <w:r>
              <w:rPr>
                <w:snapToGrid w:val="0"/>
              </w:rPr>
              <w:t>Prospective</w:t>
            </w:r>
          </w:p>
          <w:p w14:paraId="7A691FE4" w14:textId="77777777" w:rsidR="00A47118" w:rsidRDefault="00A47118" w:rsidP="0060578C">
            <w:pPr>
              <w:pStyle w:val="Tabletext1"/>
              <w:keepNext/>
              <w:rPr>
                <w:snapToGrid w:val="0"/>
              </w:rPr>
            </w:pPr>
            <w:r>
              <w:rPr>
                <w:snapToGrid w:val="0"/>
              </w:rPr>
              <w:t>No ERC</w:t>
            </w:r>
          </w:p>
          <w:p w14:paraId="2DF9693D" w14:textId="77777777" w:rsidR="00A47118" w:rsidRDefault="00A47118" w:rsidP="0060578C">
            <w:pPr>
              <w:pStyle w:val="Tabletext1"/>
              <w:keepNext/>
              <w:rPr>
                <w:snapToGrid w:val="0"/>
              </w:rPr>
            </w:pPr>
            <w:r>
              <w:rPr>
                <w:snapToGrid w:val="0"/>
              </w:rPr>
              <w:t>TRUS/MRI FGB</w:t>
            </w:r>
          </w:p>
          <w:p w14:paraId="544702EE" w14:textId="77777777" w:rsidR="00A47118" w:rsidRDefault="00A47118" w:rsidP="0060578C">
            <w:pPr>
              <w:pStyle w:val="Tabletext1"/>
              <w:keepNext/>
              <w:rPr>
                <w:snapToGrid w:val="0"/>
              </w:rPr>
            </w:pPr>
            <w:r>
              <w:rPr>
                <w:snapToGrid w:val="0"/>
              </w:rPr>
              <w:t>PI-RADS v1</w:t>
            </w:r>
          </w:p>
        </w:tc>
        <w:tc>
          <w:tcPr>
            <w:tcW w:w="858" w:type="pct"/>
          </w:tcPr>
          <w:p w14:paraId="45CCFEAC" w14:textId="098D1478" w:rsidR="00A47118" w:rsidRDefault="001D76FF" w:rsidP="0060578C">
            <w:pPr>
              <w:pStyle w:val="Tabletext1"/>
              <w:keepNext/>
              <w:rPr>
                <w:snapToGrid w:val="0"/>
              </w:rPr>
            </w:pPr>
            <w:r>
              <w:rPr>
                <w:snapToGrid w:val="0"/>
              </w:rPr>
              <w:t>Sensitivity=93%</w:t>
            </w:r>
          </w:p>
          <w:p w14:paraId="6452D3D0" w14:textId="168F8D06" w:rsidR="00A47118" w:rsidRDefault="00A47118" w:rsidP="0060578C">
            <w:pPr>
              <w:pStyle w:val="Tabletext1"/>
              <w:keepNext/>
              <w:rPr>
                <w:snapToGrid w:val="0"/>
              </w:rPr>
            </w:pPr>
            <w:r>
              <w:rPr>
                <w:snapToGrid w:val="0"/>
              </w:rPr>
              <w:t>Specificity=</w:t>
            </w:r>
            <w:r w:rsidR="003B61A6">
              <w:rPr>
                <w:snapToGrid w:val="0"/>
              </w:rPr>
              <w:t>59</w:t>
            </w:r>
            <w:r>
              <w:rPr>
                <w:snapToGrid w:val="0"/>
              </w:rPr>
              <w:t>%</w:t>
            </w:r>
          </w:p>
        </w:tc>
        <w:tc>
          <w:tcPr>
            <w:tcW w:w="936" w:type="pct"/>
          </w:tcPr>
          <w:p w14:paraId="5894CFC4" w14:textId="77777777" w:rsidR="00A47118" w:rsidRDefault="000D41C4" w:rsidP="0060578C">
            <w:pPr>
              <w:pStyle w:val="Tabletext1"/>
              <w:keepNext/>
              <w:rPr>
                <w:snapToGrid w:val="0"/>
              </w:rPr>
            </w:pPr>
            <w:r>
              <w:rPr>
                <w:snapToGrid w:val="0"/>
              </w:rPr>
              <w:t>NR</w:t>
            </w:r>
          </w:p>
        </w:tc>
        <w:tc>
          <w:tcPr>
            <w:tcW w:w="1395" w:type="pct"/>
          </w:tcPr>
          <w:p w14:paraId="5FF3800C" w14:textId="77777777" w:rsidR="00A47118" w:rsidRDefault="00DC2068" w:rsidP="0060578C">
            <w:pPr>
              <w:pStyle w:val="Tabletext1"/>
              <w:keepNext/>
              <w:rPr>
                <w:snapToGrid w:val="0"/>
              </w:rPr>
            </w:pPr>
            <w:r>
              <w:rPr>
                <w:snapToGrid w:val="0"/>
              </w:rPr>
              <w:t>NA</w:t>
            </w:r>
          </w:p>
        </w:tc>
      </w:tr>
      <w:tr w:rsidR="00A47118" w:rsidRPr="00183E4D" w14:paraId="4AF6000B" w14:textId="77777777" w:rsidTr="00E6732A">
        <w:trPr>
          <w:cantSplit/>
          <w:trHeight w:val="397"/>
          <w:tblHeader/>
        </w:trPr>
        <w:tc>
          <w:tcPr>
            <w:tcW w:w="718" w:type="pct"/>
            <w:shd w:val="clear" w:color="auto" w:fill="auto"/>
          </w:tcPr>
          <w:p w14:paraId="395DF151" w14:textId="77777777" w:rsidR="00A47118" w:rsidRDefault="00A47118" w:rsidP="0060578C">
            <w:pPr>
              <w:pStyle w:val="Tabletext1"/>
              <w:keepNext/>
            </w:pPr>
            <w:r>
              <w:t xml:space="preserve">Dikaios et al. (2015) </w:t>
            </w:r>
          </w:p>
        </w:tc>
        <w:tc>
          <w:tcPr>
            <w:tcW w:w="1093" w:type="pct"/>
          </w:tcPr>
          <w:p w14:paraId="63FF95F4" w14:textId="77777777" w:rsidR="00A47118" w:rsidRDefault="00A47118" w:rsidP="0060578C">
            <w:pPr>
              <w:pStyle w:val="Tabletext1"/>
              <w:keepNext/>
              <w:rPr>
                <w:snapToGrid w:val="0"/>
              </w:rPr>
            </w:pPr>
            <w:r>
              <w:rPr>
                <w:snapToGrid w:val="0"/>
              </w:rPr>
              <w:t>Retrospective</w:t>
            </w:r>
          </w:p>
          <w:p w14:paraId="5F289033" w14:textId="77777777" w:rsidR="00A47118" w:rsidRDefault="00A47118" w:rsidP="0060578C">
            <w:pPr>
              <w:pStyle w:val="Tabletext1"/>
              <w:keepNext/>
              <w:rPr>
                <w:snapToGrid w:val="0"/>
              </w:rPr>
            </w:pPr>
            <w:r>
              <w:rPr>
                <w:snapToGrid w:val="0"/>
              </w:rPr>
              <w:t>No ERC</w:t>
            </w:r>
          </w:p>
          <w:p w14:paraId="3230D736" w14:textId="77777777" w:rsidR="00A47118" w:rsidRDefault="00A47118" w:rsidP="0060578C">
            <w:pPr>
              <w:pStyle w:val="Tabletext1"/>
              <w:keepNext/>
              <w:rPr>
                <w:snapToGrid w:val="0"/>
              </w:rPr>
            </w:pPr>
            <w:r>
              <w:rPr>
                <w:snapToGrid w:val="0"/>
              </w:rPr>
              <w:t>Template biopsy</w:t>
            </w:r>
          </w:p>
          <w:p w14:paraId="16BCEE90" w14:textId="77777777" w:rsidR="00A47118" w:rsidRDefault="00A47118" w:rsidP="0060578C">
            <w:pPr>
              <w:pStyle w:val="Tabletext1"/>
              <w:keepNext/>
              <w:rPr>
                <w:snapToGrid w:val="0"/>
              </w:rPr>
            </w:pPr>
            <w:r>
              <w:rPr>
                <w:snapToGrid w:val="0"/>
              </w:rPr>
              <w:t>PI-RADS v1</w:t>
            </w:r>
          </w:p>
        </w:tc>
        <w:tc>
          <w:tcPr>
            <w:tcW w:w="858" w:type="pct"/>
          </w:tcPr>
          <w:p w14:paraId="7701AB5C" w14:textId="5B6FA81D" w:rsidR="00A47118" w:rsidRDefault="00A47118" w:rsidP="0060578C">
            <w:pPr>
              <w:pStyle w:val="Tabletext1"/>
              <w:keepNext/>
              <w:rPr>
                <w:snapToGrid w:val="0"/>
              </w:rPr>
            </w:pPr>
            <w:r>
              <w:rPr>
                <w:snapToGrid w:val="0"/>
              </w:rPr>
              <w:t>Sensitivity=</w:t>
            </w:r>
            <w:r w:rsidR="003B61A6">
              <w:rPr>
                <w:snapToGrid w:val="0"/>
              </w:rPr>
              <w:t>30</w:t>
            </w:r>
            <w:r w:rsidR="001D76FF">
              <w:rPr>
                <w:snapToGrid w:val="0"/>
              </w:rPr>
              <w:t>%</w:t>
            </w:r>
          </w:p>
          <w:p w14:paraId="1617E0FC" w14:textId="6591373A" w:rsidR="00A47118" w:rsidRDefault="00A47118" w:rsidP="0060578C">
            <w:pPr>
              <w:pStyle w:val="Tabletext1"/>
              <w:keepNext/>
              <w:rPr>
                <w:snapToGrid w:val="0"/>
              </w:rPr>
            </w:pPr>
            <w:r>
              <w:rPr>
                <w:snapToGrid w:val="0"/>
              </w:rPr>
              <w:t>Specificity=</w:t>
            </w:r>
            <w:r w:rsidR="003B61A6">
              <w:rPr>
                <w:snapToGrid w:val="0"/>
              </w:rPr>
              <w:t>86</w:t>
            </w:r>
            <w:r>
              <w:rPr>
                <w:snapToGrid w:val="0"/>
              </w:rPr>
              <w:t>%</w:t>
            </w:r>
          </w:p>
        </w:tc>
        <w:tc>
          <w:tcPr>
            <w:tcW w:w="936" w:type="pct"/>
          </w:tcPr>
          <w:p w14:paraId="14AD0186" w14:textId="2306E2D8" w:rsidR="000D41C4" w:rsidRDefault="001D76FF" w:rsidP="0060578C">
            <w:pPr>
              <w:pStyle w:val="Tabletext1"/>
              <w:keepNext/>
              <w:rPr>
                <w:snapToGrid w:val="0"/>
              </w:rPr>
            </w:pPr>
            <w:r>
              <w:rPr>
                <w:snapToGrid w:val="0"/>
              </w:rPr>
              <w:t>Sensitivity=36%</w:t>
            </w:r>
          </w:p>
          <w:p w14:paraId="4C203BEF" w14:textId="5FFE4193" w:rsidR="00A47118" w:rsidRDefault="000D41C4" w:rsidP="0060578C">
            <w:pPr>
              <w:pStyle w:val="Tabletext1"/>
              <w:keepNext/>
              <w:rPr>
                <w:snapToGrid w:val="0"/>
              </w:rPr>
            </w:pPr>
            <w:r>
              <w:rPr>
                <w:snapToGrid w:val="0"/>
              </w:rPr>
              <w:t>Specificity=90%</w:t>
            </w:r>
          </w:p>
        </w:tc>
        <w:tc>
          <w:tcPr>
            <w:tcW w:w="1395" w:type="pct"/>
          </w:tcPr>
          <w:p w14:paraId="0BA819E4" w14:textId="38E83522" w:rsidR="00A47118" w:rsidRDefault="00215C54" w:rsidP="0060578C">
            <w:pPr>
              <w:pStyle w:val="Tabletext1"/>
              <w:keepNext/>
              <w:rPr>
                <w:snapToGrid w:val="0"/>
              </w:rPr>
            </w:pPr>
            <w:r>
              <w:rPr>
                <w:snapToGrid w:val="0"/>
              </w:rPr>
              <w:t>≥ Gleason 7 (any pattern) or template biopsy cancer core length ≥4mm</w:t>
            </w:r>
          </w:p>
        </w:tc>
      </w:tr>
      <w:tr w:rsidR="00A47118" w:rsidRPr="00183E4D" w14:paraId="08F1578D" w14:textId="77777777" w:rsidTr="00E6732A">
        <w:trPr>
          <w:cantSplit/>
          <w:trHeight w:val="397"/>
          <w:tblHeader/>
        </w:trPr>
        <w:tc>
          <w:tcPr>
            <w:tcW w:w="718" w:type="pct"/>
            <w:shd w:val="clear" w:color="auto" w:fill="auto"/>
          </w:tcPr>
          <w:p w14:paraId="5A6C7305" w14:textId="77777777" w:rsidR="00A47118" w:rsidRDefault="00A47118" w:rsidP="0060578C">
            <w:pPr>
              <w:pStyle w:val="Tabletext1"/>
              <w:keepNext/>
            </w:pPr>
            <w:r>
              <w:t xml:space="preserve">Jambor et al. (2014) </w:t>
            </w:r>
          </w:p>
        </w:tc>
        <w:tc>
          <w:tcPr>
            <w:tcW w:w="1093" w:type="pct"/>
          </w:tcPr>
          <w:p w14:paraId="0D857C88" w14:textId="77777777" w:rsidR="00A47118" w:rsidRDefault="00A47118" w:rsidP="0060578C">
            <w:pPr>
              <w:pStyle w:val="Tabletext1"/>
              <w:keepNext/>
              <w:rPr>
                <w:snapToGrid w:val="0"/>
              </w:rPr>
            </w:pPr>
            <w:r>
              <w:rPr>
                <w:snapToGrid w:val="0"/>
              </w:rPr>
              <w:t>Retrospective</w:t>
            </w:r>
          </w:p>
          <w:p w14:paraId="55072E98" w14:textId="77777777" w:rsidR="00A47118" w:rsidRDefault="00A47118" w:rsidP="0060578C">
            <w:pPr>
              <w:pStyle w:val="Tabletext1"/>
              <w:keepNext/>
              <w:rPr>
                <w:snapToGrid w:val="0"/>
              </w:rPr>
            </w:pPr>
            <w:r>
              <w:rPr>
                <w:snapToGrid w:val="0"/>
              </w:rPr>
              <w:t>No ERC</w:t>
            </w:r>
          </w:p>
          <w:p w14:paraId="0F93581C" w14:textId="77777777" w:rsidR="00A47118" w:rsidRDefault="00A47118" w:rsidP="0060578C">
            <w:pPr>
              <w:pStyle w:val="Tabletext1"/>
              <w:keepNext/>
              <w:rPr>
                <w:snapToGrid w:val="0"/>
              </w:rPr>
            </w:pPr>
            <w:r>
              <w:rPr>
                <w:snapToGrid w:val="0"/>
              </w:rPr>
              <w:t>TRUSGB + C-MRIGB</w:t>
            </w:r>
          </w:p>
          <w:p w14:paraId="22A7EA50" w14:textId="77777777" w:rsidR="00A47118" w:rsidRDefault="00A47118" w:rsidP="0060578C">
            <w:pPr>
              <w:pStyle w:val="Tabletext1"/>
              <w:keepNext/>
              <w:rPr>
                <w:snapToGrid w:val="0"/>
              </w:rPr>
            </w:pPr>
            <w:r>
              <w:rPr>
                <w:snapToGrid w:val="0"/>
              </w:rPr>
              <w:t>PI-RADS v1</w:t>
            </w:r>
          </w:p>
        </w:tc>
        <w:tc>
          <w:tcPr>
            <w:tcW w:w="858" w:type="pct"/>
          </w:tcPr>
          <w:p w14:paraId="639B09BB" w14:textId="43C3C74A" w:rsidR="00A47118" w:rsidRDefault="00A47118" w:rsidP="0060578C">
            <w:pPr>
              <w:pStyle w:val="Tabletext1"/>
              <w:keepNext/>
              <w:rPr>
                <w:snapToGrid w:val="0"/>
              </w:rPr>
            </w:pPr>
            <w:r>
              <w:rPr>
                <w:snapToGrid w:val="0"/>
              </w:rPr>
              <w:t>Sensitivity=</w:t>
            </w:r>
            <w:r w:rsidR="003B61A6">
              <w:rPr>
                <w:snapToGrid w:val="0"/>
              </w:rPr>
              <w:t>78</w:t>
            </w:r>
            <w:r w:rsidR="001D76FF">
              <w:rPr>
                <w:snapToGrid w:val="0"/>
              </w:rPr>
              <w:t>%</w:t>
            </w:r>
          </w:p>
          <w:p w14:paraId="4DD1321C" w14:textId="3A30C1F4" w:rsidR="00A47118" w:rsidRDefault="00A47118" w:rsidP="0060578C">
            <w:pPr>
              <w:pStyle w:val="Tabletext1"/>
              <w:keepNext/>
              <w:rPr>
                <w:snapToGrid w:val="0"/>
              </w:rPr>
            </w:pPr>
            <w:r>
              <w:rPr>
                <w:snapToGrid w:val="0"/>
              </w:rPr>
              <w:t>Specificity=</w:t>
            </w:r>
            <w:r w:rsidR="003B61A6">
              <w:rPr>
                <w:snapToGrid w:val="0"/>
              </w:rPr>
              <w:t>39</w:t>
            </w:r>
            <w:r>
              <w:rPr>
                <w:snapToGrid w:val="0"/>
              </w:rPr>
              <w:t>%</w:t>
            </w:r>
          </w:p>
        </w:tc>
        <w:tc>
          <w:tcPr>
            <w:tcW w:w="936" w:type="pct"/>
          </w:tcPr>
          <w:p w14:paraId="51E03ADF" w14:textId="003CE3BB" w:rsidR="000D41C4" w:rsidRDefault="001D76FF" w:rsidP="0060578C">
            <w:pPr>
              <w:pStyle w:val="Tabletext1"/>
              <w:keepNext/>
              <w:rPr>
                <w:snapToGrid w:val="0"/>
              </w:rPr>
            </w:pPr>
            <w:r>
              <w:rPr>
                <w:snapToGrid w:val="0"/>
              </w:rPr>
              <w:t>Sensitivity=91%</w:t>
            </w:r>
          </w:p>
          <w:p w14:paraId="223F67A3" w14:textId="02C354D8" w:rsidR="00A47118" w:rsidRDefault="000D41C4" w:rsidP="0060578C">
            <w:pPr>
              <w:pStyle w:val="Tabletext1"/>
              <w:keepNext/>
              <w:rPr>
                <w:snapToGrid w:val="0"/>
              </w:rPr>
            </w:pPr>
            <w:r>
              <w:rPr>
                <w:snapToGrid w:val="0"/>
              </w:rPr>
              <w:t>Specificity=50%</w:t>
            </w:r>
          </w:p>
        </w:tc>
        <w:tc>
          <w:tcPr>
            <w:tcW w:w="1395" w:type="pct"/>
          </w:tcPr>
          <w:p w14:paraId="75779DE5" w14:textId="2B8CFC18" w:rsidR="00A47118" w:rsidRDefault="0010430F" w:rsidP="0060578C">
            <w:pPr>
              <w:pStyle w:val="Tabletext1"/>
              <w:keepNext/>
              <w:rPr>
                <w:snapToGrid w:val="0"/>
              </w:rPr>
            </w:pPr>
            <w:r>
              <w:rPr>
                <w:snapToGrid w:val="0"/>
              </w:rPr>
              <w:t>≥ Gleason 7 (any pattern) or template biopsy cancer core length ≥3mm or tumour volume &gt;0.5ml or tumour stage ≥ pT3</w:t>
            </w:r>
          </w:p>
        </w:tc>
      </w:tr>
      <w:tr w:rsidR="00A47118" w:rsidRPr="00183E4D" w14:paraId="14F5D9E7" w14:textId="77777777" w:rsidTr="00E6732A">
        <w:trPr>
          <w:cantSplit/>
          <w:trHeight w:val="397"/>
          <w:tblHeader/>
        </w:trPr>
        <w:tc>
          <w:tcPr>
            <w:tcW w:w="718" w:type="pct"/>
            <w:shd w:val="clear" w:color="auto" w:fill="auto"/>
          </w:tcPr>
          <w:p w14:paraId="2DB86B5B" w14:textId="77777777" w:rsidR="00A47118" w:rsidRDefault="00A47118" w:rsidP="0060578C">
            <w:pPr>
              <w:pStyle w:val="Tabletext1"/>
              <w:keepNext/>
            </w:pPr>
            <w:r>
              <w:t>Lista et al. (2015)</w:t>
            </w:r>
          </w:p>
        </w:tc>
        <w:tc>
          <w:tcPr>
            <w:tcW w:w="1093" w:type="pct"/>
          </w:tcPr>
          <w:p w14:paraId="16FB3F34" w14:textId="77777777" w:rsidR="00A47118" w:rsidRDefault="00A47118" w:rsidP="0060578C">
            <w:pPr>
              <w:pStyle w:val="Tabletext1"/>
              <w:keepNext/>
              <w:rPr>
                <w:snapToGrid w:val="0"/>
              </w:rPr>
            </w:pPr>
            <w:r>
              <w:rPr>
                <w:snapToGrid w:val="0"/>
              </w:rPr>
              <w:t>Prospective</w:t>
            </w:r>
          </w:p>
          <w:p w14:paraId="3FB469C2" w14:textId="77777777" w:rsidR="00A47118" w:rsidRDefault="00A47118" w:rsidP="0060578C">
            <w:pPr>
              <w:pStyle w:val="Tabletext1"/>
              <w:keepNext/>
              <w:rPr>
                <w:snapToGrid w:val="0"/>
              </w:rPr>
            </w:pPr>
            <w:r>
              <w:rPr>
                <w:snapToGrid w:val="0"/>
              </w:rPr>
              <w:t>ERC</w:t>
            </w:r>
          </w:p>
          <w:p w14:paraId="074A1657" w14:textId="77777777" w:rsidR="00A47118" w:rsidRDefault="00A47118" w:rsidP="0060578C">
            <w:pPr>
              <w:pStyle w:val="Tabletext1"/>
              <w:keepNext/>
              <w:rPr>
                <w:snapToGrid w:val="0"/>
              </w:rPr>
            </w:pPr>
            <w:r>
              <w:rPr>
                <w:snapToGrid w:val="0"/>
              </w:rPr>
              <w:t>TRUSGB</w:t>
            </w:r>
          </w:p>
          <w:p w14:paraId="4047B96F" w14:textId="77777777" w:rsidR="00A47118" w:rsidRDefault="00A47118" w:rsidP="0060578C">
            <w:pPr>
              <w:pStyle w:val="Tabletext1"/>
              <w:keepNext/>
              <w:rPr>
                <w:snapToGrid w:val="0"/>
              </w:rPr>
            </w:pPr>
            <w:r>
              <w:rPr>
                <w:snapToGrid w:val="0"/>
              </w:rPr>
              <w:t>PI-RADS v1</w:t>
            </w:r>
          </w:p>
        </w:tc>
        <w:tc>
          <w:tcPr>
            <w:tcW w:w="858" w:type="pct"/>
          </w:tcPr>
          <w:p w14:paraId="46E2D7C4" w14:textId="2C21ACFF" w:rsidR="00A47118" w:rsidRDefault="00A47118" w:rsidP="0060578C">
            <w:pPr>
              <w:pStyle w:val="Tabletext1"/>
              <w:keepNext/>
              <w:rPr>
                <w:snapToGrid w:val="0"/>
              </w:rPr>
            </w:pPr>
            <w:r>
              <w:rPr>
                <w:snapToGrid w:val="0"/>
              </w:rPr>
              <w:t>Sensitivity=</w:t>
            </w:r>
            <w:r w:rsidR="003B61A6">
              <w:rPr>
                <w:snapToGrid w:val="0"/>
              </w:rPr>
              <w:t>93</w:t>
            </w:r>
            <w:r w:rsidR="001D76FF">
              <w:rPr>
                <w:snapToGrid w:val="0"/>
              </w:rPr>
              <w:t>%</w:t>
            </w:r>
          </w:p>
          <w:p w14:paraId="077C668E" w14:textId="625C10D5" w:rsidR="00A47118" w:rsidRDefault="00A47118" w:rsidP="0060578C">
            <w:pPr>
              <w:pStyle w:val="Tabletext1"/>
              <w:keepNext/>
              <w:rPr>
                <w:snapToGrid w:val="0"/>
              </w:rPr>
            </w:pPr>
            <w:r>
              <w:rPr>
                <w:snapToGrid w:val="0"/>
              </w:rPr>
              <w:t>Specificity=</w:t>
            </w:r>
            <w:r w:rsidR="003B61A6">
              <w:rPr>
                <w:snapToGrid w:val="0"/>
              </w:rPr>
              <w:t>38</w:t>
            </w:r>
            <w:r>
              <w:rPr>
                <w:snapToGrid w:val="0"/>
              </w:rPr>
              <w:t>%</w:t>
            </w:r>
          </w:p>
        </w:tc>
        <w:tc>
          <w:tcPr>
            <w:tcW w:w="936" w:type="pct"/>
          </w:tcPr>
          <w:p w14:paraId="4A76FBB9" w14:textId="77777777" w:rsidR="00A47118" w:rsidRDefault="000D41C4" w:rsidP="0060578C">
            <w:pPr>
              <w:pStyle w:val="Tabletext1"/>
              <w:keepNext/>
              <w:rPr>
                <w:snapToGrid w:val="0"/>
              </w:rPr>
            </w:pPr>
            <w:r>
              <w:rPr>
                <w:snapToGrid w:val="0"/>
              </w:rPr>
              <w:t>NR</w:t>
            </w:r>
          </w:p>
        </w:tc>
        <w:tc>
          <w:tcPr>
            <w:tcW w:w="1395" w:type="pct"/>
          </w:tcPr>
          <w:p w14:paraId="51A3D381" w14:textId="77777777" w:rsidR="00A47118" w:rsidRDefault="00E52042" w:rsidP="0060578C">
            <w:pPr>
              <w:pStyle w:val="Tabletext1"/>
              <w:keepNext/>
              <w:rPr>
                <w:snapToGrid w:val="0"/>
              </w:rPr>
            </w:pPr>
            <w:r>
              <w:rPr>
                <w:snapToGrid w:val="0"/>
              </w:rPr>
              <w:t>NA</w:t>
            </w:r>
          </w:p>
        </w:tc>
      </w:tr>
      <w:tr w:rsidR="00A47118" w:rsidRPr="00183E4D" w14:paraId="340866D4" w14:textId="77777777" w:rsidTr="00E6732A">
        <w:trPr>
          <w:cantSplit/>
          <w:trHeight w:val="397"/>
          <w:tblHeader/>
        </w:trPr>
        <w:tc>
          <w:tcPr>
            <w:tcW w:w="718" w:type="pct"/>
            <w:shd w:val="clear" w:color="auto" w:fill="auto"/>
          </w:tcPr>
          <w:p w14:paraId="36B524D2" w14:textId="77777777" w:rsidR="00A47118" w:rsidRDefault="00A47118" w:rsidP="0060578C">
            <w:pPr>
              <w:pStyle w:val="Tabletext1"/>
              <w:keepNext/>
            </w:pPr>
            <w:r>
              <w:t>Pokorny et al. (2014)</w:t>
            </w:r>
          </w:p>
        </w:tc>
        <w:tc>
          <w:tcPr>
            <w:tcW w:w="1093" w:type="pct"/>
          </w:tcPr>
          <w:p w14:paraId="5E526514" w14:textId="77777777" w:rsidR="00A47118" w:rsidRDefault="00A47118" w:rsidP="0060578C">
            <w:pPr>
              <w:pStyle w:val="Tabletext1"/>
              <w:keepNext/>
              <w:rPr>
                <w:snapToGrid w:val="0"/>
              </w:rPr>
            </w:pPr>
            <w:r>
              <w:rPr>
                <w:snapToGrid w:val="0"/>
              </w:rPr>
              <w:t>Prospective</w:t>
            </w:r>
          </w:p>
          <w:p w14:paraId="19FC9379" w14:textId="77777777" w:rsidR="00A47118" w:rsidRDefault="00A47118" w:rsidP="0060578C">
            <w:pPr>
              <w:pStyle w:val="Tabletext1"/>
              <w:keepNext/>
              <w:rPr>
                <w:snapToGrid w:val="0"/>
              </w:rPr>
            </w:pPr>
            <w:r>
              <w:rPr>
                <w:snapToGrid w:val="0"/>
              </w:rPr>
              <w:t>No ERC</w:t>
            </w:r>
          </w:p>
          <w:p w14:paraId="09B24F51" w14:textId="77777777" w:rsidR="00A47118" w:rsidRDefault="00A47118" w:rsidP="0060578C">
            <w:pPr>
              <w:pStyle w:val="Tabletext1"/>
              <w:keepNext/>
              <w:rPr>
                <w:snapToGrid w:val="0"/>
              </w:rPr>
            </w:pPr>
            <w:r>
              <w:rPr>
                <w:snapToGrid w:val="0"/>
              </w:rPr>
              <w:t>TRUSGB</w:t>
            </w:r>
          </w:p>
          <w:p w14:paraId="18999F69" w14:textId="77777777" w:rsidR="00A47118" w:rsidRDefault="00A47118" w:rsidP="0060578C">
            <w:pPr>
              <w:pStyle w:val="Tabletext1"/>
              <w:keepNext/>
              <w:rPr>
                <w:snapToGrid w:val="0"/>
              </w:rPr>
            </w:pPr>
            <w:r>
              <w:rPr>
                <w:snapToGrid w:val="0"/>
              </w:rPr>
              <w:t>PI-RADS v1</w:t>
            </w:r>
          </w:p>
        </w:tc>
        <w:tc>
          <w:tcPr>
            <w:tcW w:w="858" w:type="pct"/>
          </w:tcPr>
          <w:p w14:paraId="087B14DE" w14:textId="46A8BDB9" w:rsidR="00A47118" w:rsidRDefault="00A47118" w:rsidP="0060578C">
            <w:pPr>
              <w:pStyle w:val="Tabletext1"/>
              <w:keepNext/>
              <w:rPr>
                <w:snapToGrid w:val="0"/>
              </w:rPr>
            </w:pPr>
            <w:r>
              <w:rPr>
                <w:snapToGrid w:val="0"/>
              </w:rPr>
              <w:t>Sensitivity=</w:t>
            </w:r>
            <w:r w:rsidR="003B61A6">
              <w:rPr>
                <w:snapToGrid w:val="0"/>
              </w:rPr>
              <w:t>68</w:t>
            </w:r>
            <w:r w:rsidR="001D76FF">
              <w:rPr>
                <w:snapToGrid w:val="0"/>
              </w:rPr>
              <w:t>%</w:t>
            </w:r>
          </w:p>
          <w:p w14:paraId="74DC4F4E" w14:textId="11F0BAFD" w:rsidR="00A47118" w:rsidRDefault="00A47118" w:rsidP="0060578C">
            <w:pPr>
              <w:pStyle w:val="Tabletext1"/>
              <w:keepNext/>
              <w:rPr>
                <w:snapToGrid w:val="0"/>
              </w:rPr>
            </w:pPr>
            <w:r>
              <w:rPr>
                <w:snapToGrid w:val="0"/>
              </w:rPr>
              <w:t>Specificity=</w:t>
            </w:r>
            <w:r w:rsidR="003B61A6">
              <w:rPr>
                <w:snapToGrid w:val="0"/>
              </w:rPr>
              <w:t>76</w:t>
            </w:r>
            <w:r>
              <w:rPr>
                <w:snapToGrid w:val="0"/>
              </w:rPr>
              <w:t>%</w:t>
            </w:r>
          </w:p>
        </w:tc>
        <w:tc>
          <w:tcPr>
            <w:tcW w:w="936" w:type="pct"/>
          </w:tcPr>
          <w:p w14:paraId="716D4628" w14:textId="13BC4AAD" w:rsidR="000D41C4" w:rsidRDefault="001D76FF" w:rsidP="0060578C">
            <w:pPr>
              <w:pStyle w:val="Tabletext1"/>
              <w:keepNext/>
              <w:rPr>
                <w:snapToGrid w:val="0"/>
              </w:rPr>
            </w:pPr>
            <w:r>
              <w:rPr>
                <w:snapToGrid w:val="0"/>
              </w:rPr>
              <w:t>Sensitivity=84%</w:t>
            </w:r>
          </w:p>
          <w:p w14:paraId="08295BE1" w14:textId="6D1FA763" w:rsidR="00A47118" w:rsidRDefault="000D41C4" w:rsidP="0060578C">
            <w:pPr>
              <w:pStyle w:val="Tabletext1"/>
              <w:keepNext/>
              <w:rPr>
                <w:snapToGrid w:val="0"/>
              </w:rPr>
            </w:pPr>
            <w:r>
              <w:rPr>
                <w:snapToGrid w:val="0"/>
              </w:rPr>
              <w:t>Specificity=74%</w:t>
            </w:r>
          </w:p>
        </w:tc>
        <w:tc>
          <w:tcPr>
            <w:tcW w:w="1395" w:type="pct"/>
          </w:tcPr>
          <w:p w14:paraId="35B67738" w14:textId="726581C4" w:rsidR="00A47118" w:rsidRDefault="00E52042" w:rsidP="0060578C">
            <w:pPr>
              <w:pStyle w:val="Tabletext1"/>
              <w:keepNext/>
              <w:rPr>
                <w:snapToGrid w:val="0"/>
              </w:rPr>
            </w:pPr>
            <w:r>
              <w:rPr>
                <w:snapToGrid w:val="0"/>
              </w:rPr>
              <w:t xml:space="preserve">Gleason ≥7 </w:t>
            </w:r>
            <w:r w:rsidR="007542B5">
              <w:rPr>
                <w:snapToGrid w:val="0"/>
              </w:rPr>
              <w:t>(any pattern)</w:t>
            </w:r>
            <w:r w:rsidR="008570FC">
              <w:rPr>
                <w:snapToGrid w:val="0"/>
              </w:rPr>
              <w:t xml:space="preserve"> </w:t>
            </w:r>
            <w:r>
              <w:rPr>
                <w:snapToGrid w:val="0"/>
              </w:rPr>
              <w:t>– researcher calculated in line with definitions from other studies</w:t>
            </w:r>
            <w:r w:rsidR="005437EB">
              <w:rPr>
                <w:snapToGrid w:val="0"/>
              </w:rPr>
              <w:t xml:space="preserve"> that designated Gleason 7 to be significant</w:t>
            </w:r>
            <w:r w:rsidR="0018569C">
              <w:rPr>
                <w:snapToGrid w:val="0"/>
              </w:rPr>
              <w:t>.</w:t>
            </w:r>
          </w:p>
        </w:tc>
      </w:tr>
      <w:tr w:rsidR="00A47118" w:rsidRPr="00183E4D" w14:paraId="5F34C0CA" w14:textId="77777777" w:rsidTr="00E6732A">
        <w:trPr>
          <w:cantSplit/>
          <w:trHeight w:val="397"/>
          <w:tblHeader/>
        </w:trPr>
        <w:tc>
          <w:tcPr>
            <w:tcW w:w="718" w:type="pct"/>
            <w:shd w:val="clear" w:color="auto" w:fill="auto"/>
          </w:tcPr>
          <w:p w14:paraId="415D916E" w14:textId="77777777" w:rsidR="00A47118" w:rsidRDefault="00A47118" w:rsidP="0060578C">
            <w:pPr>
              <w:pStyle w:val="Tabletext1"/>
              <w:keepNext/>
            </w:pPr>
            <w:r>
              <w:t>Thompson et al. (2014)</w:t>
            </w:r>
          </w:p>
        </w:tc>
        <w:tc>
          <w:tcPr>
            <w:tcW w:w="1093" w:type="pct"/>
          </w:tcPr>
          <w:p w14:paraId="3DA10E90" w14:textId="77777777" w:rsidR="00A47118" w:rsidRDefault="00A47118" w:rsidP="0060578C">
            <w:pPr>
              <w:pStyle w:val="Tabletext1"/>
              <w:keepNext/>
              <w:rPr>
                <w:snapToGrid w:val="0"/>
              </w:rPr>
            </w:pPr>
            <w:r>
              <w:rPr>
                <w:snapToGrid w:val="0"/>
              </w:rPr>
              <w:t>Prospective</w:t>
            </w:r>
          </w:p>
          <w:p w14:paraId="66B88FD7" w14:textId="77777777" w:rsidR="00A47118" w:rsidRDefault="00A47118" w:rsidP="0060578C">
            <w:pPr>
              <w:pStyle w:val="Tabletext1"/>
              <w:keepNext/>
              <w:rPr>
                <w:snapToGrid w:val="0"/>
              </w:rPr>
            </w:pPr>
            <w:r>
              <w:rPr>
                <w:snapToGrid w:val="0"/>
              </w:rPr>
              <w:t>No ERC</w:t>
            </w:r>
          </w:p>
          <w:p w14:paraId="517309AA" w14:textId="77777777" w:rsidR="00A47118" w:rsidRDefault="00A47118" w:rsidP="0060578C">
            <w:pPr>
              <w:pStyle w:val="Tabletext1"/>
              <w:keepNext/>
              <w:rPr>
                <w:snapToGrid w:val="0"/>
              </w:rPr>
            </w:pPr>
            <w:r>
              <w:rPr>
                <w:snapToGrid w:val="0"/>
              </w:rPr>
              <w:t>TRUSGB + C-MRIGB</w:t>
            </w:r>
          </w:p>
          <w:p w14:paraId="4546A170" w14:textId="77777777" w:rsidR="00A47118" w:rsidRDefault="00A47118" w:rsidP="0060578C">
            <w:pPr>
              <w:pStyle w:val="Tabletext1"/>
              <w:keepNext/>
              <w:rPr>
                <w:snapToGrid w:val="0"/>
              </w:rPr>
            </w:pPr>
            <w:r>
              <w:rPr>
                <w:snapToGrid w:val="0"/>
              </w:rPr>
              <w:t>PI-RADS v1</w:t>
            </w:r>
          </w:p>
        </w:tc>
        <w:tc>
          <w:tcPr>
            <w:tcW w:w="858" w:type="pct"/>
          </w:tcPr>
          <w:p w14:paraId="0487211B" w14:textId="402EE5B5" w:rsidR="00A47118" w:rsidRDefault="00A47118" w:rsidP="0060578C">
            <w:pPr>
              <w:pStyle w:val="Tabletext1"/>
              <w:keepNext/>
              <w:rPr>
                <w:snapToGrid w:val="0"/>
              </w:rPr>
            </w:pPr>
            <w:r>
              <w:rPr>
                <w:snapToGrid w:val="0"/>
              </w:rPr>
              <w:t>Sensitivity=</w:t>
            </w:r>
            <w:r w:rsidR="003B61A6">
              <w:rPr>
                <w:snapToGrid w:val="0"/>
              </w:rPr>
              <w:t>40</w:t>
            </w:r>
            <w:r w:rsidR="001D76FF">
              <w:rPr>
                <w:snapToGrid w:val="0"/>
              </w:rPr>
              <w:t>%</w:t>
            </w:r>
          </w:p>
          <w:p w14:paraId="4F0DB684" w14:textId="45A484D9" w:rsidR="00A47118" w:rsidRDefault="00A47118" w:rsidP="0060578C">
            <w:pPr>
              <w:pStyle w:val="Tabletext1"/>
              <w:keepNext/>
              <w:rPr>
                <w:snapToGrid w:val="0"/>
              </w:rPr>
            </w:pPr>
            <w:r>
              <w:rPr>
                <w:snapToGrid w:val="0"/>
              </w:rPr>
              <w:t>Specificity=</w:t>
            </w:r>
            <w:r w:rsidR="003B61A6">
              <w:rPr>
                <w:snapToGrid w:val="0"/>
              </w:rPr>
              <w:t>91</w:t>
            </w:r>
            <w:r>
              <w:rPr>
                <w:snapToGrid w:val="0"/>
              </w:rPr>
              <w:t>%</w:t>
            </w:r>
          </w:p>
        </w:tc>
        <w:tc>
          <w:tcPr>
            <w:tcW w:w="936" w:type="pct"/>
          </w:tcPr>
          <w:p w14:paraId="47E86D9C" w14:textId="57B3B0F4" w:rsidR="000D41C4" w:rsidRDefault="001D76FF" w:rsidP="0060578C">
            <w:pPr>
              <w:pStyle w:val="Tabletext1"/>
              <w:keepNext/>
              <w:rPr>
                <w:snapToGrid w:val="0"/>
              </w:rPr>
            </w:pPr>
            <w:r>
              <w:rPr>
                <w:snapToGrid w:val="0"/>
              </w:rPr>
              <w:t>Sensitivity=67%</w:t>
            </w:r>
          </w:p>
          <w:p w14:paraId="3AC1D16A" w14:textId="2ADBE3EE" w:rsidR="00A47118" w:rsidRDefault="000D41C4" w:rsidP="0060578C">
            <w:pPr>
              <w:pStyle w:val="Tabletext1"/>
              <w:keepNext/>
              <w:rPr>
                <w:snapToGrid w:val="0"/>
              </w:rPr>
            </w:pPr>
            <w:r>
              <w:rPr>
                <w:snapToGrid w:val="0"/>
              </w:rPr>
              <w:t>Specificity=92%</w:t>
            </w:r>
          </w:p>
        </w:tc>
        <w:tc>
          <w:tcPr>
            <w:tcW w:w="1395" w:type="pct"/>
          </w:tcPr>
          <w:p w14:paraId="388B9DE2" w14:textId="063C90CD" w:rsidR="007542B5" w:rsidRDefault="007542B5" w:rsidP="0060578C">
            <w:pPr>
              <w:pStyle w:val="Tabletext1"/>
              <w:keepNext/>
              <w:rPr>
                <w:snapToGrid w:val="0"/>
              </w:rPr>
            </w:pPr>
            <w:r>
              <w:rPr>
                <w:snapToGrid w:val="0"/>
              </w:rPr>
              <w:t>Gleason 7 with &gt;5% Gleason grade 4 and less than 50% cores positive OR Gleason 6-7 with &lt;5% Gleason grade 4 with &gt;30% cores OR cancer core length &gt;8mm OR Gleason score 7 with &gt;5% Gleason grade 4 OR Gleason 8-10</w:t>
            </w:r>
            <w:r w:rsidR="00EF1798">
              <w:rPr>
                <w:snapToGrid w:val="0"/>
              </w:rPr>
              <w:t>.</w:t>
            </w:r>
          </w:p>
        </w:tc>
      </w:tr>
      <w:tr w:rsidR="00A47118" w:rsidRPr="00183E4D" w14:paraId="36E6A4FE" w14:textId="77777777" w:rsidTr="00E6732A">
        <w:trPr>
          <w:cantSplit/>
          <w:trHeight w:val="397"/>
          <w:tblHeader/>
        </w:trPr>
        <w:tc>
          <w:tcPr>
            <w:tcW w:w="718" w:type="pct"/>
            <w:shd w:val="clear" w:color="auto" w:fill="auto"/>
          </w:tcPr>
          <w:p w14:paraId="05D4EF7C" w14:textId="77777777" w:rsidR="00A47118" w:rsidRDefault="00A47118" w:rsidP="0060578C">
            <w:pPr>
              <w:pStyle w:val="Tabletext1"/>
              <w:keepNext/>
            </w:pPr>
            <w:r>
              <w:t xml:space="preserve">Thompson et al. 2016 </w:t>
            </w:r>
          </w:p>
        </w:tc>
        <w:tc>
          <w:tcPr>
            <w:tcW w:w="1093" w:type="pct"/>
          </w:tcPr>
          <w:p w14:paraId="54F42350" w14:textId="77777777" w:rsidR="00A47118" w:rsidRDefault="00A47118" w:rsidP="0060578C">
            <w:pPr>
              <w:pStyle w:val="Tabletext1"/>
              <w:keepNext/>
              <w:rPr>
                <w:snapToGrid w:val="0"/>
              </w:rPr>
            </w:pPr>
            <w:r>
              <w:rPr>
                <w:snapToGrid w:val="0"/>
              </w:rPr>
              <w:t>Prospective</w:t>
            </w:r>
          </w:p>
          <w:p w14:paraId="34FBA7E7" w14:textId="77777777" w:rsidR="00A47118" w:rsidRDefault="00A47118" w:rsidP="0060578C">
            <w:pPr>
              <w:pStyle w:val="Tabletext1"/>
              <w:keepNext/>
              <w:rPr>
                <w:snapToGrid w:val="0"/>
              </w:rPr>
            </w:pPr>
            <w:r>
              <w:rPr>
                <w:snapToGrid w:val="0"/>
              </w:rPr>
              <w:t>No ERC</w:t>
            </w:r>
          </w:p>
          <w:p w14:paraId="35651BB7" w14:textId="77777777" w:rsidR="00A47118" w:rsidRDefault="00A47118" w:rsidP="0060578C">
            <w:pPr>
              <w:pStyle w:val="Tabletext1"/>
              <w:keepNext/>
              <w:rPr>
                <w:snapToGrid w:val="0"/>
              </w:rPr>
            </w:pPr>
            <w:r>
              <w:rPr>
                <w:snapToGrid w:val="0"/>
              </w:rPr>
              <w:t>TRUSGB + C-MRIGB</w:t>
            </w:r>
          </w:p>
          <w:p w14:paraId="02E50A4F" w14:textId="77777777" w:rsidR="00A47118" w:rsidRDefault="00A47118" w:rsidP="0060578C">
            <w:pPr>
              <w:pStyle w:val="Tabletext1"/>
              <w:keepNext/>
              <w:rPr>
                <w:snapToGrid w:val="0"/>
              </w:rPr>
            </w:pPr>
            <w:r>
              <w:rPr>
                <w:snapToGrid w:val="0"/>
              </w:rPr>
              <w:t>PI-RADS v1</w:t>
            </w:r>
          </w:p>
        </w:tc>
        <w:tc>
          <w:tcPr>
            <w:tcW w:w="858" w:type="pct"/>
          </w:tcPr>
          <w:p w14:paraId="6C2F0654" w14:textId="75DBE049" w:rsidR="00A47118" w:rsidRDefault="00A47118" w:rsidP="0060578C">
            <w:pPr>
              <w:pStyle w:val="Tabletext1"/>
              <w:keepNext/>
              <w:rPr>
                <w:snapToGrid w:val="0"/>
              </w:rPr>
            </w:pPr>
            <w:r>
              <w:rPr>
                <w:snapToGrid w:val="0"/>
              </w:rPr>
              <w:t>Sensitivity=</w:t>
            </w:r>
            <w:r w:rsidR="003B61A6">
              <w:rPr>
                <w:snapToGrid w:val="0"/>
              </w:rPr>
              <w:t>53</w:t>
            </w:r>
            <w:r w:rsidR="001D76FF">
              <w:rPr>
                <w:snapToGrid w:val="0"/>
              </w:rPr>
              <w:t>%</w:t>
            </w:r>
          </w:p>
          <w:p w14:paraId="6312BF65" w14:textId="7CD70DE3" w:rsidR="00A47118" w:rsidRDefault="00A47118" w:rsidP="0060578C">
            <w:pPr>
              <w:pStyle w:val="Tabletext1"/>
              <w:keepNext/>
              <w:rPr>
                <w:snapToGrid w:val="0"/>
              </w:rPr>
            </w:pPr>
            <w:r>
              <w:rPr>
                <w:snapToGrid w:val="0"/>
              </w:rPr>
              <w:t>Specificity=</w:t>
            </w:r>
            <w:r w:rsidR="003B61A6">
              <w:rPr>
                <w:snapToGrid w:val="0"/>
              </w:rPr>
              <w:t>90</w:t>
            </w:r>
            <w:r>
              <w:rPr>
                <w:snapToGrid w:val="0"/>
              </w:rPr>
              <w:t>%</w:t>
            </w:r>
          </w:p>
        </w:tc>
        <w:tc>
          <w:tcPr>
            <w:tcW w:w="936" w:type="pct"/>
          </w:tcPr>
          <w:p w14:paraId="428D7B1B" w14:textId="71004967" w:rsidR="000D41C4" w:rsidRDefault="001D76FF" w:rsidP="0060578C">
            <w:pPr>
              <w:pStyle w:val="Tabletext1"/>
              <w:keepNext/>
              <w:rPr>
                <w:snapToGrid w:val="0"/>
              </w:rPr>
            </w:pPr>
            <w:r>
              <w:rPr>
                <w:snapToGrid w:val="0"/>
              </w:rPr>
              <w:t>Sensitivity=69%</w:t>
            </w:r>
          </w:p>
          <w:p w14:paraId="48B894CC" w14:textId="13CC2108" w:rsidR="00A47118" w:rsidRDefault="000D41C4" w:rsidP="0060578C">
            <w:pPr>
              <w:pStyle w:val="Tabletext1"/>
              <w:keepNext/>
              <w:rPr>
                <w:snapToGrid w:val="0"/>
              </w:rPr>
            </w:pPr>
            <w:r>
              <w:rPr>
                <w:snapToGrid w:val="0"/>
              </w:rPr>
              <w:t>Specificity=86%</w:t>
            </w:r>
          </w:p>
        </w:tc>
        <w:tc>
          <w:tcPr>
            <w:tcW w:w="1395" w:type="pct"/>
          </w:tcPr>
          <w:p w14:paraId="6C3135B7" w14:textId="5DF797E2" w:rsidR="00A47118" w:rsidRDefault="000C7C2F" w:rsidP="0060578C">
            <w:pPr>
              <w:pStyle w:val="Tabletext1"/>
              <w:keepNext/>
              <w:rPr>
                <w:snapToGrid w:val="0"/>
              </w:rPr>
            </w:pPr>
            <w:r>
              <w:rPr>
                <w:snapToGrid w:val="0"/>
              </w:rPr>
              <w:t>Gleason 7 with &gt;5% Gleason grade 4 and less than 50% cores positive OR Gleason 6-7 with &lt;5% Gleason grade 4 with &gt;30% cores OR cancer core length &gt;8mm OR Gleason score 7 with &gt;5% Gleason grade 4 OR Gleason 8-10</w:t>
            </w:r>
            <w:r w:rsidR="00EF1798">
              <w:rPr>
                <w:snapToGrid w:val="0"/>
              </w:rPr>
              <w:t>.</w:t>
            </w:r>
          </w:p>
        </w:tc>
      </w:tr>
      <w:tr w:rsidR="00A47118" w:rsidRPr="00183E4D" w14:paraId="33595ACB" w14:textId="77777777" w:rsidTr="00E6732A">
        <w:trPr>
          <w:cantSplit/>
          <w:trHeight w:val="397"/>
          <w:tblHeader/>
        </w:trPr>
        <w:tc>
          <w:tcPr>
            <w:tcW w:w="718" w:type="pct"/>
            <w:shd w:val="clear" w:color="auto" w:fill="auto"/>
          </w:tcPr>
          <w:p w14:paraId="49547353" w14:textId="77777777" w:rsidR="00A47118" w:rsidRDefault="00A47118" w:rsidP="0060578C">
            <w:pPr>
              <w:pStyle w:val="Tabletext1"/>
              <w:keepNext/>
            </w:pPr>
            <w:r>
              <w:t xml:space="preserve">Wang et al. (2015) </w:t>
            </w:r>
          </w:p>
        </w:tc>
        <w:tc>
          <w:tcPr>
            <w:tcW w:w="1093" w:type="pct"/>
          </w:tcPr>
          <w:p w14:paraId="47D902D4" w14:textId="77777777" w:rsidR="00A47118" w:rsidRDefault="00A47118" w:rsidP="0060578C">
            <w:pPr>
              <w:pStyle w:val="Tabletext1"/>
              <w:keepNext/>
              <w:rPr>
                <w:snapToGrid w:val="0"/>
              </w:rPr>
            </w:pPr>
            <w:r>
              <w:rPr>
                <w:snapToGrid w:val="0"/>
              </w:rPr>
              <w:t>NR if prospective</w:t>
            </w:r>
          </w:p>
          <w:p w14:paraId="6B4E6A63" w14:textId="77777777" w:rsidR="00A47118" w:rsidRDefault="00A47118" w:rsidP="0060578C">
            <w:pPr>
              <w:pStyle w:val="Tabletext1"/>
              <w:keepNext/>
              <w:rPr>
                <w:snapToGrid w:val="0"/>
              </w:rPr>
            </w:pPr>
            <w:r>
              <w:rPr>
                <w:snapToGrid w:val="0"/>
              </w:rPr>
              <w:t>ERC</w:t>
            </w:r>
          </w:p>
          <w:p w14:paraId="3A543CF8" w14:textId="77777777" w:rsidR="00A47118" w:rsidRDefault="00A47118" w:rsidP="0060578C">
            <w:pPr>
              <w:pStyle w:val="Tabletext1"/>
              <w:keepNext/>
              <w:rPr>
                <w:snapToGrid w:val="0"/>
              </w:rPr>
            </w:pPr>
            <w:r>
              <w:rPr>
                <w:snapToGrid w:val="0"/>
              </w:rPr>
              <w:t>TRUSGB</w:t>
            </w:r>
          </w:p>
          <w:p w14:paraId="4CB3CA3D" w14:textId="77777777" w:rsidR="00A47118" w:rsidRDefault="00A47118" w:rsidP="0060578C">
            <w:pPr>
              <w:pStyle w:val="Tabletext1"/>
              <w:keepNext/>
              <w:rPr>
                <w:snapToGrid w:val="0"/>
              </w:rPr>
            </w:pPr>
            <w:r>
              <w:rPr>
                <w:snapToGrid w:val="0"/>
              </w:rPr>
              <w:t>PI-RADS v1</w:t>
            </w:r>
          </w:p>
        </w:tc>
        <w:tc>
          <w:tcPr>
            <w:tcW w:w="858" w:type="pct"/>
          </w:tcPr>
          <w:p w14:paraId="60EFD2D6" w14:textId="29082D20" w:rsidR="00A47118" w:rsidRDefault="00A47118" w:rsidP="0060578C">
            <w:pPr>
              <w:pStyle w:val="Tabletext1"/>
              <w:keepNext/>
              <w:rPr>
                <w:snapToGrid w:val="0"/>
              </w:rPr>
            </w:pPr>
            <w:r>
              <w:rPr>
                <w:snapToGrid w:val="0"/>
              </w:rPr>
              <w:t>Sensitivity=</w:t>
            </w:r>
            <w:r w:rsidR="003B61A6">
              <w:rPr>
                <w:snapToGrid w:val="0"/>
              </w:rPr>
              <w:t>90</w:t>
            </w:r>
            <w:r w:rsidR="001D76FF">
              <w:rPr>
                <w:snapToGrid w:val="0"/>
              </w:rPr>
              <w:t>%</w:t>
            </w:r>
          </w:p>
          <w:p w14:paraId="6B7833DB" w14:textId="5EFB1752" w:rsidR="00A47118" w:rsidRDefault="00A47118" w:rsidP="0060578C">
            <w:pPr>
              <w:pStyle w:val="Tabletext1"/>
              <w:keepNext/>
              <w:rPr>
                <w:snapToGrid w:val="0"/>
              </w:rPr>
            </w:pPr>
            <w:r>
              <w:rPr>
                <w:snapToGrid w:val="0"/>
              </w:rPr>
              <w:t>Specificity=</w:t>
            </w:r>
            <w:r w:rsidR="003B61A6">
              <w:rPr>
                <w:snapToGrid w:val="0"/>
              </w:rPr>
              <w:t>80</w:t>
            </w:r>
            <w:r>
              <w:rPr>
                <w:snapToGrid w:val="0"/>
              </w:rPr>
              <w:t>%</w:t>
            </w:r>
          </w:p>
        </w:tc>
        <w:tc>
          <w:tcPr>
            <w:tcW w:w="936" w:type="pct"/>
          </w:tcPr>
          <w:p w14:paraId="7D6A49C6" w14:textId="77777777" w:rsidR="00A47118" w:rsidRDefault="000D41C4" w:rsidP="0060578C">
            <w:pPr>
              <w:pStyle w:val="Tabletext1"/>
              <w:keepNext/>
              <w:rPr>
                <w:snapToGrid w:val="0"/>
              </w:rPr>
            </w:pPr>
            <w:r>
              <w:rPr>
                <w:snapToGrid w:val="0"/>
              </w:rPr>
              <w:t>NR</w:t>
            </w:r>
          </w:p>
        </w:tc>
        <w:tc>
          <w:tcPr>
            <w:tcW w:w="1395" w:type="pct"/>
          </w:tcPr>
          <w:p w14:paraId="719D1C73" w14:textId="77777777" w:rsidR="00A47118" w:rsidRDefault="000C7C2F" w:rsidP="0060578C">
            <w:pPr>
              <w:pStyle w:val="Tabletext1"/>
              <w:keepNext/>
              <w:rPr>
                <w:snapToGrid w:val="0"/>
              </w:rPr>
            </w:pPr>
            <w:r>
              <w:rPr>
                <w:snapToGrid w:val="0"/>
              </w:rPr>
              <w:t>NA</w:t>
            </w:r>
          </w:p>
        </w:tc>
      </w:tr>
    </w:tbl>
    <w:p w14:paraId="5CA10A0C" w14:textId="77777777" w:rsidR="00E6732A" w:rsidRDefault="00E6732A"/>
    <w:p w14:paraId="290B5696" w14:textId="77777777" w:rsidR="00E6732A" w:rsidRDefault="00E6732A"/>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308"/>
        <w:gridCol w:w="1992"/>
        <w:gridCol w:w="1564"/>
        <w:gridCol w:w="1706"/>
        <w:gridCol w:w="2542"/>
      </w:tblGrid>
      <w:tr w:rsidR="00E6732A" w:rsidRPr="00E6732A" w14:paraId="07D89C16" w14:textId="77777777" w:rsidTr="00E6732A">
        <w:trPr>
          <w:cantSplit/>
          <w:trHeight w:val="397"/>
          <w:tblHeader/>
        </w:trPr>
        <w:tc>
          <w:tcPr>
            <w:tcW w:w="718" w:type="pct"/>
            <w:tcBorders>
              <w:top w:val="single" w:sz="4" w:space="0" w:color="auto"/>
              <w:left w:val="single" w:sz="4" w:space="0" w:color="auto"/>
              <w:bottom w:val="single" w:sz="4" w:space="0" w:color="auto"/>
              <w:right w:val="single" w:sz="4" w:space="0" w:color="auto"/>
            </w:tcBorders>
            <w:shd w:val="clear" w:color="auto" w:fill="auto"/>
          </w:tcPr>
          <w:p w14:paraId="24E36223" w14:textId="77777777" w:rsidR="00E6732A" w:rsidRPr="00E6732A" w:rsidRDefault="00E6732A" w:rsidP="00E6732A">
            <w:pPr>
              <w:pStyle w:val="TableText0"/>
              <w:jc w:val="left"/>
              <w:rPr>
                <w:b/>
              </w:rPr>
            </w:pPr>
            <w:r w:rsidRPr="00E6732A">
              <w:rPr>
                <w:b/>
              </w:rPr>
              <w:lastRenderedPageBreak/>
              <w:t>Study ID</w:t>
            </w:r>
          </w:p>
        </w:tc>
        <w:tc>
          <w:tcPr>
            <w:tcW w:w="1093" w:type="pct"/>
            <w:tcBorders>
              <w:top w:val="single" w:sz="4" w:space="0" w:color="auto"/>
              <w:left w:val="single" w:sz="4" w:space="0" w:color="auto"/>
              <w:bottom w:val="single" w:sz="4" w:space="0" w:color="auto"/>
              <w:right w:val="single" w:sz="4" w:space="0" w:color="auto"/>
            </w:tcBorders>
          </w:tcPr>
          <w:p w14:paraId="4238B002" w14:textId="77777777" w:rsidR="00E6732A" w:rsidRPr="00E6732A" w:rsidRDefault="00E6732A" w:rsidP="00D922F2">
            <w:pPr>
              <w:pStyle w:val="TableText0"/>
              <w:rPr>
                <w:b/>
                <w:snapToGrid w:val="0"/>
              </w:rPr>
            </w:pPr>
            <w:r w:rsidRPr="00E6732A">
              <w:rPr>
                <w:b/>
                <w:snapToGrid w:val="0"/>
              </w:rPr>
              <w:t xml:space="preserve">Study characteristics </w:t>
            </w:r>
          </w:p>
        </w:tc>
        <w:tc>
          <w:tcPr>
            <w:tcW w:w="858" w:type="pct"/>
            <w:tcBorders>
              <w:top w:val="single" w:sz="4" w:space="0" w:color="auto"/>
              <w:left w:val="single" w:sz="4" w:space="0" w:color="auto"/>
              <w:bottom w:val="single" w:sz="4" w:space="0" w:color="auto"/>
              <w:right w:val="single" w:sz="4" w:space="0" w:color="auto"/>
            </w:tcBorders>
          </w:tcPr>
          <w:p w14:paraId="13C507A8" w14:textId="77777777" w:rsidR="00E6732A" w:rsidRPr="00E6732A" w:rsidRDefault="00E6732A" w:rsidP="00D922F2">
            <w:pPr>
              <w:pStyle w:val="TableText0"/>
              <w:rPr>
                <w:b/>
                <w:snapToGrid w:val="0"/>
              </w:rPr>
            </w:pPr>
            <w:r w:rsidRPr="00E6732A">
              <w:rPr>
                <w:b/>
                <w:snapToGrid w:val="0"/>
              </w:rPr>
              <w:t>Result – any cancer</w:t>
            </w:r>
          </w:p>
        </w:tc>
        <w:tc>
          <w:tcPr>
            <w:tcW w:w="936" w:type="pct"/>
            <w:tcBorders>
              <w:top w:val="single" w:sz="4" w:space="0" w:color="auto"/>
              <w:left w:val="single" w:sz="4" w:space="0" w:color="auto"/>
              <w:bottom w:val="single" w:sz="4" w:space="0" w:color="auto"/>
              <w:right w:val="single" w:sz="4" w:space="0" w:color="auto"/>
            </w:tcBorders>
          </w:tcPr>
          <w:p w14:paraId="08C38416" w14:textId="77777777" w:rsidR="00E6732A" w:rsidRPr="00E6732A" w:rsidRDefault="00E6732A" w:rsidP="00D922F2">
            <w:pPr>
              <w:pStyle w:val="TableText0"/>
              <w:rPr>
                <w:b/>
                <w:snapToGrid w:val="0"/>
              </w:rPr>
            </w:pPr>
            <w:r w:rsidRPr="00E6732A">
              <w:rPr>
                <w:b/>
                <w:snapToGrid w:val="0"/>
              </w:rPr>
              <w:t>Result - clinically significant cancer</w:t>
            </w:r>
          </w:p>
        </w:tc>
        <w:tc>
          <w:tcPr>
            <w:tcW w:w="1395" w:type="pct"/>
            <w:tcBorders>
              <w:top w:val="single" w:sz="4" w:space="0" w:color="auto"/>
              <w:left w:val="single" w:sz="4" w:space="0" w:color="auto"/>
              <w:bottom w:val="single" w:sz="4" w:space="0" w:color="auto"/>
              <w:right w:val="single" w:sz="4" w:space="0" w:color="auto"/>
            </w:tcBorders>
          </w:tcPr>
          <w:p w14:paraId="4FAF017B" w14:textId="77777777" w:rsidR="00E6732A" w:rsidRPr="00E6732A" w:rsidRDefault="00E6732A" w:rsidP="00D922F2">
            <w:pPr>
              <w:pStyle w:val="TableText0"/>
              <w:rPr>
                <w:b/>
                <w:snapToGrid w:val="0"/>
              </w:rPr>
            </w:pPr>
            <w:r w:rsidRPr="00E6732A">
              <w:rPr>
                <w:b/>
                <w:snapToGrid w:val="0"/>
              </w:rPr>
              <w:t>Definition of clinically significant cancer</w:t>
            </w:r>
          </w:p>
        </w:tc>
      </w:tr>
      <w:tr w:rsidR="00A47118" w:rsidRPr="00183E4D" w14:paraId="18AAE4DA" w14:textId="77777777" w:rsidTr="00E6732A">
        <w:trPr>
          <w:cantSplit/>
          <w:trHeight w:val="397"/>
          <w:tblHeader/>
        </w:trPr>
        <w:tc>
          <w:tcPr>
            <w:tcW w:w="718" w:type="pct"/>
            <w:shd w:val="clear" w:color="auto" w:fill="auto"/>
          </w:tcPr>
          <w:p w14:paraId="05FCF0B2" w14:textId="77777777" w:rsidR="00A47118" w:rsidRDefault="00A47118" w:rsidP="0060578C">
            <w:pPr>
              <w:pStyle w:val="Tabletext1"/>
            </w:pPr>
            <w:r>
              <w:t xml:space="preserve">Zhao et al. (2016) </w:t>
            </w:r>
          </w:p>
        </w:tc>
        <w:tc>
          <w:tcPr>
            <w:tcW w:w="1093" w:type="pct"/>
          </w:tcPr>
          <w:p w14:paraId="53AA9310" w14:textId="77777777" w:rsidR="00A47118" w:rsidRDefault="00A47118" w:rsidP="0060578C">
            <w:pPr>
              <w:pStyle w:val="Tabletext1"/>
              <w:rPr>
                <w:snapToGrid w:val="0"/>
              </w:rPr>
            </w:pPr>
            <w:r>
              <w:rPr>
                <w:snapToGrid w:val="0"/>
              </w:rPr>
              <w:t>Retrospective</w:t>
            </w:r>
          </w:p>
          <w:p w14:paraId="51D8A1B5" w14:textId="77777777" w:rsidR="00A47118" w:rsidRDefault="00A47118" w:rsidP="0060578C">
            <w:pPr>
              <w:pStyle w:val="Tabletext1"/>
              <w:rPr>
                <w:snapToGrid w:val="0"/>
              </w:rPr>
            </w:pPr>
            <w:r>
              <w:rPr>
                <w:snapToGrid w:val="0"/>
              </w:rPr>
              <w:t>No ERC</w:t>
            </w:r>
          </w:p>
          <w:p w14:paraId="7EC06EDF" w14:textId="77777777" w:rsidR="00A47118" w:rsidRDefault="00A47118" w:rsidP="0060578C">
            <w:pPr>
              <w:pStyle w:val="Tabletext1"/>
              <w:rPr>
                <w:snapToGrid w:val="0"/>
              </w:rPr>
            </w:pPr>
            <w:r>
              <w:rPr>
                <w:snapToGrid w:val="0"/>
              </w:rPr>
              <w:t>TRUSGB + C-MRIGB</w:t>
            </w:r>
          </w:p>
          <w:p w14:paraId="376A6436" w14:textId="77777777" w:rsidR="00A47118" w:rsidRDefault="00A47118" w:rsidP="0060578C">
            <w:pPr>
              <w:pStyle w:val="Tabletext1"/>
              <w:rPr>
                <w:snapToGrid w:val="0"/>
              </w:rPr>
            </w:pPr>
            <w:r>
              <w:rPr>
                <w:snapToGrid w:val="0"/>
              </w:rPr>
              <w:t>PI-RADS v2</w:t>
            </w:r>
          </w:p>
        </w:tc>
        <w:tc>
          <w:tcPr>
            <w:tcW w:w="858" w:type="pct"/>
          </w:tcPr>
          <w:p w14:paraId="382CE78E" w14:textId="4BE0696B" w:rsidR="00A47118" w:rsidRDefault="00A47118" w:rsidP="0060578C">
            <w:pPr>
              <w:pStyle w:val="Tabletext1"/>
              <w:rPr>
                <w:snapToGrid w:val="0"/>
              </w:rPr>
            </w:pPr>
            <w:r>
              <w:rPr>
                <w:snapToGrid w:val="0"/>
              </w:rPr>
              <w:t>Sensitivity=</w:t>
            </w:r>
            <w:r w:rsidR="003B61A6">
              <w:rPr>
                <w:snapToGrid w:val="0"/>
              </w:rPr>
              <w:t>80</w:t>
            </w:r>
            <w:r w:rsidR="001D76FF">
              <w:rPr>
                <w:snapToGrid w:val="0"/>
              </w:rPr>
              <w:t>%</w:t>
            </w:r>
          </w:p>
          <w:p w14:paraId="2DBC0BAD" w14:textId="546E33DC" w:rsidR="00A47118" w:rsidRDefault="00A47118" w:rsidP="0060578C">
            <w:pPr>
              <w:pStyle w:val="Tabletext1"/>
              <w:rPr>
                <w:snapToGrid w:val="0"/>
              </w:rPr>
            </w:pPr>
            <w:r>
              <w:rPr>
                <w:snapToGrid w:val="0"/>
              </w:rPr>
              <w:t>Specificity=</w:t>
            </w:r>
            <w:r w:rsidR="003B61A6">
              <w:rPr>
                <w:snapToGrid w:val="0"/>
              </w:rPr>
              <w:t>90</w:t>
            </w:r>
            <w:r>
              <w:rPr>
                <w:snapToGrid w:val="0"/>
              </w:rPr>
              <w:t>%</w:t>
            </w:r>
          </w:p>
        </w:tc>
        <w:tc>
          <w:tcPr>
            <w:tcW w:w="936" w:type="pct"/>
          </w:tcPr>
          <w:p w14:paraId="2B39A48D" w14:textId="7BF93763" w:rsidR="000D41C4" w:rsidRDefault="001D76FF" w:rsidP="0060578C">
            <w:pPr>
              <w:pStyle w:val="Tabletext1"/>
              <w:rPr>
                <w:snapToGrid w:val="0"/>
              </w:rPr>
            </w:pPr>
            <w:r>
              <w:rPr>
                <w:snapToGrid w:val="0"/>
              </w:rPr>
              <w:t>Sensitivity=85%</w:t>
            </w:r>
          </w:p>
          <w:p w14:paraId="5D6A7FB3" w14:textId="71CB40EB" w:rsidR="00A47118" w:rsidRDefault="000D41C4" w:rsidP="0060578C">
            <w:pPr>
              <w:pStyle w:val="Tabletext1"/>
              <w:rPr>
                <w:snapToGrid w:val="0"/>
              </w:rPr>
            </w:pPr>
            <w:r>
              <w:rPr>
                <w:snapToGrid w:val="0"/>
              </w:rPr>
              <w:t>Specificity=83%</w:t>
            </w:r>
          </w:p>
        </w:tc>
        <w:tc>
          <w:tcPr>
            <w:tcW w:w="1395" w:type="pct"/>
          </w:tcPr>
          <w:p w14:paraId="59B1E4FF" w14:textId="253AF38C" w:rsidR="00A47118" w:rsidRDefault="000C7C2F" w:rsidP="0060578C">
            <w:pPr>
              <w:pStyle w:val="Tabletext1"/>
              <w:rPr>
                <w:snapToGrid w:val="0"/>
              </w:rPr>
            </w:pPr>
            <w:r>
              <w:rPr>
                <w:snapToGrid w:val="0"/>
              </w:rPr>
              <w:t>Gleason ≥7 (any pattern)</w:t>
            </w:r>
            <w:r w:rsidR="00736FAB">
              <w:rPr>
                <w:snapToGrid w:val="0"/>
              </w:rPr>
              <w:t xml:space="preserve"> </w:t>
            </w:r>
            <w:r>
              <w:rPr>
                <w:snapToGrid w:val="0"/>
              </w:rPr>
              <w:t>– researcher calculated</w:t>
            </w:r>
            <w:r w:rsidR="00EF1798">
              <w:rPr>
                <w:snapToGrid w:val="0"/>
              </w:rPr>
              <w:t>.</w:t>
            </w:r>
          </w:p>
        </w:tc>
      </w:tr>
    </w:tbl>
    <w:p w14:paraId="6F1A4D58" w14:textId="07B52CFB" w:rsidR="007A49EE" w:rsidRPr="00962C47" w:rsidRDefault="00A82ABF" w:rsidP="00A04345">
      <w:pPr>
        <w:pStyle w:val="TableNotes"/>
      </w:pPr>
      <w:r w:rsidRPr="006156D1">
        <w:t xml:space="preserve">ERC = </w:t>
      </w:r>
      <w:r w:rsidR="0029690D" w:rsidRPr="00453B14">
        <w:t>endor</w:t>
      </w:r>
      <w:r w:rsidR="00D97A4B">
        <w:t>e</w:t>
      </w:r>
      <w:r w:rsidR="0029690D" w:rsidRPr="00453B14">
        <w:t>ctal coil, TRUSGB = trans</w:t>
      </w:r>
      <w:r w:rsidR="006F3F56">
        <w:t>-</w:t>
      </w:r>
      <w:r w:rsidRPr="00453B14">
        <w:t>rectal ultrasound</w:t>
      </w:r>
      <w:r w:rsidR="0029690D" w:rsidRPr="00453B14">
        <w:t xml:space="preserve"> </w:t>
      </w:r>
      <w:r w:rsidRPr="00453B14">
        <w:t>guided biopsy, C-MRIGB = cognitive MRI-guided biopsy</w:t>
      </w:r>
      <w:r w:rsidR="00862415" w:rsidRPr="00453B14">
        <w:t>, NR = not reported, NA = not applicable</w:t>
      </w:r>
      <w:r w:rsidR="00D97A4B">
        <w:t xml:space="preserve">, </w:t>
      </w:r>
      <w:r w:rsidR="00D97A4B" w:rsidRPr="00415BAD">
        <w:t xml:space="preserve">PI-RADS </w:t>
      </w:r>
      <w:r w:rsidR="00415BAD">
        <w:t>=</w:t>
      </w:r>
      <w:r w:rsidR="00D97A4B">
        <w:t xml:space="preserve"> </w:t>
      </w:r>
      <w:r w:rsidR="005C6BD2" w:rsidRPr="000C2D22">
        <w:t>Prostate Imaging Reporting and Data System</w:t>
      </w:r>
      <w:r w:rsidR="005C6BD2">
        <w:t>.</w:t>
      </w:r>
    </w:p>
    <w:p w14:paraId="5F16141D" w14:textId="2B55DA59" w:rsidR="0047340E" w:rsidRPr="00466B3D" w:rsidRDefault="00E32A74" w:rsidP="00466B3D">
      <w:pPr>
        <w:pStyle w:val="Caption"/>
      </w:pPr>
      <w:bookmarkStart w:id="305" w:name="_Ref456772493"/>
      <w:bookmarkStart w:id="306" w:name="_Toc460514523"/>
      <w:r>
        <w:t xml:space="preserve">Table </w:t>
      </w:r>
      <w:fldSimple w:instr=" SEQ Table \* ARABIC ">
        <w:r w:rsidR="0029649D">
          <w:rPr>
            <w:noProof/>
          </w:rPr>
          <w:t>23</w:t>
        </w:r>
      </w:fldSimple>
      <w:bookmarkEnd w:id="305"/>
      <w:r w:rsidR="0047340E" w:rsidRPr="00D8414C">
        <w:tab/>
        <w:t xml:space="preserve">Summary of findings for the </w:t>
      </w:r>
      <w:r w:rsidR="000F1319" w:rsidRPr="00D8414C">
        <w:t>accuracy</w:t>
      </w:r>
      <w:r w:rsidR="0047340E" w:rsidRPr="00D8414C">
        <w:t xml:space="preserve"> of </w:t>
      </w:r>
      <w:r w:rsidR="007715CC" w:rsidRPr="00466B3D">
        <w:t>mpMRI</w:t>
      </w:r>
      <w:r w:rsidR="0047340E" w:rsidRPr="00466B3D">
        <w:t xml:space="preserve">, relative to </w:t>
      </w:r>
      <w:r w:rsidR="007715CC" w:rsidRPr="00466B3D">
        <w:t>biopsy</w:t>
      </w:r>
      <w:r w:rsidR="0047340E" w:rsidRPr="00466B3D">
        <w:t xml:space="preserve">, in patients with </w:t>
      </w:r>
      <w:r w:rsidR="00E74DDE" w:rsidRPr="00466B3D">
        <w:t>suspected prostate cancer</w:t>
      </w:r>
      <w:r w:rsidR="0047340E" w:rsidRPr="00466B3D">
        <w:t xml:space="preserve"> with assumed pre-tes</w:t>
      </w:r>
      <w:r w:rsidR="00540200" w:rsidRPr="00466B3D">
        <w:t>t probability (prevalence) of 35</w:t>
      </w:r>
      <w:r w:rsidR="0047340E" w:rsidRPr="00466B3D">
        <w:t>%</w:t>
      </w:r>
      <w:bookmarkEnd w:id="306"/>
      <w:r w:rsidR="0047340E" w:rsidRPr="00466B3D">
        <w:t xml:space="preserve"> </w:t>
      </w:r>
    </w:p>
    <w:tbl>
      <w:tblPr>
        <w:tblStyle w:val="TableGrid"/>
        <w:tblW w:w="9112" w:type="dxa"/>
        <w:tblInd w:w="130" w:type="dxa"/>
        <w:tblCellMar>
          <w:left w:w="28" w:type="dxa"/>
          <w:right w:w="28" w:type="dxa"/>
        </w:tblCellMar>
        <w:tblLook w:val="04A0" w:firstRow="1" w:lastRow="0" w:firstColumn="1" w:lastColumn="0" w:noHBand="0" w:noVBand="1"/>
        <w:tblDescription w:val="Summary of findings table"/>
      </w:tblPr>
      <w:tblGrid>
        <w:gridCol w:w="1382"/>
        <w:gridCol w:w="1903"/>
        <w:gridCol w:w="1832"/>
        <w:gridCol w:w="1832"/>
        <w:gridCol w:w="2163"/>
      </w:tblGrid>
      <w:tr w:rsidR="00862415" w:rsidRPr="00E6732A" w14:paraId="7AF76B90" w14:textId="77777777" w:rsidTr="00E6732A">
        <w:trPr>
          <w:trHeight w:val="397"/>
          <w:tblHeader/>
        </w:trPr>
        <w:tc>
          <w:tcPr>
            <w:tcW w:w="758" w:type="pct"/>
          </w:tcPr>
          <w:p w14:paraId="6D0E9325" w14:textId="77777777" w:rsidR="00862415" w:rsidRPr="00E6732A" w:rsidRDefault="00862415" w:rsidP="007E5DC5">
            <w:pPr>
              <w:pStyle w:val="Tableheading1"/>
            </w:pPr>
            <w:r w:rsidRPr="00E6732A">
              <w:t>Outcomes</w:t>
            </w:r>
          </w:p>
        </w:tc>
        <w:tc>
          <w:tcPr>
            <w:tcW w:w="1044" w:type="pct"/>
          </w:tcPr>
          <w:p w14:paraId="632FE0E2" w14:textId="77777777" w:rsidR="00862415" w:rsidRPr="00E6732A" w:rsidRDefault="00862415" w:rsidP="007E5DC5">
            <w:pPr>
              <w:pStyle w:val="Tableheading1"/>
            </w:pPr>
            <w:r w:rsidRPr="00E6732A">
              <w:t>mpMRI – all cancer</w:t>
            </w:r>
          </w:p>
          <w:p w14:paraId="3ED3346A" w14:textId="17A64BC5" w:rsidR="00862415" w:rsidRPr="00E6732A" w:rsidRDefault="00862415" w:rsidP="007E5DC5">
            <w:pPr>
              <w:pStyle w:val="Tableheading1"/>
            </w:pPr>
          </w:p>
        </w:tc>
        <w:tc>
          <w:tcPr>
            <w:tcW w:w="1005" w:type="pct"/>
          </w:tcPr>
          <w:p w14:paraId="478E9914" w14:textId="77777777" w:rsidR="00862415" w:rsidRPr="00E6732A" w:rsidRDefault="00862415" w:rsidP="007E5DC5">
            <w:pPr>
              <w:pStyle w:val="Tableheading1"/>
            </w:pPr>
            <w:r w:rsidRPr="00E6732A">
              <w:t>mpMRI – clinically significant cancer</w:t>
            </w:r>
          </w:p>
          <w:p w14:paraId="4493748C" w14:textId="61B58A53" w:rsidR="00862415" w:rsidRPr="00E6732A" w:rsidRDefault="00862415" w:rsidP="007E5DC5">
            <w:pPr>
              <w:pStyle w:val="Tableheading1"/>
            </w:pPr>
          </w:p>
        </w:tc>
        <w:tc>
          <w:tcPr>
            <w:tcW w:w="1005" w:type="pct"/>
          </w:tcPr>
          <w:p w14:paraId="67EB085B" w14:textId="2825901E" w:rsidR="00862415" w:rsidRPr="00E6732A" w:rsidRDefault="00862415" w:rsidP="007E5DC5">
            <w:pPr>
              <w:pStyle w:val="Tableheading1"/>
            </w:pPr>
            <w:r w:rsidRPr="00E6732A">
              <w:t>Quality of evidence</w:t>
            </w:r>
            <w:r w:rsidR="00B27741" w:rsidRPr="00E6732A">
              <w:rPr>
                <w:vertAlign w:val="superscript"/>
              </w:rPr>
              <w:t>a</w:t>
            </w:r>
          </w:p>
        </w:tc>
        <w:tc>
          <w:tcPr>
            <w:tcW w:w="1187" w:type="pct"/>
          </w:tcPr>
          <w:p w14:paraId="05CCDB43" w14:textId="09552F51" w:rsidR="00862415" w:rsidRPr="00E6732A" w:rsidRDefault="00862415" w:rsidP="007E5DC5">
            <w:pPr>
              <w:pStyle w:val="Tableheading1"/>
            </w:pPr>
            <w:r w:rsidRPr="00E6732A">
              <w:t>Importance</w:t>
            </w:r>
          </w:p>
        </w:tc>
      </w:tr>
      <w:tr w:rsidR="00862415" w14:paraId="3795966B" w14:textId="77777777" w:rsidTr="00E6732A">
        <w:trPr>
          <w:trHeight w:val="397"/>
        </w:trPr>
        <w:tc>
          <w:tcPr>
            <w:tcW w:w="758" w:type="pct"/>
          </w:tcPr>
          <w:p w14:paraId="00E6697B" w14:textId="4C1B2922" w:rsidR="00862415" w:rsidRPr="00453B14" w:rsidRDefault="00862415" w:rsidP="007E5DC5">
            <w:pPr>
              <w:pStyle w:val="Tabletext1"/>
            </w:pPr>
            <w:r w:rsidRPr="00453B14">
              <w:t>Sensitivity</w:t>
            </w:r>
            <w:r w:rsidR="00935713">
              <w:t xml:space="preserve"> % [95%</w:t>
            </w:r>
            <w:r w:rsidR="005C240B">
              <w:t xml:space="preserve"> CI]</w:t>
            </w:r>
          </w:p>
        </w:tc>
        <w:tc>
          <w:tcPr>
            <w:tcW w:w="1044" w:type="pct"/>
          </w:tcPr>
          <w:p w14:paraId="22693208" w14:textId="0C88701E" w:rsidR="00862415" w:rsidRPr="00453B14" w:rsidRDefault="00862415" w:rsidP="007E5DC5">
            <w:pPr>
              <w:pStyle w:val="Tabletext1"/>
              <w:rPr>
                <w:rFonts w:cs="Arial"/>
              </w:rPr>
            </w:pPr>
            <w:r w:rsidRPr="00453B14">
              <w:rPr>
                <w:rFonts w:cs="Arial"/>
              </w:rPr>
              <w:t>73.4 [57.0, 85.1]</w:t>
            </w:r>
          </w:p>
        </w:tc>
        <w:tc>
          <w:tcPr>
            <w:tcW w:w="1005" w:type="pct"/>
          </w:tcPr>
          <w:p w14:paraId="38B1260A" w14:textId="6941D9D5" w:rsidR="00862415" w:rsidRPr="00A04345" w:rsidRDefault="00862415" w:rsidP="007E5DC5">
            <w:pPr>
              <w:pStyle w:val="Tabletext1"/>
              <w:rPr>
                <w:rFonts w:cs="Arial"/>
              </w:rPr>
            </w:pPr>
            <w:r w:rsidRPr="00453B14">
              <w:t>76.3 [58.6, 88.0]</w:t>
            </w:r>
          </w:p>
        </w:tc>
        <w:tc>
          <w:tcPr>
            <w:tcW w:w="1005" w:type="pct"/>
          </w:tcPr>
          <w:p w14:paraId="7F0D1765" w14:textId="1BE8A7A6" w:rsidR="00862415" w:rsidRPr="00A04345" w:rsidRDefault="00291227" w:rsidP="007E5DC5">
            <w:pPr>
              <w:pStyle w:val="Tabletext1"/>
              <w:rPr>
                <w:rFonts w:cs="Arial"/>
              </w:rPr>
            </w:pPr>
            <w:r w:rsidRPr="00453B14">
              <w:rPr>
                <w:rFonts w:ascii="Cambria Math" w:hAnsi="Cambria Math" w:cs="Cambria Math"/>
                <w:color w:val="00B050"/>
              </w:rPr>
              <w:t>⨁⨁</w:t>
            </w:r>
            <w:r w:rsidRPr="00453B14">
              <w:rPr>
                <w:rFonts w:ascii="Cambria Math" w:hAnsi="Cambria Math" w:cs="Cambria Math"/>
                <w:color w:val="C00000"/>
              </w:rPr>
              <w:t>⨀⨀</w:t>
            </w:r>
            <w:r w:rsidR="00D3419C" w:rsidRPr="00A04345">
              <w:rPr>
                <w:rFonts w:cs="Arial"/>
              </w:rPr>
              <w:br/>
              <w:t>Low</w:t>
            </w:r>
            <w:r w:rsidR="00862415" w:rsidRPr="00A04345">
              <w:rPr>
                <w:rFonts w:cs="Arial"/>
                <w:vertAlign w:val="superscript"/>
              </w:rPr>
              <w:t>1,2</w:t>
            </w:r>
          </w:p>
        </w:tc>
        <w:tc>
          <w:tcPr>
            <w:tcW w:w="1187" w:type="pct"/>
          </w:tcPr>
          <w:p w14:paraId="012C54D0" w14:textId="24FC0655" w:rsidR="00862415" w:rsidRPr="00A04345" w:rsidRDefault="00862415" w:rsidP="007E5DC5">
            <w:pPr>
              <w:pStyle w:val="Tabletext1"/>
              <w:rPr>
                <w:rFonts w:cs="Arial"/>
              </w:rPr>
            </w:pPr>
            <w:r w:rsidRPr="00A04345">
              <w:rPr>
                <w:rFonts w:cs="Arial"/>
              </w:rPr>
              <w:t>Critical</w:t>
            </w:r>
          </w:p>
        </w:tc>
      </w:tr>
      <w:tr w:rsidR="00862415" w14:paraId="289FC3EE" w14:textId="77777777" w:rsidTr="00E6732A">
        <w:trPr>
          <w:trHeight w:val="397"/>
        </w:trPr>
        <w:tc>
          <w:tcPr>
            <w:tcW w:w="758" w:type="pct"/>
          </w:tcPr>
          <w:p w14:paraId="00B84A29" w14:textId="36B62430" w:rsidR="00862415" w:rsidRPr="00453B14" w:rsidRDefault="00862415" w:rsidP="007E5DC5">
            <w:pPr>
              <w:pStyle w:val="Tabletext1"/>
            </w:pPr>
            <w:r w:rsidRPr="00453B14">
              <w:t>Specificity</w:t>
            </w:r>
            <w:r w:rsidR="00935713">
              <w:t xml:space="preserve"> % [95%</w:t>
            </w:r>
            <w:r w:rsidR="005C240B">
              <w:t xml:space="preserve"> CI]</w:t>
            </w:r>
          </w:p>
        </w:tc>
        <w:tc>
          <w:tcPr>
            <w:tcW w:w="1044" w:type="pct"/>
          </w:tcPr>
          <w:p w14:paraId="3901BEB8" w14:textId="1E4E9D4B" w:rsidR="00862415" w:rsidRPr="00453B14" w:rsidRDefault="00862415" w:rsidP="007E5DC5">
            <w:pPr>
              <w:pStyle w:val="Tabletext1"/>
              <w:rPr>
                <w:rFonts w:cs="Arial"/>
              </w:rPr>
            </w:pPr>
            <w:r w:rsidRPr="00453B14">
              <w:rPr>
                <w:rFonts w:cs="Arial"/>
              </w:rPr>
              <w:t>77.1 [63.5, 86.7]</w:t>
            </w:r>
          </w:p>
        </w:tc>
        <w:tc>
          <w:tcPr>
            <w:tcW w:w="1005" w:type="pct"/>
          </w:tcPr>
          <w:p w14:paraId="12FE58B0" w14:textId="48F502B7" w:rsidR="00862415" w:rsidRPr="00A04345" w:rsidRDefault="00862415" w:rsidP="007E5DC5">
            <w:pPr>
              <w:pStyle w:val="Tabletext1"/>
            </w:pPr>
            <w:r w:rsidRPr="00A04345">
              <w:t>82.9 [71.5, 90.4]</w:t>
            </w:r>
          </w:p>
        </w:tc>
        <w:tc>
          <w:tcPr>
            <w:tcW w:w="1005" w:type="pct"/>
          </w:tcPr>
          <w:p w14:paraId="429D0D96" w14:textId="477452DC" w:rsidR="00862415" w:rsidRPr="00A04345" w:rsidRDefault="00291227" w:rsidP="007E5DC5">
            <w:pPr>
              <w:pStyle w:val="Tabletext1"/>
              <w:rPr>
                <w:rFonts w:cs="Arial"/>
              </w:rPr>
            </w:pPr>
            <w:r w:rsidRPr="00453B14">
              <w:rPr>
                <w:rFonts w:ascii="Cambria Math" w:hAnsi="Cambria Math" w:cs="Cambria Math"/>
                <w:color w:val="00B050"/>
              </w:rPr>
              <w:t>⨁⨁</w:t>
            </w:r>
            <w:r w:rsidRPr="00453B14">
              <w:rPr>
                <w:rFonts w:ascii="Cambria Math" w:hAnsi="Cambria Math" w:cs="Cambria Math"/>
                <w:color w:val="C00000"/>
              </w:rPr>
              <w:t>⨀⨀</w:t>
            </w:r>
            <w:r w:rsidR="00D3419C" w:rsidRPr="00A04345">
              <w:rPr>
                <w:rFonts w:cs="Arial"/>
              </w:rPr>
              <w:br/>
              <w:t>Low</w:t>
            </w:r>
            <w:r w:rsidR="00862415" w:rsidRPr="00A04345">
              <w:rPr>
                <w:rFonts w:cs="Arial"/>
                <w:vertAlign w:val="superscript"/>
              </w:rPr>
              <w:t>1,2</w:t>
            </w:r>
          </w:p>
        </w:tc>
        <w:tc>
          <w:tcPr>
            <w:tcW w:w="1187" w:type="pct"/>
          </w:tcPr>
          <w:p w14:paraId="4CA5A26E" w14:textId="738BB2CF" w:rsidR="00862415" w:rsidRPr="00A04345" w:rsidRDefault="00862415" w:rsidP="007E5DC5">
            <w:pPr>
              <w:pStyle w:val="Tabletext1"/>
              <w:rPr>
                <w:rFonts w:cs="Arial"/>
              </w:rPr>
            </w:pPr>
            <w:r w:rsidRPr="00A04345">
              <w:rPr>
                <w:rFonts w:cs="Arial"/>
              </w:rPr>
              <w:t>Critical</w:t>
            </w:r>
          </w:p>
        </w:tc>
      </w:tr>
      <w:tr w:rsidR="006F4984" w14:paraId="7C207EB5" w14:textId="77777777" w:rsidTr="00E6732A">
        <w:trPr>
          <w:trHeight w:val="397"/>
        </w:trPr>
        <w:tc>
          <w:tcPr>
            <w:tcW w:w="758" w:type="pct"/>
          </w:tcPr>
          <w:p w14:paraId="48D893F8" w14:textId="77777777" w:rsidR="00935713" w:rsidRDefault="006F4984" w:rsidP="007E5DC5">
            <w:pPr>
              <w:pStyle w:val="Tabletext1"/>
            </w:pPr>
            <w:r w:rsidRPr="00305C27">
              <w:t>PPV</w:t>
            </w:r>
            <w:r w:rsidR="00935713">
              <w:t xml:space="preserve"> % </w:t>
            </w:r>
          </w:p>
          <w:p w14:paraId="1E38BA05" w14:textId="37B16371" w:rsidR="006F4984" w:rsidRPr="00305C27" w:rsidRDefault="00935713" w:rsidP="007E5DC5">
            <w:pPr>
              <w:pStyle w:val="Tabletext1"/>
            </w:pPr>
            <w:r>
              <w:t>[95%</w:t>
            </w:r>
            <w:r w:rsidR="005C240B" w:rsidRPr="00305C27">
              <w:t xml:space="preserve"> CI]</w:t>
            </w:r>
          </w:p>
        </w:tc>
        <w:tc>
          <w:tcPr>
            <w:tcW w:w="1044" w:type="pct"/>
          </w:tcPr>
          <w:p w14:paraId="014518B4" w14:textId="7A75F05B" w:rsidR="006F4984" w:rsidRPr="00453B14" w:rsidRDefault="006F4984" w:rsidP="007E5DC5">
            <w:pPr>
              <w:pStyle w:val="Tabletext1"/>
              <w:rPr>
                <w:rFonts w:cs="Arial"/>
              </w:rPr>
            </w:pPr>
            <w:r w:rsidRPr="00453B14">
              <w:rPr>
                <w:rFonts w:cs="Arial"/>
              </w:rPr>
              <w:t>77.2 [63.4, 86.8]</w:t>
            </w:r>
          </w:p>
        </w:tc>
        <w:tc>
          <w:tcPr>
            <w:tcW w:w="1005" w:type="pct"/>
          </w:tcPr>
          <w:p w14:paraId="52D15E6C" w14:textId="1992D703" w:rsidR="006F4984" w:rsidRPr="00A04345" w:rsidRDefault="006F4984" w:rsidP="007E5DC5">
            <w:pPr>
              <w:pStyle w:val="Tabletext1"/>
              <w:rPr>
                <w:rFonts w:cs="Arial"/>
              </w:rPr>
            </w:pPr>
            <w:r w:rsidRPr="00453B14">
              <w:t>74.7 [69.4, 79.3]</w:t>
            </w:r>
          </w:p>
        </w:tc>
        <w:tc>
          <w:tcPr>
            <w:tcW w:w="1005" w:type="pct"/>
          </w:tcPr>
          <w:p w14:paraId="45203572" w14:textId="549BADAB" w:rsidR="006F4984" w:rsidRPr="00A04345" w:rsidRDefault="00291227" w:rsidP="007E5DC5">
            <w:pPr>
              <w:pStyle w:val="Tabletext1"/>
              <w:rPr>
                <w:rStyle w:val="quality-sign"/>
                <w:rFonts w:cs="Cambria Math"/>
              </w:rPr>
            </w:pPr>
            <w:r w:rsidRPr="00453B14">
              <w:rPr>
                <w:rFonts w:ascii="Cambria Math" w:hAnsi="Cambria Math" w:cs="Cambria Math"/>
                <w:color w:val="00B050"/>
              </w:rPr>
              <w:t>⨁⨁</w:t>
            </w:r>
            <w:r w:rsidRPr="00453B14">
              <w:rPr>
                <w:rFonts w:ascii="Cambria Math" w:hAnsi="Cambria Math" w:cs="Cambria Math"/>
                <w:color w:val="C00000"/>
              </w:rPr>
              <w:t>⨀⨀</w:t>
            </w:r>
            <w:r w:rsidR="006F4984" w:rsidRPr="00A04345">
              <w:rPr>
                <w:rFonts w:cs="Arial"/>
              </w:rPr>
              <w:br/>
              <w:t>Low</w:t>
            </w:r>
            <w:r w:rsidR="006F4984" w:rsidRPr="00A04345">
              <w:rPr>
                <w:rFonts w:cs="Arial"/>
                <w:vertAlign w:val="superscript"/>
              </w:rPr>
              <w:t>1,2</w:t>
            </w:r>
          </w:p>
        </w:tc>
        <w:tc>
          <w:tcPr>
            <w:tcW w:w="1187" w:type="pct"/>
          </w:tcPr>
          <w:p w14:paraId="7FAF1E0B" w14:textId="732E36CD" w:rsidR="006F4984" w:rsidRPr="00A04345" w:rsidRDefault="006F4984" w:rsidP="007E5DC5">
            <w:pPr>
              <w:pStyle w:val="Tabletext1"/>
              <w:rPr>
                <w:rFonts w:cs="Arial"/>
              </w:rPr>
            </w:pPr>
            <w:r w:rsidRPr="00A04345">
              <w:rPr>
                <w:rFonts w:cs="Arial"/>
              </w:rPr>
              <w:t>Important</w:t>
            </w:r>
          </w:p>
        </w:tc>
      </w:tr>
      <w:tr w:rsidR="006F4984" w14:paraId="1E8EA819" w14:textId="77777777" w:rsidTr="00E6732A">
        <w:trPr>
          <w:trHeight w:val="397"/>
        </w:trPr>
        <w:tc>
          <w:tcPr>
            <w:tcW w:w="758" w:type="pct"/>
          </w:tcPr>
          <w:p w14:paraId="155CB5FF" w14:textId="77777777" w:rsidR="00935713" w:rsidRDefault="006F4984" w:rsidP="007E5DC5">
            <w:pPr>
              <w:pStyle w:val="Tabletext1"/>
            </w:pPr>
            <w:r w:rsidRPr="00305C27">
              <w:t>NPV</w:t>
            </w:r>
            <w:r w:rsidR="005C240B" w:rsidRPr="00305C27">
              <w:t xml:space="preserve"> % </w:t>
            </w:r>
          </w:p>
          <w:p w14:paraId="7BD927B2" w14:textId="20BEA3EC" w:rsidR="006F4984" w:rsidRPr="00305C27" w:rsidRDefault="005C240B" w:rsidP="007E5DC5">
            <w:pPr>
              <w:pStyle w:val="Tabletext1"/>
            </w:pPr>
            <w:r w:rsidRPr="00305C27">
              <w:t>[95</w:t>
            </w:r>
            <w:r w:rsidR="00935713">
              <w:t>%</w:t>
            </w:r>
            <w:r w:rsidRPr="00305C27">
              <w:t xml:space="preserve"> CI]</w:t>
            </w:r>
          </w:p>
        </w:tc>
        <w:tc>
          <w:tcPr>
            <w:tcW w:w="1044" w:type="pct"/>
          </w:tcPr>
          <w:p w14:paraId="54D4D77E" w14:textId="314F3C9F" w:rsidR="006F4984" w:rsidRPr="00453B14" w:rsidRDefault="006F4984" w:rsidP="007E5DC5">
            <w:pPr>
              <w:pStyle w:val="Tabletext1"/>
              <w:rPr>
                <w:rFonts w:cs="Arial"/>
              </w:rPr>
            </w:pPr>
            <w:r w:rsidRPr="00453B14">
              <w:rPr>
                <w:rFonts w:cs="Arial"/>
              </w:rPr>
              <w:t>72.8 [57.2, 84.2]</w:t>
            </w:r>
          </w:p>
        </w:tc>
        <w:tc>
          <w:tcPr>
            <w:tcW w:w="1005" w:type="pct"/>
          </w:tcPr>
          <w:p w14:paraId="045BD1F9" w14:textId="47D571E2" w:rsidR="006F4984" w:rsidRPr="00A04345" w:rsidRDefault="006F4984" w:rsidP="007E5DC5">
            <w:pPr>
              <w:pStyle w:val="Tabletext1"/>
              <w:rPr>
                <w:rFonts w:cs="Arial"/>
              </w:rPr>
            </w:pPr>
            <w:r w:rsidRPr="00453B14">
              <w:t>83.5 [78.8, 87.4]</w:t>
            </w:r>
          </w:p>
        </w:tc>
        <w:tc>
          <w:tcPr>
            <w:tcW w:w="1005" w:type="pct"/>
          </w:tcPr>
          <w:p w14:paraId="5192DEB9" w14:textId="73625A9A" w:rsidR="006F4984" w:rsidRPr="00A04345" w:rsidRDefault="00291227" w:rsidP="007E5DC5">
            <w:pPr>
              <w:pStyle w:val="Tabletext1"/>
              <w:rPr>
                <w:rStyle w:val="quality-sign"/>
                <w:rFonts w:cs="Cambria Math"/>
              </w:rPr>
            </w:pPr>
            <w:r w:rsidRPr="00453B14">
              <w:rPr>
                <w:rFonts w:ascii="Cambria Math" w:hAnsi="Cambria Math" w:cs="Cambria Math"/>
                <w:color w:val="00B050"/>
              </w:rPr>
              <w:t>⨁⨁</w:t>
            </w:r>
            <w:r w:rsidRPr="00453B14">
              <w:rPr>
                <w:rFonts w:ascii="Cambria Math" w:hAnsi="Cambria Math" w:cs="Cambria Math"/>
                <w:color w:val="C00000"/>
              </w:rPr>
              <w:t>⨀⨀</w:t>
            </w:r>
            <w:r w:rsidR="006F4984" w:rsidRPr="00A04345">
              <w:rPr>
                <w:rFonts w:cs="Arial"/>
              </w:rPr>
              <w:br/>
              <w:t>Low</w:t>
            </w:r>
            <w:r w:rsidR="006F4984" w:rsidRPr="00A04345">
              <w:rPr>
                <w:rFonts w:cs="Arial"/>
                <w:vertAlign w:val="superscript"/>
              </w:rPr>
              <w:t>1,2</w:t>
            </w:r>
          </w:p>
        </w:tc>
        <w:tc>
          <w:tcPr>
            <w:tcW w:w="1187" w:type="pct"/>
          </w:tcPr>
          <w:p w14:paraId="0A7751ED" w14:textId="4EF94524" w:rsidR="006F4984" w:rsidRPr="00A04345" w:rsidRDefault="006F4984" w:rsidP="007E5DC5">
            <w:pPr>
              <w:pStyle w:val="Tabletext1"/>
              <w:rPr>
                <w:rFonts w:cs="Arial"/>
              </w:rPr>
            </w:pPr>
            <w:r w:rsidRPr="00A04345">
              <w:rPr>
                <w:rFonts w:cs="Arial"/>
              </w:rPr>
              <w:t>Important</w:t>
            </w:r>
          </w:p>
        </w:tc>
      </w:tr>
    </w:tbl>
    <w:p w14:paraId="7B6322D8" w14:textId="39AA1CDF" w:rsidR="0026699D" w:rsidRDefault="00931F07" w:rsidP="00A04345">
      <w:pPr>
        <w:pStyle w:val="TableNotes"/>
        <w:rPr>
          <w:color w:val="000000"/>
          <w:szCs w:val="18"/>
        </w:rPr>
      </w:pPr>
      <w:r w:rsidRPr="00931F07">
        <w:rPr>
          <w:vertAlign w:val="superscript"/>
        </w:rPr>
        <w:t>a</w:t>
      </w:r>
      <w:r>
        <w:t xml:space="preserve">: </w:t>
      </w:r>
      <w:r w:rsidR="0047340E" w:rsidRPr="00931F07">
        <w:t>GRADE</w:t>
      </w:r>
      <w:r w:rsidR="0047340E" w:rsidRPr="00862415">
        <w:t xml:space="preserve"> Working Group grades of evidence </w:t>
      </w:r>
      <w:r w:rsidR="008E0B00">
        <w:fldChar w:fldCharType="begin"/>
      </w:r>
      <w:r w:rsidR="008E0B00">
        <w:instrText xml:space="preserve"> ADDIN EN.CITE &lt;EndNote&gt;&lt;Cite&gt;&lt;Author&gt;Guyatt&lt;/Author&gt;&lt;Year&gt;2013&lt;/Year&gt;&lt;RecNum&gt;166&lt;/RecNum&gt;&lt;DisplayText&gt;(Guyatt et al. 2013)&lt;/DisplayText&gt;&lt;record&gt;&lt;rec-number&gt;166&lt;/rec-number&gt;&lt;foreign-keys&gt;&lt;key app="EN" db-id="xzzrstesqpaavfe0te5p2zssvee5ervas2vt" timestamp="1469161165"&gt;166&lt;/key&gt;&lt;/foreign-keys&gt;&lt;ref-type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Epidemiol&lt;/full-title&gt;&lt;abbr-1&gt;Journal of clinical epidemiology&lt;/abbr-1&gt;&lt;/periodical&gt;&lt;pages&gt;151-157&lt;/pages&gt;&lt;volume&gt;66&lt;/volume&gt;&lt;number&gt;2&lt;/number&gt;&lt;dates&gt;&lt;year&gt;2013&lt;/year&gt;&lt;/dates&gt;&lt;urls&gt;&lt;/urls&gt;&lt;/record&gt;&lt;/Cite&gt;&lt;/EndNote&gt;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00AD722C">
        <w:t>.</w:t>
      </w:r>
      <w:r w:rsidR="0047340E" w:rsidRPr="00862415">
        <w:br/>
      </w:r>
      <w:r w:rsidR="0047340E" w:rsidRPr="00862415">
        <w:rPr>
          <w:rFonts w:ascii="Cambria Math" w:hAnsi="Cambria Math"/>
          <w:color w:val="00B050"/>
        </w:rPr>
        <w:t xml:space="preserve">⨁⨁⨁⨁ </w:t>
      </w:r>
      <w:r w:rsidR="0047340E" w:rsidRPr="00862415">
        <w:rPr>
          <w:b/>
          <w:bCs/>
        </w:rPr>
        <w:t>High quality:</w:t>
      </w:r>
      <w:r w:rsidR="0047340E" w:rsidRPr="00862415">
        <w:t xml:space="preserve"> We are very confident that the true effect lies close to that of the estimate of effect. </w:t>
      </w:r>
      <w:r w:rsidR="0047340E" w:rsidRPr="00862415">
        <w:br/>
      </w:r>
      <w:r w:rsidR="0047340E" w:rsidRPr="00862415">
        <w:rPr>
          <w:rFonts w:ascii="Cambria Math" w:hAnsi="Cambria Math"/>
          <w:color w:val="00B050"/>
        </w:rPr>
        <w:t>⨁⨁⨁</w:t>
      </w:r>
      <w:r w:rsidR="0047340E" w:rsidRPr="00862415">
        <w:rPr>
          <w:rFonts w:ascii="Cambria Math" w:hAnsi="Cambria Math" w:cs="Cambria Math"/>
          <w:color w:val="C00000"/>
        </w:rPr>
        <w:t xml:space="preserve">⨀ </w:t>
      </w:r>
      <w:r w:rsidR="0047340E" w:rsidRPr="00862415">
        <w:rPr>
          <w:b/>
          <w:bCs/>
        </w:rPr>
        <w:t>Moderate quality:</w:t>
      </w:r>
      <w:r w:rsidR="0047340E" w:rsidRPr="00862415">
        <w:t xml:space="preserve"> We are moderately confident in the effect estimate: The true effect is likely to be close to the estimate of the effect, but there is a possibility that it is substantially different. </w:t>
      </w:r>
      <w:r w:rsidR="0047340E" w:rsidRPr="00862415">
        <w:br/>
      </w:r>
      <w:r w:rsidR="0047340E" w:rsidRPr="00862415">
        <w:rPr>
          <w:rFonts w:ascii="Cambria Math" w:hAnsi="Cambria Math"/>
          <w:color w:val="00B050"/>
        </w:rPr>
        <w:t>⨁⨁</w:t>
      </w:r>
      <w:r w:rsidR="0047340E" w:rsidRPr="00862415">
        <w:rPr>
          <w:rFonts w:ascii="Cambria Math" w:hAnsi="Cambria Math" w:cs="Cambria Math"/>
          <w:color w:val="C00000"/>
        </w:rPr>
        <w:t xml:space="preserve">⨀⨀ </w:t>
      </w:r>
      <w:r w:rsidR="0047340E" w:rsidRPr="00862415">
        <w:rPr>
          <w:b/>
          <w:bCs/>
        </w:rPr>
        <w:t>Low quality:</w:t>
      </w:r>
      <w:r w:rsidR="0047340E" w:rsidRPr="00862415">
        <w:t xml:space="preserve"> Our confidence in the effect estimate is limited: The true effect may be substantially different from the estimate of the effect.</w:t>
      </w:r>
      <w:r w:rsidR="0047340E" w:rsidRPr="00862415">
        <w:br/>
      </w:r>
      <w:r w:rsidR="0047340E" w:rsidRPr="00862415">
        <w:rPr>
          <w:rFonts w:ascii="Cambria Math" w:hAnsi="Cambria Math"/>
          <w:color w:val="00B050"/>
        </w:rPr>
        <w:t>⨁</w:t>
      </w:r>
      <w:r w:rsidR="0047340E" w:rsidRPr="00862415">
        <w:rPr>
          <w:rFonts w:ascii="Cambria Math" w:hAnsi="Cambria Math" w:cs="Cambria Math"/>
          <w:color w:val="C00000"/>
        </w:rPr>
        <w:t xml:space="preserve">⨀⨀⨀ </w:t>
      </w:r>
      <w:r w:rsidR="0047340E" w:rsidRPr="00862415">
        <w:rPr>
          <w:b/>
          <w:bCs/>
        </w:rPr>
        <w:t>Very low quality:</w:t>
      </w:r>
      <w:r w:rsidR="0047340E" w:rsidRPr="00862415">
        <w:t xml:space="preserve"> We have very little confidence in the effect estimate: The true effect is likely to be substantially different from </w:t>
      </w:r>
      <w:r w:rsidR="0047340E" w:rsidRPr="00D5324D">
        <w:rPr>
          <w:szCs w:val="18"/>
        </w:rPr>
        <w:t>the estimate of effect.</w:t>
      </w:r>
      <w:r w:rsidR="00862415" w:rsidRPr="000405A7">
        <w:rPr>
          <w:szCs w:val="18"/>
        </w:rPr>
        <w:br/>
      </w:r>
      <w:r w:rsidRPr="00931F07">
        <w:rPr>
          <w:color w:val="000000"/>
          <w:szCs w:val="18"/>
          <w:vertAlign w:val="superscript"/>
        </w:rPr>
        <w:t>1</w:t>
      </w:r>
      <w:r w:rsidRPr="00931F07">
        <w:rPr>
          <w:color w:val="000000"/>
          <w:szCs w:val="18"/>
        </w:rPr>
        <w:t>:</w:t>
      </w:r>
      <w:r>
        <w:rPr>
          <w:color w:val="000000"/>
          <w:szCs w:val="18"/>
          <w:vertAlign w:val="superscript"/>
        </w:rPr>
        <w:t xml:space="preserve"> </w:t>
      </w:r>
      <w:r w:rsidR="00862415" w:rsidRPr="00A04345">
        <w:rPr>
          <w:color w:val="000000"/>
          <w:szCs w:val="18"/>
        </w:rPr>
        <w:t>No explanation for the observed heterogeneity could be found.</w:t>
      </w:r>
      <w:r w:rsidR="00862415" w:rsidRPr="00A04345">
        <w:rPr>
          <w:color w:val="000000"/>
          <w:szCs w:val="18"/>
        </w:rPr>
        <w:br/>
      </w:r>
      <w:r w:rsidR="00862415" w:rsidRPr="00A04345">
        <w:rPr>
          <w:color w:val="000000"/>
          <w:szCs w:val="18"/>
          <w:vertAlign w:val="superscript"/>
        </w:rPr>
        <w:t>2</w:t>
      </w:r>
      <w:r>
        <w:rPr>
          <w:color w:val="000000"/>
          <w:szCs w:val="18"/>
        </w:rPr>
        <w:t>:</w:t>
      </w:r>
      <w:r w:rsidR="00862415" w:rsidRPr="00A04345">
        <w:rPr>
          <w:color w:val="000000"/>
          <w:szCs w:val="18"/>
          <w:vertAlign w:val="superscript"/>
        </w:rPr>
        <w:t xml:space="preserve"> </w:t>
      </w:r>
      <w:r w:rsidR="00862415" w:rsidRPr="00A04345">
        <w:rPr>
          <w:color w:val="000000"/>
          <w:szCs w:val="18"/>
        </w:rPr>
        <w:t>The wide confidence interval reflects imprecision</w:t>
      </w:r>
      <w:r w:rsidR="00AD722C">
        <w:rPr>
          <w:color w:val="000000"/>
          <w:szCs w:val="18"/>
        </w:rPr>
        <w:t>.</w:t>
      </w:r>
    </w:p>
    <w:p w14:paraId="13DBA79F" w14:textId="483F0053" w:rsidR="00305C27" w:rsidRPr="00A04345" w:rsidRDefault="00305C27" w:rsidP="00A04345">
      <w:pPr>
        <w:pStyle w:val="TableNotes"/>
        <w:rPr>
          <w:color w:val="000000"/>
          <w:szCs w:val="18"/>
        </w:rPr>
      </w:pPr>
      <w:r>
        <w:rPr>
          <w:color w:val="000000"/>
          <w:szCs w:val="18"/>
        </w:rPr>
        <w:t>CI = confidence interval, PPV = positive predicative value, NPV = negative predicative value.</w:t>
      </w:r>
    </w:p>
    <w:p w14:paraId="3CC2F26D" w14:textId="5501B9E1" w:rsidR="006768D6" w:rsidRDefault="00FC7469" w:rsidP="00FC7469">
      <w:pPr>
        <w:pStyle w:val="Heading3"/>
      </w:pPr>
      <w:bookmarkStart w:id="307" w:name="_Toc460513918"/>
      <w:r>
        <w:t>Diagnosis of any cancer</w:t>
      </w:r>
      <w:bookmarkEnd w:id="307"/>
    </w:p>
    <w:p w14:paraId="1DDB0A14" w14:textId="73A644CD" w:rsidR="00FC7469" w:rsidRDefault="00EF1798" w:rsidP="003B6E18">
      <w:r>
        <w:t xml:space="preserve">In </w:t>
      </w:r>
      <w:r w:rsidR="00FC7469">
        <w:t xml:space="preserve">the diagnosis of any cancer, mpMRI was </w:t>
      </w:r>
      <w:r w:rsidR="00511E17">
        <w:t>estimated</w:t>
      </w:r>
      <w:r w:rsidR="00FC7469">
        <w:t xml:space="preserve"> to have a sensitivity of</w:t>
      </w:r>
      <w:r w:rsidR="00830231">
        <w:t xml:space="preserve"> </w:t>
      </w:r>
      <w:r w:rsidR="002D7351">
        <w:t>73.4</w:t>
      </w:r>
      <w:r w:rsidR="00FB18F0">
        <w:t xml:space="preserve"> per cent</w:t>
      </w:r>
      <w:r w:rsidR="002D7351">
        <w:t xml:space="preserve"> (</w:t>
      </w:r>
      <w:r w:rsidR="00830231">
        <w:t>95%</w:t>
      </w:r>
      <w:r w:rsidR="002D7351">
        <w:t xml:space="preserve"> CI [</w:t>
      </w:r>
      <w:r w:rsidR="00397593">
        <w:t>57</w:t>
      </w:r>
      <w:r w:rsidR="00D85961">
        <w:t>.0</w:t>
      </w:r>
      <w:r w:rsidR="00830231">
        <w:t xml:space="preserve">, </w:t>
      </w:r>
      <w:r w:rsidR="00397593">
        <w:t>85</w:t>
      </w:r>
      <w:r w:rsidR="00D85961">
        <w:t>.1</w:t>
      </w:r>
      <w:r w:rsidR="002D7351">
        <w:t>])</w:t>
      </w:r>
      <w:r w:rsidR="00830231">
        <w:t xml:space="preserve"> </w:t>
      </w:r>
      <w:r w:rsidR="00FC7469">
        <w:t xml:space="preserve">and a specificity of </w:t>
      </w:r>
      <w:r w:rsidR="002D7351">
        <w:t>77.1</w:t>
      </w:r>
      <w:r w:rsidR="00FB18F0">
        <w:t xml:space="preserve"> per cent</w:t>
      </w:r>
      <w:r w:rsidR="002D7351">
        <w:t xml:space="preserve"> (</w:t>
      </w:r>
      <w:r w:rsidR="00830231" w:rsidRPr="00830231">
        <w:t xml:space="preserve">95% CI </w:t>
      </w:r>
      <w:r w:rsidR="002D7351">
        <w:t>[</w:t>
      </w:r>
      <w:r w:rsidR="00D85961">
        <w:t>63.5,</w:t>
      </w:r>
      <w:r w:rsidR="00424419">
        <w:t xml:space="preserve"> </w:t>
      </w:r>
      <w:r w:rsidR="00D85961">
        <w:t>86.7</w:t>
      </w:r>
      <w:r w:rsidR="00830231" w:rsidRPr="00830231">
        <w:t>]</w:t>
      </w:r>
      <w:r w:rsidR="002D7351">
        <w:t>)</w:t>
      </w:r>
      <w:r w:rsidR="00FC7469">
        <w:t xml:space="preserve">. </w:t>
      </w:r>
      <w:r w:rsidR="000C63DF">
        <w:t xml:space="preserve">The </w:t>
      </w:r>
      <w:r w:rsidR="00453B14">
        <w:t>wide</w:t>
      </w:r>
      <w:r w:rsidR="000C63DF">
        <w:t xml:space="preserve"> confidence intervals reflect uncertainty around this estimate. </w:t>
      </w:r>
      <w:r w:rsidR="00FC7469">
        <w:t xml:space="preserve">The </w:t>
      </w:r>
      <w:r w:rsidR="005C6BD2">
        <w:t xml:space="preserve">Hierarchical Summary Receiver Operating </w:t>
      </w:r>
      <w:r w:rsidR="005C6BD2" w:rsidRPr="00267381">
        <w:t>Characteristic (</w:t>
      </w:r>
      <w:r w:rsidR="00FC7469" w:rsidRPr="00267381">
        <w:t>HSROC</w:t>
      </w:r>
      <w:r w:rsidR="005C6BD2" w:rsidRPr="00267381">
        <w:t>)</w:t>
      </w:r>
      <w:r w:rsidR="00FC7469" w:rsidRPr="00267381">
        <w:t xml:space="preserve"> curve</w:t>
      </w:r>
      <w:r w:rsidR="00830231">
        <w:t xml:space="preserve"> and summary estimate with 95</w:t>
      </w:r>
      <w:r w:rsidR="00B65BFD">
        <w:t xml:space="preserve"> per cent</w:t>
      </w:r>
      <w:r w:rsidR="00830231">
        <w:t xml:space="preserve"> confidence region and 95</w:t>
      </w:r>
      <w:r w:rsidR="00B65BFD">
        <w:t xml:space="preserve"> per cent</w:t>
      </w:r>
      <w:r w:rsidR="00830231">
        <w:t xml:space="preserve"> prediction region </w:t>
      </w:r>
      <w:r w:rsidR="00FC7469">
        <w:t xml:space="preserve">is provided in </w:t>
      </w:r>
      <w:r w:rsidR="009D4FD8">
        <w:fldChar w:fldCharType="begin"/>
      </w:r>
      <w:r w:rsidR="009D4FD8">
        <w:instrText xml:space="preserve"> REF _Ref456191951 \h </w:instrText>
      </w:r>
      <w:r w:rsidR="009D4FD8">
        <w:fldChar w:fldCharType="separate"/>
      </w:r>
      <w:r w:rsidR="0029649D">
        <w:t xml:space="preserve">Figure </w:t>
      </w:r>
      <w:r w:rsidR="0029649D">
        <w:rPr>
          <w:noProof/>
        </w:rPr>
        <w:t>7</w:t>
      </w:r>
      <w:r w:rsidR="009D4FD8">
        <w:fldChar w:fldCharType="end"/>
      </w:r>
      <w:r w:rsidR="009D4FD8">
        <w:t>.</w:t>
      </w:r>
      <w:r w:rsidR="00B27741">
        <w:t xml:space="preserve"> The wide prediction </w:t>
      </w:r>
      <w:r w:rsidR="00453B14">
        <w:t xml:space="preserve">region </w:t>
      </w:r>
      <w:r w:rsidR="00B27741">
        <w:t xml:space="preserve">illustrates </w:t>
      </w:r>
      <w:r w:rsidR="00453B14">
        <w:t>the</w:t>
      </w:r>
      <w:r w:rsidR="00B27741">
        <w:t xml:space="preserve"> high level of heterogeneity present in the evidence base.</w:t>
      </w:r>
    </w:p>
    <w:p w14:paraId="771E69DE" w14:textId="2522A916" w:rsidR="003B6E18" w:rsidRDefault="00FC7469" w:rsidP="00FA29D6">
      <w:pPr>
        <w:pStyle w:val="Caption"/>
      </w:pPr>
      <w:bookmarkStart w:id="308" w:name="_Ref456191951"/>
      <w:bookmarkStart w:id="309" w:name="_Toc460514614"/>
      <w:r>
        <w:lastRenderedPageBreak/>
        <w:t xml:space="preserve">Figure </w:t>
      </w:r>
      <w:fldSimple w:instr=" SEQ Figure \* ARABIC ">
        <w:r w:rsidR="0029649D">
          <w:rPr>
            <w:noProof/>
          </w:rPr>
          <w:t>7</w:t>
        </w:r>
      </w:fldSimple>
      <w:bookmarkEnd w:id="308"/>
      <w:r>
        <w:tab/>
      </w:r>
      <w:r w:rsidR="003B6E18">
        <w:t>HSROC curve</w:t>
      </w:r>
      <w:r w:rsidR="00C33543">
        <w:t xml:space="preserve"> and bivariate model results</w:t>
      </w:r>
      <w:r>
        <w:t xml:space="preserve"> for the diagnosis of any cancer by mpMRI in </w:t>
      </w:r>
      <w:r w:rsidR="008073A2">
        <w:t>P</w:t>
      </w:r>
      <w:r>
        <w:t>opulation 1.</w:t>
      </w:r>
      <w:bookmarkEnd w:id="309"/>
    </w:p>
    <w:p w14:paraId="64D06A39" w14:textId="77777777" w:rsidR="009D4FD8" w:rsidRPr="009D4FD8" w:rsidRDefault="009D4FD8" w:rsidP="009D4FD8">
      <w:r>
        <w:rPr>
          <w:noProof/>
        </w:rPr>
        <w:drawing>
          <wp:inline distT="0" distB="0" distL="0" distR="0" wp14:anchorId="31573303" wp14:editId="07AC9F72">
            <wp:extent cx="5731510" cy="5535486"/>
            <wp:effectExtent l="0" t="0" r="2540" b="8255"/>
            <wp:docPr id="2" name="Picture 2" descr="HSROC curve and bivariate model results for the diagnosis of any cancer by mpMRI in population 1" title="HSROC curve and bivariate model results for the diagnosis of any cancer by mpMRI in popul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ASERNIP-S data\DHA\DHA CA 1397 mpMRI prostate\meta-analysis\forest plots\pop1_allcancer_pirads4_hsroc.tif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5535486"/>
                    </a:xfrm>
                    <a:prstGeom prst="rect">
                      <a:avLst/>
                    </a:prstGeom>
                    <a:noFill/>
                    <a:ln>
                      <a:noFill/>
                    </a:ln>
                  </pic:spPr>
                </pic:pic>
              </a:graphicData>
            </a:graphic>
          </wp:inline>
        </w:drawing>
      </w:r>
    </w:p>
    <w:p w14:paraId="3EA3AC7E" w14:textId="56085ABE" w:rsidR="00242183" w:rsidRDefault="00ED7E73" w:rsidP="003B6E18">
      <w:r>
        <w:t>Subgroup</w:t>
      </w:r>
      <w:r w:rsidR="002D7351">
        <w:t xml:space="preserve"> analysis was undertaken to </w:t>
      </w:r>
      <w:r w:rsidR="00242183">
        <w:t>explore the possible cause</w:t>
      </w:r>
      <w:r w:rsidR="008B3D09">
        <w:t>s</w:t>
      </w:r>
      <w:r w:rsidR="00242183">
        <w:t xml:space="preserve"> of </w:t>
      </w:r>
      <w:r w:rsidR="002D7351">
        <w:t>the observed</w:t>
      </w:r>
      <w:r w:rsidR="00242183">
        <w:t xml:space="preserve"> heterogeneity</w:t>
      </w:r>
      <w:r w:rsidR="0059603E">
        <w:t>; however</w:t>
      </w:r>
      <w:r w:rsidR="00D97A4B">
        <w:t>,</w:t>
      </w:r>
      <w:r w:rsidR="0059603E">
        <w:t xml:space="preserve"> no cause was identified</w:t>
      </w:r>
      <w:r w:rsidR="00242183">
        <w:t xml:space="preserve">. Results from this analysis are presented in </w:t>
      </w:r>
      <w:r w:rsidR="00CB63BB">
        <w:fldChar w:fldCharType="begin"/>
      </w:r>
      <w:r w:rsidR="00CB63BB">
        <w:instrText xml:space="preserve"> REF _Ref456192115 \h </w:instrText>
      </w:r>
      <w:r w:rsidR="00CB63BB">
        <w:fldChar w:fldCharType="separate"/>
      </w:r>
      <w:r w:rsidR="0029649D">
        <w:t xml:space="preserve">Table </w:t>
      </w:r>
      <w:r w:rsidR="0029649D">
        <w:rPr>
          <w:noProof/>
        </w:rPr>
        <w:t>24</w:t>
      </w:r>
      <w:r w:rsidR="00CB63BB">
        <w:fldChar w:fldCharType="end"/>
      </w:r>
      <w:r w:rsidR="00CB63BB">
        <w:t>.</w:t>
      </w:r>
      <w:r w:rsidR="00FD5BE0">
        <w:t xml:space="preserve"> </w:t>
      </w:r>
    </w:p>
    <w:p w14:paraId="281D2DE0" w14:textId="2AD5A9FA" w:rsidR="008658EB" w:rsidRDefault="00242183" w:rsidP="00E624E0">
      <w:pPr>
        <w:pStyle w:val="Caption"/>
      </w:pPr>
      <w:bookmarkStart w:id="310" w:name="_Ref456192115"/>
      <w:bookmarkStart w:id="311" w:name="_Toc460514524"/>
      <w:r>
        <w:lastRenderedPageBreak/>
        <w:t xml:space="preserve">Table </w:t>
      </w:r>
      <w:fldSimple w:instr=" SEQ Table \* ARABIC ">
        <w:r w:rsidR="0029649D">
          <w:rPr>
            <w:noProof/>
          </w:rPr>
          <w:t>24</w:t>
        </w:r>
      </w:fldSimple>
      <w:bookmarkEnd w:id="310"/>
      <w:r>
        <w:tab/>
      </w:r>
      <w:r w:rsidR="00E01616">
        <w:t xml:space="preserve">Subgroup and </w:t>
      </w:r>
      <w:r w:rsidR="008658EB">
        <w:t>sensitivity</w:t>
      </w:r>
      <w:r>
        <w:t xml:space="preserve"> analysis for the diagnostic ac</w:t>
      </w:r>
      <w:r w:rsidR="001661E6">
        <w:t xml:space="preserve">curacy of mpMRI in </w:t>
      </w:r>
      <w:r w:rsidR="008073A2">
        <w:t>P</w:t>
      </w:r>
      <w:r w:rsidR="001661E6">
        <w:t>opulation 1</w:t>
      </w:r>
      <w:bookmarkEnd w:id="311"/>
    </w:p>
    <w:tbl>
      <w:tblPr>
        <w:tblStyle w:val="TableGrid"/>
        <w:tblW w:w="9112" w:type="dxa"/>
        <w:tblInd w:w="130" w:type="dxa"/>
        <w:tblCellMar>
          <w:left w:w="28" w:type="dxa"/>
          <w:right w:w="28" w:type="dxa"/>
        </w:tblCellMar>
        <w:tblLook w:val="04A0" w:firstRow="1" w:lastRow="0" w:firstColumn="1" w:lastColumn="0" w:noHBand="0" w:noVBand="1"/>
        <w:tblCaption w:val="Subgroup and sensitivity analysis for the diagnostic accuracy of mpMRI in population 1"/>
        <w:tblDescription w:val="Subgroup and sensitivity analysis for the diagnostic accuracy of mpMRI in population 1"/>
      </w:tblPr>
      <w:tblGrid>
        <w:gridCol w:w="2373"/>
        <w:gridCol w:w="1797"/>
        <w:gridCol w:w="2254"/>
        <w:gridCol w:w="2688"/>
      </w:tblGrid>
      <w:tr w:rsidR="005C02ED" w:rsidRPr="00E6732A" w14:paraId="009EB8B3" w14:textId="77777777" w:rsidTr="00E6732A">
        <w:trPr>
          <w:trHeight w:val="397"/>
          <w:tblHeader/>
        </w:trPr>
        <w:tc>
          <w:tcPr>
            <w:tcW w:w="1302" w:type="pct"/>
          </w:tcPr>
          <w:p w14:paraId="0275A486" w14:textId="77777777" w:rsidR="005C02ED" w:rsidRPr="00E6732A" w:rsidRDefault="005C02ED" w:rsidP="007E5DC5">
            <w:pPr>
              <w:pStyle w:val="Tableheading1"/>
              <w:keepNext/>
            </w:pPr>
            <w:r w:rsidRPr="00E6732A">
              <w:t>Subgroup</w:t>
            </w:r>
          </w:p>
        </w:tc>
        <w:tc>
          <w:tcPr>
            <w:tcW w:w="986" w:type="pct"/>
          </w:tcPr>
          <w:p w14:paraId="77D83F4E" w14:textId="3EF5D32B" w:rsidR="005C02ED" w:rsidRPr="00E6732A" w:rsidRDefault="00EF1798" w:rsidP="007E5DC5">
            <w:pPr>
              <w:pStyle w:val="Tableheading1"/>
              <w:keepNext/>
            </w:pPr>
            <w:r w:rsidRPr="00E6732A">
              <w:t>Patients/Studies</w:t>
            </w:r>
          </w:p>
        </w:tc>
        <w:tc>
          <w:tcPr>
            <w:tcW w:w="1237" w:type="pct"/>
          </w:tcPr>
          <w:p w14:paraId="3E0199FC" w14:textId="21B5EC0C" w:rsidR="005C02ED" w:rsidRPr="00E6732A" w:rsidRDefault="005C02ED" w:rsidP="007E5DC5">
            <w:pPr>
              <w:pStyle w:val="Tableheading1"/>
              <w:keepNext/>
            </w:pPr>
            <w:r w:rsidRPr="00E6732A">
              <w:t>Sensitivity</w:t>
            </w:r>
            <w:r w:rsidR="00FB18F0" w:rsidRPr="00E6732A">
              <w:t xml:space="preserve"> (%) [95% CI]</w:t>
            </w:r>
          </w:p>
        </w:tc>
        <w:tc>
          <w:tcPr>
            <w:tcW w:w="1475" w:type="pct"/>
          </w:tcPr>
          <w:p w14:paraId="5E7D1BC2" w14:textId="79968218" w:rsidR="005C02ED" w:rsidRPr="00E6732A" w:rsidRDefault="002F4D91" w:rsidP="007E5DC5">
            <w:pPr>
              <w:pStyle w:val="Tableheading1"/>
              <w:keepNext/>
            </w:pPr>
            <w:r w:rsidRPr="00E6732A">
              <w:t>Specificity</w:t>
            </w:r>
            <w:r w:rsidR="00FB18F0" w:rsidRPr="00E6732A">
              <w:t>(%) [95% CI]</w:t>
            </w:r>
          </w:p>
        </w:tc>
      </w:tr>
      <w:tr w:rsidR="005C02ED" w14:paraId="6606FE89" w14:textId="77777777" w:rsidTr="00E6732A">
        <w:trPr>
          <w:trHeight w:val="397"/>
        </w:trPr>
        <w:tc>
          <w:tcPr>
            <w:tcW w:w="1302" w:type="pct"/>
          </w:tcPr>
          <w:p w14:paraId="6420489F" w14:textId="77777777" w:rsidR="005C02ED" w:rsidRDefault="005C02ED" w:rsidP="007E5DC5">
            <w:pPr>
              <w:pStyle w:val="Tabletext1"/>
              <w:keepNext/>
            </w:pPr>
            <w:r>
              <w:t>All studies</w:t>
            </w:r>
          </w:p>
        </w:tc>
        <w:tc>
          <w:tcPr>
            <w:tcW w:w="986" w:type="pct"/>
          </w:tcPr>
          <w:p w14:paraId="0DD2D2C7" w14:textId="77777777" w:rsidR="00EF1798" w:rsidRDefault="00EF1798" w:rsidP="007E5DC5">
            <w:pPr>
              <w:pStyle w:val="Tabletext1"/>
              <w:keepNext/>
            </w:pPr>
            <w:r>
              <w:t xml:space="preserve">2,062 patients </w:t>
            </w:r>
          </w:p>
          <w:p w14:paraId="53F22C81" w14:textId="0E4DB373" w:rsidR="005C02ED" w:rsidRDefault="00EF1798" w:rsidP="007E5DC5">
            <w:pPr>
              <w:pStyle w:val="Tabletext1"/>
              <w:keepNext/>
            </w:pPr>
            <w:r>
              <w:t>(</w:t>
            </w:r>
            <w:r w:rsidR="005C02ED">
              <w:t>10</w:t>
            </w:r>
            <w:r>
              <w:t xml:space="preserve"> studies)</w:t>
            </w:r>
          </w:p>
          <w:p w14:paraId="458EF24D" w14:textId="77B2E259" w:rsidR="00517666" w:rsidRDefault="00517666" w:rsidP="007E5DC5">
            <w:pPr>
              <w:pStyle w:val="Tabletext1"/>
              <w:keepNext/>
            </w:pPr>
          </w:p>
        </w:tc>
        <w:tc>
          <w:tcPr>
            <w:tcW w:w="1237" w:type="pct"/>
          </w:tcPr>
          <w:p w14:paraId="17F2408D" w14:textId="61E6B73B" w:rsidR="005C02ED" w:rsidRDefault="005C02ED" w:rsidP="007E5DC5">
            <w:pPr>
              <w:pStyle w:val="Tabletext1"/>
              <w:keepNext/>
            </w:pPr>
            <w:r>
              <w:t>73.4 [57.0, 85.1])</w:t>
            </w:r>
          </w:p>
        </w:tc>
        <w:tc>
          <w:tcPr>
            <w:tcW w:w="1475" w:type="pct"/>
          </w:tcPr>
          <w:p w14:paraId="43A32D20" w14:textId="6B104359" w:rsidR="005C02ED" w:rsidRDefault="005C02ED" w:rsidP="007E5DC5">
            <w:pPr>
              <w:pStyle w:val="Tabletext1"/>
              <w:keepNext/>
            </w:pPr>
            <w:r w:rsidRPr="00CE09A4">
              <w:t>77.1 [63.5</w:t>
            </w:r>
            <w:r w:rsidR="002F4D91">
              <w:t xml:space="preserve">, </w:t>
            </w:r>
            <w:r w:rsidRPr="00CE09A4">
              <w:t>86.7]</w:t>
            </w:r>
          </w:p>
        </w:tc>
      </w:tr>
      <w:tr w:rsidR="005C02ED" w14:paraId="68FD3014" w14:textId="77777777" w:rsidTr="00E6732A">
        <w:trPr>
          <w:trHeight w:val="397"/>
        </w:trPr>
        <w:tc>
          <w:tcPr>
            <w:tcW w:w="1302" w:type="pct"/>
          </w:tcPr>
          <w:p w14:paraId="355FCCC6" w14:textId="77777777" w:rsidR="005C02ED" w:rsidRDefault="005C02ED" w:rsidP="007E5DC5">
            <w:pPr>
              <w:pStyle w:val="Tabletext1"/>
              <w:keepNext/>
            </w:pPr>
            <w:r>
              <w:t xml:space="preserve">Endorectal coil </w:t>
            </w:r>
          </w:p>
        </w:tc>
        <w:tc>
          <w:tcPr>
            <w:tcW w:w="986" w:type="pct"/>
          </w:tcPr>
          <w:p w14:paraId="0D425A26" w14:textId="77777777" w:rsidR="00EF1798" w:rsidRDefault="00EF1798" w:rsidP="007E5DC5">
            <w:pPr>
              <w:pStyle w:val="Tabletext1"/>
              <w:keepNext/>
            </w:pPr>
            <w:r>
              <w:t xml:space="preserve">736 patients </w:t>
            </w:r>
          </w:p>
          <w:p w14:paraId="46A4462E" w14:textId="37D330E1" w:rsidR="005C02ED" w:rsidRDefault="00EF1798" w:rsidP="007E5DC5">
            <w:pPr>
              <w:pStyle w:val="Tabletext1"/>
              <w:keepNext/>
            </w:pPr>
            <w:r>
              <w:t>(</w:t>
            </w:r>
            <w:r w:rsidR="005C02ED">
              <w:t>2</w:t>
            </w:r>
            <w:r>
              <w:t xml:space="preserve"> studies)</w:t>
            </w:r>
          </w:p>
          <w:p w14:paraId="373F9D33" w14:textId="24A26659" w:rsidR="00114234" w:rsidRDefault="00114234" w:rsidP="007E5DC5">
            <w:pPr>
              <w:pStyle w:val="Tabletext1"/>
              <w:keepNext/>
            </w:pPr>
          </w:p>
        </w:tc>
        <w:tc>
          <w:tcPr>
            <w:tcW w:w="1237" w:type="pct"/>
          </w:tcPr>
          <w:p w14:paraId="1E7E7C21" w14:textId="69F4A344" w:rsidR="005C02ED" w:rsidRDefault="005C02ED" w:rsidP="007E5DC5">
            <w:pPr>
              <w:pStyle w:val="Tabletext1"/>
              <w:keepNext/>
            </w:pPr>
            <w:r>
              <w:t>91</w:t>
            </w:r>
            <w:r w:rsidR="00E32A74">
              <w:t>.</w:t>
            </w:r>
            <w:r>
              <w:t>5</w:t>
            </w:r>
            <w:r w:rsidR="00E32A74">
              <w:t xml:space="preserve"> [</w:t>
            </w:r>
            <w:r>
              <w:t>86</w:t>
            </w:r>
            <w:r w:rsidR="00E32A74">
              <w:t xml:space="preserve">.8, </w:t>
            </w:r>
            <w:r>
              <w:t>94</w:t>
            </w:r>
            <w:r w:rsidR="00E32A74">
              <w:t>.</w:t>
            </w:r>
            <w:r>
              <w:t>7]</w:t>
            </w:r>
          </w:p>
        </w:tc>
        <w:tc>
          <w:tcPr>
            <w:tcW w:w="1475" w:type="pct"/>
          </w:tcPr>
          <w:p w14:paraId="756CC637" w14:textId="69286428" w:rsidR="005C02ED" w:rsidRDefault="002F4D91" w:rsidP="007E5DC5">
            <w:pPr>
              <w:pStyle w:val="Tabletext1"/>
              <w:keepNext/>
            </w:pPr>
            <w:r>
              <w:t>61.0</w:t>
            </w:r>
            <w:r w:rsidR="005C02ED">
              <w:t xml:space="preserve"> [</w:t>
            </w:r>
            <w:r>
              <w:t>19.6, 90.9]</w:t>
            </w:r>
          </w:p>
        </w:tc>
      </w:tr>
      <w:tr w:rsidR="005C02ED" w14:paraId="2E8BAEE4" w14:textId="77777777" w:rsidTr="00E6732A">
        <w:trPr>
          <w:trHeight w:val="397"/>
        </w:trPr>
        <w:tc>
          <w:tcPr>
            <w:tcW w:w="1302" w:type="pct"/>
          </w:tcPr>
          <w:p w14:paraId="542A5218" w14:textId="353FB2E8" w:rsidR="005C02ED" w:rsidRDefault="005C02ED" w:rsidP="007E5DC5">
            <w:pPr>
              <w:pStyle w:val="Tabletext1"/>
              <w:keepNext/>
            </w:pPr>
            <w:r>
              <w:t xml:space="preserve">No Endorectal </w:t>
            </w:r>
            <w:r w:rsidR="006A187D">
              <w:t>coil</w:t>
            </w:r>
          </w:p>
        </w:tc>
        <w:tc>
          <w:tcPr>
            <w:tcW w:w="986" w:type="pct"/>
          </w:tcPr>
          <w:p w14:paraId="3C070360" w14:textId="77777777" w:rsidR="00EF1798" w:rsidRDefault="00EF1798" w:rsidP="007E5DC5">
            <w:pPr>
              <w:pStyle w:val="Tabletext1"/>
              <w:keepNext/>
            </w:pPr>
            <w:r>
              <w:t xml:space="preserve">1,326 patients </w:t>
            </w:r>
          </w:p>
          <w:p w14:paraId="5AF0EEF3" w14:textId="07AF6870" w:rsidR="005C02ED" w:rsidRDefault="00EF1798" w:rsidP="007E5DC5">
            <w:pPr>
              <w:pStyle w:val="Tabletext1"/>
              <w:keepNext/>
            </w:pPr>
            <w:r>
              <w:t>(</w:t>
            </w:r>
            <w:r w:rsidR="005C02ED">
              <w:t>8</w:t>
            </w:r>
            <w:r>
              <w:t xml:space="preserve"> studies)</w:t>
            </w:r>
          </w:p>
          <w:p w14:paraId="769C52F5" w14:textId="053D1B1C" w:rsidR="00114234" w:rsidRDefault="00114234" w:rsidP="007E5DC5">
            <w:pPr>
              <w:pStyle w:val="Tabletext1"/>
              <w:keepNext/>
            </w:pPr>
          </w:p>
        </w:tc>
        <w:tc>
          <w:tcPr>
            <w:tcW w:w="1237" w:type="pct"/>
          </w:tcPr>
          <w:p w14:paraId="662784F3" w14:textId="4D97476B" w:rsidR="005C02ED" w:rsidRDefault="005C02ED" w:rsidP="007E5DC5">
            <w:pPr>
              <w:pStyle w:val="Tabletext1"/>
              <w:keepNext/>
            </w:pPr>
            <w:r>
              <w:t>67</w:t>
            </w:r>
            <w:r w:rsidR="00C23877">
              <w:t>.6 [</w:t>
            </w:r>
            <w:r>
              <w:t>54</w:t>
            </w:r>
            <w:r w:rsidR="00C23877">
              <w:t xml:space="preserve">.6, </w:t>
            </w:r>
            <w:r>
              <w:t>78</w:t>
            </w:r>
            <w:r w:rsidR="00C23877">
              <w:t>.</w:t>
            </w:r>
            <w:r>
              <w:t>3]</w:t>
            </w:r>
          </w:p>
        </w:tc>
        <w:tc>
          <w:tcPr>
            <w:tcW w:w="1475" w:type="pct"/>
          </w:tcPr>
          <w:p w14:paraId="1524598A" w14:textId="3F9BBB7F" w:rsidR="005C02ED" w:rsidRDefault="002F4D91" w:rsidP="007E5DC5">
            <w:pPr>
              <w:pStyle w:val="Tabletext1"/>
              <w:keepNext/>
            </w:pPr>
            <w:r>
              <w:t>80.4</w:t>
            </w:r>
            <w:r w:rsidR="005C02ED">
              <w:t xml:space="preserve"> [</w:t>
            </w:r>
            <w:r>
              <w:t>67.5, 89.0]</w:t>
            </w:r>
          </w:p>
        </w:tc>
      </w:tr>
      <w:tr w:rsidR="005C02ED" w14:paraId="27B487F0" w14:textId="77777777" w:rsidTr="00E6732A">
        <w:trPr>
          <w:trHeight w:val="397"/>
        </w:trPr>
        <w:tc>
          <w:tcPr>
            <w:tcW w:w="1302" w:type="pct"/>
          </w:tcPr>
          <w:p w14:paraId="3FC13DAA" w14:textId="77777777" w:rsidR="005C02ED" w:rsidRDefault="005C02ED" w:rsidP="007E5DC5">
            <w:pPr>
              <w:pStyle w:val="Tabletext1"/>
              <w:keepNext/>
            </w:pPr>
            <w:r>
              <w:t xml:space="preserve">Biopsy with MRI </w:t>
            </w:r>
          </w:p>
        </w:tc>
        <w:tc>
          <w:tcPr>
            <w:tcW w:w="986" w:type="pct"/>
          </w:tcPr>
          <w:p w14:paraId="6F463540" w14:textId="77777777" w:rsidR="00EF1798" w:rsidRDefault="00EF1798" w:rsidP="007E5DC5">
            <w:pPr>
              <w:pStyle w:val="Tabletext1"/>
              <w:keepNext/>
            </w:pPr>
            <w:r>
              <w:t xml:space="preserve">1,018 patients </w:t>
            </w:r>
          </w:p>
          <w:p w14:paraId="32E66727" w14:textId="7E1BE803" w:rsidR="005C02ED" w:rsidRDefault="00EF1798" w:rsidP="007E5DC5">
            <w:pPr>
              <w:pStyle w:val="Tabletext1"/>
              <w:keepNext/>
            </w:pPr>
            <w:r>
              <w:t>(</w:t>
            </w:r>
            <w:r w:rsidR="005C02ED">
              <w:t>6</w:t>
            </w:r>
            <w:r>
              <w:t xml:space="preserve"> studies)</w:t>
            </w:r>
          </w:p>
          <w:p w14:paraId="73677E9E" w14:textId="1445AC2F" w:rsidR="00114234" w:rsidRDefault="00114234" w:rsidP="007E5DC5">
            <w:pPr>
              <w:pStyle w:val="Tabletext1"/>
              <w:keepNext/>
            </w:pPr>
          </w:p>
        </w:tc>
        <w:tc>
          <w:tcPr>
            <w:tcW w:w="1237" w:type="pct"/>
          </w:tcPr>
          <w:p w14:paraId="647167C3" w14:textId="5474D8FE" w:rsidR="005C02ED" w:rsidRDefault="005C02ED" w:rsidP="007E5DC5">
            <w:pPr>
              <w:pStyle w:val="Tabletext1"/>
              <w:keepNext/>
            </w:pPr>
            <w:r>
              <w:t>70</w:t>
            </w:r>
            <w:r w:rsidR="00C23877">
              <w:t>.3 [</w:t>
            </w:r>
            <w:r>
              <w:t>52</w:t>
            </w:r>
            <w:r w:rsidR="00C23877">
              <w:t xml:space="preserve">.6, </w:t>
            </w:r>
            <w:r>
              <w:t>83</w:t>
            </w:r>
            <w:r w:rsidR="00C23877">
              <w:t>.</w:t>
            </w:r>
            <w:r>
              <w:t>4]</w:t>
            </w:r>
          </w:p>
        </w:tc>
        <w:tc>
          <w:tcPr>
            <w:tcW w:w="1475" w:type="pct"/>
          </w:tcPr>
          <w:p w14:paraId="6DA68120" w14:textId="21B56AA8" w:rsidR="005C02ED" w:rsidRDefault="002F4D91" w:rsidP="007E5DC5">
            <w:pPr>
              <w:pStyle w:val="Tabletext1"/>
              <w:keepNext/>
            </w:pPr>
            <w:r>
              <w:t>80.1 [61.5, 91.0]</w:t>
            </w:r>
          </w:p>
        </w:tc>
      </w:tr>
      <w:tr w:rsidR="005C02ED" w14:paraId="38533558" w14:textId="77777777" w:rsidTr="00E6732A">
        <w:trPr>
          <w:trHeight w:val="397"/>
        </w:trPr>
        <w:tc>
          <w:tcPr>
            <w:tcW w:w="1302" w:type="pct"/>
          </w:tcPr>
          <w:p w14:paraId="53CFB776" w14:textId="77777777" w:rsidR="005C02ED" w:rsidRDefault="005C02ED" w:rsidP="007E5DC5">
            <w:pPr>
              <w:pStyle w:val="Tabletext1"/>
              <w:keepNext/>
            </w:pPr>
            <w:r>
              <w:t xml:space="preserve">Systematic biopsy </w:t>
            </w:r>
          </w:p>
        </w:tc>
        <w:tc>
          <w:tcPr>
            <w:tcW w:w="986" w:type="pct"/>
          </w:tcPr>
          <w:p w14:paraId="0FA0BA52" w14:textId="77777777" w:rsidR="00EF1798" w:rsidRDefault="00EF1798" w:rsidP="007E5DC5">
            <w:pPr>
              <w:pStyle w:val="Tabletext1"/>
              <w:keepNext/>
            </w:pPr>
            <w:r>
              <w:t xml:space="preserve">1,044 patients </w:t>
            </w:r>
          </w:p>
          <w:p w14:paraId="21976301" w14:textId="6E94696D" w:rsidR="005C02ED" w:rsidRDefault="00EF1798" w:rsidP="007E5DC5">
            <w:pPr>
              <w:pStyle w:val="Tabletext1"/>
              <w:keepNext/>
            </w:pPr>
            <w:r>
              <w:t>(</w:t>
            </w:r>
            <w:r w:rsidR="005C02ED">
              <w:t>4</w:t>
            </w:r>
            <w:r>
              <w:t xml:space="preserve"> studies)</w:t>
            </w:r>
          </w:p>
          <w:p w14:paraId="62BE0953" w14:textId="4FEB4497" w:rsidR="00114234" w:rsidRDefault="00114234" w:rsidP="007E5DC5">
            <w:pPr>
              <w:pStyle w:val="Tabletext1"/>
              <w:keepNext/>
            </w:pPr>
          </w:p>
        </w:tc>
        <w:tc>
          <w:tcPr>
            <w:tcW w:w="1237" w:type="pct"/>
          </w:tcPr>
          <w:p w14:paraId="2F789EBA" w14:textId="47C97577" w:rsidR="005C02ED" w:rsidRDefault="005C02ED" w:rsidP="007E5DC5">
            <w:pPr>
              <w:pStyle w:val="Tabletext1"/>
              <w:keepNext/>
            </w:pPr>
            <w:r>
              <w:t>76</w:t>
            </w:r>
            <w:r w:rsidR="00C23877">
              <w:t>.9 [</w:t>
            </w:r>
            <w:r>
              <w:t>40</w:t>
            </w:r>
            <w:r w:rsidR="00C23877">
              <w:t xml:space="preserve">.8, </w:t>
            </w:r>
            <w:r>
              <w:t>94</w:t>
            </w:r>
            <w:r w:rsidR="00C23877">
              <w:t>.</w:t>
            </w:r>
            <w:r>
              <w:t>1]</w:t>
            </w:r>
          </w:p>
        </w:tc>
        <w:tc>
          <w:tcPr>
            <w:tcW w:w="1475" w:type="pct"/>
          </w:tcPr>
          <w:p w14:paraId="416E1CC9" w14:textId="16AC262F" w:rsidR="005C02ED" w:rsidRDefault="002F4D91" w:rsidP="007E5DC5">
            <w:pPr>
              <w:pStyle w:val="Tabletext1"/>
              <w:keepNext/>
            </w:pPr>
            <w:r>
              <w:t>72.1 [48.5, 87.7]</w:t>
            </w:r>
          </w:p>
        </w:tc>
      </w:tr>
      <w:tr w:rsidR="005C02ED" w14:paraId="2116A510" w14:textId="77777777" w:rsidTr="00E6732A">
        <w:trPr>
          <w:trHeight w:val="397"/>
        </w:trPr>
        <w:tc>
          <w:tcPr>
            <w:tcW w:w="1302" w:type="pct"/>
          </w:tcPr>
          <w:p w14:paraId="6B324124" w14:textId="77777777" w:rsidR="005C02ED" w:rsidRDefault="005C02ED" w:rsidP="007E5DC5">
            <w:pPr>
              <w:pStyle w:val="Tabletext1"/>
              <w:keepNext/>
            </w:pPr>
            <w:r>
              <w:t xml:space="preserve">Prospective </w:t>
            </w:r>
          </w:p>
        </w:tc>
        <w:tc>
          <w:tcPr>
            <w:tcW w:w="986" w:type="pct"/>
          </w:tcPr>
          <w:p w14:paraId="1C9B8090" w14:textId="77777777" w:rsidR="00EF1798" w:rsidRDefault="00EF1798" w:rsidP="007E5DC5">
            <w:pPr>
              <w:pStyle w:val="Tabletext1"/>
              <w:keepNext/>
            </w:pPr>
            <w:r>
              <w:t xml:space="preserve">910 patients </w:t>
            </w:r>
          </w:p>
          <w:p w14:paraId="59F00388" w14:textId="149FE790" w:rsidR="005C02ED" w:rsidRDefault="00EF1798" w:rsidP="007E5DC5">
            <w:pPr>
              <w:pStyle w:val="Tabletext1"/>
              <w:keepNext/>
            </w:pPr>
            <w:r>
              <w:t>(</w:t>
            </w:r>
            <w:r w:rsidR="005C02ED">
              <w:t>5</w:t>
            </w:r>
            <w:r>
              <w:t xml:space="preserve"> studies)</w:t>
            </w:r>
          </w:p>
          <w:p w14:paraId="01F9E98F" w14:textId="0FB33391" w:rsidR="00114234" w:rsidRDefault="00114234" w:rsidP="007E5DC5">
            <w:pPr>
              <w:pStyle w:val="Tabletext1"/>
              <w:keepNext/>
            </w:pPr>
          </w:p>
        </w:tc>
        <w:tc>
          <w:tcPr>
            <w:tcW w:w="1237" w:type="pct"/>
          </w:tcPr>
          <w:p w14:paraId="6B81C094" w14:textId="65418548" w:rsidR="005C02ED" w:rsidRDefault="005C02ED" w:rsidP="007E5DC5">
            <w:pPr>
              <w:pStyle w:val="Tabletext1"/>
              <w:keepNext/>
            </w:pPr>
            <w:r>
              <w:t>71</w:t>
            </w:r>
            <w:r w:rsidR="00C23877">
              <w:t>.6 [</w:t>
            </w:r>
            <w:r>
              <w:t>47</w:t>
            </w:r>
            <w:r w:rsidR="00C23877">
              <w:t xml:space="preserve">.2, </w:t>
            </w:r>
            <w:r>
              <w:t>87</w:t>
            </w:r>
            <w:r w:rsidR="00C23877">
              <w:t>.</w:t>
            </w:r>
            <w:r>
              <w:t>7]</w:t>
            </w:r>
          </w:p>
        </w:tc>
        <w:tc>
          <w:tcPr>
            <w:tcW w:w="1475" w:type="pct"/>
          </w:tcPr>
          <w:p w14:paraId="6BC5DF5B" w14:textId="1DA2FB71" w:rsidR="005C02ED" w:rsidRDefault="002F4D91" w:rsidP="007E5DC5">
            <w:pPr>
              <w:pStyle w:val="Tabletext1"/>
              <w:keepNext/>
            </w:pPr>
            <w:r>
              <w:t>75.2 [50.1, 90.1]</w:t>
            </w:r>
          </w:p>
        </w:tc>
      </w:tr>
      <w:tr w:rsidR="005C02ED" w14:paraId="02C3718E" w14:textId="77777777" w:rsidTr="00E6732A">
        <w:trPr>
          <w:trHeight w:val="397"/>
        </w:trPr>
        <w:tc>
          <w:tcPr>
            <w:tcW w:w="1302" w:type="pct"/>
          </w:tcPr>
          <w:p w14:paraId="7CC72C27" w14:textId="77777777" w:rsidR="005C02ED" w:rsidRDefault="005C02ED" w:rsidP="007E5DC5">
            <w:pPr>
              <w:pStyle w:val="Tabletext1"/>
              <w:keepNext/>
            </w:pPr>
            <w:r>
              <w:t xml:space="preserve">Retrospective </w:t>
            </w:r>
          </w:p>
        </w:tc>
        <w:tc>
          <w:tcPr>
            <w:tcW w:w="986" w:type="pct"/>
          </w:tcPr>
          <w:p w14:paraId="55832B38" w14:textId="77777777" w:rsidR="00EF1798" w:rsidRDefault="00EF1798" w:rsidP="007E5DC5">
            <w:pPr>
              <w:pStyle w:val="Tabletext1"/>
              <w:keepNext/>
            </w:pPr>
            <w:r>
              <w:t xml:space="preserve">1,152 patients </w:t>
            </w:r>
          </w:p>
          <w:p w14:paraId="74852AAC" w14:textId="08CD6512" w:rsidR="005C02ED" w:rsidRDefault="00EF1798" w:rsidP="007E5DC5">
            <w:pPr>
              <w:pStyle w:val="Tabletext1"/>
              <w:keepNext/>
            </w:pPr>
            <w:r>
              <w:t>(</w:t>
            </w:r>
            <w:r w:rsidR="005C02ED">
              <w:t>5</w:t>
            </w:r>
            <w:r>
              <w:t xml:space="preserve"> studies)</w:t>
            </w:r>
          </w:p>
          <w:p w14:paraId="7FF5D019" w14:textId="68CE0BED" w:rsidR="00114234" w:rsidRDefault="00114234" w:rsidP="007E5DC5">
            <w:pPr>
              <w:pStyle w:val="Tabletext1"/>
              <w:keepNext/>
            </w:pPr>
          </w:p>
        </w:tc>
        <w:tc>
          <w:tcPr>
            <w:tcW w:w="1237" w:type="pct"/>
          </w:tcPr>
          <w:p w14:paraId="143D39B5" w14:textId="1094E131" w:rsidR="005C02ED" w:rsidRDefault="005C02ED" w:rsidP="007E5DC5">
            <w:pPr>
              <w:pStyle w:val="Tabletext1"/>
              <w:keepNext/>
            </w:pPr>
            <w:r>
              <w:t>73</w:t>
            </w:r>
            <w:r w:rsidR="00C23877">
              <w:t>.6 [</w:t>
            </w:r>
            <w:r>
              <w:t>50</w:t>
            </w:r>
            <w:r w:rsidR="00C23877">
              <w:t xml:space="preserve">.8, </w:t>
            </w:r>
            <w:r>
              <w:t>88</w:t>
            </w:r>
            <w:r w:rsidR="00C23877">
              <w:t>.</w:t>
            </w:r>
            <w:r>
              <w:t>3]</w:t>
            </w:r>
          </w:p>
        </w:tc>
        <w:tc>
          <w:tcPr>
            <w:tcW w:w="1475" w:type="pct"/>
          </w:tcPr>
          <w:p w14:paraId="0BDB9A84" w14:textId="3A8FBEB0" w:rsidR="005C02ED" w:rsidRDefault="002F4D91" w:rsidP="007E5DC5">
            <w:pPr>
              <w:pStyle w:val="Tabletext1"/>
              <w:keepNext/>
            </w:pPr>
            <w:r>
              <w:t>78.7 [61.2, 89.6]</w:t>
            </w:r>
          </w:p>
        </w:tc>
      </w:tr>
      <w:tr w:rsidR="005C02ED" w14:paraId="0BD26822" w14:textId="77777777" w:rsidTr="00E6732A">
        <w:trPr>
          <w:trHeight w:val="397"/>
        </w:trPr>
        <w:tc>
          <w:tcPr>
            <w:tcW w:w="1302" w:type="pct"/>
          </w:tcPr>
          <w:p w14:paraId="1EE7FF86" w14:textId="214FBCFB" w:rsidR="005C02ED" w:rsidRDefault="005C02ED" w:rsidP="007E5DC5">
            <w:pPr>
              <w:pStyle w:val="Tabletext1"/>
              <w:keepNext/>
            </w:pPr>
            <w:r>
              <w:t>PI</w:t>
            </w:r>
            <w:r w:rsidR="00350AF1">
              <w:t>-</w:t>
            </w:r>
            <w:r>
              <w:t>RADS version 1</w:t>
            </w:r>
          </w:p>
        </w:tc>
        <w:tc>
          <w:tcPr>
            <w:tcW w:w="986" w:type="pct"/>
          </w:tcPr>
          <w:p w14:paraId="4AAB1358" w14:textId="77777777" w:rsidR="00EF1798" w:rsidRDefault="00EF1798" w:rsidP="007E5DC5">
            <w:pPr>
              <w:pStyle w:val="Tabletext1"/>
              <w:keepNext/>
            </w:pPr>
            <w:r>
              <w:t xml:space="preserve">1,636 patients </w:t>
            </w:r>
          </w:p>
          <w:p w14:paraId="5B4B2407" w14:textId="7C3074BD" w:rsidR="005C02ED" w:rsidRDefault="00EF1798" w:rsidP="007E5DC5">
            <w:pPr>
              <w:pStyle w:val="Tabletext1"/>
              <w:keepNext/>
            </w:pPr>
            <w:r>
              <w:t>(</w:t>
            </w:r>
            <w:r w:rsidR="005C02ED">
              <w:t>8</w:t>
            </w:r>
            <w:r>
              <w:t xml:space="preserve"> studies)</w:t>
            </w:r>
          </w:p>
          <w:p w14:paraId="45426E3B" w14:textId="43AC8386" w:rsidR="00114234" w:rsidRDefault="00114234" w:rsidP="007E5DC5">
            <w:pPr>
              <w:pStyle w:val="Tabletext1"/>
              <w:keepNext/>
            </w:pPr>
          </w:p>
        </w:tc>
        <w:tc>
          <w:tcPr>
            <w:tcW w:w="1237" w:type="pct"/>
          </w:tcPr>
          <w:p w14:paraId="208BA0E8" w14:textId="37932E05" w:rsidR="005C02ED" w:rsidRDefault="005C02ED" w:rsidP="007E5DC5">
            <w:pPr>
              <w:pStyle w:val="Tabletext1"/>
              <w:keepNext/>
            </w:pPr>
            <w:r>
              <w:t>72</w:t>
            </w:r>
            <w:r w:rsidR="00C23877">
              <w:t>.7 [</w:t>
            </w:r>
            <w:r>
              <w:t>51</w:t>
            </w:r>
            <w:r w:rsidR="00C23877">
              <w:t xml:space="preserve">.4, </w:t>
            </w:r>
            <w:r>
              <w:t>87</w:t>
            </w:r>
            <w:r w:rsidR="00C23877">
              <w:t>.</w:t>
            </w:r>
            <w:r>
              <w:t>0]</w:t>
            </w:r>
          </w:p>
        </w:tc>
        <w:tc>
          <w:tcPr>
            <w:tcW w:w="1475" w:type="pct"/>
          </w:tcPr>
          <w:p w14:paraId="27A8A519" w14:textId="2459459E" w:rsidR="005C02ED" w:rsidRDefault="002F4D91" w:rsidP="007E5DC5">
            <w:pPr>
              <w:pStyle w:val="Tabletext1"/>
              <w:keepNext/>
            </w:pPr>
            <w:r>
              <w:t>74.6 [57.5, 86.5]</w:t>
            </w:r>
          </w:p>
        </w:tc>
      </w:tr>
      <w:tr w:rsidR="005C02ED" w14:paraId="0ACF15B0" w14:textId="77777777" w:rsidTr="00E6732A">
        <w:trPr>
          <w:trHeight w:val="397"/>
        </w:trPr>
        <w:tc>
          <w:tcPr>
            <w:tcW w:w="1302" w:type="pct"/>
          </w:tcPr>
          <w:p w14:paraId="21F18EBC" w14:textId="0B11BFA8" w:rsidR="005C02ED" w:rsidRDefault="005C02ED" w:rsidP="007E5DC5">
            <w:pPr>
              <w:pStyle w:val="Tabletext1"/>
              <w:keepNext/>
            </w:pPr>
            <w:r>
              <w:t>PI</w:t>
            </w:r>
            <w:r w:rsidR="00350AF1">
              <w:t>-</w:t>
            </w:r>
            <w:r>
              <w:t>RADS version 2</w:t>
            </w:r>
          </w:p>
        </w:tc>
        <w:tc>
          <w:tcPr>
            <w:tcW w:w="986" w:type="pct"/>
          </w:tcPr>
          <w:p w14:paraId="6FCC654A" w14:textId="77777777" w:rsidR="00EF1798" w:rsidRDefault="00EF1798" w:rsidP="007E5DC5">
            <w:pPr>
              <w:pStyle w:val="Tabletext1"/>
              <w:keepNext/>
            </w:pPr>
            <w:r>
              <w:t xml:space="preserve">426 patients </w:t>
            </w:r>
          </w:p>
          <w:p w14:paraId="074340B6" w14:textId="0E133381" w:rsidR="005C02ED" w:rsidRDefault="00EF1798" w:rsidP="007E5DC5">
            <w:pPr>
              <w:pStyle w:val="Tabletext1"/>
              <w:keepNext/>
            </w:pPr>
            <w:r>
              <w:t>(</w:t>
            </w:r>
            <w:r w:rsidR="005C02ED">
              <w:t>2</w:t>
            </w:r>
            <w:r>
              <w:t xml:space="preserve"> studies)</w:t>
            </w:r>
          </w:p>
          <w:p w14:paraId="4AFD867B" w14:textId="4C3E9242" w:rsidR="00114234" w:rsidRDefault="00114234" w:rsidP="007E5DC5">
            <w:pPr>
              <w:pStyle w:val="Tabletext1"/>
              <w:keepNext/>
            </w:pPr>
          </w:p>
        </w:tc>
        <w:tc>
          <w:tcPr>
            <w:tcW w:w="1237" w:type="pct"/>
          </w:tcPr>
          <w:p w14:paraId="7B1D01C2" w14:textId="4D3FB26E" w:rsidR="005C02ED" w:rsidRDefault="005C02ED" w:rsidP="007E5DC5">
            <w:pPr>
              <w:pStyle w:val="Tabletext1"/>
              <w:keepNext/>
            </w:pPr>
            <w:r>
              <w:t>77</w:t>
            </w:r>
            <w:r w:rsidR="00C23877">
              <w:t>.5</w:t>
            </w:r>
            <w:r w:rsidR="00FB18F0">
              <w:t xml:space="preserve"> </w:t>
            </w:r>
            <w:r w:rsidR="00C23877">
              <w:t>[</w:t>
            </w:r>
            <w:r>
              <w:t>68</w:t>
            </w:r>
            <w:r w:rsidR="00C23877">
              <w:t xml:space="preserve">.5, </w:t>
            </w:r>
            <w:r>
              <w:t>84</w:t>
            </w:r>
            <w:r w:rsidR="00C23877">
              <w:t>.</w:t>
            </w:r>
            <w:r>
              <w:t>5]</w:t>
            </w:r>
          </w:p>
        </w:tc>
        <w:tc>
          <w:tcPr>
            <w:tcW w:w="1475" w:type="pct"/>
          </w:tcPr>
          <w:p w14:paraId="22D970F4" w14:textId="1FAD0EB7" w:rsidR="005C02ED" w:rsidRDefault="002F4D91" w:rsidP="007E5DC5">
            <w:pPr>
              <w:pStyle w:val="Tabletext1"/>
              <w:keepNext/>
            </w:pPr>
            <w:r>
              <w:t>87.2 [76.5, 93.4]</w:t>
            </w:r>
          </w:p>
        </w:tc>
      </w:tr>
      <w:tr w:rsidR="005C02ED" w14:paraId="179312DE" w14:textId="77777777" w:rsidTr="00E6732A">
        <w:trPr>
          <w:trHeight w:val="397"/>
        </w:trPr>
        <w:tc>
          <w:tcPr>
            <w:tcW w:w="1302" w:type="pct"/>
          </w:tcPr>
          <w:p w14:paraId="457FBAA2" w14:textId="77777777" w:rsidR="005C02ED" w:rsidRDefault="005C02ED" w:rsidP="007E5DC5">
            <w:pPr>
              <w:pStyle w:val="Tabletext1"/>
              <w:keepNext/>
            </w:pPr>
            <w:r>
              <w:t>Dikaios et al. (2015) removed</w:t>
            </w:r>
          </w:p>
        </w:tc>
        <w:tc>
          <w:tcPr>
            <w:tcW w:w="986" w:type="pct"/>
          </w:tcPr>
          <w:p w14:paraId="11ABA1D9" w14:textId="77777777" w:rsidR="00EF1798" w:rsidRDefault="00EF1798" w:rsidP="007E5DC5">
            <w:pPr>
              <w:pStyle w:val="Tabletext1"/>
              <w:keepNext/>
            </w:pPr>
            <w:r>
              <w:t xml:space="preserve">1,977 patients </w:t>
            </w:r>
          </w:p>
          <w:p w14:paraId="019B0EAC" w14:textId="1DD96263" w:rsidR="005C02ED" w:rsidRDefault="00EF1798" w:rsidP="007E5DC5">
            <w:pPr>
              <w:pStyle w:val="Tabletext1"/>
              <w:keepNext/>
            </w:pPr>
            <w:r>
              <w:t>(</w:t>
            </w:r>
            <w:r w:rsidR="005C02ED">
              <w:t>9</w:t>
            </w:r>
            <w:r>
              <w:t xml:space="preserve"> studies)</w:t>
            </w:r>
          </w:p>
          <w:p w14:paraId="5027AD72" w14:textId="177DBB01" w:rsidR="00114234" w:rsidRDefault="00114234" w:rsidP="007E5DC5">
            <w:pPr>
              <w:pStyle w:val="Tabletext1"/>
              <w:keepNext/>
            </w:pPr>
          </w:p>
        </w:tc>
        <w:tc>
          <w:tcPr>
            <w:tcW w:w="1237" w:type="pct"/>
          </w:tcPr>
          <w:p w14:paraId="1D35CB07" w14:textId="01330E14" w:rsidR="005C02ED" w:rsidRDefault="005C02ED" w:rsidP="007E5DC5">
            <w:pPr>
              <w:pStyle w:val="Tabletext1"/>
              <w:keepNext/>
            </w:pPr>
            <w:r>
              <w:t>77</w:t>
            </w:r>
            <w:r w:rsidR="00C23877">
              <w:t>.0</w:t>
            </w:r>
            <w:r w:rsidR="00FB18F0">
              <w:t xml:space="preserve"> </w:t>
            </w:r>
            <w:r w:rsidR="00C23877">
              <w:t>[</w:t>
            </w:r>
            <w:r>
              <w:t>62</w:t>
            </w:r>
            <w:r w:rsidR="00C23877">
              <w:t xml:space="preserve">.8, </w:t>
            </w:r>
            <w:r>
              <w:t>86</w:t>
            </w:r>
            <w:r w:rsidR="00C23877">
              <w:t>.</w:t>
            </w:r>
            <w:r>
              <w:t>9]</w:t>
            </w:r>
          </w:p>
        </w:tc>
        <w:tc>
          <w:tcPr>
            <w:tcW w:w="1475" w:type="pct"/>
          </w:tcPr>
          <w:p w14:paraId="33BA9280" w14:textId="1EAFBAF5" w:rsidR="005C02ED" w:rsidRDefault="002F4D91" w:rsidP="007E5DC5">
            <w:pPr>
              <w:pStyle w:val="Tabletext1"/>
              <w:keepNext/>
            </w:pPr>
            <w:r>
              <w:t>76.1 [60.8, 86.7]</w:t>
            </w:r>
          </w:p>
        </w:tc>
      </w:tr>
    </w:tbl>
    <w:p w14:paraId="00478460" w14:textId="4C8B45C4" w:rsidR="003B6E18" w:rsidRDefault="0026699D" w:rsidP="00305C27">
      <w:pPr>
        <w:pStyle w:val="TableNotes"/>
      </w:pPr>
      <w:r>
        <w:t>CI = confidence interval</w:t>
      </w:r>
      <w:r w:rsidR="005C6BD2" w:rsidRPr="00305C27">
        <w:t>, PI-RADS</w:t>
      </w:r>
      <w:r w:rsidR="00415BAD">
        <w:t xml:space="preserve"> </w:t>
      </w:r>
      <w:r w:rsidR="005C6BD2" w:rsidRPr="00305C27">
        <w:t xml:space="preserve">= </w:t>
      </w:r>
      <w:r w:rsidR="00513B61" w:rsidRPr="00305C27">
        <w:t>Prostate</w:t>
      </w:r>
      <w:r w:rsidR="00513B61" w:rsidRPr="000C2D22">
        <w:t xml:space="preserve"> Imaging Reporting and Data System</w:t>
      </w:r>
      <w:r w:rsidR="00513B61">
        <w:t>.</w:t>
      </w:r>
    </w:p>
    <w:p w14:paraId="7DA19481" w14:textId="25593F7E" w:rsidR="00B27741" w:rsidRDefault="00E742A6" w:rsidP="009C4500">
      <w:r>
        <w:t>Subgroup analysis</w:t>
      </w:r>
      <w:r w:rsidR="00B27741">
        <w:t xml:space="preserve"> suggests that use of an endorectal coil may improve the sensitivity mpMRI. However, </w:t>
      </w:r>
      <w:r>
        <w:t xml:space="preserve">this estimate is based on only two studies and the wide confidence intervals associated with the point estimate for specificity in this subgroup </w:t>
      </w:r>
      <w:r w:rsidR="00C7671A">
        <w:t>indicate</w:t>
      </w:r>
      <w:r w:rsidR="00EF1798">
        <w:t>s</w:t>
      </w:r>
      <w:r>
        <w:t xml:space="preserve"> considerable uncertainty. </w:t>
      </w:r>
      <w:r w:rsidR="00B27741">
        <w:t>As such, it would not be appropriate to draw any conclusions from this</w:t>
      </w:r>
      <w:r>
        <w:t xml:space="preserve"> result</w:t>
      </w:r>
      <w:r w:rsidR="00B27741">
        <w:t>.</w:t>
      </w:r>
    </w:p>
    <w:p w14:paraId="7B2BC0B8" w14:textId="28BBB468" w:rsidR="005E6961" w:rsidRDefault="00BF1483" w:rsidP="009C4500">
      <w:r>
        <w:t>There was n</w:t>
      </w:r>
      <w:r w:rsidR="00E67315">
        <w:t>o statistically</w:t>
      </w:r>
      <w:r w:rsidR="005E6961">
        <w:t xml:space="preserve"> significant difference</w:t>
      </w:r>
      <w:r w:rsidR="00916303">
        <w:t xml:space="preserve"> </w:t>
      </w:r>
      <w:r>
        <w:t>in estimates of sensitivity and specific</w:t>
      </w:r>
      <w:r w:rsidR="00513B61">
        <w:t>i</w:t>
      </w:r>
      <w:r>
        <w:t>ty</w:t>
      </w:r>
      <w:r w:rsidR="005E6961">
        <w:t xml:space="preserve"> between the </w:t>
      </w:r>
      <w:r w:rsidR="00473E18">
        <w:t xml:space="preserve">studies that </w:t>
      </w:r>
      <w:r w:rsidR="005E6961">
        <w:t>use</w:t>
      </w:r>
      <w:r w:rsidR="007A3520">
        <w:t>d</w:t>
      </w:r>
      <w:r w:rsidR="005E6961">
        <w:t xml:space="preserve"> PI-RADS version 1 </w:t>
      </w:r>
      <w:r w:rsidR="00C7671A">
        <w:t xml:space="preserve">compared to </w:t>
      </w:r>
      <w:r w:rsidR="00473E18">
        <w:t xml:space="preserve">version </w:t>
      </w:r>
      <w:r w:rsidR="005E6961">
        <w:t>2</w:t>
      </w:r>
      <w:r w:rsidR="00E67315">
        <w:t xml:space="preserve">, </w:t>
      </w:r>
      <w:r w:rsidR="005E6961">
        <w:t>although only two studies reported use of PI-RADS version 2. Similarly, no significant difference was observed between studies using prospective or retrospective study designs.</w:t>
      </w:r>
    </w:p>
    <w:p w14:paraId="588D3AB1" w14:textId="5906D802" w:rsidR="009C4500" w:rsidRDefault="00E01616" w:rsidP="009C4500">
      <w:r>
        <w:lastRenderedPageBreak/>
        <w:t xml:space="preserve">A sensitivity analysis was performed by removing the study by Dikaios et al. (2015) on the basis that the study </w:t>
      </w:r>
      <w:r w:rsidR="00916303">
        <w:t>focused on the use of mpMRI to identifiy PCa</w:t>
      </w:r>
      <w:r>
        <w:t xml:space="preserve"> in the transition zone</w:t>
      </w:r>
      <w:r w:rsidR="00554620">
        <w:t>. It was hypothesized that</w:t>
      </w:r>
      <w:r>
        <w:t xml:space="preserve"> </w:t>
      </w:r>
      <w:r w:rsidR="00554620">
        <w:t xml:space="preserve">it </w:t>
      </w:r>
      <w:r>
        <w:t xml:space="preserve">may have </w:t>
      </w:r>
      <w:r w:rsidR="00C7671A">
        <w:t xml:space="preserve">different </w:t>
      </w:r>
      <w:r>
        <w:t xml:space="preserve">sensitivity than studies diagnosing cancer of the peripheral and transition zones. While the removal of the </w:t>
      </w:r>
      <w:r w:rsidR="006973D0">
        <w:t>results</w:t>
      </w:r>
      <w:r>
        <w:t xml:space="preserve"> by Dikaios et al. (2015) does improve the estimate of sensitivity of mpMRI at the expense of the specificity</w:t>
      </w:r>
      <w:r w:rsidR="00554620">
        <w:t>,</w:t>
      </w:r>
      <w:r>
        <w:t xml:space="preserve"> the results are not statistically different. A conservative approach was taken and the </w:t>
      </w:r>
      <w:r w:rsidR="006973D0">
        <w:t>estimates of sensitivity and specificity from the full cohort of studies have</w:t>
      </w:r>
      <w:r>
        <w:t xml:space="preserve"> been used </w:t>
      </w:r>
      <w:r w:rsidR="006973D0">
        <w:t xml:space="preserve">to inform </w:t>
      </w:r>
      <w:r w:rsidR="0072266E">
        <w:t>t</w:t>
      </w:r>
      <w:r w:rsidR="006973D0">
        <w:t xml:space="preserve">he results of this review. </w:t>
      </w:r>
    </w:p>
    <w:p w14:paraId="3D118F36" w14:textId="436F261F" w:rsidR="00D75C7A" w:rsidRDefault="00B53B5F" w:rsidP="0083213C">
      <w:r>
        <w:t>The point estimat</w:t>
      </w:r>
      <w:r w:rsidR="00830630">
        <w:t>e</w:t>
      </w:r>
      <w:r>
        <w:t>s calculated in the meta-analysis must be viewed in light of the fact that</w:t>
      </w:r>
      <w:r w:rsidR="00E5342B">
        <w:t xml:space="preserve"> biopsy is not a perfect reference standard</w:t>
      </w:r>
      <w:r>
        <w:t xml:space="preserve">. </w:t>
      </w:r>
      <w:r w:rsidR="00554620">
        <w:t>This assessment has used the 81 per cent point estimate for any cancer as the TRUSGB sensitivity estimate</w:t>
      </w:r>
      <w:r w:rsidR="008A60FA">
        <w:t xml:space="preserve"> </w:t>
      </w:r>
      <w:r w:rsidR="008E0B00">
        <w:fldChar w:fldCharType="begin">
          <w:fldData xml:space="preserve">PEVuZE5vdGU+PENpdGU+PEF1dGhvcj5TY2hvb3RzPC9BdXRob3I+PFllYXI+MjAxNTwvWWVhcj48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</w:fldData>
        </w:fldChar>
      </w:r>
      <w:r w:rsidR="008E0B00">
        <w:instrText xml:space="preserve"> ADDIN EN.CITE </w:instrText>
      </w:r>
      <w:r w:rsidR="008E0B00">
        <w:fldChar w:fldCharType="begin">
          <w:fldData xml:space="preserve">PEVuZE5vdGU+PENpdGU+PEF1dGhvcj5TY2hvb3RzPC9BdXRob3I+PFllYXI+MjAxNTwvWWVhcj48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144" w:tooltip="Schoots, 2015 #31" w:history="1">
        <w:r w:rsidR="008E0B00">
          <w:rPr>
            <w:noProof/>
          </w:rPr>
          <w:t>Schoots et al. 2015</w:t>
        </w:r>
      </w:hyperlink>
      <w:r w:rsidR="008E0B00">
        <w:rPr>
          <w:noProof/>
        </w:rPr>
        <w:t>)</w:t>
      </w:r>
      <w:r w:rsidR="008E0B00">
        <w:fldChar w:fldCharType="end"/>
      </w:r>
      <w:r w:rsidR="00554620">
        <w:t xml:space="preserve"> (Subsection B3.1). </w:t>
      </w:r>
      <w:r w:rsidR="00901C9B">
        <w:t>The overall impact of the less than perfect nature of biopsy as a reference standard is unable to be quantified</w:t>
      </w:r>
      <w:r w:rsidR="0009782E">
        <w:t xml:space="preserve">; however, this adds further uncertainty to the point estimates generated </w:t>
      </w:r>
      <w:r w:rsidR="00ED18B5">
        <w:t>from the</w:t>
      </w:r>
      <w:r w:rsidR="0009782E">
        <w:t xml:space="preserve"> meta-analyses</w:t>
      </w:r>
      <w:r w:rsidR="00901C9B">
        <w:t>.</w:t>
      </w:r>
      <w:r w:rsidR="009C5C41">
        <w:t xml:space="preserve"> </w:t>
      </w:r>
    </w:p>
    <w:p w14:paraId="29603CB8" w14:textId="73DC578E" w:rsidR="00475D5D" w:rsidRDefault="003951CF" w:rsidP="003951CF">
      <w:pPr>
        <w:pStyle w:val="Heading3"/>
      </w:pPr>
      <w:bookmarkStart w:id="312" w:name="_Toc460513919"/>
      <w:r>
        <w:t>Diagnosis of c</w:t>
      </w:r>
      <w:r w:rsidR="0083213C">
        <w:t>lini</w:t>
      </w:r>
      <w:r>
        <w:t>cally</w:t>
      </w:r>
      <w:r w:rsidR="0083213C">
        <w:t xml:space="preserve"> sig</w:t>
      </w:r>
      <w:r>
        <w:t>nificant</w:t>
      </w:r>
      <w:r w:rsidR="0083213C">
        <w:t xml:space="preserve"> cancer</w:t>
      </w:r>
      <w:bookmarkEnd w:id="312"/>
    </w:p>
    <w:p w14:paraId="6C0624F9" w14:textId="7B0EC327" w:rsidR="000D46E8" w:rsidRDefault="000D46E8" w:rsidP="0083213C">
      <w:r>
        <w:t>Six studies</w:t>
      </w:r>
      <w:r w:rsidR="000063C9">
        <w:t>, including 1,229 patients</w:t>
      </w:r>
      <w:r>
        <w:t xml:space="preserve"> also investigated the ability of mpMRI to diagnose clinically significant cancer</w:t>
      </w:r>
      <w:r w:rsidR="007408CD">
        <w:t xml:space="preserve"> </w:t>
      </w:r>
      <w:r w:rsidR="008E0B00">
        <w:fldChar w:fldCharType="begin">
          <w:fldData xml:space="preserve">PEVuZE5vdGU+PENpdGU+PEF1dGhvcj5EaWthaW9zPC9BdXRob3I+PFllYXI+MjAxNDwvWWVhcj48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</w:fldData>
        </w:fldChar>
      </w:r>
      <w:r w:rsidR="008E0B00">
        <w:instrText xml:space="preserve"> ADDIN EN.CITE </w:instrText>
      </w:r>
      <w:r w:rsidR="008E0B00">
        <w:fldChar w:fldCharType="begin">
          <w:fldData xml:space="preserve">PEVuZE5vdGU+PENpdGU+PEF1dGhvcj5EaWthaW9zPC9BdXRob3I+PFllYXI+MjAxNDwvWWVhcj48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37" w:tooltip="Dikaios, 2014 #38" w:history="1">
        <w:r w:rsidR="008E0B00">
          <w:rPr>
            <w:noProof/>
          </w:rPr>
          <w:t>Dikaios et al. 2014</w:t>
        </w:r>
      </w:hyperlink>
      <w:r w:rsidR="008E0B00">
        <w:rPr>
          <w:noProof/>
        </w:rPr>
        <w:t xml:space="preserve">; </w:t>
      </w:r>
      <w:hyperlink w:anchor="_ENREF_71" w:tooltip="Jambor, 2014 #44" w:history="1">
        <w:r w:rsidR="008E0B00">
          <w:rPr>
            <w:noProof/>
          </w:rPr>
          <w:t>Jambor et al. 2014</w:t>
        </w:r>
      </w:hyperlink>
      <w:r w:rsidR="008E0B00">
        <w:rPr>
          <w:noProof/>
        </w:rPr>
        <w:t xml:space="preserve">; </w:t>
      </w:r>
      <w:hyperlink w:anchor="_ENREF_115" w:tooltip="Pokorny, 2014 #51" w:history="1">
        <w:r w:rsidR="008E0B00">
          <w:rPr>
            <w:noProof/>
          </w:rPr>
          <w:t>Pokorny et al. 2014</w:t>
        </w:r>
      </w:hyperlink>
      <w:r w:rsidR="008E0B00">
        <w:rPr>
          <w:noProof/>
        </w:rPr>
        <w:t xml:space="preserve">; </w:t>
      </w:r>
      <w:hyperlink w:anchor="_ENREF_161" w:tooltip="Thompson, 2014 #58" w:history="1">
        <w:r w:rsidR="008E0B00">
          <w:rPr>
            <w:noProof/>
          </w:rPr>
          <w:t>Thompson et al. 2014</w:t>
        </w:r>
      </w:hyperlink>
      <w:r w:rsidR="008E0B00">
        <w:rPr>
          <w:noProof/>
        </w:rPr>
        <w:t xml:space="preserve">; </w:t>
      </w:r>
      <w:hyperlink w:anchor="_ENREF_162" w:tooltip="Thompson, 2016 #59" w:history="1">
        <w:r w:rsidR="008E0B00">
          <w:rPr>
            <w:noProof/>
          </w:rPr>
          <w:t>Thompson et al. 2016</w:t>
        </w:r>
      </w:hyperlink>
      <w:r w:rsidR="008E0B00">
        <w:rPr>
          <w:noProof/>
        </w:rPr>
        <w:t xml:space="preserve">; </w:t>
      </w:r>
      <w:hyperlink w:anchor="_ENREF_187" w:tooltip="Zhao, 2016 #65" w:history="1">
        <w:r w:rsidR="008E0B00">
          <w:rPr>
            <w:noProof/>
          </w:rPr>
          <w:t>Zhao et al. 2016</w:t>
        </w:r>
      </w:hyperlink>
      <w:r w:rsidR="008E0B00">
        <w:rPr>
          <w:noProof/>
        </w:rPr>
        <w:t>)</w:t>
      </w:r>
      <w:r w:rsidR="008E0B00">
        <w:fldChar w:fldCharType="end"/>
      </w:r>
      <w:r>
        <w:t xml:space="preserve">. </w:t>
      </w:r>
      <w:r w:rsidR="000063C9">
        <w:t xml:space="preserve">Clinically significant cancer was defined slightly differently by each of the studies; however, </w:t>
      </w:r>
      <w:r w:rsidR="00FA29D6">
        <w:t>most</w:t>
      </w:r>
      <w:r w:rsidR="000063C9">
        <w:t xml:space="preserve"> studies considered a Gleason ≥7 t</w:t>
      </w:r>
      <w:r w:rsidR="00753A7C">
        <w:t>o</w:t>
      </w:r>
      <w:r w:rsidR="000063C9">
        <w:t xml:space="preserve"> be clinically significant. </w:t>
      </w:r>
      <w:r w:rsidR="00FA29D6">
        <w:t xml:space="preserve">Where the study did not analyse results for clinically significant cancer separately, but data by Gleason score was available, the researchers extracted data </w:t>
      </w:r>
      <w:r w:rsidR="00C7671A">
        <w:t xml:space="preserve">on the diagnosis of tumours with a </w:t>
      </w:r>
      <w:r w:rsidR="00FA29D6">
        <w:t xml:space="preserve">Gleason </w:t>
      </w:r>
      <w:r w:rsidR="00C7671A">
        <w:t xml:space="preserve">score </w:t>
      </w:r>
      <w:r w:rsidR="00FA29D6">
        <w:t xml:space="preserve">≥7. </w:t>
      </w:r>
    </w:p>
    <w:p w14:paraId="42C56542" w14:textId="489E543C" w:rsidR="001D7EC5" w:rsidRDefault="001D7EC5" w:rsidP="001D7EC5">
      <w:r w:rsidRPr="006768D6">
        <w:t>F</w:t>
      </w:r>
      <w:r>
        <w:t>or the diagnosis of clinically significant cancer, mpMRI was found to have a sensitivity of 76.3</w:t>
      </w:r>
      <w:r w:rsidR="00FB18F0">
        <w:t xml:space="preserve"> per cent</w:t>
      </w:r>
      <w:r>
        <w:t xml:space="preserve"> (</w:t>
      </w:r>
      <w:r w:rsidRPr="001D7EC5">
        <w:t xml:space="preserve">95% CI </w:t>
      </w:r>
      <w:r>
        <w:t>[58.6</w:t>
      </w:r>
      <w:r w:rsidR="00643A27">
        <w:t>, 88.0</w:t>
      </w:r>
      <w:r w:rsidRPr="001D7EC5">
        <w:t>]</w:t>
      </w:r>
      <w:r>
        <w:t>) and a specificity of 82.9</w:t>
      </w:r>
      <w:r w:rsidR="00FB18F0">
        <w:t xml:space="preserve"> per cent</w:t>
      </w:r>
      <w:r>
        <w:t xml:space="preserve"> (</w:t>
      </w:r>
      <w:r w:rsidRPr="001D7EC5">
        <w:t xml:space="preserve">95% CI </w:t>
      </w:r>
      <w:r>
        <w:t xml:space="preserve">[71.5, </w:t>
      </w:r>
      <w:r w:rsidRPr="001D7EC5">
        <w:t>90.4]</w:t>
      </w:r>
      <w:r>
        <w:t>). The HSROC curve and summary estimate with 95</w:t>
      </w:r>
      <w:r w:rsidR="00B65BFD">
        <w:t xml:space="preserve"> per cent</w:t>
      </w:r>
      <w:r>
        <w:t xml:space="preserve"> confidence region and 95</w:t>
      </w:r>
      <w:r w:rsidR="00B65BFD">
        <w:t xml:space="preserve"> per cent</w:t>
      </w:r>
      <w:r>
        <w:t xml:space="preserve"> prediction region is provided in</w:t>
      </w:r>
      <w:r w:rsidR="00B626B0">
        <w:t xml:space="preserve"> </w:t>
      </w:r>
      <w:r w:rsidR="00B626B0">
        <w:fldChar w:fldCharType="begin"/>
      </w:r>
      <w:r w:rsidR="00B626B0">
        <w:instrText xml:space="preserve"> REF _Ref456255799 \h </w:instrText>
      </w:r>
      <w:r w:rsidR="00B626B0">
        <w:fldChar w:fldCharType="separate"/>
      </w:r>
      <w:r w:rsidR="0029649D">
        <w:t xml:space="preserve">Figure </w:t>
      </w:r>
      <w:r w:rsidR="0029649D">
        <w:rPr>
          <w:noProof/>
        </w:rPr>
        <w:t>8</w:t>
      </w:r>
      <w:r w:rsidR="00B626B0">
        <w:fldChar w:fldCharType="end"/>
      </w:r>
      <w:r>
        <w:t>.</w:t>
      </w:r>
      <w:r w:rsidR="00661C17">
        <w:t xml:space="preserve"> </w:t>
      </w:r>
      <w:r w:rsidR="008A2207">
        <w:t>W</w:t>
      </w:r>
      <w:r w:rsidR="000C63DF">
        <w:t xml:space="preserve">ide confidence intervals </w:t>
      </w:r>
      <w:r w:rsidR="008A2207">
        <w:t xml:space="preserve">reflect </w:t>
      </w:r>
      <w:r w:rsidR="000C63DF">
        <w:t xml:space="preserve">uncertainty </w:t>
      </w:r>
      <w:r w:rsidR="00394450">
        <w:t xml:space="preserve">associated with </w:t>
      </w:r>
      <w:r w:rsidR="000C63DF">
        <w:t>the point estimate.</w:t>
      </w:r>
      <w:r w:rsidR="000D3855" w:rsidRPr="000D3855">
        <w:t xml:space="preserve"> </w:t>
      </w:r>
      <w:r w:rsidR="000D3855">
        <w:t>The accuracy of mpMRI in the detection of clinically significant PCa was not statistically different to its accuracy at detecting</w:t>
      </w:r>
      <w:r w:rsidR="000D3855" w:rsidRPr="006D0A24">
        <w:t xml:space="preserve"> </w:t>
      </w:r>
      <w:r w:rsidR="000D3855">
        <w:t>PCa of any severity.</w:t>
      </w:r>
    </w:p>
    <w:p w14:paraId="04E602BB" w14:textId="02C1F90B" w:rsidR="008A2207" w:rsidRDefault="004D5506" w:rsidP="0083213C">
      <w:r>
        <w:t>N</w:t>
      </w:r>
      <w:r w:rsidR="00643A27">
        <w:t xml:space="preserve">o subgroup analyses were undertaken due to the smaller number of studies available. </w:t>
      </w:r>
      <w:r>
        <w:t xml:space="preserve">However, as shown in </w:t>
      </w:r>
      <w:r>
        <w:fldChar w:fldCharType="begin"/>
      </w:r>
      <w:r>
        <w:instrText xml:space="preserve"> REF _Ref456255799 \h </w:instrText>
      </w:r>
      <w:r>
        <w:fldChar w:fldCharType="separate"/>
      </w:r>
      <w:r w:rsidR="0029649D">
        <w:t xml:space="preserve">Figure </w:t>
      </w:r>
      <w:r w:rsidR="0029649D">
        <w:rPr>
          <w:noProof/>
        </w:rPr>
        <w:t>8</w:t>
      </w:r>
      <w:r>
        <w:fldChar w:fldCharType="end"/>
      </w:r>
      <w:r>
        <w:t>, less hete</w:t>
      </w:r>
      <w:r w:rsidR="00305C27">
        <w:t>rogeneity was observed for the subset of studies reporting diagnosis of clinically significant cancer than for studies reporting diagnosis of any cancer</w:t>
      </w:r>
      <w:r>
        <w:t>.</w:t>
      </w:r>
    </w:p>
    <w:p w14:paraId="576E898F" w14:textId="59F54C64" w:rsidR="0083213C" w:rsidRDefault="00C33543" w:rsidP="006335D9">
      <w:pPr>
        <w:pStyle w:val="Caption"/>
      </w:pPr>
      <w:bookmarkStart w:id="313" w:name="_Ref456255799"/>
      <w:bookmarkStart w:id="314" w:name="_Toc460514615"/>
      <w:r>
        <w:lastRenderedPageBreak/>
        <w:t xml:space="preserve">Figure </w:t>
      </w:r>
      <w:fldSimple w:instr=" SEQ Figure \* ARABIC ">
        <w:r w:rsidR="0029649D">
          <w:rPr>
            <w:noProof/>
          </w:rPr>
          <w:t>8</w:t>
        </w:r>
      </w:fldSimple>
      <w:bookmarkEnd w:id="313"/>
      <w:r>
        <w:tab/>
        <w:t xml:space="preserve">HSROC curve and bivariate model results for the diagnosis of clinically </w:t>
      </w:r>
      <w:r w:rsidR="008073A2">
        <w:t>significant cancer by mpMRI in P</w:t>
      </w:r>
      <w:r>
        <w:t>opulation 1</w:t>
      </w:r>
      <w:bookmarkEnd w:id="314"/>
    </w:p>
    <w:p w14:paraId="46A0266A" w14:textId="77777777" w:rsidR="00C33543" w:rsidRPr="00C33543" w:rsidRDefault="006335D9" w:rsidP="00C33543">
      <w:r>
        <w:rPr>
          <w:noProof/>
        </w:rPr>
        <w:drawing>
          <wp:inline distT="0" distB="0" distL="0" distR="0" wp14:anchorId="123A70D8" wp14:editId="21506A7B">
            <wp:extent cx="5731510" cy="5535486"/>
            <wp:effectExtent l="0" t="0" r="2540" b="8255"/>
            <wp:docPr id="5" name="Picture 5" descr="HSROC curve and bivariate model results for the diagnosis of clinically significant cancer by mpMRI in population 1" title="HSROC curve and bivariate model results for the diagnosis of clinically significant cancer by mpMRI in popul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ERNIP-S data\DHA\DHA CA 1397 mpMRI prostate\meta-analysis\forest plots\pop1_clinsig_pirads4_hsroc.tif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535486"/>
                    </a:xfrm>
                    <a:prstGeom prst="rect">
                      <a:avLst/>
                    </a:prstGeom>
                    <a:noFill/>
                    <a:ln>
                      <a:noFill/>
                    </a:ln>
                  </pic:spPr>
                </pic:pic>
              </a:graphicData>
            </a:graphic>
          </wp:inline>
        </w:drawing>
      </w:r>
    </w:p>
    <w:p w14:paraId="08EE86D4" w14:textId="3BB0F99F" w:rsidR="00AC3351" w:rsidRDefault="00AC3351" w:rsidP="00F87EE4">
      <w:pPr>
        <w:pStyle w:val="Heading2"/>
        <w:numPr>
          <w:ilvl w:val="1"/>
          <w:numId w:val="18"/>
        </w:numPr>
      </w:pPr>
      <w:bookmarkStart w:id="315" w:name="_Toc460513920"/>
      <w:r>
        <w:t>Extended assessment of reliability evidence</w:t>
      </w:r>
      <w:r w:rsidR="008D0349">
        <w:t xml:space="preserve"> (Population 1)</w:t>
      </w:r>
      <w:bookmarkEnd w:id="315"/>
      <w:r w:rsidR="004E1130">
        <w:t xml:space="preserve"> </w:t>
      </w:r>
    </w:p>
    <w:p w14:paraId="41B73015" w14:textId="77777777" w:rsidR="00C630F7" w:rsidRPr="00C630F7" w:rsidRDefault="00C630F7" w:rsidP="00C630F7">
      <w:r w:rsidRPr="00C630F7">
        <w:t>Due to the observed heterogeneity in the diagnostic accuracy analyses, with no apparent clinical cause, an assessment of reliability was deemed necessary.</w:t>
      </w:r>
      <w:r w:rsidR="00CC45A7">
        <w:t xml:space="preserve"> </w:t>
      </w:r>
    </w:p>
    <w:p w14:paraId="7743BDCE" w14:textId="7271A904" w:rsidR="00706F25" w:rsidRPr="00706F25" w:rsidRDefault="00064A78" w:rsidP="00064A78">
      <w:pPr>
        <w:rPr>
          <w:szCs w:val="24"/>
        </w:rPr>
      </w:pPr>
      <w:r w:rsidRPr="00064A78">
        <w:rPr>
          <w:szCs w:val="24"/>
        </w:rPr>
        <w:t>The term</w:t>
      </w:r>
      <w:r w:rsidRPr="00064A78">
        <w:rPr>
          <w:b/>
          <w:szCs w:val="24"/>
        </w:rPr>
        <w:t xml:space="preserve"> </w:t>
      </w:r>
      <w:r w:rsidR="008570FC">
        <w:rPr>
          <w:b/>
          <w:szCs w:val="24"/>
        </w:rPr>
        <w:t>‘</w:t>
      </w:r>
      <w:r w:rsidRPr="00305C27">
        <w:rPr>
          <w:szCs w:val="24"/>
        </w:rPr>
        <w:t>reliability</w:t>
      </w:r>
      <w:r w:rsidR="008570FC">
        <w:rPr>
          <w:szCs w:val="24"/>
        </w:rPr>
        <w:t>’</w:t>
      </w:r>
      <w:r w:rsidRPr="00064A78">
        <w:rPr>
          <w:b/>
          <w:szCs w:val="24"/>
        </w:rPr>
        <w:t xml:space="preserve"> </w:t>
      </w:r>
      <w:r w:rsidRPr="00064A78">
        <w:rPr>
          <w:szCs w:val="24"/>
        </w:rPr>
        <w:t xml:space="preserve">(which is analogous to the concept of </w:t>
      </w:r>
      <w:r w:rsidR="008570FC">
        <w:rPr>
          <w:szCs w:val="24"/>
        </w:rPr>
        <w:t>‘</w:t>
      </w:r>
      <w:r w:rsidRPr="00305C27">
        <w:rPr>
          <w:szCs w:val="24"/>
        </w:rPr>
        <w:t>precision</w:t>
      </w:r>
      <w:r w:rsidR="008570FC">
        <w:rPr>
          <w:szCs w:val="24"/>
        </w:rPr>
        <w:t>’</w:t>
      </w:r>
      <w:r w:rsidRPr="00064A78">
        <w:rPr>
          <w:szCs w:val="24"/>
        </w:rPr>
        <w:t>) refers to the amount of agreement of different operators or instruments applying the same investigative medical service.</w:t>
      </w:r>
      <w:r w:rsidR="0085254A">
        <w:rPr>
          <w:szCs w:val="24"/>
        </w:rPr>
        <w:t xml:space="preserve"> </w:t>
      </w:r>
      <w:r w:rsidRPr="00064A78">
        <w:rPr>
          <w:szCs w:val="24"/>
        </w:rPr>
        <w:t>That is, a reliable investigative medical service is measuring something consistently.</w:t>
      </w:r>
      <w:r w:rsidRPr="00064A78">
        <w:rPr>
          <w:b/>
          <w:szCs w:val="24"/>
        </w:rPr>
        <w:t xml:space="preserve"> </w:t>
      </w:r>
    </w:p>
    <w:p w14:paraId="52D1C197" w14:textId="0C26A82F" w:rsidR="00856211" w:rsidRDefault="008D0349" w:rsidP="002354CA">
      <w:r>
        <w:t>I</w:t>
      </w:r>
      <w:r w:rsidR="002354CA">
        <w:t>nter</w:t>
      </w:r>
      <w:r w:rsidR="00ED0A12">
        <w:t>-</w:t>
      </w:r>
      <w:r w:rsidR="002354CA">
        <w:t xml:space="preserve">reader reliability </w:t>
      </w:r>
      <w:r>
        <w:t>data was extracted from key studies</w:t>
      </w:r>
      <w:r w:rsidR="002354CA">
        <w:t xml:space="preserve">. In addition, a targeted search was performed in </w:t>
      </w:r>
      <w:r w:rsidR="00773125">
        <w:t>PubMed</w:t>
      </w:r>
      <w:r w:rsidR="002354CA">
        <w:t xml:space="preserve"> </w:t>
      </w:r>
      <w:r w:rsidR="002C1A7B">
        <w:t xml:space="preserve">and EMBASE </w:t>
      </w:r>
      <w:r w:rsidR="002354CA">
        <w:t xml:space="preserve">for any additional studies that measured the reliability of mpMRI </w:t>
      </w:r>
      <w:r w:rsidR="002354CA">
        <w:lastRenderedPageBreak/>
        <w:t>using PI-RADS as</w:t>
      </w:r>
      <w:r w:rsidR="00ED0A12">
        <w:t xml:space="preserve"> a</w:t>
      </w:r>
      <w:r w:rsidR="002354CA">
        <w:t xml:space="preserve"> primary outcome</w:t>
      </w:r>
      <w:r w:rsidR="0072266E">
        <w:t>,</w:t>
      </w:r>
      <w:r w:rsidR="00ED0A12">
        <w:t xml:space="preserve"> or which measured any learning curve associated with the use of PI-RADS as a primary outcome</w:t>
      </w:r>
      <w:r w:rsidR="002354CA">
        <w:t xml:space="preserve">. </w:t>
      </w:r>
    </w:p>
    <w:p w14:paraId="1B8B2264" w14:textId="4C9BD89E" w:rsidR="00856211" w:rsidRPr="00B6746E" w:rsidRDefault="00856211" w:rsidP="00856211">
      <w:r w:rsidRPr="00B6746E">
        <w:t xml:space="preserve">The medical literature was searched on 20 </w:t>
      </w:r>
      <w:r>
        <w:t>June</w:t>
      </w:r>
      <w:r w:rsidRPr="00B6746E">
        <w:t xml:space="preserve"> 2016 to identify relevant studies. The search was not date limited. Search terms are described in</w:t>
      </w:r>
      <w:r w:rsidR="00DB2001">
        <w:t xml:space="preserve"> </w:t>
      </w:r>
      <w:r w:rsidR="00DB2001">
        <w:fldChar w:fldCharType="begin"/>
      </w:r>
      <w:r w:rsidR="00DB2001">
        <w:instrText xml:space="preserve"> REF _Ref456848018 \h </w:instrText>
      </w:r>
      <w:r w:rsidR="00DB2001">
        <w:fldChar w:fldCharType="separate"/>
      </w:r>
      <w:r w:rsidR="0029649D" w:rsidRPr="00B6746E">
        <w:t xml:space="preserve">Table </w:t>
      </w:r>
      <w:r w:rsidR="0029649D">
        <w:rPr>
          <w:noProof/>
        </w:rPr>
        <w:t>25</w:t>
      </w:r>
      <w:r w:rsidR="00DB2001">
        <w:fldChar w:fldCharType="end"/>
      </w:r>
      <w:r w:rsidRPr="00B6746E">
        <w:t>.</w:t>
      </w:r>
    </w:p>
    <w:p w14:paraId="43B31D49" w14:textId="11D20396" w:rsidR="00856211" w:rsidRPr="00183E4D" w:rsidRDefault="00856211" w:rsidP="00466B3D">
      <w:pPr>
        <w:pStyle w:val="Caption"/>
      </w:pPr>
      <w:bookmarkStart w:id="316" w:name="_Ref456848018"/>
      <w:bookmarkStart w:id="317" w:name="_Toc460514525"/>
      <w:r w:rsidRPr="00B6746E">
        <w:t xml:space="preserve">Table </w:t>
      </w:r>
      <w:fldSimple w:instr=" SEQ Table \* ARABIC ">
        <w:r w:rsidR="0029649D">
          <w:rPr>
            <w:noProof/>
          </w:rPr>
          <w:t>25</w:t>
        </w:r>
      </w:fldSimple>
      <w:bookmarkEnd w:id="316"/>
      <w:r w:rsidRPr="00B6746E">
        <w:tab/>
        <w:t>Search terms used (PubMED platform)</w:t>
      </w:r>
      <w:bookmarkEnd w:id="317"/>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459"/>
        <w:gridCol w:w="6653"/>
      </w:tblGrid>
      <w:tr w:rsidR="00856211" w:rsidRPr="00E6732A" w14:paraId="1EA0D158" w14:textId="77777777" w:rsidTr="00E6732A">
        <w:trPr>
          <w:trHeight w:val="397"/>
          <w:tblHeader/>
        </w:trPr>
        <w:tc>
          <w:tcPr>
            <w:tcW w:w="2410" w:type="dxa"/>
            <w:vAlign w:val="center"/>
          </w:tcPr>
          <w:p w14:paraId="497753E2" w14:textId="77777777" w:rsidR="00856211" w:rsidRPr="00E6732A" w:rsidRDefault="00856211" w:rsidP="007E5DC5">
            <w:pPr>
              <w:pStyle w:val="Tableheading1"/>
            </w:pPr>
            <w:r w:rsidRPr="00E6732A">
              <w:t>Element of clinical question</w:t>
            </w:r>
          </w:p>
        </w:tc>
        <w:tc>
          <w:tcPr>
            <w:tcW w:w="6521" w:type="dxa"/>
          </w:tcPr>
          <w:p w14:paraId="01D9E131" w14:textId="77777777" w:rsidR="00856211" w:rsidRPr="00E6732A" w:rsidRDefault="00856211" w:rsidP="007E5DC5">
            <w:pPr>
              <w:pStyle w:val="Tableheading1"/>
            </w:pPr>
            <w:r w:rsidRPr="00E6732A">
              <w:t>Search terms</w:t>
            </w:r>
          </w:p>
        </w:tc>
      </w:tr>
      <w:tr w:rsidR="00856211" w:rsidRPr="00183E4D" w14:paraId="04D1FDD3" w14:textId="77777777" w:rsidTr="00E6732A">
        <w:trPr>
          <w:trHeight w:val="397"/>
        </w:trPr>
        <w:tc>
          <w:tcPr>
            <w:tcW w:w="2410" w:type="dxa"/>
          </w:tcPr>
          <w:p w14:paraId="1A8BEDD2" w14:textId="77777777" w:rsidR="00856211" w:rsidRPr="00183E4D" w:rsidRDefault="00856211" w:rsidP="007E5DC5">
            <w:pPr>
              <w:pStyle w:val="Tabletext1"/>
            </w:pPr>
            <w:r w:rsidRPr="00183E4D">
              <w:t>Population</w:t>
            </w:r>
          </w:p>
        </w:tc>
        <w:tc>
          <w:tcPr>
            <w:tcW w:w="6521" w:type="dxa"/>
          </w:tcPr>
          <w:p w14:paraId="052F5B66" w14:textId="77777777" w:rsidR="00856211" w:rsidRPr="00183E4D" w:rsidRDefault="00856211" w:rsidP="007E5DC5">
            <w:pPr>
              <w:pStyle w:val="Tabletext1"/>
            </w:pPr>
            <w:r w:rsidRPr="00A6082B">
              <w:t>(prostate) OR prostate[MeSH Terms]</w:t>
            </w:r>
          </w:p>
        </w:tc>
      </w:tr>
      <w:tr w:rsidR="00856211" w:rsidRPr="00183E4D" w14:paraId="0CD46027" w14:textId="77777777" w:rsidTr="00E6732A">
        <w:trPr>
          <w:trHeight w:val="397"/>
        </w:trPr>
        <w:tc>
          <w:tcPr>
            <w:tcW w:w="2410" w:type="dxa"/>
          </w:tcPr>
          <w:p w14:paraId="070329C0" w14:textId="77777777" w:rsidR="00856211" w:rsidRPr="00183E4D" w:rsidRDefault="00856211" w:rsidP="007E5DC5">
            <w:pPr>
              <w:pStyle w:val="Tabletext1"/>
            </w:pPr>
            <w:r w:rsidRPr="00183E4D">
              <w:t>Intervention</w:t>
            </w:r>
          </w:p>
        </w:tc>
        <w:tc>
          <w:tcPr>
            <w:tcW w:w="6521" w:type="dxa"/>
          </w:tcPr>
          <w:p w14:paraId="1F6550AB" w14:textId="1D57593E" w:rsidR="00856211" w:rsidRPr="00183E4D" w:rsidRDefault="002C1A7B" w:rsidP="007E5DC5">
            <w:pPr>
              <w:pStyle w:val="Tabletext1"/>
            </w:pPr>
            <w:r w:rsidRPr="002C1A7B">
              <w:t>((((((((PI-RADS) OR PIRADS) OR multiparametric MRI) OR mp-MRI) OR multiparametric-MRI) OR mp MRI) OR mpMRI) OR ((prostate imaging and reporting data system)))</w:t>
            </w:r>
          </w:p>
        </w:tc>
      </w:tr>
      <w:tr w:rsidR="00856211" w:rsidRPr="00183E4D" w14:paraId="2F874C43" w14:textId="77777777" w:rsidTr="00E6732A">
        <w:trPr>
          <w:trHeight w:val="397"/>
        </w:trPr>
        <w:tc>
          <w:tcPr>
            <w:tcW w:w="2410" w:type="dxa"/>
          </w:tcPr>
          <w:p w14:paraId="4A797C34" w14:textId="77777777" w:rsidR="00856211" w:rsidRPr="00183E4D" w:rsidRDefault="00856211" w:rsidP="007E5DC5">
            <w:pPr>
              <w:pStyle w:val="Tabletext1"/>
            </w:pPr>
            <w:r w:rsidRPr="00183E4D">
              <w:t>Comparator (if applicable)</w:t>
            </w:r>
          </w:p>
        </w:tc>
        <w:tc>
          <w:tcPr>
            <w:tcW w:w="6521" w:type="dxa"/>
          </w:tcPr>
          <w:p w14:paraId="319EAE09" w14:textId="77777777" w:rsidR="00856211" w:rsidRPr="00183E4D" w:rsidRDefault="00856211" w:rsidP="007E5DC5">
            <w:pPr>
              <w:pStyle w:val="Tabletext1"/>
            </w:pPr>
            <w:r>
              <w:t>NA</w:t>
            </w:r>
          </w:p>
        </w:tc>
      </w:tr>
      <w:tr w:rsidR="00856211" w:rsidRPr="00183E4D" w14:paraId="0A3F8B16" w14:textId="77777777" w:rsidTr="00E6732A">
        <w:trPr>
          <w:trHeight w:val="397"/>
        </w:trPr>
        <w:tc>
          <w:tcPr>
            <w:tcW w:w="2410" w:type="dxa"/>
          </w:tcPr>
          <w:p w14:paraId="74857AA2" w14:textId="77777777" w:rsidR="00856211" w:rsidRPr="00183E4D" w:rsidRDefault="00856211" w:rsidP="007E5DC5">
            <w:pPr>
              <w:pStyle w:val="Tabletext1"/>
            </w:pPr>
            <w:r w:rsidRPr="00183E4D">
              <w:t>Outcomes (if applicable)</w:t>
            </w:r>
          </w:p>
        </w:tc>
        <w:tc>
          <w:tcPr>
            <w:tcW w:w="6521" w:type="dxa"/>
          </w:tcPr>
          <w:p w14:paraId="3FBE7FF4" w14:textId="6527CF28" w:rsidR="00856211" w:rsidRPr="00183E4D" w:rsidRDefault="002C1A7B" w:rsidP="007E5DC5">
            <w:pPr>
              <w:pStyle w:val="Tabletext1"/>
            </w:pPr>
            <w:r w:rsidRPr="00881B2E">
              <w:t xml:space="preserve">(((((inter-rater) OR reliability) OR </w:t>
            </w:r>
            <w:r>
              <w:t>reproducibility) OR kappa))</w:t>
            </w:r>
          </w:p>
        </w:tc>
      </w:tr>
      <w:tr w:rsidR="00856211" w:rsidRPr="00183E4D" w14:paraId="26CA1084" w14:textId="77777777" w:rsidTr="00E6732A">
        <w:trPr>
          <w:trHeight w:val="397"/>
        </w:trPr>
        <w:tc>
          <w:tcPr>
            <w:tcW w:w="2410" w:type="dxa"/>
          </w:tcPr>
          <w:p w14:paraId="42C77D7E" w14:textId="77777777" w:rsidR="00856211" w:rsidRPr="00183E4D" w:rsidRDefault="00856211" w:rsidP="007E5DC5">
            <w:pPr>
              <w:pStyle w:val="Tabletext1"/>
            </w:pPr>
            <w:r w:rsidRPr="00183E4D">
              <w:t>Limits</w:t>
            </w:r>
          </w:p>
        </w:tc>
        <w:tc>
          <w:tcPr>
            <w:tcW w:w="6521" w:type="dxa"/>
          </w:tcPr>
          <w:p w14:paraId="7A2634F2" w14:textId="77777777" w:rsidR="00856211" w:rsidRPr="00183E4D" w:rsidRDefault="00856211" w:rsidP="007E5DC5">
            <w:pPr>
              <w:pStyle w:val="Tabletext1"/>
            </w:pPr>
            <w:r>
              <w:t>None</w:t>
            </w:r>
          </w:p>
        </w:tc>
      </w:tr>
    </w:tbl>
    <w:p w14:paraId="30E8614F" w14:textId="6A45CEF2" w:rsidR="00856211" w:rsidRDefault="00856211" w:rsidP="00305C27">
      <w:pPr>
        <w:pStyle w:val="TableNotes"/>
      </w:pPr>
      <w:r w:rsidRPr="00305C27">
        <w:rPr>
          <w:snapToGrid w:val="0"/>
        </w:rPr>
        <w:t>NA = not applicable</w:t>
      </w:r>
      <w:r w:rsidR="00513B61" w:rsidRPr="00305C27">
        <w:rPr>
          <w:snapToGrid w:val="0"/>
        </w:rPr>
        <w:t xml:space="preserve">, PI-RADS </w:t>
      </w:r>
      <w:r w:rsidR="00A709B8">
        <w:rPr>
          <w:snapToGrid w:val="0"/>
        </w:rPr>
        <w:t>=</w:t>
      </w:r>
      <w:r w:rsidR="00513B61" w:rsidRPr="00305C27">
        <w:rPr>
          <w:snapToGrid w:val="0"/>
        </w:rPr>
        <w:t xml:space="preserve"> Prostate Imaging Reporting and Data System</w:t>
      </w:r>
      <w:r w:rsidR="008570FC">
        <w:rPr>
          <w:snapToGrid w:val="0"/>
        </w:rPr>
        <w:t>,</w:t>
      </w:r>
      <w:r w:rsidR="00513B61" w:rsidRPr="00305C27">
        <w:rPr>
          <w:snapToGrid w:val="0"/>
        </w:rPr>
        <w:t xml:space="preserve"> mpMRI</w:t>
      </w:r>
      <w:r w:rsidR="008570FC">
        <w:rPr>
          <w:snapToGrid w:val="0"/>
        </w:rPr>
        <w:t xml:space="preserve"> </w:t>
      </w:r>
      <w:r w:rsidR="00267381">
        <w:rPr>
          <w:snapToGrid w:val="0"/>
        </w:rPr>
        <w:t>=</w:t>
      </w:r>
      <w:r w:rsidR="008570FC">
        <w:rPr>
          <w:snapToGrid w:val="0"/>
        </w:rPr>
        <w:t xml:space="preserve"> multiparametric magnetic resonance imaging.</w:t>
      </w:r>
    </w:p>
    <w:p w14:paraId="7C8C7015" w14:textId="5C2153F6" w:rsidR="008A472B" w:rsidRPr="00183E4D" w:rsidRDefault="007408CD" w:rsidP="00EF6FE9">
      <w:r>
        <w:t>T</w:t>
      </w:r>
      <w:r w:rsidR="008570FC">
        <w:t xml:space="preserve">he </w:t>
      </w:r>
      <w:r w:rsidR="008A472B" w:rsidRPr="00183E4D">
        <w:t>PRISMA flowchart</w:t>
      </w:r>
      <w:r>
        <w:t xml:space="preserve"> </w:t>
      </w:r>
      <w:r w:rsidR="008E0B00">
        <w:fldChar w:fldCharType="begin"/>
      </w:r>
      <w:r w:rsidR="008E0B00">
        <w:instrText xml:space="preserve"> ADDIN EN.CITE &lt;EndNote&gt;&lt;Cite&gt;&lt;Author&gt;Liberati&lt;/Author&gt;&lt;Year&gt;2009&lt;/Year&gt;&lt;RecNum&gt;29&lt;/RecNum&gt;&lt;DisplayText&gt;(Liberati et al. 2009)&lt;/DisplayText&gt;&lt;record&gt;&lt;rec-number&gt;29&lt;/rec-number&gt;&lt;foreign-keys&gt;&lt;key app="EN" db-id="2p9terxr22fx91epzebpfdwuzrwtw2a2ep2t" timestamp="1472684603"&gt;29&lt;/key&gt;&lt;/foreign-keys&gt;&lt;ref-type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elaboration&lt;/title&gt;&lt;secondary-title&gt;J Clin Epidemiol&lt;/secondary-title&gt;&lt;alt-title&gt;Journal of clinical epidemiology&lt;/alt-title&gt;&lt;/titles&gt;&lt;periodical&gt;&lt;full-title&gt;J Clin Epidemiol&lt;/full-title&gt;&lt;/periodical&gt;&lt;pages&gt;e1-34&lt;/pages&gt;&lt;volume&gt;62&lt;/volume&gt;&lt;number&gt;10&lt;/number&gt;&lt;edition&gt;2009/07/28&lt;/edition&gt;&lt;keywords&gt;&lt;keyword&gt;Evidence-Based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0895-4356&lt;/isbn&gt;&lt;accession-num&gt;19631507&lt;/accession-num&gt;&lt;urls&gt;&lt;/urls&gt;&lt;electronic-resource-num&gt;10.1016/j.jclinepi.2009.06.006&lt;/electronic-resource-num&gt;&lt;remote-database-provider&gt;NLM&lt;/remote-database-provider&gt;&lt;language&gt;eng&lt;/language&gt;&lt;/record&gt;&lt;/Cite&gt;&lt;/EndNote&gt;</w:instrText>
      </w:r>
      <w:r w:rsidR="008E0B00">
        <w:fldChar w:fldCharType="separate"/>
      </w:r>
      <w:r w:rsidR="008E0B00">
        <w:rPr>
          <w:noProof/>
        </w:rPr>
        <w:t>(</w:t>
      </w:r>
      <w:hyperlink w:anchor="_ENREF_84" w:tooltip="Liberati, 2009 #29" w:history="1">
        <w:r w:rsidR="008E0B00">
          <w:rPr>
            <w:noProof/>
          </w:rPr>
          <w:t>Liberati et al. 2009</w:t>
        </w:r>
      </w:hyperlink>
      <w:r w:rsidR="008E0B00">
        <w:rPr>
          <w:noProof/>
        </w:rPr>
        <w:t>)</w:t>
      </w:r>
      <w:r w:rsidR="008E0B00">
        <w:fldChar w:fldCharType="end"/>
      </w:r>
      <w:r w:rsidR="008A472B" w:rsidRPr="00183E4D">
        <w:t xml:space="preserve"> </w:t>
      </w:r>
      <w:r w:rsidR="008570FC">
        <w:t xml:space="preserve">included at </w:t>
      </w:r>
      <w:r w:rsidR="00EF6FE9">
        <w:fldChar w:fldCharType="begin"/>
      </w:r>
      <w:r w:rsidR="00EF6FE9">
        <w:instrText xml:space="preserve"> REF _Ref458587532 \h </w:instrText>
      </w:r>
      <w:r w:rsidR="00EF6FE9">
        <w:fldChar w:fldCharType="separate"/>
      </w:r>
      <w:r w:rsidR="0029649D">
        <w:t xml:space="preserve">Figure </w:t>
      </w:r>
      <w:r w:rsidR="0029649D">
        <w:rPr>
          <w:noProof/>
        </w:rPr>
        <w:t>9</w:t>
      </w:r>
      <w:r w:rsidR="00EF6FE9">
        <w:fldChar w:fldCharType="end"/>
      </w:r>
      <w:r>
        <w:t xml:space="preserve"> </w:t>
      </w:r>
      <w:r w:rsidR="008A472B" w:rsidRPr="00183E4D">
        <w:t xml:space="preserve">provides a graphic depiction of the results of the literature search and the application of the study selection criteria </w:t>
      </w:r>
      <w:r w:rsidR="006B5F2E">
        <w:t xml:space="preserve">as </w:t>
      </w:r>
      <w:r w:rsidR="008A472B" w:rsidRPr="00183E4D">
        <w:t xml:space="preserve">listed in </w:t>
      </w:r>
      <w:r w:rsidR="00F964DE">
        <w:t xml:space="preserve">Box </w:t>
      </w:r>
      <w:r w:rsidR="006B4AA3">
        <w:t>5 (Subsection A9)</w:t>
      </w:r>
      <w:r w:rsidR="006B5F2E">
        <w:t>.</w:t>
      </w:r>
    </w:p>
    <w:p w14:paraId="32B4CB31" w14:textId="42B4D1F8" w:rsidR="008A472B" w:rsidRPr="00183E4D" w:rsidRDefault="00A2303E" w:rsidP="008A472B">
      <w:r>
        <w:t>The single reviewer who screened studies by title and abstract also completed the full text assessment.</w:t>
      </w:r>
    </w:p>
    <w:p w14:paraId="6A6611E2" w14:textId="18575EA4" w:rsidR="00EF6FE9" w:rsidRDefault="006B5F2E" w:rsidP="006B5F2E">
      <w:bookmarkStart w:id="318" w:name="_Ref456765277"/>
      <w:r w:rsidRPr="00183E4D">
        <w:t xml:space="preserve">All other studies that met the inclusion criteria are listed in </w:t>
      </w:r>
      <w:r w:rsidRPr="00ED18B5">
        <w:t>Appendix C</w:t>
      </w:r>
      <w:r w:rsidR="007408CD">
        <w:t>.</w:t>
      </w:r>
      <w:r w:rsidRPr="00183E4D">
        <w:t xml:space="preserve"> Studies that could not be retrieved or that met the inclusion criteria but contained insufficient or inadequate data for inclusion are listed as </w:t>
      </w:r>
      <w:r w:rsidR="008570FC">
        <w:t>e</w:t>
      </w:r>
      <w:r w:rsidRPr="00183E4D">
        <w:t xml:space="preserve">xcluded </w:t>
      </w:r>
      <w:r w:rsidR="008570FC">
        <w:t>s</w:t>
      </w:r>
      <w:r w:rsidRPr="00183E4D">
        <w:t xml:space="preserve">tudies in </w:t>
      </w:r>
      <w:r w:rsidRPr="00ED18B5">
        <w:t xml:space="preserve">Appendix </w:t>
      </w:r>
      <w:r>
        <w:t>E</w:t>
      </w:r>
      <w:r w:rsidRPr="00183E4D">
        <w:t>.</w:t>
      </w:r>
    </w:p>
    <w:p w14:paraId="372DA127" w14:textId="7423E61B" w:rsidR="008A472B" w:rsidRPr="00183E4D" w:rsidRDefault="00EF6FE9" w:rsidP="00EF6FE9">
      <w:pPr>
        <w:pStyle w:val="Caption"/>
      </w:pPr>
      <w:bookmarkStart w:id="319" w:name="_Ref458587532"/>
      <w:bookmarkStart w:id="320" w:name="_Toc460514616"/>
      <w:bookmarkEnd w:id="318"/>
      <w:r>
        <w:lastRenderedPageBreak/>
        <w:t xml:space="preserve">Figure </w:t>
      </w:r>
      <w:fldSimple w:instr=" SEQ Figure \* ARABIC ">
        <w:r w:rsidR="0029649D">
          <w:rPr>
            <w:noProof/>
          </w:rPr>
          <w:t>9</w:t>
        </w:r>
      </w:fldSimple>
      <w:bookmarkEnd w:id="319"/>
      <w:r w:rsidR="008A472B">
        <w:tab/>
      </w:r>
      <w:r w:rsidR="00EC1B63" w:rsidRPr="00183E4D">
        <w:t xml:space="preserve">Summary of the process used to identify and select studies for the assessment </w:t>
      </w:r>
      <w:r w:rsidR="00EC1B63">
        <w:t xml:space="preserve">of </w:t>
      </w:r>
      <w:r w:rsidR="008A472B">
        <w:t>reliability</w:t>
      </w:r>
      <w:bookmarkEnd w:id="320"/>
      <w:r w:rsidR="008A472B">
        <w:t xml:space="preserve"> </w:t>
      </w:r>
    </w:p>
    <w:p w14:paraId="269A3CD1" w14:textId="59E845A0" w:rsidR="00CE7B14" w:rsidRDefault="00CE7B14" w:rsidP="002354CA">
      <w:r>
        <w:rPr>
          <w:noProof/>
        </w:rPr>
        <w:drawing>
          <wp:inline distT="0" distB="0" distL="0" distR="0" wp14:anchorId="420DC8A6" wp14:editId="12A5AF8E">
            <wp:extent cx="4619625" cy="4118610"/>
            <wp:effectExtent l="0" t="0" r="9525" b="0"/>
            <wp:docPr id="13" name="Picture 13" descr="Summary of the process used to identify and select studies for the assessment of reliability" title="Summary of the process used to identify and select studies for the assessment of reli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SERNIP-S data\DHA\DHA CA 1397 mpMRI prostate\Search\Reliability_PRISMA Flow Chart .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9625" cy="4118610"/>
                    </a:xfrm>
                    <a:prstGeom prst="rect">
                      <a:avLst/>
                    </a:prstGeom>
                    <a:noFill/>
                    <a:ln>
                      <a:noFill/>
                    </a:ln>
                  </pic:spPr>
                </pic:pic>
              </a:graphicData>
            </a:graphic>
          </wp:inline>
        </w:drawing>
      </w:r>
    </w:p>
    <w:p w14:paraId="78D3616D" w14:textId="00E50892" w:rsidR="006B5F2E" w:rsidRDefault="006B5F2E" w:rsidP="006B5F2E">
      <w:bookmarkStart w:id="321" w:name="_Ref456258037"/>
      <w:r>
        <w:t>Five of the key diagnostic accuracy studies for Population 1 reported Cohen’s kappa (κ) to describe inter-reader reliability. The kappa values range from 0.48</w:t>
      </w:r>
      <w:r w:rsidR="003E17ED">
        <w:t>-</w:t>
      </w:r>
      <w:r>
        <w:t xml:space="preserve">0.81, with a median value of 0.63. </w:t>
      </w:r>
    </w:p>
    <w:p w14:paraId="277A49B5" w14:textId="3138FAAE" w:rsidR="00CD5CBB" w:rsidRDefault="006B5F2E" w:rsidP="00CD5CBB">
      <w:r>
        <w:t>Four additional studies were identified which investigated the inter-reader reliability of PI-RADS as a primary outcome and/or any learning curve associated with use of the PI-RADS system (</w:t>
      </w:r>
      <w:r w:rsidR="00EF6FE9">
        <w:rPr>
          <w:b/>
          <w:bCs/>
          <w:lang w:val="en-US"/>
        </w:rPr>
        <w:fldChar w:fldCharType="begin"/>
      </w:r>
      <w:r w:rsidR="00EF6FE9">
        <w:instrText xml:space="preserve"> REF _Ref458587585 \h </w:instrText>
      </w:r>
      <w:r w:rsidR="00EF6FE9">
        <w:rPr>
          <w:b/>
          <w:bCs/>
          <w:lang w:val="en-US"/>
        </w:rPr>
      </w:r>
      <w:r w:rsidR="00EF6FE9">
        <w:rPr>
          <w:b/>
          <w:bCs/>
          <w:lang w:val="en-US"/>
        </w:rPr>
        <w:fldChar w:fldCharType="separate"/>
      </w:r>
      <w:r w:rsidR="0029649D" w:rsidRPr="00CC45A7">
        <w:t xml:space="preserve">Table </w:t>
      </w:r>
      <w:r w:rsidR="0029649D">
        <w:rPr>
          <w:noProof/>
        </w:rPr>
        <w:t>26</w:t>
      </w:r>
      <w:r w:rsidR="00EF6FE9">
        <w:rPr>
          <w:b/>
          <w:bCs/>
          <w:lang w:val="en-US"/>
        </w:rPr>
        <w:fldChar w:fldCharType="end"/>
      </w:r>
      <w:r>
        <w:t>)</w:t>
      </w:r>
      <w:r w:rsidR="00013DE4">
        <w:t xml:space="preserve"> </w:t>
      </w:r>
      <w:r w:rsidR="008E0B00">
        <w:fldChar w:fldCharType="begin">
          <w:fldData xml:space="preserve">PEVuZE5vdGU+PENpdGU+PEF1dGhvcj5HYXJjaWEtUmV5ZXM8L0F1dGhvcj48WWVhcj4yMDE1PC9Z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PGFiYnItMT5SYWRpb2xvZ3k8L2FiYnItMT48L2FsdC1wZXJpb2RpY2FsPjxwYWdlcz43NDEtNTA8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bG9neTwvYWJici0xPjwvYWx0LXBlcmlvZGljYWw+PHBhZ2VzPjAwMC0wMDA8L3BhZ2VzPjx2b2x1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</w:fldData>
        </w:fldChar>
      </w:r>
      <w:r w:rsidR="008E0B00">
        <w:instrText xml:space="preserve"> ADDIN EN.CITE </w:instrText>
      </w:r>
      <w:r w:rsidR="008E0B00">
        <w:fldChar w:fldCharType="begin">
          <w:fldData xml:space="preserve">PEVuZE5vdGU+PENpdGU+PEF1dGhvcj5HYXJjaWEtUmV5ZXM8L0F1dGhvcj48WWVhcj4yMDE1PC9Z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bG9neTwvYWJici0xPjwvYWx0LXBlcmlvZGljYWw+PHBhZ2VzPjAwMC0wMDA8L3BhZ2VzPjx2b2x1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52" w:tooltip="Garcia-Reyes, 2015 #183" w:history="1">
        <w:r w:rsidR="008E0B00">
          <w:rPr>
            <w:noProof/>
          </w:rPr>
          <w:t>Garcia-Reyes et al. 2015</w:t>
        </w:r>
      </w:hyperlink>
      <w:r w:rsidR="008E0B00">
        <w:rPr>
          <w:noProof/>
        </w:rPr>
        <w:t xml:space="preserve">; </w:t>
      </w:r>
      <w:hyperlink w:anchor="_ENREF_97" w:tooltip="Muller, 2015 #184" w:history="1">
        <w:r w:rsidR="008E0B00">
          <w:rPr>
            <w:noProof/>
          </w:rPr>
          <w:t>Muller et al. 2015</w:t>
        </w:r>
      </w:hyperlink>
      <w:r w:rsidR="008E0B00">
        <w:rPr>
          <w:noProof/>
        </w:rPr>
        <w:t xml:space="preserve">; </w:t>
      </w:r>
      <w:hyperlink w:anchor="_ENREF_130" w:tooltip="Rosenkrantz, 2016 #185" w:history="1">
        <w:r w:rsidR="008E0B00">
          <w:rPr>
            <w:noProof/>
          </w:rPr>
          <w:t>Rosenkrantz et al. 2016</w:t>
        </w:r>
      </w:hyperlink>
      <w:r w:rsidR="008E0B00">
        <w:rPr>
          <w:noProof/>
        </w:rPr>
        <w:t xml:space="preserve">; </w:t>
      </w:r>
      <w:hyperlink w:anchor="_ENREF_131" w:tooltip="Rosenkrantz, 2013 #186" w:history="1">
        <w:r w:rsidR="008E0B00">
          <w:rPr>
            <w:noProof/>
          </w:rPr>
          <w:t>Rosenkrantz et al. 2013a</w:t>
        </w:r>
      </w:hyperlink>
      <w:r w:rsidR="008E0B00">
        <w:rPr>
          <w:noProof/>
        </w:rPr>
        <w:t>)</w:t>
      </w:r>
      <w:r w:rsidR="008E0B00">
        <w:fldChar w:fldCharType="end"/>
      </w:r>
      <w:r>
        <w:t>.</w:t>
      </w:r>
    </w:p>
    <w:p w14:paraId="262D90FA" w14:textId="59F0D64F" w:rsidR="00CD5CBB" w:rsidRDefault="00CD5CBB" w:rsidP="00CD5CBB">
      <w:r>
        <w:t>Rosenkrantz et al. (2013) reported inter-reader agreement for three readers (two with 4-6 years prostate MRI interpretation, one who was inexperienced) using PI-RADS version 1 on mpMRI images from 55 patients. The overall kappa between the two experienced readers (reader 1 and 2) was 0.609. Agreement between the experienced readers and the inexperienced reader was lower (</w:t>
      </w:r>
      <w:r w:rsidRPr="00721094">
        <w:t>κ</w:t>
      </w:r>
      <w:r>
        <w:t>=0.477 and 0.340).</w:t>
      </w:r>
    </w:p>
    <w:p w14:paraId="3D1F7E31" w14:textId="6AC1D522" w:rsidR="00CD5CBB" w:rsidRDefault="00CD5CBB" w:rsidP="00CD5CBB">
      <w:r>
        <w:t>Rosenkrantz et al. (2016) reported moderate inter-reader agreement (overall κ=0.552) when PI-RADS version 2 was used with a 4</w:t>
      </w:r>
      <w:r w:rsidR="00513B61">
        <w:t xml:space="preserve"> or </w:t>
      </w:r>
      <w:r>
        <w:t xml:space="preserve">5 score classified as a positive result. The retrospective study included a review of mpMRI images from 120 patients by six radiologists based at six different centres. </w:t>
      </w:r>
    </w:p>
    <w:p w14:paraId="7C39008E" w14:textId="291A634D" w:rsidR="00CD5CBB" w:rsidRDefault="00CD5CBB" w:rsidP="00CD5CBB">
      <w:r>
        <w:t>Muller et al. (2015) report inter-reader agreement for five readers reviewing images from 101 biopsy naïve patients using PI-RADS version 2. The overall Kend</w:t>
      </w:r>
      <w:r w:rsidR="00513B61">
        <w:t>a</w:t>
      </w:r>
      <w:r>
        <w:t>ll</w:t>
      </w:r>
      <w:r w:rsidR="00513B61">
        <w:t>’s tau</w:t>
      </w:r>
      <w:r>
        <w:t xml:space="preserve"> </w:t>
      </w:r>
      <w:r w:rsidR="00513B61">
        <w:t>(</w:t>
      </w:r>
      <w:r>
        <w:t>τ</w:t>
      </w:r>
      <w:r w:rsidR="00513B61">
        <w:t>)</w:t>
      </w:r>
      <w:r>
        <w:t xml:space="preserve"> was 0.46. </w:t>
      </w:r>
    </w:p>
    <w:p w14:paraId="604D93FF" w14:textId="221B0E2A" w:rsidR="006B5F2E" w:rsidRDefault="00CD5CBB" w:rsidP="006B5F2E">
      <w:r>
        <w:lastRenderedPageBreak/>
        <w:t>Two studies were identified which investigated the impact of a possible learning curve associated with the use of PI-RADS. Rosenkrantz et al. (2016) found no learning curve amongst readers experienced in mpMRI of the prostate. Garcia-Reyes et al. (2015) found a dedicated training program improved the accuracy of readers with limited experience from 74.2</w:t>
      </w:r>
      <w:r w:rsidR="008D0349">
        <w:t xml:space="preserve"> per cent</w:t>
      </w:r>
      <w:r>
        <w:t xml:space="preserve"> to 87.7</w:t>
      </w:r>
      <w:r w:rsidR="008D0349">
        <w:t xml:space="preserve"> per cent</w:t>
      </w:r>
      <w:r>
        <w:t xml:space="preserve"> when re-reviewing the same set of images from 31 patients following a memory extinction period. </w:t>
      </w:r>
    </w:p>
    <w:p w14:paraId="5C81579B" w14:textId="02FB1E07" w:rsidR="006B5F2E" w:rsidRPr="00466B3D" w:rsidRDefault="006B5F2E" w:rsidP="006B5F2E">
      <w:pPr>
        <w:pStyle w:val="Caption"/>
      </w:pPr>
      <w:bookmarkStart w:id="322" w:name="_Ref458587585"/>
      <w:bookmarkStart w:id="323" w:name="_Toc460514526"/>
      <w:r w:rsidRPr="00CC45A7">
        <w:t xml:space="preserve">Table </w:t>
      </w:r>
      <w:fldSimple w:instr=" SEQ Table \* ARABIC ">
        <w:r w:rsidR="0029649D">
          <w:rPr>
            <w:noProof/>
          </w:rPr>
          <w:t>26</w:t>
        </w:r>
      </w:fldSimple>
      <w:bookmarkEnd w:id="322"/>
      <w:r w:rsidRPr="00183E4D">
        <w:tab/>
      </w:r>
      <w:r w:rsidRPr="00466B3D">
        <w:t>Results of reliability trials</w:t>
      </w:r>
      <w:bookmarkEnd w:id="323"/>
      <w:r w:rsidRPr="00466B3D">
        <w:t xml:space="preserve"> </w:t>
      </w:r>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1692"/>
        <w:gridCol w:w="5170"/>
        <w:gridCol w:w="2250"/>
      </w:tblGrid>
      <w:tr w:rsidR="006B5F2E" w:rsidRPr="00E6732A" w14:paraId="27D8CBFD" w14:textId="77777777" w:rsidTr="00E6732A">
        <w:trPr>
          <w:cantSplit/>
          <w:trHeight w:val="397"/>
          <w:tblHeader/>
        </w:trPr>
        <w:tc>
          <w:tcPr>
            <w:tcW w:w="0" w:type="auto"/>
            <w:shd w:val="clear" w:color="auto" w:fill="auto"/>
          </w:tcPr>
          <w:p w14:paraId="690AAAF3" w14:textId="77777777" w:rsidR="006B5F2E" w:rsidRPr="00E6732A" w:rsidRDefault="006B5F2E" w:rsidP="007E5DC5">
            <w:pPr>
              <w:pStyle w:val="Tableheading1"/>
            </w:pPr>
            <w:r w:rsidRPr="00E6732A">
              <w:t>Study ID</w:t>
            </w:r>
          </w:p>
        </w:tc>
        <w:tc>
          <w:tcPr>
            <w:tcW w:w="5170" w:type="dxa"/>
          </w:tcPr>
          <w:p w14:paraId="594D1DB8" w14:textId="77777777" w:rsidR="006B5F2E" w:rsidRPr="00E6732A" w:rsidRDefault="006B5F2E" w:rsidP="007E5DC5">
            <w:pPr>
              <w:pStyle w:val="Tableheading1"/>
            </w:pPr>
            <w:r w:rsidRPr="00E6732A">
              <w:t>Study characteristics</w:t>
            </w:r>
          </w:p>
        </w:tc>
        <w:tc>
          <w:tcPr>
            <w:tcW w:w="2250" w:type="dxa"/>
            <w:shd w:val="clear" w:color="auto" w:fill="auto"/>
          </w:tcPr>
          <w:p w14:paraId="7E79F5D4" w14:textId="77777777" w:rsidR="006B5F2E" w:rsidRPr="00E6732A" w:rsidRDefault="006B5F2E" w:rsidP="007E5DC5">
            <w:pPr>
              <w:pStyle w:val="Tableheading1"/>
            </w:pPr>
            <w:r w:rsidRPr="00E6732A">
              <w:t>Summary of reliability results</w:t>
            </w:r>
          </w:p>
        </w:tc>
      </w:tr>
      <w:tr w:rsidR="006B5F2E" w:rsidRPr="00183E4D" w14:paraId="016F71D5" w14:textId="77777777" w:rsidTr="00E6732A">
        <w:trPr>
          <w:cantSplit/>
          <w:trHeight w:val="397"/>
        </w:trPr>
        <w:tc>
          <w:tcPr>
            <w:tcW w:w="0" w:type="auto"/>
            <w:shd w:val="clear" w:color="auto" w:fill="auto"/>
          </w:tcPr>
          <w:p w14:paraId="43167A0F" w14:textId="67BF3DB4" w:rsidR="006B5F2E" w:rsidRPr="00721094" w:rsidRDefault="006B5F2E" w:rsidP="007E5DC5">
            <w:pPr>
              <w:pStyle w:val="Tabletext1"/>
              <w:rPr>
                <w:snapToGrid w:val="0"/>
                <w:highlight w:val="cyan"/>
                <w:vertAlign w:val="superscript"/>
              </w:rPr>
            </w:pPr>
            <w:r w:rsidRPr="0039746B">
              <w:rPr>
                <w:snapToGrid w:val="0"/>
              </w:rPr>
              <w:t>Baldisserotto et al. (2016)</w:t>
            </w:r>
            <w:r>
              <w:rPr>
                <w:snapToGrid w:val="0"/>
                <w:vertAlign w:val="superscript"/>
              </w:rPr>
              <w:t>a</w:t>
            </w:r>
          </w:p>
        </w:tc>
        <w:tc>
          <w:tcPr>
            <w:tcW w:w="5170" w:type="dxa"/>
          </w:tcPr>
          <w:p w14:paraId="5055606C" w14:textId="143F8C9B" w:rsidR="006B5F2E" w:rsidRPr="00183E4D" w:rsidRDefault="0065160F" w:rsidP="007E5DC5">
            <w:pPr>
              <w:pStyle w:val="Tabletext1"/>
              <w:rPr>
                <w:snapToGrid w:val="0"/>
              </w:rPr>
            </w:pPr>
            <w:r w:rsidRPr="004A77EB">
              <w:t>2 uroradiologists: with 1 or 10 years’ experience</w:t>
            </w:r>
            <w:r w:rsidR="00513B61">
              <w:t>.</w:t>
            </w:r>
          </w:p>
        </w:tc>
        <w:tc>
          <w:tcPr>
            <w:tcW w:w="2250" w:type="dxa"/>
            <w:shd w:val="clear" w:color="auto" w:fill="auto"/>
          </w:tcPr>
          <w:p w14:paraId="7660FA4E" w14:textId="2E9CF9D7" w:rsidR="006B5F2E" w:rsidRPr="00183E4D" w:rsidRDefault="006B5F2E" w:rsidP="007E5DC5">
            <w:pPr>
              <w:pStyle w:val="Tabletext1"/>
              <w:rPr>
                <w:snapToGrid w:val="0"/>
              </w:rPr>
            </w:pPr>
            <w:r>
              <w:t>κ</w:t>
            </w:r>
            <w:r>
              <w:rPr>
                <w:snapToGrid w:val="0"/>
              </w:rPr>
              <w:t>=</w:t>
            </w:r>
            <w:r w:rsidRPr="0039746B">
              <w:rPr>
                <w:snapToGrid w:val="0"/>
              </w:rPr>
              <w:t>0.53</w:t>
            </w:r>
          </w:p>
        </w:tc>
      </w:tr>
      <w:tr w:rsidR="006B5F2E" w:rsidRPr="00183E4D" w14:paraId="6BC10842" w14:textId="77777777" w:rsidTr="00E6732A">
        <w:trPr>
          <w:cantSplit/>
          <w:trHeight w:val="397"/>
        </w:trPr>
        <w:tc>
          <w:tcPr>
            <w:tcW w:w="0" w:type="auto"/>
            <w:shd w:val="clear" w:color="auto" w:fill="auto"/>
          </w:tcPr>
          <w:p w14:paraId="2B6EB6A5" w14:textId="77777777" w:rsidR="006B5F2E" w:rsidRDefault="006B5F2E" w:rsidP="007E5DC5">
            <w:pPr>
              <w:pStyle w:val="Tabletext1"/>
              <w:rPr>
                <w:snapToGrid w:val="0"/>
                <w:highlight w:val="cyan"/>
              </w:rPr>
            </w:pPr>
            <w:r>
              <w:rPr>
                <w:snapToGrid w:val="0"/>
              </w:rPr>
              <w:t>Baur et al. (2016)</w:t>
            </w:r>
            <w:r>
              <w:rPr>
                <w:snapToGrid w:val="0"/>
                <w:vertAlign w:val="superscript"/>
              </w:rPr>
              <w:t>a</w:t>
            </w:r>
          </w:p>
        </w:tc>
        <w:tc>
          <w:tcPr>
            <w:tcW w:w="5170" w:type="dxa"/>
          </w:tcPr>
          <w:p w14:paraId="5161AF9C" w14:textId="4A30384C" w:rsidR="006B5F2E" w:rsidRPr="00183E4D" w:rsidRDefault="0065160F" w:rsidP="007E5DC5">
            <w:pPr>
              <w:pStyle w:val="Tabletext1"/>
              <w:rPr>
                <w:snapToGrid w:val="0"/>
              </w:rPr>
            </w:pPr>
            <w:r w:rsidRPr="004A77EB">
              <w:t>2 readers with 3 or 5 years’ experience in prostate imaging</w:t>
            </w:r>
            <w:r w:rsidR="00513B61">
              <w:t>.</w:t>
            </w:r>
          </w:p>
        </w:tc>
        <w:tc>
          <w:tcPr>
            <w:tcW w:w="2250" w:type="dxa"/>
            <w:shd w:val="clear" w:color="auto" w:fill="auto"/>
          </w:tcPr>
          <w:p w14:paraId="2B9AC695" w14:textId="6DFFD109" w:rsidR="006B5F2E" w:rsidRPr="00183E4D" w:rsidRDefault="006B5F2E" w:rsidP="007E5DC5">
            <w:pPr>
              <w:pStyle w:val="Tabletext1"/>
              <w:rPr>
                <w:snapToGrid w:val="0"/>
              </w:rPr>
            </w:pPr>
            <w:r>
              <w:t>κ</w:t>
            </w:r>
            <w:r>
              <w:rPr>
                <w:snapToGrid w:val="0"/>
              </w:rPr>
              <w:t>=0.7</w:t>
            </w:r>
            <w:r w:rsidRPr="0039746B">
              <w:rPr>
                <w:snapToGrid w:val="0"/>
              </w:rPr>
              <w:t>3</w:t>
            </w:r>
          </w:p>
        </w:tc>
      </w:tr>
      <w:tr w:rsidR="006B5F2E" w:rsidRPr="00183E4D" w14:paraId="25461403" w14:textId="77777777" w:rsidTr="00E6732A">
        <w:trPr>
          <w:cantSplit/>
          <w:trHeight w:val="397"/>
        </w:trPr>
        <w:tc>
          <w:tcPr>
            <w:tcW w:w="0" w:type="auto"/>
            <w:shd w:val="clear" w:color="auto" w:fill="auto"/>
          </w:tcPr>
          <w:p w14:paraId="6766CCC7" w14:textId="77777777" w:rsidR="006B5F2E" w:rsidRDefault="006B5F2E" w:rsidP="007E5DC5">
            <w:pPr>
              <w:pStyle w:val="Tabletext1"/>
              <w:rPr>
                <w:snapToGrid w:val="0"/>
                <w:highlight w:val="cyan"/>
              </w:rPr>
            </w:pPr>
            <w:r w:rsidRPr="0039746B">
              <w:rPr>
                <w:snapToGrid w:val="0"/>
              </w:rPr>
              <w:t>Thompson et al. (2014)</w:t>
            </w:r>
            <w:r>
              <w:rPr>
                <w:snapToGrid w:val="0"/>
                <w:vertAlign w:val="superscript"/>
              </w:rPr>
              <w:t>a</w:t>
            </w:r>
          </w:p>
        </w:tc>
        <w:tc>
          <w:tcPr>
            <w:tcW w:w="5170" w:type="dxa"/>
          </w:tcPr>
          <w:p w14:paraId="6DCAD16C" w14:textId="36EC90E1" w:rsidR="006B5F2E" w:rsidRPr="00183E4D" w:rsidRDefault="0065160F" w:rsidP="007E5DC5">
            <w:pPr>
              <w:pStyle w:val="Tabletext1"/>
              <w:rPr>
                <w:snapToGrid w:val="0"/>
              </w:rPr>
            </w:pPr>
            <w:r w:rsidRPr="004A77EB">
              <w:t>2 radiologists each with &gt;1000 prior prostate mpMRIs</w:t>
            </w:r>
            <w:r w:rsidR="00513B61">
              <w:t>.</w:t>
            </w:r>
          </w:p>
        </w:tc>
        <w:tc>
          <w:tcPr>
            <w:tcW w:w="2250" w:type="dxa"/>
            <w:shd w:val="clear" w:color="auto" w:fill="auto"/>
          </w:tcPr>
          <w:p w14:paraId="18D101FD" w14:textId="35DF5951" w:rsidR="006B5F2E" w:rsidRPr="00183E4D" w:rsidRDefault="006B5F2E" w:rsidP="007E5DC5">
            <w:pPr>
              <w:pStyle w:val="Tabletext1"/>
              <w:rPr>
                <w:snapToGrid w:val="0"/>
              </w:rPr>
            </w:pPr>
            <w:r>
              <w:t>κ</w:t>
            </w:r>
            <w:r>
              <w:rPr>
                <w:snapToGrid w:val="0"/>
              </w:rPr>
              <w:t>=0.63</w:t>
            </w:r>
          </w:p>
        </w:tc>
      </w:tr>
      <w:tr w:rsidR="006B5F2E" w:rsidRPr="00183E4D" w14:paraId="56F346B8" w14:textId="77777777" w:rsidTr="00E6732A">
        <w:trPr>
          <w:cantSplit/>
          <w:trHeight w:val="397"/>
        </w:trPr>
        <w:tc>
          <w:tcPr>
            <w:tcW w:w="0" w:type="auto"/>
            <w:shd w:val="clear" w:color="auto" w:fill="auto"/>
          </w:tcPr>
          <w:p w14:paraId="0C7A8D69" w14:textId="77777777" w:rsidR="006B5F2E" w:rsidRDefault="006B5F2E" w:rsidP="007E5DC5">
            <w:pPr>
              <w:pStyle w:val="Tabletext1"/>
              <w:rPr>
                <w:snapToGrid w:val="0"/>
                <w:highlight w:val="cyan"/>
              </w:rPr>
            </w:pPr>
            <w:r w:rsidRPr="0039746B">
              <w:rPr>
                <w:snapToGrid w:val="0"/>
              </w:rPr>
              <w:t>Wang et al. (2015)</w:t>
            </w:r>
            <w:r>
              <w:rPr>
                <w:snapToGrid w:val="0"/>
                <w:vertAlign w:val="superscript"/>
              </w:rPr>
              <w:t>a</w:t>
            </w:r>
          </w:p>
        </w:tc>
        <w:tc>
          <w:tcPr>
            <w:tcW w:w="5170" w:type="dxa"/>
          </w:tcPr>
          <w:p w14:paraId="548FB236" w14:textId="2C7ED657" w:rsidR="006B5F2E" w:rsidRPr="00183E4D" w:rsidRDefault="0065160F" w:rsidP="007E5DC5">
            <w:pPr>
              <w:pStyle w:val="Tabletext1"/>
              <w:rPr>
                <w:snapToGrid w:val="0"/>
              </w:rPr>
            </w:pPr>
            <w:r w:rsidRPr="004A77EB">
              <w:t>2 radiologists each with &gt;1000 prior prostate mpMRIs</w:t>
            </w:r>
            <w:r w:rsidR="00513B61">
              <w:t>.</w:t>
            </w:r>
          </w:p>
        </w:tc>
        <w:tc>
          <w:tcPr>
            <w:tcW w:w="2250" w:type="dxa"/>
            <w:shd w:val="clear" w:color="auto" w:fill="auto"/>
          </w:tcPr>
          <w:p w14:paraId="27B49CE2" w14:textId="3D1ED6AA" w:rsidR="006B5F2E" w:rsidRPr="00183E4D" w:rsidRDefault="006B5F2E" w:rsidP="007E5DC5">
            <w:pPr>
              <w:pStyle w:val="Tabletext1"/>
              <w:rPr>
                <w:snapToGrid w:val="0"/>
              </w:rPr>
            </w:pPr>
            <w:r>
              <w:t>κ</w:t>
            </w:r>
            <w:r>
              <w:rPr>
                <w:snapToGrid w:val="0"/>
              </w:rPr>
              <w:t>=0.81</w:t>
            </w:r>
          </w:p>
        </w:tc>
      </w:tr>
      <w:tr w:rsidR="006B5F2E" w:rsidRPr="00183E4D" w14:paraId="7FD6C38A" w14:textId="77777777" w:rsidTr="00E6732A">
        <w:trPr>
          <w:cantSplit/>
          <w:trHeight w:val="397"/>
        </w:trPr>
        <w:tc>
          <w:tcPr>
            <w:tcW w:w="0" w:type="auto"/>
            <w:shd w:val="clear" w:color="auto" w:fill="auto"/>
          </w:tcPr>
          <w:p w14:paraId="4DECD8A9" w14:textId="77777777" w:rsidR="006B5F2E" w:rsidRDefault="006B5F2E" w:rsidP="007E5DC5">
            <w:pPr>
              <w:pStyle w:val="Tabletext1"/>
              <w:rPr>
                <w:snapToGrid w:val="0"/>
                <w:highlight w:val="cyan"/>
              </w:rPr>
            </w:pPr>
            <w:r>
              <w:rPr>
                <w:snapToGrid w:val="0"/>
              </w:rPr>
              <w:t>Zhao et al. (2016)</w:t>
            </w:r>
            <w:r>
              <w:rPr>
                <w:snapToGrid w:val="0"/>
                <w:vertAlign w:val="superscript"/>
              </w:rPr>
              <w:t>a</w:t>
            </w:r>
          </w:p>
        </w:tc>
        <w:tc>
          <w:tcPr>
            <w:tcW w:w="5170" w:type="dxa"/>
          </w:tcPr>
          <w:p w14:paraId="1240A0BE" w14:textId="18F18FD7" w:rsidR="006B5F2E" w:rsidRPr="00183E4D" w:rsidRDefault="0065160F" w:rsidP="007E5DC5">
            <w:pPr>
              <w:pStyle w:val="Tabletext1"/>
              <w:rPr>
                <w:snapToGrid w:val="0"/>
              </w:rPr>
            </w:pPr>
            <w:r w:rsidRPr="004A77EB">
              <w:t>2 radiologists experienced in PI-RADS v2</w:t>
            </w:r>
            <w:r w:rsidR="00513B61">
              <w:t>.</w:t>
            </w:r>
          </w:p>
        </w:tc>
        <w:tc>
          <w:tcPr>
            <w:tcW w:w="2250" w:type="dxa"/>
            <w:shd w:val="clear" w:color="auto" w:fill="auto"/>
          </w:tcPr>
          <w:p w14:paraId="5463483A" w14:textId="143F84A0" w:rsidR="006B5F2E" w:rsidRPr="00183E4D" w:rsidRDefault="006B5F2E" w:rsidP="007E5DC5">
            <w:pPr>
              <w:pStyle w:val="Tabletext1"/>
              <w:rPr>
                <w:snapToGrid w:val="0"/>
              </w:rPr>
            </w:pPr>
            <w:r>
              <w:t>κ</w:t>
            </w:r>
            <w:r>
              <w:rPr>
                <w:snapToGrid w:val="0"/>
              </w:rPr>
              <w:t>=0.48</w:t>
            </w:r>
          </w:p>
        </w:tc>
      </w:tr>
      <w:tr w:rsidR="006B5F2E" w:rsidRPr="00183E4D" w14:paraId="4DFC6B0F" w14:textId="77777777" w:rsidTr="00E6732A">
        <w:trPr>
          <w:cantSplit/>
          <w:trHeight w:val="397"/>
        </w:trPr>
        <w:tc>
          <w:tcPr>
            <w:tcW w:w="0" w:type="auto"/>
            <w:shd w:val="clear" w:color="auto" w:fill="auto"/>
          </w:tcPr>
          <w:p w14:paraId="6D18899B" w14:textId="77777777" w:rsidR="006B5F2E" w:rsidRPr="00721094" w:rsidRDefault="006B5F2E" w:rsidP="007E5DC5">
            <w:pPr>
              <w:pStyle w:val="Tabletext1"/>
              <w:rPr>
                <w:snapToGrid w:val="0"/>
                <w:vertAlign w:val="superscript"/>
              </w:rPr>
            </w:pPr>
            <w:r>
              <w:rPr>
                <w:snapToGrid w:val="0"/>
              </w:rPr>
              <w:t>Rosencrantz et al. (2013)</w:t>
            </w:r>
            <w:r>
              <w:rPr>
                <w:snapToGrid w:val="0"/>
                <w:vertAlign w:val="superscript"/>
              </w:rPr>
              <w:t>b</w:t>
            </w:r>
          </w:p>
        </w:tc>
        <w:tc>
          <w:tcPr>
            <w:tcW w:w="5170" w:type="dxa"/>
          </w:tcPr>
          <w:p w14:paraId="6163DE8A" w14:textId="77777777" w:rsidR="006B5F2E" w:rsidRDefault="006B5F2E" w:rsidP="007E5DC5">
            <w:pPr>
              <w:pStyle w:val="Tabletext1"/>
              <w:rPr>
                <w:snapToGrid w:val="0"/>
              </w:rPr>
            </w:pPr>
            <w:r>
              <w:rPr>
                <w:snapToGrid w:val="0"/>
              </w:rPr>
              <w:t>Three readers – 2 with 4-6 years prostate MRI experience</w:t>
            </w:r>
          </w:p>
          <w:p w14:paraId="4F5D4F3D" w14:textId="0627E27B" w:rsidR="006B5F2E" w:rsidRDefault="006B5F2E" w:rsidP="007E5DC5">
            <w:pPr>
              <w:pStyle w:val="Tabletext1"/>
              <w:rPr>
                <w:snapToGrid w:val="0"/>
              </w:rPr>
            </w:pPr>
            <w:r>
              <w:rPr>
                <w:snapToGrid w:val="0"/>
              </w:rPr>
              <w:t>1 reader who was inexperienced at reading prostate MRI</w:t>
            </w:r>
            <w:r w:rsidR="00513B61">
              <w:rPr>
                <w:snapToGrid w:val="0"/>
              </w:rPr>
              <w:t>.</w:t>
            </w:r>
          </w:p>
        </w:tc>
        <w:tc>
          <w:tcPr>
            <w:tcW w:w="2250" w:type="dxa"/>
            <w:shd w:val="clear" w:color="auto" w:fill="auto"/>
          </w:tcPr>
          <w:p w14:paraId="49B5C1B5" w14:textId="3334978E" w:rsidR="006B5F2E" w:rsidRDefault="006B5F2E" w:rsidP="007E5DC5">
            <w:pPr>
              <w:pStyle w:val="Tabletext1"/>
            </w:pPr>
            <w:r>
              <w:t>κ reader 1 &amp;2=0.609</w:t>
            </w:r>
          </w:p>
          <w:p w14:paraId="5CD521D5" w14:textId="33AE0721" w:rsidR="006B5F2E" w:rsidRDefault="006B5F2E" w:rsidP="007E5DC5">
            <w:pPr>
              <w:pStyle w:val="Tabletext1"/>
            </w:pPr>
            <w:r>
              <w:t>κ reader 1 &amp;3=0.477</w:t>
            </w:r>
          </w:p>
          <w:p w14:paraId="7B7B8DD0" w14:textId="5CF2B06B" w:rsidR="006B5F2E" w:rsidRDefault="006B5F2E" w:rsidP="007E5DC5">
            <w:pPr>
              <w:pStyle w:val="Tabletext1"/>
              <w:rPr>
                <w:snapToGrid w:val="0"/>
              </w:rPr>
            </w:pPr>
            <w:r>
              <w:t>κ reader 2 &amp;3=0.340</w:t>
            </w:r>
          </w:p>
        </w:tc>
      </w:tr>
      <w:tr w:rsidR="006B5F2E" w:rsidRPr="00183E4D" w14:paraId="736BF9F7" w14:textId="77777777" w:rsidTr="00E6732A">
        <w:trPr>
          <w:cantSplit/>
          <w:trHeight w:val="397"/>
        </w:trPr>
        <w:tc>
          <w:tcPr>
            <w:tcW w:w="0" w:type="auto"/>
            <w:shd w:val="clear" w:color="auto" w:fill="auto"/>
          </w:tcPr>
          <w:p w14:paraId="67A3FA16" w14:textId="77777777" w:rsidR="006B5F2E" w:rsidRPr="00721094" w:rsidRDefault="006B5F2E" w:rsidP="007E5DC5">
            <w:pPr>
              <w:pStyle w:val="Tabletext1"/>
              <w:rPr>
                <w:snapToGrid w:val="0"/>
                <w:vertAlign w:val="superscript"/>
              </w:rPr>
            </w:pPr>
            <w:r>
              <w:rPr>
                <w:snapToGrid w:val="0"/>
              </w:rPr>
              <w:t>Rosencrantz et al. (2016)</w:t>
            </w:r>
            <w:r>
              <w:rPr>
                <w:snapToGrid w:val="0"/>
                <w:vertAlign w:val="superscript"/>
              </w:rPr>
              <w:t>b</w:t>
            </w:r>
          </w:p>
        </w:tc>
        <w:tc>
          <w:tcPr>
            <w:tcW w:w="5170" w:type="dxa"/>
          </w:tcPr>
          <w:p w14:paraId="18BDFD74" w14:textId="77777777" w:rsidR="006B5F2E" w:rsidRDefault="006B5F2E" w:rsidP="007E5DC5">
            <w:pPr>
              <w:pStyle w:val="Tabletext1"/>
              <w:rPr>
                <w:snapToGrid w:val="0"/>
              </w:rPr>
            </w:pPr>
            <w:r>
              <w:rPr>
                <w:snapToGrid w:val="0"/>
              </w:rPr>
              <w:t>Six readers at six centres. All readers had 4-9 years post-fellowship experience and a special interest in prostate MRI imaging.</w:t>
            </w:r>
          </w:p>
        </w:tc>
        <w:tc>
          <w:tcPr>
            <w:tcW w:w="2250" w:type="dxa"/>
            <w:shd w:val="clear" w:color="auto" w:fill="auto"/>
          </w:tcPr>
          <w:p w14:paraId="4BB10E5A" w14:textId="695A40F3" w:rsidR="006B5F2E" w:rsidRDefault="006B5F2E" w:rsidP="007E5DC5">
            <w:pPr>
              <w:pStyle w:val="Tabletext1"/>
            </w:pPr>
            <w:r>
              <w:rPr>
                <w:snapToGrid w:val="0"/>
              </w:rPr>
              <w:t xml:space="preserve">Overall </w:t>
            </w:r>
            <w:r>
              <w:t>κ=0.552</w:t>
            </w:r>
          </w:p>
          <w:p w14:paraId="628069E9" w14:textId="77777777" w:rsidR="006B5F2E" w:rsidRDefault="006B5F2E" w:rsidP="007E5DC5">
            <w:pPr>
              <w:pStyle w:val="Tabletext1"/>
              <w:rPr>
                <w:snapToGrid w:val="0"/>
              </w:rPr>
            </w:pPr>
            <w:r>
              <w:t>No evidence of a learning curve</w:t>
            </w:r>
          </w:p>
        </w:tc>
      </w:tr>
      <w:tr w:rsidR="006B5F2E" w:rsidRPr="00183E4D" w14:paraId="0617E61D" w14:textId="77777777" w:rsidTr="00E6732A">
        <w:trPr>
          <w:cantSplit/>
          <w:trHeight w:val="397"/>
        </w:trPr>
        <w:tc>
          <w:tcPr>
            <w:tcW w:w="0" w:type="auto"/>
            <w:shd w:val="clear" w:color="auto" w:fill="auto"/>
          </w:tcPr>
          <w:p w14:paraId="10616F45" w14:textId="77777777" w:rsidR="006B5F2E" w:rsidRPr="00721094" w:rsidRDefault="006B5F2E" w:rsidP="007E5DC5">
            <w:pPr>
              <w:pStyle w:val="Tabletext1"/>
              <w:rPr>
                <w:snapToGrid w:val="0"/>
                <w:vertAlign w:val="superscript"/>
              </w:rPr>
            </w:pPr>
            <w:r>
              <w:rPr>
                <w:snapToGrid w:val="0"/>
              </w:rPr>
              <w:t>Muller et al. (2015)</w:t>
            </w:r>
            <w:r>
              <w:rPr>
                <w:snapToGrid w:val="0"/>
                <w:vertAlign w:val="superscript"/>
              </w:rPr>
              <w:t>b</w:t>
            </w:r>
          </w:p>
        </w:tc>
        <w:tc>
          <w:tcPr>
            <w:tcW w:w="5170" w:type="dxa"/>
          </w:tcPr>
          <w:p w14:paraId="04F66B2F" w14:textId="43284513" w:rsidR="006B5F2E" w:rsidRDefault="006B5F2E" w:rsidP="007E5DC5">
            <w:pPr>
              <w:pStyle w:val="Tabletext1"/>
              <w:rPr>
                <w:snapToGrid w:val="0"/>
              </w:rPr>
            </w:pPr>
            <w:r>
              <w:rPr>
                <w:snapToGrid w:val="0"/>
              </w:rPr>
              <w:t>Five readers with varying levels of experience (250 – 4000 mpMRI prostate examinations)</w:t>
            </w:r>
            <w:r w:rsidR="00513B61">
              <w:rPr>
                <w:snapToGrid w:val="0"/>
              </w:rPr>
              <w:t>.</w:t>
            </w:r>
          </w:p>
        </w:tc>
        <w:tc>
          <w:tcPr>
            <w:tcW w:w="2250" w:type="dxa"/>
            <w:shd w:val="clear" w:color="auto" w:fill="auto"/>
          </w:tcPr>
          <w:p w14:paraId="7C7A97A1" w14:textId="60AC0342" w:rsidR="006B5F2E" w:rsidRDefault="006B5F2E" w:rsidP="007E5DC5">
            <w:pPr>
              <w:pStyle w:val="Tabletext1"/>
              <w:rPr>
                <w:snapToGrid w:val="0"/>
              </w:rPr>
            </w:pPr>
            <w:r>
              <w:rPr>
                <w:snapToGrid w:val="0"/>
              </w:rPr>
              <w:t xml:space="preserve">Overall </w:t>
            </w:r>
            <w:r>
              <w:t xml:space="preserve">τ=0.46 </w:t>
            </w:r>
          </w:p>
        </w:tc>
      </w:tr>
      <w:tr w:rsidR="006B5F2E" w:rsidRPr="00183E4D" w14:paraId="35499D30" w14:textId="77777777" w:rsidTr="00E6732A">
        <w:trPr>
          <w:cantSplit/>
          <w:trHeight w:val="397"/>
        </w:trPr>
        <w:tc>
          <w:tcPr>
            <w:tcW w:w="0" w:type="auto"/>
            <w:shd w:val="clear" w:color="auto" w:fill="auto"/>
          </w:tcPr>
          <w:p w14:paraId="5DE3AC4B" w14:textId="77777777" w:rsidR="006B5F2E" w:rsidRPr="00F92AC7" w:rsidRDefault="006B5F2E" w:rsidP="007E5DC5">
            <w:pPr>
              <w:pStyle w:val="Tabletext1"/>
              <w:rPr>
                <w:snapToGrid w:val="0"/>
                <w:vertAlign w:val="superscript"/>
              </w:rPr>
            </w:pPr>
            <w:r>
              <w:t>Garcia-Reyes et al. (2015)</w:t>
            </w:r>
            <w:r>
              <w:rPr>
                <w:vertAlign w:val="superscript"/>
              </w:rPr>
              <w:t>b</w:t>
            </w:r>
          </w:p>
        </w:tc>
        <w:tc>
          <w:tcPr>
            <w:tcW w:w="5170" w:type="dxa"/>
          </w:tcPr>
          <w:p w14:paraId="02559736" w14:textId="7AEED32C" w:rsidR="006B5F2E" w:rsidRDefault="006B5F2E" w:rsidP="007E5DC5">
            <w:pPr>
              <w:pStyle w:val="Tabletext1"/>
              <w:rPr>
                <w:snapToGrid w:val="0"/>
              </w:rPr>
            </w:pPr>
            <w:r>
              <w:rPr>
                <w:snapToGrid w:val="0"/>
              </w:rPr>
              <w:t>Five readers with ~ 12 months experience in abdominal imaging (&lt;50 cases of prostate MRI)</w:t>
            </w:r>
            <w:r w:rsidR="00513B61">
              <w:rPr>
                <w:snapToGrid w:val="0"/>
              </w:rPr>
              <w:t>.</w:t>
            </w:r>
          </w:p>
        </w:tc>
        <w:tc>
          <w:tcPr>
            <w:tcW w:w="2250" w:type="dxa"/>
            <w:shd w:val="clear" w:color="auto" w:fill="auto"/>
          </w:tcPr>
          <w:p w14:paraId="28969D8E" w14:textId="77777777" w:rsidR="006B5F2E" w:rsidRDefault="006B5F2E" w:rsidP="007E5DC5">
            <w:pPr>
              <w:pStyle w:val="Tabletext1"/>
              <w:rPr>
                <w:snapToGrid w:val="0"/>
              </w:rPr>
            </w:pPr>
            <w:r>
              <w:rPr>
                <w:snapToGrid w:val="0"/>
              </w:rPr>
              <w:t>Accuracy pre-training 74.2%</w:t>
            </w:r>
          </w:p>
          <w:p w14:paraId="35270723" w14:textId="77777777" w:rsidR="006B5F2E" w:rsidRDefault="006B5F2E" w:rsidP="007E5DC5">
            <w:pPr>
              <w:pStyle w:val="Tabletext1"/>
              <w:rPr>
                <w:snapToGrid w:val="0"/>
              </w:rPr>
            </w:pPr>
            <w:r>
              <w:rPr>
                <w:snapToGrid w:val="0"/>
              </w:rPr>
              <w:t>Accuracy post-training 87.7%</w:t>
            </w:r>
          </w:p>
        </w:tc>
      </w:tr>
    </w:tbl>
    <w:p w14:paraId="641FFB40" w14:textId="4948610F" w:rsidR="006B5F2E" w:rsidRDefault="00931F07" w:rsidP="000D5925">
      <w:pPr>
        <w:pStyle w:val="TableNotes"/>
      </w:pPr>
      <w:r w:rsidRPr="00931F07">
        <w:rPr>
          <w:vertAlign w:val="superscript"/>
        </w:rPr>
        <w:t>a</w:t>
      </w:r>
      <w:r>
        <w:t xml:space="preserve">: </w:t>
      </w:r>
      <w:r w:rsidRPr="00931F07">
        <w:t>K</w:t>
      </w:r>
      <w:r w:rsidR="006B5F2E" w:rsidRPr="00931F07">
        <w:t>ey</w:t>
      </w:r>
      <w:r w:rsidR="006B5F2E" w:rsidRPr="008A472B">
        <w:t xml:space="preserve"> accuracy study.</w:t>
      </w:r>
      <w:r w:rsidR="006B5F2E">
        <w:br/>
      </w:r>
      <w:r w:rsidRPr="00931F07">
        <w:rPr>
          <w:vertAlign w:val="superscript"/>
        </w:rPr>
        <w:t>b</w:t>
      </w:r>
      <w:r>
        <w:t>: I</w:t>
      </w:r>
      <w:r w:rsidR="006B5F2E" w:rsidRPr="008A472B">
        <w:t>dentified through targeted search</w:t>
      </w:r>
      <w:r w:rsidR="000D5925">
        <w:t>.</w:t>
      </w:r>
    </w:p>
    <w:p w14:paraId="7F0B60C3" w14:textId="1F6E1002" w:rsidR="0026699D" w:rsidRPr="00721094" w:rsidRDefault="0026699D" w:rsidP="000D5925">
      <w:pPr>
        <w:pStyle w:val="TableNotes"/>
        <w:rPr>
          <w:vertAlign w:val="superscript"/>
        </w:rPr>
      </w:pPr>
      <w:r>
        <w:t>mpMRI = multiparametric MRI, MRI = magnetic resonance imaging, κ = Cohen’s kappa, τ = Kendall’s tau</w:t>
      </w:r>
      <w:r w:rsidR="000D5925">
        <w:t>.</w:t>
      </w:r>
    </w:p>
    <w:p w14:paraId="5E566EA9" w14:textId="4205DF15" w:rsidR="006B5F2E" w:rsidRDefault="006B5F2E" w:rsidP="006B5F2E">
      <w:r>
        <w:t>Overall, kappa values from 0.34</w:t>
      </w:r>
      <w:r w:rsidR="00622373">
        <w:t>-</w:t>
      </w:r>
      <w:r>
        <w:t xml:space="preserve">0.81. Results from key diagnostic accuracy studies were consistent with results from studies seeking to measure the inter-reader reliability if mpMRI using PI-RADS. The results reported in </w:t>
      </w:r>
      <w:r w:rsidR="00CD5CBB">
        <w:rPr>
          <w:b/>
          <w:bCs/>
          <w:lang w:val="en-US"/>
        </w:rPr>
        <w:fldChar w:fldCharType="begin"/>
      </w:r>
      <w:r w:rsidR="00CD5CBB">
        <w:instrText xml:space="preserve"> REF _Ref458587585 \h </w:instrText>
      </w:r>
      <w:r w:rsidR="00CD5CBB">
        <w:rPr>
          <w:b/>
          <w:bCs/>
          <w:lang w:val="en-US"/>
        </w:rPr>
      </w:r>
      <w:r w:rsidR="00CD5CBB">
        <w:rPr>
          <w:b/>
          <w:bCs/>
          <w:lang w:val="en-US"/>
        </w:rPr>
        <w:fldChar w:fldCharType="separate"/>
      </w:r>
      <w:r w:rsidR="0029649D" w:rsidRPr="00CC45A7">
        <w:t xml:space="preserve">Table </w:t>
      </w:r>
      <w:r w:rsidR="0029649D">
        <w:rPr>
          <w:noProof/>
        </w:rPr>
        <w:t>26</w:t>
      </w:r>
      <w:r w:rsidR="00CD5CBB">
        <w:rPr>
          <w:b/>
          <w:bCs/>
          <w:lang w:val="en-US"/>
        </w:rPr>
        <w:fldChar w:fldCharType="end"/>
      </w:r>
      <w:r w:rsidR="00CD5CBB">
        <w:rPr>
          <w:b/>
          <w:bCs/>
          <w:lang w:val="en-US"/>
        </w:rPr>
        <w:t xml:space="preserve"> </w:t>
      </w:r>
      <w:r>
        <w:t>suggest reliability may be an issue for use of mpMRI with PI-RADS (both version 1 and 2) and this may therefore explain the observed heterogeneity in the estimates</w:t>
      </w:r>
      <w:r w:rsidR="000D5925">
        <w:t xml:space="preserve"> of sensitivity and specificity.</w:t>
      </w:r>
    </w:p>
    <w:p w14:paraId="34E033A5" w14:textId="24CA179B" w:rsidR="006B5F2E" w:rsidRDefault="006B5F2E" w:rsidP="006B5F2E">
      <w:r>
        <w:t xml:space="preserve">There may also be a learning curve associated with the use of PI-RADS; however, we do not believe the results of our meta-analysis have been significantly influenced by any learning curve as eight </w:t>
      </w:r>
      <w:r w:rsidR="00201F8B">
        <w:t xml:space="preserve">key </w:t>
      </w:r>
      <w:r>
        <w:t xml:space="preserve">studies reported use of experienced readers. </w:t>
      </w:r>
      <w:r w:rsidR="0065160F">
        <w:t xml:space="preserve">Jambor et al. (2014) and Lista et al. (2015) did not report reader experience. </w:t>
      </w:r>
      <w:r>
        <w:t xml:space="preserve">This would be consistent with results from Rosenkranz et al. (2016) who reported that for experienced readers no learning curve was </w:t>
      </w:r>
      <w:r w:rsidR="00F15C5F">
        <w:t>apparent</w:t>
      </w:r>
      <w:r>
        <w:t>.</w:t>
      </w:r>
    </w:p>
    <w:p w14:paraId="7C45A27E" w14:textId="344CEB97" w:rsidR="006B5F2E" w:rsidRDefault="006B5F2E" w:rsidP="006B5F2E">
      <w:r>
        <w:lastRenderedPageBreak/>
        <w:t>The issue of inter-reader reliability of PI-RADS has been the subject of a recent comment</w:t>
      </w:r>
      <w:r w:rsidR="007229AE">
        <w:t xml:space="preserve">ary by </w:t>
      </w:r>
      <w:r w:rsidR="008E0B00">
        <w:fldChar w:fldCharType="begin"/>
      </w:r>
      <w:r w:rsidR="008E0B00">
        <w:instrText xml:space="preserve"> ADDIN EN.CITE &lt;EndNote&gt;&lt;Cite&gt;&lt;Author&gt;Rosenkrantz&lt;/Author&gt;&lt;Year&gt;2016&lt;/Year&gt;&lt;RecNum&gt;75&lt;/RecNum&gt;&lt;DisplayText&gt;(Rosenkrantz and Margolis 2016)&lt;/DisplayText&gt;&lt;record&gt;&lt;rec-number&gt;75&lt;/rec-number&gt;&lt;foreign-keys&gt;&lt;key app="EN" db-id="2p9terxr22fx91epzebpfdwuzrwtw2a2ep2t" timestamp="1472684615"&gt;75&lt;/key&gt;&lt;/foreign-keys&gt;&lt;ref-type name="Journal Article"&gt;17&lt;/ref-type&gt;&lt;contributors&gt;&lt;authors&gt;&lt;author&gt;Rosenkrantz, A. B.&lt;/author&gt;&lt;author&gt;Margolis, D. J.&lt;/author&gt;&lt;/authors&gt;&lt;/contributors&gt;&lt;auth-address&gt;Department of Radiology, NYU School of Medicine, NYU Langone Medical Center, New York, NY, 10016, USA. andrew.rosenkrantz@nyumc.org.&amp;#xD;Department of Radiology, David Geffen School of Medicine at UCLA, Los Angeles, USA.&lt;/auth-address&gt;&lt;titles&gt;&lt;title&gt;Commentary regarding the inter-reader reproducibility of PI-RADS version 2&lt;/title&gt;&lt;secondary-title&gt;Abdom Radiol (NY)&lt;/secondary-title&gt;&lt;alt-title&gt;Abdominal radiology (New York)&lt;/alt-title&gt;&lt;/titles&gt;&lt;periodical&gt;&lt;full-title&gt;Abdom Radiol (NY)&lt;/full-title&gt;&lt;abbr-1&gt;Abdominal radiology (New York)&lt;/abbr-1&gt;&lt;/periodical&gt;&lt;alt-periodical&gt;&lt;full-title&gt;Abdom Radiol (NY)&lt;/full-title&gt;&lt;abbr-1&gt;Abdominal radiology (New York)&lt;/abbr-1&gt;&lt;/alt-periodical&gt;&lt;pages&gt;907-9&lt;/pages&gt;&lt;volume&gt;41&lt;/volume&gt;&lt;number&gt;5&lt;/number&gt;&lt;edition&gt;2016/05/04&lt;/edition&gt;&lt;dates&gt;&lt;year&gt;2016&lt;/year&gt;&lt;pub-dates&gt;&lt;date&gt;May&lt;/date&gt;&lt;/pub-dates&gt;&lt;/dates&gt;&lt;accession-num&gt;27138435&lt;/accession-num&gt;&lt;urls&gt;&lt;related-urls&gt;&lt;url&gt;http://link.springer.com/article/10.1007%2Fs00261-016-0756-1&lt;/url&gt;&lt;/related-urls&gt;&lt;/urls&gt;&lt;electronic-resource-num&gt;10.1007/s00261-016-0756-1&lt;/electronic-resource-num&gt;&lt;remote-database-provider&gt;NLM&lt;/remote-database-provider&gt;&lt;research-notes&gt;ex&lt;/research-notes&gt;&lt;language&gt;eng&lt;/language&gt;&lt;/record&gt;&lt;/Cite&gt;&lt;/EndNote&gt;</w:instrText>
      </w:r>
      <w:r w:rsidR="008E0B00">
        <w:fldChar w:fldCharType="separate"/>
      </w:r>
      <w:r w:rsidR="008E0B00">
        <w:rPr>
          <w:noProof/>
        </w:rPr>
        <w:t>(</w:t>
      </w:r>
      <w:hyperlink w:anchor="_ENREF_132" w:tooltip="Rosenkrantz, 2016 #75" w:history="1">
        <w:r w:rsidR="008E0B00">
          <w:rPr>
            <w:noProof/>
          </w:rPr>
          <w:t>Rosenkrantz and Margolis 2016</w:t>
        </w:r>
      </w:hyperlink>
      <w:r w:rsidR="008E0B00">
        <w:rPr>
          <w:noProof/>
        </w:rPr>
        <w:t>)</w:t>
      </w:r>
      <w:r w:rsidR="008E0B00">
        <w:fldChar w:fldCharType="end"/>
      </w:r>
      <w:r>
        <w:t>. In this commentary, the evident variability in reported kappa values in peer-reviewed literature was noted. The importance of intense training in PI-RADS and the need to adopt rigorous quality assurance methods including auditing of performance were highlighted. Should the proposed item be listed on the MBS, institutions offering the service may need to consider the adoption of training and auditing programs.</w:t>
      </w:r>
    </w:p>
    <w:p w14:paraId="3C6F4637" w14:textId="6BB31189" w:rsidR="00B50CCC" w:rsidRPr="00B50CCC" w:rsidRDefault="00B11E4E" w:rsidP="00A3402C">
      <w:pPr>
        <w:pStyle w:val="Heading2"/>
        <w:numPr>
          <w:ilvl w:val="1"/>
          <w:numId w:val="25"/>
        </w:numPr>
      </w:pPr>
      <w:bookmarkStart w:id="324" w:name="_Toc460513921"/>
      <w:bookmarkEnd w:id="321"/>
      <w:r>
        <w:t>Interpretation of evidence on diagnostic performance</w:t>
      </w:r>
      <w:r w:rsidR="00935F5C">
        <w:t xml:space="preserve"> (population 1)</w:t>
      </w:r>
      <w:bookmarkEnd w:id="324"/>
    </w:p>
    <w:p w14:paraId="13E58154" w14:textId="498FF5CC" w:rsidR="00B25B9A" w:rsidRPr="00B25B9A" w:rsidRDefault="00B25B9A" w:rsidP="00B25B9A">
      <w:r>
        <w:t xml:space="preserve">In summary, </w:t>
      </w:r>
      <w:r w:rsidR="00E66829" w:rsidRPr="00B25B9A">
        <w:t>meta-analysis of 10 studies including 2,062 patients</w:t>
      </w:r>
      <w:r w:rsidR="00E66829">
        <w:t xml:space="preserve"> found that </w:t>
      </w:r>
      <w:r>
        <w:t>f</w:t>
      </w:r>
      <w:r w:rsidRPr="00B25B9A">
        <w:t xml:space="preserve">or the detection of </w:t>
      </w:r>
      <w:r w:rsidR="00E66829">
        <w:t>PCa of any severity</w:t>
      </w:r>
      <w:r w:rsidRPr="00B25B9A">
        <w:t>, mpMRI has a sensitivity of 73.4</w:t>
      </w:r>
      <w:r w:rsidR="00FB18F0">
        <w:t xml:space="preserve"> per cent</w:t>
      </w:r>
      <w:r w:rsidRPr="00B25B9A">
        <w:t xml:space="preserve"> (95% CI [57</w:t>
      </w:r>
      <w:r w:rsidR="0019425C">
        <w:t>.0</w:t>
      </w:r>
      <w:r w:rsidRPr="00B25B9A">
        <w:t>, 85</w:t>
      </w:r>
      <w:r w:rsidR="00FD3BBC">
        <w:t>.1</w:t>
      </w:r>
      <w:r w:rsidRPr="00B25B9A">
        <w:t>]) and a specificity of 77.1</w:t>
      </w:r>
      <w:r w:rsidR="00FB18F0">
        <w:t xml:space="preserve"> per cent</w:t>
      </w:r>
      <w:r w:rsidRPr="00B25B9A">
        <w:t xml:space="preserve"> (95% CI [63.5</w:t>
      </w:r>
      <w:r w:rsidR="0019425C">
        <w:t>,</w:t>
      </w:r>
      <w:r w:rsidRPr="00B25B9A">
        <w:t xml:space="preserve"> 86.7]) .</w:t>
      </w:r>
    </w:p>
    <w:p w14:paraId="669F22B8" w14:textId="44990300" w:rsidR="00B25B9A" w:rsidRPr="00B25B9A" w:rsidRDefault="00B25B9A" w:rsidP="00B25B9A">
      <w:r w:rsidRPr="00B25B9A">
        <w:t>For the detection of clinically significant cancer mpMRI has a sensitivity of 76.3</w:t>
      </w:r>
      <w:r w:rsidR="00FB18F0">
        <w:t xml:space="preserve"> per cent</w:t>
      </w:r>
      <w:r w:rsidRPr="00B25B9A">
        <w:t xml:space="preserve"> (95% CI [58.6, 88.0]) and a specificity of 82.9</w:t>
      </w:r>
      <w:r w:rsidR="00FB18F0">
        <w:t xml:space="preserve"> per cent</w:t>
      </w:r>
      <w:r w:rsidRPr="00B25B9A">
        <w:t xml:space="preserve"> (95% CI [71.5, 90.4]) (results from meta-analysis of 6 studies including 1,229 patients).</w:t>
      </w:r>
    </w:p>
    <w:p w14:paraId="0E9339E2" w14:textId="5B249CFE" w:rsidR="004339CF" w:rsidRDefault="00B25B9A" w:rsidP="00B25B9A">
      <w:r w:rsidRPr="00B25B9A">
        <w:t xml:space="preserve">The point estimates for sensitivity and specificity are associated with wide confidence intervals reflecting uncertainty in the results. Heterogeneity in the evidence base </w:t>
      </w:r>
      <w:r w:rsidR="00201F8B">
        <w:t>was</w:t>
      </w:r>
      <w:r w:rsidR="00201F8B" w:rsidRPr="00B25B9A">
        <w:t xml:space="preserve"> </w:t>
      </w:r>
      <w:r w:rsidRPr="00B25B9A">
        <w:t xml:space="preserve">high </w:t>
      </w:r>
      <w:r w:rsidR="00201F8B">
        <w:t xml:space="preserve">and </w:t>
      </w:r>
      <w:r w:rsidR="00622373">
        <w:t xml:space="preserve">could </w:t>
      </w:r>
      <w:r w:rsidRPr="00B25B9A">
        <w:t>not able to be explained through subgroup analysis.</w:t>
      </w:r>
      <w:r w:rsidR="00AD14BF">
        <w:t xml:space="preserve"> </w:t>
      </w:r>
      <w:r w:rsidR="00DB2001">
        <w:t>T</w:t>
      </w:r>
      <w:r w:rsidRPr="00B25B9A">
        <w:t xml:space="preserve">he uncertainty </w:t>
      </w:r>
      <w:r w:rsidR="00A06098">
        <w:t>associated with</w:t>
      </w:r>
      <w:r w:rsidRPr="00B25B9A">
        <w:t xml:space="preserve"> the point estimates is potentially due to issues with the reliability of mpMRI. Overall</w:t>
      </w:r>
      <w:r w:rsidR="006B5F2E">
        <w:t>,</w:t>
      </w:r>
      <w:r w:rsidRPr="00B25B9A">
        <w:t xml:space="preserve"> moderate reliability has been reported </w:t>
      </w:r>
      <w:r w:rsidR="00285AD5">
        <w:t>in</w:t>
      </w:r>
      <w:r w:rsidRPr="00B25B9A">
        <w:t xml:space="preserve"> studies investigating inter-reader agreement</w:t>
      </w:r>
      <w:r w:rsidR="004339CF">
        <w:t xml:space="preserve"> </w:t>
      </w:r>
      <w:r w:rsidR="00622373">
        <w:t xml:space="preserve">amongst </w:t>
      </w:r>
      <w:r w:rsidR="00285AD5">
        <w:t>multiple</w:t>
      </w:r>
      <w:r w:rsidR="004339CF">
        <w:t xml:space="preserve"> readers using the PI-RADS system for mpMRI interpretation</w:t>
      </w:r>
      <w:r w:rsidRPr="00B25B9A">
        <w:t>.</w:t>
      </w:r>
      <w:r w:rsidR="004339CF" w:rsidRPr="004339CF">
        <w:t xml:space="preserve"> </w:t>
      </w:r>
    </w:p>
    <w:p w14:paraId="4A9B3816" w14:textId="7B3F785B" w:rsidR="00A82527" w:rsidRDefault="00A82527" w:rsidP="00A82527">
      <w:r w:rsidRPr="00B25B9A">
        <w:t>The point estimates for sensitivity and specificity of mpMRI may also have been influenced by the underlying diagnostic accuracy of the biopsy used to obtain reference standard samples. This</w:t>
      </w:r>
      <w:r>
        <w:t xml:space="preserve"> was not able to be quantified but it should be noted that TRUSGB and TPUSGB are not 100</w:t>
      </w:r>
      <w:r w:rsidR="00FB18F0">
        <w:t xml:space="preserve"> per cent</w:t>
      </w:r>
      <w:r>
        <w:t xml:space="preserve"> accurate in the detection of PCa.</w:t>
      </w:r>
    </w:p>
    <w:p w14:paraId="25E3790A" w14:textId="5DF62AA0" w:rsidR="00B25B9A" w:rsidRPr="00AC3351" w:rsidRDefault="004339CF" w:rsidP="00B25B9A">
      <w:r>
        <w:t xml:space="preserve">The quality of the evidence base for each of the diagnostic accuracy outcomes was rated </w:t>
      </w:r>
      <w:r w:rsidR="00285AD5">
        <w:t>as ‘</w:t>
      </w:r>
      <w:r>
        <w:t>poor</w:t>
      </w:r>
      <w:r w:rsidR="00285AD5">
        <w:t>’</w:t>
      </w:r>
      <w:r>
        <w:t xml:space="preserve"> using the GRADE tool. This rating reflects the serious issues with the precision and consistency of the meta-analysis results.</w:t>
      </w:r>
      <w:r w:rsidR="000D5925">
        <w:t xml:space="preserve"> </w:t>
      </w:r>
      <w:r w:rsidR="00B25B9A">
        <w:t>In light of the results of the analysis of diagnostic performance</w:t>
      </w:r>
      <w:r w:rsidR="008B7924">
        <w:t xml:space="preserve"> and the uncertainties regarding reliability</w:t>
      </w:r>
      <w:r w:rsidR="00B25B9A">
        <w:t xml:space="preserve">, </w:t>
      </w:r>
      <w:r w:rsidR="003C7EBC">
        <w:t xml:space="preserve">there is no evidence that mpMRI is superior to TRUSGB or TPUSGB. This applies to the detection of </w:t>
      </w:r>
      <w:r w:rsidR="001327C8">
        <w:t>PCa</w:t>
      </w:r>
      <w:r w:rsidR="00B50273">
        <w:t xml:space="preserve"> of any severity</w:t>
      </w:r>
      <w:r w:rsidR="003C7EBC">
        <w:t xml:space="preserve"> and to the detection of clinically significant cancer. </w:t>
      </w:r>
    </w:p>
    <w:p w14:paraId="22A728DC" w14:textId="77777777" w:rsidR="00A12062" w:rsidRDefault="00A12062" w:rsidP="007A49EE">
      <w:pPr>
        <w:pStyle w:val="Heading1"/>
      </w:pPr>
      <w:bookmarkStart w:id="325" w:name="_Toc460513922"/>
      <w:r>
        <w:lastRenderedPageBreak/>
        <w:t xml:space="preserve">B4 </w:t>
      </w:r>
      <w:r w:rsidR="005A35FF">
        <w:t>Clinical Validity</w:t>
      </w:r>
      <w:bookmarkEnd w:id="325"/>
    </w:p>
    <w:p w14:paraId="01D74A8E" w14:textId="77777777" w:rsidR="00920AC1" w:rsidRDefault="00920AC1" w:rsidP="00920AC1">
      <w:r>
        <w:t>An analysis of clinical validity was not required for this assessment.</w:t>
      </w:r>
      <w:r w:rsidR="00EA0B12">
        <w:t xml:space="preserve"> </w:t>
      </w:r>
    </w:p>
    <w:p w14:paraId="3B53D9C4" w14:textId="7C56F62C" w:rsidR="00370A78" w:rsidRPr="007F1CA4" w:rsidRDefault="00A12062" w:rsidP="00FB4065">
      <w:pPr>
        <w:pStyle w:val="Heading1"/>
      </w:pPr>
      <w:bookmarkStart w:id="326" w:name="_Toc460513923"/>
      <w:r w:rsidRPr="00FB4065">
        <w:lastRenderedPageBreak/>
        <w:t>B</w:t>
      </w:r>
      <w:r w:rsidR="00370A78" w:rsidRPr="00512E64">
        <w:t>5 Clinical utility</w:t>
      </w:r>
      <w:bookmarkEnd w:id="326"/>
      <w:r w:rsidR="00FD5BE0">
        <w:t xml:space="preserve"> </w:t>
      </w:r>
    </w:p>
    <w:p w14:paraId="1FB7D241" w14:textId="608F2688" w:rsidR="006047CD" w:rsidRDefault="006047CD" w:rsidP="006047CD">
      <w:pPr>
        <w:pStyle w:val="Heading2"/>
      </w:pPr>
      <w:bookmarkStart w:id="327" w:name="_Toc460513924"/>
      <w:r>
        <w:t>B5.1</w:t>
      </w:r>
      <w:r>
        <w:tab/>
      </w:r>
      <w:r w:rsidR="00C11370">
        <w:tab/>
      </w:r>
      <w:r>
        <w:t>Impact on clinical management (Therapeutic efficacy)</w:t>
      </w:r>
      <w:r w:rsidR="000F0F95">
        <w:t xml:space="preserve"> (Population 1)</w:t>
      </w:r>
      <w:bookmarkEnd w:id="327"/>
    </w:p>
    <w:p w14:paraId="6A09BC49" w14:textId="3644889A" w:rsidR="006F088A" w:rsidRDefault="006F088A" w:rsidP="006F088A">
      <w:r>
        <w:t>Based on the</w:t>
      </w:r>
      <w:r w:rsidR="000B3A66">
        <w:t xml:space="preserve"> current and proposed</w:t>
      </w:r>
      <w:r w:rsidR="000A656C">
        <w:t xml:space="preserve"> clinical algorithm (</w:t>
      </w:r>
      <w:r w:rsidR="000A656C">
        <w:fldChar w:fldCharType="begin"/>
      </w:r>
      <w:r w:rsidR="000A656C">
        <w:instrText xml:space="preserve"> REF _Ref379455005 \h </w:instrText>
      </w:r>
      <w:r w:rsidR="000A656C">
        <w:fldChar w:fldCharType="separate"/>
      </w:r>
      <w:r w:rsidR="0029649D" w:rsidRPr="00183E4D">
        <w:t xml:space="preserve">Figure </w:t>
      </w:r>
      <w:r w:rsidR="0029649D">
        <w:rPr>
          <w:noProof/>
        </w:rPr>
        <w:t>1</w:t>
      </w:r>
      <w:r w:rsidR="000A656C">
        <w:fldChar w:fldCharType="end"/>
      </w:r>
      <w:r w:rsidR="000A656C">
        <w:t xml:space="preserve"> and</w:t>
      </w:r>
      <w:r w:rsidR="00007BC7">
        <w:t xml:space="preserve"> </w:t>
      </w:r>
      <w:r w:rsidR="00007BC7">
        <w:fldChar w:fldCharType="begin"/>
      </w:r>
      <w:r w:rsidR="00007BC7">
        <w:instrText xml:space="preserve"> REF _Ref456771278 \h </w:instrText>
      </w:r>
      <w:r w:rsidR="00007BC7">
        <w:fldChar w:fldCharType="separate"/>
      </w:r>
      <w:r w:rsidR="0029649D" w:rsidRPr="005944F4">
        <w:t xml:space="preserve">Figure </w:t>
      </w:r>
      <w:r w:rsidR="0029649D">
        <w:rPr>
          <w:noProof/>
        </w:rPr>
        <w:t>2</w:t>
      </w:r>
      <w:r w:rsidR="00007BC7">
        <w:fldChar w:fldCharType="end"/>
      </w:r>
      <w:r w:rsidR="000A656C">
        <w:t xml:space="preserve">, </w:t>
      </w:r>
      <w:r w:rsidR="000B3A66">
        <w:t>Subsection A6</w:t>
      </w:r>
      <w:r>
        <w:t>), the results of the mpMRI lead to four clinical scenarios:</w:t>
      </w:r>
    </w:p>
    <w:p w14:paraId="128930F6" w14:textId="26A79777" w:rsidR="006F088A" w:rsidRDefault="006F088A" w:rsidP="006F088A">
      <w:r>
        <w:t>In low</w:t>
      </w:r>
      <w:r w:rsidR="005C22D9">
        <w:t>-</w:t>
      </w:r>
      <w:r w:rsidR="00A47E12">
        <w:t xml:space="preserve">concern </w:t>
      </w:r>
      <w:r>
        <w:t>patients:</w:t>
      </w:r>
    </w:p>
    <w:p w14:paraId="34280B2F" w14:textId="066A65E2" w:rsidR="00875CFC" w:rsidRDefault="006F088A" w:rsidP="00A3402C">
      <w:pPr>
        <w:pStyle w:val="ListParagraph"/>
        <w:numPr>
          <w:ilvl w:val="0"/>
          <w:numId w:val="24"/>
        </w:numPr>
      </w:pPr>
      <w:r>
        <w:t>If mpMRI is PI-RADS 1-3 (true negative or false negative) – the patient will avoid a biopsy under the proposed algorithm instead of undergoing a T</w:t>
      </w:r>
      <w:r w:rsidR="005C22D9">
        <w:t>R</w:t>
      </w:r>
      <w:r>
        <w:t xml:space="preserve">USGB or TPUSGB under the current algorithm. </w:t>
      </w:r>
    </w:p>
    <w:p w14:paraId="7F41DE4A" w14:textId="2EAF10E9" w:rsidR="006F088A" w:rsidRDefault="006F088A" w:rsidP="00A3402C">
      <w:pPr>
        <w:pStyle w:val="ListParagraph"/>
        <w:numPr>
          <w:ilvl w:val="0"/>
          <w:numId w:val="24"/>
        </w:numPr>
      </w:pPr>
      <w:r>
        <w:t>If mpMRI is PI-RADS 4</w:t>
      </w:r>
      <w:r w:rsidR="008570FC">
        <w:t xml:space="preserve"> or</w:t>
      </w:r>
      <w:r w:rsidR="006A187D">
        <w:t xml:space="preserve"> </w:t>
      </w:r>
      <w:r>
        <w:t xml:space="preserve">5 (true positive or false positive) – the patient will undergo an </w:t>
      </w:r>
      <w:r w:rsidR="002320F9">
        <w:t>MRIGB</w:t>
      </w:r>
      <w:r>
        <w:t xml:space="preserve"> guided biopsy instead of a TRUSGB</w:t>
      </w:r>
      <w:r w:rsidR="005C22D9">
        <w:t>.</w:t>
      </w:r>
      <w:r>
        <w:t xml:space="preserve"> </w:t>
      </w:r>
    </w:p>
    <w:p w14:paraId="1CF9C362" w14:textId="55FE75D1" w:rsidR="006F088A" w:rsidRDefault="006F088A" w:rsidP="006F088A">
      <w:r>
        <w:t>In high</w:t>
      </w:r>
      <w:r w:rsidR="005C22D9">
        <w:t>-</w:t>
      </w:r>
      <w:r w:rsidR="00A47E12">
        <w:t xml:space="preserve">concern </w:t>
      </w:r>
      <w:r>
        <w:t>patients:</w:t>
      </w:r>
    </w:p>
    <w:p w14:paraId="34C93BE0" w14:textId="77777777" w:rsidR="006F088A" w:rsidRDefault="006F088A" w:rsidP="00A3402C">
      <w:pPr>
        <w:pStyle w:val="ListParagraph"/>
        <w:numPr>
          <w:ilvl w:val="0"/>
          <w:numId w:val="49"/>
        </w:numPr>
      </w:pPr>
      <w:r>
        <w:t>If mpMRI is PI-RADS 1-3 (true negative or false negative) – the patient will undergo a template biopsy. In this scenario there is no change from current management so there will be no impact on therapeutic effectiveness.</w:t>
      </w:r>
    </w:p>
    <w:p w14:paraId="270ADFD6" w14:textId="1DFAAC05" w:rsidR="006F088A" w:rsidRDefault="006F088A" w:rsidP="00A3402C">
      <w:pPr>
        <w:pStyle w:val="ListParagraph"/>
        <w:numPr>
          <w:ilvl w:val="0"/>
          <w:numId w:val="49"/>
        </w:numPr>
      </w:pPr>
      <w:r>
        <w:t>If mpMRI is PI-RADS 4</w:t>
      </w:r>
      <w:r w:rsidR="008570FC">
        <w:t xml:space="preserve"> or</w:t>
      </w:r>
      <w:r>
        <w:t xml:space="preserve">5 (true positive or false positive) – the patient will undergo an mpMRI guided biopsy instead of a TRUSGB. </w:t>
      </w:r>
    </w:p>
    <w:p w14:paraId="6739D7F3" w14:textId="7732A1FC" w:rsidR="00875CFC" w:rsidRDefault="00875CFC" w:rsidP="00874681">
      <w:r>
        <w:t xml:space="preserve">No studies were identified that </w:t>
      </w:r>
      <w:r w:rsidR="000F0F95">
        <w:t>investigated</w:t>
      </w:r>
      <w:r>
        <w:t xml:space="preserve"> change in management</w:t>
      </w:r>
      <w:r w:rsidR="000F0F95">
        <w:t xml:space="preserve"> associated with the introduction of mpMRI for patients</w:t>
      </w:r>
      <w:r w:rsidR="00BA2099">
        <w:t xml:space="preserve"> in Population 1</w:t>
      </w:r>
      <w:r>
        <w:t xml:space="preserve">. </w:t>
      </w:r>
    </w:p>
    <w:p w14:paraId="1D3614AB" w14:textId="12873965" w:rsidR="006B5F2E" w:rsidRDefault="006B5F2E" w:rsidP="006B5F2E">
      <w:r>
        <w:t>For men with a suspicion of prostate cancer, treatment decisions are made based on biopsy results. Under the proposed management algorithms, mpMRI results will determine if patients should receive a biopsy. For men with suspected prostate cancer a PI-RADS score</w:t>
      </w:r>
      <w:r w:rsidR="00893260">
        <w:t xml:space="preserve"> less than or equal to </w:t>
      </w:r>
      <w:r w:rsidR="001904BB">
        <w:t xml:space="preserve">3 </w:t>
      </w:r>
      <w:r>
        <w:t>will result in low-</w:t>
      </w:r>
      <w:r w:rsidR="00A47E12">
        <w:t xml:space="preserve">concern </w:t>
      </w:r>
      <w:r>
        <w:t>patients avoiding a biopsy; the therapeutic effect of this biopsy avoidance is discussed in Section B5.2. High</w:t>
      </w:r>
      <w:r w:rsidR="006C46F6">
        <w:t>-</w:t>
      </w:r>
      <w:r w:rsidR="00A47E12">
        <w:t xml:space="preserve">concern patients </w:t>
      </w:r>
      <w:r>
        <w:t>with a PI-RADS score</w:t>
      </w:r>
      <w:r w:rsidR="00893260">
        <w:t xml:space="preserve"> less than or equal to </w:t>
      </w:r>
      <w:r w:rsidR="001904BB">
        <w:t xml:space="preserve">3 </w:t>
      </w:r>
      <w:r>
        <w:t>will receive a systematic biopsy under current and proposed management algorithms.</w:t>
      </w:r>
    </w:p>
    <w:p w14:paraId="7122B42C" w14:textId="02341442" w:rsidR="006B5F2E" w:rsidRDefault="006B5F2E" w:rsidP="006B5F2E">
      <w:r>
        <w:t xml:space="preserve">Patients </w:t>
      </w:r>
      <w:r w:rsidR="00893260">
        <w:t>with</w:t>
      </w:r>
      <w:r>
        <w:t xml:space="preserve"> a PI-RADS score of </w:t>
      </w:r>
      <w:r w:rsidR="001904BB">
        <w:t xml:space="preserve">4 </w:t>
      </w:r>
      <w:r>
        <w:t xml:space="preserve">or </w:t>
      </w:r>
      <w:r w:rsidR="001904BB">
        <w:t xml:space="preserve">5 </w:t>
      </w:r>
      <w:r>
        <w:t xml:space="preserve">will have a change in the type of biopsy they receive (change from TRUSGB or TPUSGB to MRIGB). Any change in management associated with this change in biopsy is the subject of Application </w:t>
      </w:r>
      <w:r w:rsidR="00462D15">
        <w:t xml:space="preserve">CA </w:t>
      </w:r>
      <w:r>
        <w:t xml:space="preserve">1424. The Assessment Group for </w:t>
      </w:r>
      <w:r w:rsidR="00462D15">
        <w:t xml:space="preserve">CA </w:t>
      </w:r>
      <w:r>
        <w:t xml:space="preserve">1424 has advised that no studies investigating the change in management associated with </w:t>
      </w:r>
      <w:r w:rsidR="00893260">
        <w:t xml:space="preserve">changing from an </w:t>
      </w:r>
      <w:r>
        <w:t xml:space="preserve">US </w:t>
      </w:r>
      <w:r w:rsidR="00893260">
        <w:t xml:space="preserve">to a </w:t>
      </w:r>
      <w:r>
        <w:t xml:space="preserve">MRI guided </w:t>
      </w:r>
      <w:r w:rsidR="00893260">
        <w:t xml:space="preserve">biopsy were </w:t>
      </w:r>
      <w:r>
        <w:t xml:space="preserve">identified. In addition, the Assessment </w:t>
      </w:r>
      <w:r w:rsidR="00C63DA2">
        <w:t>G</w:t>
      </w:r>
      <w:r>
        <w:t xml:space="preserve">roup for </w:t>
      </w:r>
      <w:r w:rsidR="00462D15">
        <w:t xml:space="preserve">CA </w:t>
      </w:r>
      <w:r>
        <w:t xml:space="preserve">1424 has advised that no peer-reviewed literature has been identified investigating safety differences between biopsy guidance techniques. Similarly, our own searches into the safety of prostate biopsy (Subsection B7) </w:t>
      </w:r>
      <w:r>
        <w:lastRenderedPageBreak/>
        <w:t>have not identified any literature on this topic. There is no evidence that safety outcomes are different for trans</w:t>
      </w:r>
      <w:r w:rsidR="006F3F56">
        <w:t>-</w:t>
      </w:r>
      <w:r>
        <w:t xml:space="preserve">rectal biopsy performed under US or MRI guidance. </w:t>
      </w:r>
    </w:p>
    <w:p w14:paraId="6AFEBC13" w14:textId="59CA960F" w:rsidR="00F80C4D" w:rsidRDefault="006B5F2E" w:rsidP="00F80C4D">
      <w:r>
        <w:t>A recent systematic review by Schoots et al. (2015) compared TRUSGB to MRIGB. This review determined that there is no difference in the diagnostic accuracy of USGB and MRIGB (cognitive, US/MRI fusion or in-gantry techniques) in the detection of prostate cancer.</w:t>
      </w:r>
      <w:r>
        <w:rPr>
          <w:rStyle w:val="FootnoteReference"/>
        </w:rPr>
        <w:footnoteReference w:id="4"/>
      </w:r>
      <w:r>
        <w:t xml:space="preserve"> The equivalent diagnostic accuracy of the biopsy techniques suggests there will be no associated change in management.</w:t>
      </w:r>
    </w:p>
    <w:p w14:paraId="597BAF46" w14:textId="0893EDBC" w:rsidR="002C27CA" w:rsidRPr="002D5FF0" w:rsidRDefault="002C27CA" w:rsidP="00DF2B87">
      <w:pPr>
        <w:pStyle w:val="Heading2"/>
        <w:ind w:left="1134" w:hanging="1134"/>
      </w:pPr>
      <w:bookmarkStart w:id="328" w:name="_Toc460513925"/>
      <w:r w:rsidRPr="002D5FF0">
        <w:t>B5.2</w:t>
      </w:r>
      <w:r w:rsidRPr="002D5FF0">
        <w:tab/>
        <w:t>Therapeutic effectiveness (including impact of effect modification)</w:t>
      </w:r>
      <w:r w:rsidR="00135812">
        <w:t xml:space="preserve"> (Population 1)</w:t>
      </w:r>
      <w:bookmarkEnd w:id="328"/>
    </w:p>
    <w:p w14:paraId="0EDC12F2" w14:textId="42D0D02B" w:rsidR="00DF3DB9" w:rsidRPr="00F94B84" w:rsidRDefault="00DF3DB9" w:rsidP="00DF3DB9">
      <w:r w:rsidRPr="001A584C">
        <w:rPr>
          <w:b/>
        </w:rPr>
        <w:t>Low</w:t>
      </w:r>
      <w:r w:rsidR="00513B61">
        <w:rPr>
          <w:b/>
        </w:rPr>
        <w:t>-</w:t>
      </w:r>
      <w:r w:rsidR="00B61635">
        <w:rPr>
          <w:b/>
        </w:rPr>
        <w:t>concern</w:t>
      </w:r>
      <w:r w:rsidR="00B61635" w:rsidRPr="001A584C">
        <w:rPr>
          <w:b/>
        </w:rPr>
        <w:t xml:space="preserve"> </w:t>
      </w:r>
      <w:r w:rsidR="008E2C6A">
        <w:rPr>
          <w:b/>
        </w:rPr>
        <w:t>patients</w:t>
      </w:r>
      <w:r w:rsidRPr="001A584C">
        <w:rPr>
          <w:b/>
        </w:rPr>
        <w:t>:</w:t>
      </w:r>
      <w:r w:rsidR="00F94B84">
        <w:rPr>
          <w:b/>
        </w:rPr>
        <w:t xml:space="preserve"> </w:t>
      </w:r>
      <w:r w:rsidR="00F94B84">
        <w:t xml:space="preserve">advice from the Applicant is that </w:t>
      </w:r>
      <w:r w:rsidR="004F6977">
        <w:t>30</w:t>
      </w:r>
      <w:r w:rsidR="006C46F6">
        <w:t>-</w:t>
      </w:r>
      <w:r w:rsidR="00F94B84">
        <w:t>40</w:t>
      </w:r>
      <w:r w:rsidR="004F6977">
        <w:t xml:space="preserve"> per cent</w:t>
      </w:r>
      <w:r w:rsidR="00F94B84">
        <w:t xml:space="preserve"> of patients will have </w:t>
      </w:r>
      <w:r w:rsidR="001327C8">
        <w:t>PCa</w:t>
      </w:r>
      <w:r w:rsidR="004F6977">
        <w:t xml:space="preserve"> and a total of 5</w:t>
      </w:r>
      <w:r w:rsidR="006C46F6">
        <w:t>-</w:t>
      </w:r>
      <w:r w:rsidR="004F6977">
        <w:t>10 per cent</w:t>
      </w:r>
      <w:r w:rsidR="00F94B84">
        <w:t xml:space="preserve"> will have clinically significant </w:t>
      </w:r>
      <w:r w:rsidR="00182CD1">
        <w:t xml:space="preserve">cancer (which equates to 13-33% </w:t>
      </w:r>
      <w:r w:rsidR="00F94B84">
        <w:t>of cancers being clinically significant).</w:t>
      </w:r>
    </w:p>
    <w:p w14:paraId="3769938B" w14:textId="2EE9C6F5" w:rsidR="007F3C34" w:rsidRDefault="007F3C34" w:rsidP="007F3C34">
      <w:r>
        <w:rPr>
          <w:i/>
        </w:rPr>
        <w:t>mpMRI</w:t>
      </w:r>
      <w:r w:rsidRPr="00881BFC">
        <w:rPr>
          <w:i/>
        </w:rPr>
        <w:t xml:space="preserve"> True positive</w:t>
      </w:r>
      <w:r>
        <w:t>: These patients have PCa and will receive a biopsy to guide the treatment decision. Under current management these patients will receive a TRUSG</w:t>
      </w:r>
      <w:r w:rsidR="006C46F6">
        <w:t>B</w:t>
      </w:r>
      <w:r>
        <w:t xml:space="preserve"> or TPUSGB. Under the proposed algorithm these patients will receive MRIGB. Using the approach recommended by Merlin and Leman </w:t>
      </w:r>
      <w:r w:rsidR="008E0B00">
        <w:fldChar w:fldCharType="begin">
          <w:fldData xml:space="preserve">PEVuZE5vdGU+PENpdGU+PEF1dGhvcj5NZXJsaW48L0F1dGhvcj48WWVhcj4yMDEzPC9ZZWFyPjxS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</w:fldData>
        </w:fldChar>
      </w:r>
      <w:r w:rsidR="008E0B00">
        <w:instrText xml:space="preserve"> ADDIN EN.CITE </w:instrText>
      </w:r>
      <w:r w:rsidR="008E0B00">
        <w:fldChar w:fldCharType="begin">
          <w:fldData xml:space="preserve">PEVuZE5vdGU+PENpdGU+PEF1dGhvcj5NZXJsaW48L0F1dGhvcj48WWVhcj4yMDEzPC9ZZWFyPjxS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93" w:tooltip="Merlin, 2013 #76" w:history="1">
        <w:r w:rsidR="008E0B00">
          <w:rPr>
            <w:noProof/>
          </w:rPr>
          <w:t>Merlin et al. 2013</w:t>
        </w:r>
      </w:hyperlink>
      <w:r w:rsidR="008E0B00">
        <w:rPr>
          <w:noProof/>
        </w:rPr>
        <w:t>)</w:t>
      </w:r>
      <w:r w:rsidR="008E0B00">
        <w:fldChar w:fldCharType="end"/>
      </w:r>
      <w:r>
        <w:t xml:space="preserve">, no investigation of therapeutic effectiveness has been undertaken as </w:t>
      </w:r>
      <w:r w:rsidR="00135812">
        <w:t>management of</w:t>
      </w:r>
      <w:r>
        <w:t xml:space="preserve"> these </w:t>
      </w:r>
      <w:r w:rsidR="00D126DA">
        <w:t xml:space="preserve">patients </w:t>
      </w:r>
      <w:r>
        <w:t xml:space="preserve">is unlikely to change under the proposed algorithm owing to the equivalent safety and accuracy of the biopsy types. Current treatment options for patients following biopsy may include </w:t>
      </w:r>
      <w:r w:rsidR="004E17B9">
        <w:t>AS</w:t>
      </w:r>
      <w:r>
        <w:t xml:space="preserve"> of low/intermediate risk disease, radical prostatectomy, radiation therapy, androgen deprivation therapy, brachytherapy, high intensity focused US and/or chemotherapy </w:t>
      </w:r>
      <w:r w:rsidR="008E0B00">
        <w:fldChar w:fldCharType="begin"/>
      </w:r>
      <w:r w:rsidR="008E0B00">
        <w:instrText xml:space="preserve"> ADDIN EN.CITE &lt;EndNote&gt;&lt;Cite&gt;&lt;Author&gt;Evans&lt;/Author&gt;&lt;Year&gt;2013&lt;/Year&gt;&lt;RecNum&gt;77&lt;/RecNum&gt;&lt;DisplayText&gt;(Evans et al. 2013)&lt;/DisplayText&gt;&lt;record&gt;&lt;rec-number&gt;77&lt;/rec-number&gt;&lt;foreign-keys&gt;&lt;key app="EN" db-id="2p9terxr22fx91epzebpfdwuzrwtw2a2ep2t" timestamp="1472684616"&gt;77&lt;/key&gt;&lt;/foreign-keys&gt;&lt;ref-type name="Journal Article"&gt;17&lt;/ref-type&gt;&lt;contributors&gt;&lt;authors&gt;&lt;author&gt;Evans, Sue M&lt;/author&gt;&lt;author&gt;Millar, Jeremy L&lt;/author&gt;&lt;author&gt;Davis, Ian D&lt;/author&gt;&lt;author&gt;Murphy, Declan G&lt;/author&gt;&lt;author&gt;Bolton, Damien M&lt;/author&gt;&lt;author&gt;Giles, Graham G&lt;/author&gt;&lt;author&gt;Frydenberg, Mark&lt;/author&gt;&lt;author&gt;Andrianopoulos, Nick&lt;/author&gt;&lt;author&gt;Wood, Julie M&lt;/author&gt;&lt;author&gt;Frauman, Albert G&lt;/author&gt;&lt;/authors&gt;&lt;/contributors&gt;&lt;titles&gt;&lt;title&gt;Patterns of care for men diagnosed with prostate cancer in Victoria from 2008 to 2011&lt;/title&gt;&lt;secondary-title&gt;Med J Aust&lt;/secondary-title&gt;&lt;/titles&gt;&lt;periodical&gt;&lt;full-title&gt;Med J Aust&lt;/full-title&gt;&lt;/periodical&gt;&lt;pages&gt;540-545&lt;/pages&gt;&lt;volume&gt;198&lt;/volume&gt;&lt;number&gt;10&lt;/number&gt;&lt;dates&gt;&lt;year&gt;2013&lt;/year&gt;&lt;/dates&gt;&lt;urls&gt;&lt;/urls&gt;&lt;/record&gt;&lt;/Cite&gt;&lt;/EndNote&gt;</w:instrText>
      </w:r>
      <w:r w:rsidR="008E0B00">
        <w:fldChar w:fldCharType="separate"/>
      </w:r>
      <w:r w:rsidR="008E0B00">
        <w:rPr>
          <w:noProof/>
        </w:rPr>
        <w:t>(</w:t>
      </w:r>
      <w:hyperlink w:anchor="_ENREF_46" w:tooltip="Evans, 2013 #77" w:history="1">
        <w:r w:rsidR="008E0B00">
          <w:rPr>
            <w:noProof/>
          </w:rPr>
          <w:t>Evans et al. 2013</w:t>
        </w:r>
      </w:hyperlink>
      <w:r w:rsidR="008E0B00">
        <w:rPr>
          <w:noProof/>
        </w:rPr>
        <w:t>)</w:t>
      </w:r>
      <w:r w:rsidR="008E0B00">
        <w:fldChar w:fldCharType="end"/>
      </w:r>
      <w:r>
        <w:t>.</w:t>
      </w:r>
    </w:p>
    <w:p w14:paraId="3262C303" w14:textId="7B821C81" w:rsidR="007F3C34" w:rsidRDefault="007F3C34" w:rsidP="00DF3DB9">
      <w:r>
        <w:rPr>
          <w:i/>
        </w:rPr>
        <w:t>mpMRI</w:t>
      </w:r>
      <w:r w:rsidRPr="00EC54B4">
        <w:rPr>
          <w:i/>
        </w:rPr>
        <w:t xml:space="preserve"> False positive</w:t>
      </w:r>
      <w:r>
        <w:t>: These patients do not have PCa but have been incorrectly identified as having cancer by mpMRI. Under current management these patients will receive a TRUSGB or TPUSGB. Under the proposed management these patients will receive MRIGB.</w:t>
      </w:r>
      <w:r w:rsidR="0085254A">
        <w:t xml:space="preserve"> </w:t>
      </w:r>
      <w:r>
        <w:t xml:space="preserve">It is expected that biopsy of any type will correct the misdiagnosis by mpMRI and these patients will not receive unnecessary treatment. </w:t>
      </w:r>
      <w:r w:rsidR="00135812">
        <w:t>T</w:t>
      </w:r>
      <w:r>
        <w:t xml:space="preserve">here will be no change in therapeutic effectiveness should the proposed items be listed. No further investigation of therapeutic effectiveness </w:t>
      </w:r>
      <w:r w:rsidR="00135812">
        <w:t xml:space="preserve">for this scenario </w:t>
      </w:r>
      <w:r>
        <w:t>has been undertaken.</w:t>
      </w:r>
    </w:p>
    <w:p w14:paraId="63CBF3B4" w14:textId="06B7CD0F" w:rsidR="00383E39" w:rsidRDefault="00E7473C" w:rsidP="00DF3DB9">
      <w:r>
        <w:rPr>
          <w:i/>
        </w:rPr>
        <w:lastRenderedPageBreak/>
        <w:t>mpMRI</w:t>
      </w:r>
      <w:r w:rsidR="00C11E2A" w:rsidRPr="00C11E2A">
        <w:rPr>
          <w:i/>
        </w:rPr>
        <w:t xml:space="preserve"> True </w:t>
      </w:r>
      <w:r w:rsidR="00881BFC" w:rsidRPr="00C11E2A">
        <w:rPr>
          <w:i/>
        </w:rPr>
        <w:t>negative</w:t>
      </w:r>
      <w:r w:rsidR="00881BFC">
        <w:t>: These</w:t>
      </w:r>
      <w:r w:rsidR="00B34D78">
        <w:t xml:space="preserve"> </w:t>
      </w:r>
      <w:r w:rsidR="000F2D65">
        <w:t>patients</w:t>
      </w:r>
      <w:r w:rsidR="00B34D78">
        <w:t xml:space="preserve"> do not have </w:t>
      </w:r>
      <w:r w:rsidR="001327C8">
        <w:t>PCa</w:t>
      </w:r>
      <w:r w:rsidR="00B34D78">
        <w:t xml:space="preserve"> and have been accurately diagnosed by mpMRI. These patients will avoid having a biopsy and therefore avoid the adverse events associated with biopsy. The adverse events are discussed in Subsection B7. </w:t>
      </w:r>
    </w:p>
    <w:p w14:paraId="22513A14" w14:textId="78F064C8" w:rsidR="00383E39" w:rsidRDefault="00E7473C" w:rsidP="00DF3DB9">
      <w:r>
        <w:rPr>
          <w:i/>
        </w:rPr>
        <w:t>mpMRI</w:t>
      </w:r>
      <w:r w:rsidR="009C60D3" w:rsidRPr="00C11E2A">
        <w:rPr>
          <w:i/>
        </w:rPr>
        <w:t xml:space="preserve"> </w:t>
      </w:r>
      <w:r w:rsidR="009C60D3">
        <w:rPr>
          <w:i/>
        </w:rPr>
        <w:t>False</w:t>
      </w:r>
      <w:r w:rsidR="009C60D3" w:rsidRPr="00C11E2A">
        <w:rPr>
          <w:i/>
        </w:rPr>
        <w:t xml:space="preserve"> negative</w:t>
      </w:r>
      <w:r w:rsidR="00014CF6">
        <w:t>:</w:t>
      </w:r>
      <w:r w:rsidR="009C60D3">
        <w:t xml:space="preserve"> These </w:t>
      </w:r>
      <w:r w:rsidR="00F02D0E">
        <w:t>patients</w:t>
      </w:r>
      <w:r w:rsidR="009C60D3">
        <w:t xml:space="preserve"> have </w:t>
      </w:r>
      <w:r w:rsidR="001327C8">
        <w:t>PCa</w:t>
      </w:r>
      <w:r w:rsidR="009C60D3">
        <w:t xml:space="preserve"> but have been incorrectly diagnosed as cancer free by mpMRI. These </w:t>
      </w:r>
      <w:r w:rsidR="00F02D0E">
        <w:t>patients</w:t>
      </w:r>
      <w:r w:rsidR="009C60D3">
        <w:t xml:space="preserve"> </w:t>
      </w:r>
      <w:r w:rsidR="00383E39">
        <w:t>will avoid</w:t>
      </w:r>
      <w:r w:rsidR="009C60D3">
        <w:t xml:space="preserve"> the adverse events associated with</w:t>
      </w:r>
      <w:r w:rsidR="00383E39">
        <w:t xml:space="preserve"> biopsy </w:t>
      </w:r>
      <w:r w:rsidR="009C60D3">
        <w:t>as described in Subs</w:t>
      </w:r>
      <w:r w:rsidR="005F1F67">
        <w:t>ection B7</w:t>
      </w:r>
      <w:r w:rsidR="00B00804">
        <w:t>; h</w:t>
      </w:r>
      <w:r w:rsidR="005F1F67">
        <w:t xml:space="preserve">owever, </w:t>
      </w:r>
      <w:r w:rsidR="00B00804">
        <w:t>there will be</w:t>
      </w:r>
      <w:r w:rsidR="005F1F67">
        <w:t xml:space="preserve"> a delay in the diagnosis of their disease. According to the clinical algorithm for the proposed service, these patients will be re-evaluated</w:t>
      </w:r>
      <w:r w:rsidR="00C427A4">
        <w:t xml:space="preserve"> </w:t>
      </w:r>
      <w:r w:rsidR="00B00804">
        <w:t xml:space="preserve">six </w:t>
      </w:r>
      <w:r w:rsidR="005F1F67">
        <w:t>months</w:t>
      </w:r>
      <w:r w:rsidR="00383E39">
        <w:t xml:space="preserve"> </w:t>
      </w:r>
      <w:r w:rsidR="005F1F67">
        <w:t xml:space="preserve">after the negative mpMRI; </w:t>
      </w:r>
      <w:r w:rsidR="000E1DA2">
        <w:t xml:space="preserve">though </w:t>
      </w:r>
      <w:r w:rsidR="005F1F67">
        <w:t>some patient</w:t>
      </w:r>
      <w:r w:rsidR="00B00804">
        <w:t>s</w:t>
      </w:r>
      <w:r w:rsidR="005F1F67">
        <w:t xml:space="preserve"> may face additional delays. The impact of delayed treatment for this group of patients has been investigated (</w:t>
      </w:r>
      <w:r w:rsidR="00E91062">
        <w:t xml:space="preserve">Subsection </w:t>
      </w:r>
      <w:r w:rsidR="007F3C34">
        <w:t>B5</w:t>
      </w:r>
      <w:r w:rsidR="00D363B1">
        <w:t>.</w:t>
      </w:r>
      <w:r w:rsidR="007F3C34">
        <w:t>2.6</w:t>
      </w:r>
      <w:r w:rsidR="005F1F67">
        <w:t xml:space="preserve">). </w:t>
      </w:r>
      <w:r w:rsidR="008E2C6A">
        <w:t xml:space="preserve">Advice from the </w:t>
      </w:r>
      <w:r w:rsidR="00A9704F">
        <w:t>A</w:t>
      </w:r>
      <w:r w:rsidR="008E2C6A">
        <w:t>pplicant is that most (67-87%) of these patients will have low risk disease.</w:t>
      </w:r>
    </w:p>
    <w:p w14:paraId="301524E5" w14:textId="094383D0" w:rsidR="00F80C4D" w:rsidRDefault="00F80C4D" w:rsidP="00E07DFD">
      <w:r w:rsidRPr="000D5925">
        <w:rPr>
          <w:b/>
        </w:rPr>
        <w:t>High</w:t>
      </w:r>
      <w:r w:rsidR="00455E5A">
        <w:rPr>
          <w:b/>
        </w:rPr>
        <w:t>-</w:t>
      </w:r>
      <w:r w:rsidR="00B61635">
        <w:rPr>
          <w:b/>
        </w:rPr>
        <w:t>concern</w:t>
      </w:r>
      <w:r w:rsidR="00B61635" w:rsidRPr="000D5925">
        <w:rPr>
          <w:b/>
        </w:rPr>
        <w:t xml:space="preserve"> </w:t>
      </w:r>
      <w:r w:rsidRPr="000D5925">
        <w:rPr>
          <w:b/>
        </w:rPr>
        <w:t>patients</w:t>
      </w:r>
      <w:r w:rsidRPr="00F80C4D">
        <w:t xml:space="preserve">: advice from the Applicant is that 50 per cent of these patients will have </w:t>
      </w:r>
      <w:r w:rsidR="006818E1">
        <w:t>PCa</w:t>
      </w:r>
      <w:r w:rsidRPr="00F80C4D">
        <w:t xml:space="preserve"> 90</w:t>
      </w:r>
      <w:r w:rsidR="000E1DA2">
        <w:t xml:space="preserve"> per cent of which will be</w:t>
      </w:r>
      <w:r w:rsidRPr="00F80C4D">
        <w:t xml:space="preserve"> clinically significant. As all high</w:t>
      </w:r>
      <w:r w:rsidR="00513B61">
        <w:t>-</w:t>
      </w:r>
      <w:r w:rsidR="00B61635">
        <w:t>concern</w:t>
      </w:r>
      <w:r w:rsidR="00B61635" w:rsidRPr="00F80C4D">
        <w:t xml:space="preserve"> </w:t>
      </w:r>
      <w:r w:rsidRPr="00F80C4D">
        <w:t>patients will receive a biopsy, regardless of the results of the mpMRI, no change in management and no change</w:t>
      </w:r>
      <w:r w:rsidR="00064A30">
        <w:t>s</w:t>
      </w:r>
      <w:r w:rsidRPr="00F80C4D">
        <w:t xml:space="preserve"> to therapeutic effectiveness </w:t>
      </w:r>
      <w:r w:rsidR="00064A30">
        <w:t>are</w:t>
      </w:r>
      <w:r w:rsidR="00064A30" w:rsidRPr="00F80C4D">
        <w:t xml:space="preserve"> </w:t>
      </w:r>
      <w:r w:rsidRPr="00F80C4D">
        <w:t>expected for this population.</w:t>
      </w:r>
    </w:p>
    <w:p w14:paraId="552BA0D2" w14:textId="583A9599" w:rsidR="00F80C4D" w:rsidRPr="00BC25B4" w:rsidRDefault="00F80C4D" w:rsidP="00F87EE4">
      <w:pPr>
        <w:pStyle w:val="Heading2"/>
        <w:numPr>
          <w:ilvl w:val="1"/>
          <w:numId w:val="15"/>
        </w:numPr>
      </w:pPr>
      <w:bookmarkStart w:id="329" w:name="_Toc460513926"/>
      <w:r>
        <w:t>Literature Sources and Search Strategies</w:t>
      </w:r>
      <w:r w:rsidR="00647713">
        <w:t>: therapeutic effectiveness (Population 1)</w:t>
      </w:r>
      <w:bookmarkEnd w:id="329"/>
    </w:p>
    <w:p w14:paraId="73CA7FBA" w14:textId="5A89F47C" w:rsidR="00CF6C8F" w:rsidRPr="00994180" w:rsidRDefault="00CF6C8F" w:rsidP="00CF6C8F">
      <w:r>
        <w:t>A literature search was conducted to identify studies that investigate</w:t>
      </w:r>
      <w:r w:rsidR="00D52570">
        <w:t>d</w:t>
      </w:r>
      <w:r>
        <w:t xml:space="preserve"> patient outcomes associated with </w:t>
      </w:r>
      <w:r w:rsidR="001A584C">
        <w:t xml:space="preserve">a </w:t>
      </w:r>
      <w:r w:rsidR="009F1E4D">
        <w:t xml:space="preserve">delay to </w:t>
      </w:r>
      <w:r w:rsidR="006818E1">
        <w:t>PCa</w:t>
      </w:r>
      <w:r w:rsidR="009F1E4D">
        <w:t xml:space="preserve"> treatment</w:t>
      </w:r>
      <w:r>
        <w:t xml:space="preserve">. </w:t>
      </w:r>
    </w:p>
    <w:p w14:paraId="3A92FCEE" w14:textId="1B905E12" w:rsidR="00BC25B4" w:rsidRPr="00B6746E" w:rsidRDefault="00BC25B4" w:rsidP="00CF6C8F">
      <w:r w:rsidRPr="00B6746E">
        <w:t xml:space="preserve">The medical literature was searched on </w:t>
      </w:r>
      <w:r w:rsidR="00645589">
        <w:t>24 June</w:t>
      </w:r>
      <w:r w:rsidRPr="00B6746E">
        <w:t xml:space="preserve"> 2016 to identify relevant studies. The search was not date limited. Searches were conducted </w:t>
      </w:r>
      <w:r w:rsidR="00BD0A30">
        <w:t>in the PubMed database</w:t>
      </w:r>
      <w:r w:rsidRPr="00B6746E">
        <w:t>. Search terms are described in</w:t>
      </w:r>
      <w:r w:rsidR="005F7FC4">
        <w:t xml:space="preserve"> </w:t>
      </w:r>
      <w:r w:rsidR="005F7FC4">
        <w:fldChar w:fldCharType="begin"/>
      </w:r>
      <w:r w:rsidR="005F7FC4">
        <w:instrText xml:space="preserve"> REF _Ref456601414 \h </w:instrText>
      </w:r>
      <w:r w:rsidR="005F7FC4">
        <w:fldChar w:fldCharType="separate"/>
      </w:r>
      <w:r w:rsidR="0029649D" w:rsidRPr="00B6746E">
        <w:t xml:space="preserve">Table </w:t>
      </w:r>
      <w:r w:rsidR="0029649D">
        <w:rPr>
          <w:noProof/>
        </w:rPr>
        <w:t>27</w:t>
      </w:r>
      <w:r w:rsidR="005F7FC4">
        <w:fldChar w:fldCharType="end"/>
      </w:r>
      <w:r w:rsidRPr="00B6746E">
        <w:t>.</w:t>
      </w:r>
    </w:p>
    <w:p w14:paraId="33FE01C4" w14:textId="3EFF8803" w:rsidR="00BC25B4" w:rsidRPr="00183E4D" w:rsidRDefault="00BC25B4" w:rsidP="00466B3D">
      <w:pPr>
        <w:pStyle w:val="Caption"/>
      </w:pPr>
      <w:bookmarkStart w:id="330" w:name="_Ref456601414"/>
      <w:bookmarkStart w:id="331" w:name="_Toc460514527"/>
      <w:r w:rsidRPr="00B6746E">
        <w:t xml:space="preserve">Table </w:t>
      </w:r>
      <w:fldSimple w:instr=" SEQ Table \* ARABIC ">
        <w:r w:rsidR="0029649D">
          <w:rPr>
            <w:noProof/>
          </w:rPr>
          <w:t>27</w:t>
        </w:r>
      </w:fldSimple>
      <w:bookmarkEnd w:id="330"/>
      <w:r w:rsidR="00A709B8">
        <w:tab/>
        <w:t>PubMED s</w:t>
      </w:r>
      <w:r w:rsidRPr="00B6746E">
        <w:t xml:space="preserve">earch </w:t>
      </w:r>
      <w:r w:rsidR="00284FD8">
        <w:t>strategy</w:t>
      </w:r>
      <w:bookmarkEnd w:id="331"/>
      <w:r w:rsidRPr="00B6746E">
        <w:t xml:space="preserve"> </w:t>
      </w:r>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3 Search terms used (literature search platform)"/>
        <w:tblDescription w:val="This table provides the keywords and indexing terms used to search for literature in a specific bibliographic database."/>
      </w:tblPr>
      <w:tblGrid>
        <w:gridCol w:w="2459"/>
        <w:gridCol w:w="6653"/>
      </w:tblGrid>
      <w:tr w:rsidR="00BC25B4" w:rsidRPr="00E6732A" w14:paraId="6281EDC4" w14:textId="77777777" w:rsidTr="00E6732A">
        <w:trPr>
          <w:trHeight w:val="397"/>
          <w:tblHeader/>
        </w:trPr>
        <w:tc>
          <w:tcPr>
            <w:tcW w:w="2410" w:type="dxa"/>
          </w:tcPr>
          <w:p w14:paraId="329684BC" w14:textId="77777777" w:rsidR="00BC25B4" w:rsidRPr="00E6732A" w:rsidRDefault="00BC25B4" w:rsidP="007E5DC5">
            <w:pPr>
              <w:pStyle w:val="Tableheading1"/>
            </w:pPr>
            <w:r w:rsidRPr="00E6732A">
              <w:t>Element of clinical question</w:t>
            </w:r>
          </w:p>
        </w:tc>
        <w:tc>
          <w:tcPr>
            <w:tcW w:w="6521" w:type="dxa"/>
          </w:tcPr>
          <w:p w14:paraId="536EF38B" w14:textId="77777777" w:rsidR="00BC25B4" w:rsidRPr="00E6732A" w:rsidRDefault="00BC25B4" w:rsidP="007E5DC5">
            <w:pPr>
              <w:pStyle w:val="Tableheading1"/>
            </w:pPr>
            <w:r w:rsidRPr="00E6732A">
              <w:t>Search terms</w:t>
            </w:r>
          </w:p>
        </w:tc>
      </w:tr>
      <w:tr w:rsidR="00BC25B4" w:rsidRPr="00183E4D" w14:paraId="3B2891CD" w14:textId="77777777" w:rsidTr="00E6732A">
        <w:trPr>
          <w:trHeight w:val="397"/>
        </w:trPr>
        <w:tc>
          <w:tcPr>
            <w:tcW w:w="2410" w:type="dxa"/>
          </w:tcPr>
          <w:p w14:paraId="2D8B62FA" w14:textId="77777777" w:rsidR="00BC25B4" w:rsidRPr="00183E4D" w:rsidRDefault="00BC25B4" w:rsidP="007E5DC5">
            <w:pPr>
              <w:pStyle w:val="Tabletext1"/>
            </w:pPr>
            <w:r w:rsidRPr="00183E4D">
              <w:t>Population</w:t>
            </w:r>
          </w:p>
        </w:tc>
        <w:tc>
          <w:tcPr>
            <w:tcW w:w="6521" w:type="dxa"/>
          </w:tcPr>
          <w:p w14:paraId="5760E470" w14:textId="77777777" w:rsidR="00BC25B4" w:rsidRPr="00183E4D" w:rsidRDefault="00BC25B4" w:rsidP="007E5DC5">
            <w:pPr>
              <w:pStyle w:val="Tabletext1"/>
            </w:pPr>
            <w:r w:rsidRPr="00A6082B">
              <w:t>(prostate) OR prostate[MeSH Terms]</w:t>
            </w:r>
          </w:p>
        </w:tc>
      </w:tr>
      <w:tr w:rsidR="00BC25B4" w:rsidRPr="00183E4D" w14:paraId="50580E0B" w14:textId="77777777" w:rsidTr="00E6732A">
        <w:trPr>
          <w:trHeight w:val="397"/>
        </w:trPr>
        <w:tc>
          <w:tcPr>
            <w:tcW w:w="2410" w:type="dxa"/>
          </w:tcPr>
          <w:p w14:paraId="1E6E3BA4" w14:textId="77777777" w:rsidR="00BC25B4" w:rsidRPr="00183E4D" w:rsidRDefault="00BC25B4" w:rsidP="007E5DC5">
            <w:pPr>
              <w:pStyle w:val="Tabletext1"/>
            </w:pPr>
            <w:r w:rsidRPr="00183E4D">
              <w:t>Intervention</w:t>
            </w:r>
          </w:p>
        </w:tc>
        <w:tc>
          <w:tcPr>
            <w:tcW w:w="6521" w:type="dxa"/>
          </w:tcPr>
          <w:p w14:paraId="05F2D813" w14:textId="315244BF" w:rsidR="00BC25B4" w:rsidRPr="00183E4D" w:rsidRDefault="00E90979" w:rsidP="007E5DC5">
            <w:pPr>
              <w:pStyle w:val="Tabletext1"/>
            </w:pPr>
            <w:r w:rsidRPr="00E90979">
              <w:t xml:space="preserve">((((((deferred[Title/Abstract]) OR delay[Title/Abstract])) AND ((((therapy[Title/Abstract]) OR treatment[Title/Abstract]) OR surgery[Title/Abstract]) OR prostatectomy[Title/Abstract]))) OR ((((((((((((("false negative"[Title/Abstract]) OR false negative[Title/Abstract]) OR missed diagnosis[Title/Abstract]) OR untreated[Title/Abstract]) OR "not treated"[Title/Abstract]) OR "inappropriate treatment"[Title/Abstract]) OR wrong diagnosis[Title/Abstract]) OR misdiagnosis[Title/Abstract]) OR </w:t>
            </w:r>
            <w:r w:rsidR="0026699D" w:rsidRPr="00E90979">
              <w:t>false</w:t>
            </w:r>
            <w:r w:rsidRPr="00E90979">
              <w:t xml:space="preserve"> negatives[Title/Abstract]) OR false negatives[Title/Abstract]) OR false reassurance[Title/Abstract]) OR inaccuracte[Title/Abstract]) OR inaccurate[Title/Abstract]))</w:t>
            </w:r>
          </w:p>
        </w:tc>
      </w:tr>
      <w:tr w:rsidR="00BC25B4" w:rsidRPr="00183E4D" w14:paraId="7CB883A6" w14:textId="77777777" w:rsidTr="00E6732A">
        <w:trPr>
          <w:trHeight w:val="397"/>
        </w:trPr>
        <w:tc>
          <w:tcPr>
            <w:tcW w:w="2410" w:type="dxa"/>
          </w:tcPr>
          <w:p w14:paraId="5D1F9E3A" w14:textId="77777777" w:rsidR="00BC25B4" w:rsidRPr="00183E4D" w:rsidRDefault="00BC25B4" w:rsidP="007E5DC5">
            <w:pPr>
              <w:pStyle w:val="Tabletext1"/>
            </w:pPr>
            <w:r w:rsidRPr="00183E4D">
              <w:t>Comparator (if applicable)</w:t>
            </w:r>
          </w:p>
        </w:tc>
        <w:tc>
          <w:tcPr>
            <w:tcW w:w="6521" w:type="dxa"/>
          </w:tcPr>
          <w:p w14:paraId="2105F5EF" w14:textId="77777777" w:rsidR="00BC25B4" w:rsidRPr="00183E4D" w:rsidRDefault="00BC25B4" w:rsidP="007E5DC5">
            <w:pPr>
              <w:pStyle w:val="Tabletext1"/>
            </w:pPr>
            <w:r>
              <w:t>NA</w:t>
            </w:r>
          </w:p>
        </w:tc>
      </w:tr>
      <w:tr w:rsidR="00BC25B4" w:rsidRPr="00183E4D" w14:paraId="1FD419A5" w14:textId="77777777" w:rsidTr="00E6732A">
        <w:trPr>
          <w:trHeight w:val="397"/>
        </w:trPr>
        <w:tc>
          <w:tcPr>
            <w:tcW w:w="2410" w:type="dxa"/>
          </w:tcPr>
          <w:p w14:paraId="4D9F6F7D" w14:textId="77777777" w:rsidR="00BC25B4" w:rsidRPr="00183E4D" w:rsidRDefault="00BC25B4" w:rsidP="007E5DC5">
            <w:pPr>
              <w:pStyle w:val="Tabletext1"/>
            </w:pPr>
            <w:r w:rsidRPr="00183E4D">
              <w:t>Outcomes (if applicable)</w:t>
            </w:r>
          </w:p>
        </w:tc>
        <w:tc>
          <w:tcPr>
            <w:tcW w:w="6521" w:type="dxa"/>
          </w:tcPr>
          <w:p w14:paraId="7884F5BC" w14:textId="77777777" w:rsidR="00BC25B4" w:rsidRPr="00183E4D" w:rsidRDefault="00BC25B4" w:rsidP="007E5DC5">
            <w:pPr>
              <w:pStyle w:val="Tabletext1"/>
            </w:pPr>
            <w:r>
              <w:t>NA</w:t>
            </w:r>
          </w:p>
        </w:tc>
      </w:tr>
      <w:tr w:rsidR="00BC25B4" w:rsidRPr="00183E4D" w14:paraId="2BEBED26" w14:textId="77777777" w:rsidTr="00E6732A">
        <w:trPr>
          <w:trHeight w:val="397"/>
        </w:trPr>
        <w:tc>
          <w:tcPr>
            <w:tcW w:w="2410" w:type="dxa"/>
          </w:tcPr>
          <w:p w14:paraId="26E89B98" w14:textId="77777777" w:rsidR="00BC25B4" w:rsidRPr="00183E4D" w:rsidRDefault="00BC25B4" w:rsidP="007E5DC5">
            <w:pPr>
              <w:pStyle w:val="Tabletext1"/>
            </w:pPr>
            <w:r w:rsidRPr="00183E4D">
              <w:t>Limits</w:t>
            </w:r>
          </w:p>
        </w:tc>
        <w:tc>
          <w:tcPr>
            <w:tcW w:w="6521" w:type="dxa"/>
          </w:tcPr>
          <w:p w14:paraId="44A5E917" w14:textId="77777777" w:rsidR="00BC25B4" w:rsidRPr="00183E4D" w:rsidRDefault="00BC25B4" w:rsidP="007E5DC5">
            <w:pPr>
              <w:pStyle w:val="Tabletext1"/>
            </w:pPr>
            <w:r>
              <w:t>None</w:t>
            </w:r>
          </w:p>
        </w:tc>
      </w:tr>
    </w:tbl>
    <w:p w14:paraId="14F5A3D3" w14:textId="012C5279" w:rsidR="00BC25B4" w:rsidRPr="001904BB" w:rsidRDefault="00BC25B4" w:rsidP="006A7B29">
      <w:pPr>
        <w:pStyle w:val="TableNotes"/>
      </w:pPr>
      <w:r w:rsidRPr="001904BB">
        <w:t xml:space="preserve">NA = not </w:t>
      </w:r>
      <w:r w:rsidRPr="006A7B29">
        <w:t>applicable</w:t>
      </w:r>
      <w:r w:rsidR="00A25AE0">
        <w:t>.</w:t>
      </w:r>
    </w:p>
    <w:p w14:paraId="785516A0" w14:textId="2E13F8B3" w:rsidR="00BC25B4" w:rsidRPr="00183E4D" w:rsidRDefault="00BC25B4" w:rsidP="00F87EE4">
      <w:pPr>
        <w:pStyle w:val="Heading2"/>
        <w:numPr>
          <w:ilvl w:val="1"/>
          <w:numId w:val="15"/>
        </w:numPr>
      </w:pPr>
      <w:bookmarkStart w:id="332" w:name="_Toc460513927"/>
      <w:r>
        <w:lastRenderedPageBreak/>
        <w:t>Results of the Literature Search</w:t>
      </w:r>
      <w:r w:rsidR="00D52570">
        <w:t xml:space="preserve">: therapeutic effectiveness </w:t>
      </w:r>
      <w:r w:rsidR="00DF2B87">
        <w:br/>
      </w:r>
      <w:r w:rsidR="00D52570">
        <w:t>(Population 1)</w:t>
      </w:r>
      <w:bookmarkEnd w:id="332"/>
    </w:p>
    <w:p w14:paraId="7351E897" w14:textId="3683C8F6" w:rsidR="00BC25B4" w:rsidRPr="00183E4D" w:rsidRDefault="008E59D0" w:rsidP="00BC25B4">
      <w:r>
        <w:t>T</w:t>
      </w:r>
      <w:r w:rsidR="001904BB">
        <w:t>he</w:t>
      </w:r>
      <w:r w:rsidR="00E166AF">
        <w:t xml:space="preserve"> PRISMA flowchart </w:t>
      </w:r>
      <w:r w:rsidR="001904BB">
        <w:t xml:space="preserve">at </w:t>
      </w:r>
      <w:r w:rsidR="00E166AF">
        <w:fldChar w:fldCharType="begin"/>
      </w:r>
      <w:r w:rsidR="00E166AF">
        <w:instrText xml:space="preserve"> REF _Ref456765618 \h </w:instrText>
      </w:r>
      <w:r w:rsidR="00E166AF">
        <w:fldChar w:fldCharType="separate"/>
      </w:r>
      <w:r w:rsidR="0029649D">
        <w:t xml:space="preserve">Figure </w:t>
      </w:r>
      <w:r w:rsidR="0029649D">
        <w:rPr>
          <w:noProof/>
        </w:rPr>
        <w:t>10</w:t>
      </w:r>
      <w:r w:rsidR="00E166AF">
        <w:fldChar w:fldCharType="end"/>
      </w:r>
      <w:r>
        <w:t xml:space="preserve"> </w:t>
      </w:r>
      <w:r w:rsidR="00BC25B4" w:rsidRPr="00183E4D">
        <w:t>provide</w:t>
      </w:r>
      <w:r>
        <w:t>s</w:t>
      </w:r>
      <w:r w:rsidR="00BC25B4" w:rsidRPr="00183E4D">
        <w:t xml:space="preserve"> a graphic depiction of the results of the literature search and the application of the study selection criteria </w:t>
      </w:r>
      <w:r w:rsidR="00EE7964">
        <w:t xml:space="preserve">as </w:t>
      </w:r>
      <w:r w:rsidR="00BC25B4" w:rsidRPr="00183E4D">
        <w:t xml:space="preserve">listed in </w:t>
      </w:r>
      <w:r w:rsidR="00A87D9D">
        <w:t xml:space="preserve">Box </w:t>
      </w:r>
      <w:r w:rsidR="006B4AA3">
        <w:t>7 (Subsection A9)</w:t>
      </w:r>
      <w:r w:rsidR="00315B89">
        <w:t xml:space="preserve">. </w:t>
      </w:r>
    </w:p>
    <w:p w14:paraId="592E743C" w14:textId="1406BE02" w:rsidR="00EE7964" w:rsidRDefault="00455E5A" w:rsidP="00EE7964">
      <w:r>
        <w:t xml:space="preserve">The single reviewer who screened studies by title and abstract also completed the full text assessment. </w:t>
      </w:r>
      <w:r w:rsidR="00EE7964" w:rsidRPr="00183E4D">
        <w:t xml:space="preserve">All other studies that met the inclusion criteria are listed in </w:t>
      </w:r>
      <w:r w:rsidR="00EE7964" w:rsidRPr="00EE7964">
        <w:t>Appendix C</w:t>
      </w:r>
      <w:r w:rsidR="00EE7964" w:rsidRPr="00183E4D">
        <w:t>.</w:t>
      </w:r>
      <w:r w:rsidR="00EE7964">
        <w:t xml:space="preserve"> </w:t>
      </w:r>
      <w:r w:rsidR="00EE7964" w:rsidRPr="00183E4D">
        <w:t xml:space="preserve">Studies that could not be retrieved or that met the inclusion criteria but contained insufficient or inadequate data for inclusion are listed as Excluded Studies in </w:t>
      </w:r>
      <w:r w:rsidR="00EE7964" w:rsidRPr="00EE7964">
        <w:t xml:space="preserve">Appendix </w:t>
      </w:r>
      <w:r w:rsidR="00EE7964">
        <w:t>E</w:t>
      </w:r>
      <w:r w:rsidR="00EE7964" w:rsidRPr="00183E4D">
        <w:t xml:space="preserve">. </w:t>
      </w:r>
    </w:p>
    <w:p w14:paraId="20DF2981" w14:textId="0631D5A9" w:rsidR="00B46DF2" w:rsidRDefault="00926DA5" w:rsidP="00827683">
      <w:r>
        <w:t xml:space="preserve">One systematic review </w:t>
      </w:r>
      <w:r w:rsidR="00B46DF2">
        <w:t>was identified</w:t>
      </w:r>
      <w:r>
        <w:t xml:space="preserve"> </w:t>
      </w:r>
      <w:r w:rsidR="008E0B00">
        <w:fldChar w:fldCharType="begin">
          <w:fldData xml:space="preserve">PEVuZE5vdGU+PENpdGU+PEF1dGhvcj52YW4gZGVuIEJlcmdoPC9BdXRob3I+PFllYXI+MjAxMzwv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</w:fldData>
        </w:fldChar>
      </w:r>
      <w:r w:rsidR="008E0B00">
        <w:instrText xml:space="preserve"> ADDIN EN.CITE </w:instrText>
      </w:r>
      <w:r w:rsidR="008E0B00">
        <w:fldChar w:fldCharType="begin">
          <w:fldData xml:space="preserve">PEVuZE5vdGU+PENpdGU+PEF1dGhvcj52YW4gZGVuIEJlcmdoPC9BdXRob3I+PFllYXI+MjAxMzwv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</w:fldData>
        </w:fldChar>
      </w:r>
      <w:r w:rsidR="008E0B00">
        <w:instrText xml:space="preserve"> ADDIN EN.CITE.DATA </w:instrText>
      </w:r>
      <w:r w:rsidR="008E0B00">
        <w:fldChar w:fldCharType="end"/>
      </w:r>
      <w:r w:rsidR="008E0B00">
        <w:fldChar w:fldCharType="separate"/>
      </w:r>
      <w:r w:rsidR="008E0B00">
        <w:rPr>
          <w:noProof/>
        </w:rPr>
        <w:t>(</w:t>
      </w:r>
      <w:hyperlink w:anchor="_ENREF_167" w:tooltip="van den Bergh, 2013 #78" w:history="1">
        <w:r w:rsidR="008E0B00">
          <w:rPr>
            <w:noProof/>
          </w:rPr>
          <w:t>van den Bergh et al. 2013</w:t>
        </w:r>
      </w:hyperlink>
      <w:r w:rsidR="008E0B00">
        <w:rPr>
          <w:noProof/>
        </w:rPr>
        <w:t>)</w:t>
      </w:r>
      <w:r w:rsidR="008E0B00">
        <w:fldChar w:fldCharType="end"/>
      </w:r>
      <w:r w:rsidR="00B46DF2">
        <w:t xml:space="preserve">. Only primary studies not included in this systematic review were included </w:t>
      </w:r>
      <w:r w:rsidR="00455E5A">
        <w:t xml:space="preserve">in the current </w:t>
      </w:r>
      <w:r w:rsidR="00B46DF2">
        <w:t xml:space="preserve">analysis. </w:t>
      </w:r>
    </w:p>
    <w:p w14:paraId="0CC42184" w14:textId="2194F57D" w:rsidR="00E166AF" w:rsidRPr="006C4425" w:rsidRDefault="00E166AF" w:rsidP="00466B3D">
      <w:pPr>
        <w:pStyle w:val="Caption"/>
      </w:pPr>
      <w:bookmarkStart w:id="333" w:name="_Ref456765618"/>
      <w:bookmarkStart w:id="334" w:name="_Toc460514617"/>
      <w:r>
        <w:t xml:space="preserve">Figure </w:t>
      </w:r>
      <w:fldSimple w:instr=" SEQ Figure \* ARABIC ">
        <w:r w:rsidR="0029649D">
          <w:rPr>
            <w:noProof/>
          </w:rPr>
          <w:t>10</w:t>
        </w:r>
      </w:fldSimple>
      <w:bookmarkEnd w:id="333"/>
      <w:r>
        <w:tab/>
      </w:r>
      <w:r w:rsidR="00A87D9D" w:rsidRPr="00183E4D">
        <w:t>Summary of the process used to identify and select studies for the assessment</w:t>
      </w:r>
      <w:r w:rsidR="00A87D9D">
        <w:t xml:space="preserve"> of patient outcomes</w:t>
      </w:r>
      <w:bookmarkEnd w:id="334"/>
    </w:p>
    <w:p w14:paraId="2FA35EEF" w14:textId="766EFB5D" w:rsidR="00E166AF" w:rsidRPr="00E166AF" w:rsidRDefault="00DD0356" w:rsidP="00E166AF">
      <w:r>
        <w:object w:dxaOrig="7058" w:dyaOrig="6321" w14:anchorId="09C02220">
          <v:shape id="_x0000_i1026" type="#_x0000_t75" alt="Figure 10 Summary of the process used to identify and select studies for the assessment of patient outcomes.  Included studies are listed in Appendix C.  Excluded studies are listed in Appendix E." style="width:354.4pt;height:317pt" o:ole="">
            <v:imagedata r:id="rId36" o:title=""/>
          </v:shape>
          <o:OLEObject Type="Embed" ProgID="Visio.Drawing.11" ShapeID="_x0000_i1026" DrawAspect="Content" ObjectID="_1583222908" r:id="rId37"/>
        </w:object>
      </w:r>
    </w:p>
    <w:p w14:paraId="574BE5E1" w14:textId="70FF5A6E" w:rsidR="00AD09B2" w:rsidRPr="00183E4D" w:rsidRDefault="00AD09B2" w:rsidP="00F87EE4">
      <w:pPr>
        <w:pStyle w:val="Heading2"/>
        <w:numPr>
          <w:ilvl w:val="1"/>
          <w:numId w:val="15"/>
        </w:numPr>
      </w:pPr>
      <w:bookmarkStart w:id="335" w:name="_Toc460513928"/>
      <w:r w:rsidRPr="00183E4D">
        <w:t>Risk of Bias Assessment</w:t>
      </w:r>
      <w:r w:rsidR="005D193A">
        <w:t>: therapeutic effectiveness (Population 1)</w:t>
      </w:r>
      <w:bookmarkEnd w:id="335"/>
    </w:p>
    <w:p w14:paraId="5A4E4660" w14:textId="3ED44DF0" w:rsidR="00967A5E" w:rsidRDefault="00967A5E" w:rsidP="00967A5E">
      <w:r>
        <w:t>Risk of bias of the systematic review was as</w:t>
      </w:r>
      <w:r w:rsidR="00926DA5">
        <w:t xml:space="preserve">sessed using the AMSTAR tool </w:t>
      </w:r>
      <w:r w:rsidR="008E0B00">
        <w:fldChar w:fldCharType="begin"/>
      </w:r>
      <w:r w:rsidR="008E0B00">
        <w:instrText xml:space="preserve"> ADDIN EN.CITE &lt;EndNote&gt;&lt;Cite&gt;&lt;Author&gt;Shea&lt;/Author&gt;&lt;Year&gt;2007&lt;/Year&gt;&lt;RecNum&gt;30&lt;/RecNum&gt;&lt;DisplayText&gt;(Shea et al. 2007)&lt;/DisplayText&gt;&lt;record&gt;&lt;rec-number&gt;30&lt;/rec-number&gt;&lt;foreign-keys&gt;&lt;key app="EN" db-id="2p9terxr22fx91epzebpfdwuzrwtw2a2ep2t" timestamp="1472684603"&gt;30&lt;/key&gt;&lt;/foreign-keys&gt;&lt;ref-type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methodology&lt;/abbr-1&gt;&lt;/alt-periodical&gt;&lt;pages&gt;10&lt;/pages&gt;&lt;volume&gt;7&lt;/volume&gt;&lt;edition&gt;2007/02/17&lt;/edition&gt;&lt;keywords&gt;&lt;keyword&gt;Bias (Epidemiology)&lt;/keyword&gt;&lt;keyword&gt;Factor Analysis, Statistical&lt;/keyword&gt;&lt;keyword&gt;Humans&lt;/keyword&gt;&lt;keyword&gt;Quality Control&lt;/keyword&gt;&lt;keyword&gt;*Reference Standards&lt;/keyword&gt;&lt;keyword&gt;Reproducibility of Results&lt;/keyword&gt;&lt;keyword&gt;*Review Literature as Topic&lt;/keyword&gt;&lt;keyword&gt;Surveys and Questionnaires&lt;/keyword&gt;&lt;/keywords&gt;&lt;dates&gt;&lt;year&gt;2007&lt;/year&gt;&lt;/dates&gt;&lt;isbn&gt;1471-2288&lt;/isbn&gt;&lt;accession-num&gt;17302989&lt;/accession-num&gt;&lt;urls&gt;&lt;/urls&gt;&lt;custom2&gt;Pmc1810543&lt;/custom2&gt;&lt;electronic-resource-num&gt;10.1186/1471-2288-7-10&lt;/electronic-resource-num&gt;&lt;remote-database-provider&gt;NLM&lt;/remote-database-provider&gt;&lt;language&gt;eng&lt;/language&gt;&lt;/record&gt;&lt;/Cite&gt;&lt;/EndNote&gt;</w:instrText>
      </w:r>
      <w:r w:rsidR="008E0B00">
        <w:fldChar w:fldCharType="separate"/>
      </w:r>
      <w:r w:rsidR="008E0B00">
        <w:rPr>
          <w:noProof/>
        </w:rPr>
        <w:t>(</w:t>
      </w:r>
      <w:hyperlink w:anchor="_ENREF_145" w:tooltip="Shea, 2007 #30" w:history="1">
        <w:r w:rsidR="008E0B00">
          <w:rPr>
            <w:noProof/>
          </w:rPr>
          <w:t>Shea et al. 2007</w:t>
        </w:r>
      </w:hyperlink>
      <w:r w:rsidR="008E0B00">
        <w:rPr>
          <w:noProof/>
        </w:rPr>
        <w:t>)</w:t>
      </w:r>
      <w:r w:rsidR="008E0B00">
        <w:fldChar w:fldCharType="end"/>
      </w:r>
      <w:r w:rsidR="00926DA5">
        <w:t>.</w:t>
      </w:r>
      <w:r w:rsidR="00B41983">
        <w:t xml:space="preserve"> </w:t>
      </w:r>
      <w:r w:rsidR="005D193A">
        <w:t>F</w:t>
      </w:r>
      <w:r>
        <w:t>or the included primary studies the Downs and Black tool</w:t>
      </w:r>
      <w:r w:rsidR="005D193A">
        <w:t xml:space="preserve"> was used</w:t>
      </w:r>
      <w:r w:rsidR="00E166AF">
        <w:t xml:space="preserve"> </w:t>
      </w:r>
      <w:r w:rsidR="008E0B00">
        <w:fldChar w:fldCharType="begin"/>
      </w:r>
      <w:r w:rsidR="008E0B00">
        <w:instrText xml:space="preserve"> ADDIN EN.CITE &lt;EndNote&gt;&lt;Cite&gt;&lt;Author&gt;Downs&lt;/Author&gt;&lt;Year&gt;1998&lt;/Year&gt;&lt;RecNum&gt;79&lt;/RecNum&gt;&lt;DisplayText&gt;(Downs and Black 1998)&lt;/DisplayText&gt;&lt;record&gt;&lt;rec-number&gt;79&lt;/rec-number&gt;&lt;foreign-keys&gt;&lt;key app="EN" db-id="2p9terxr22fx91epzebpfdwuzrwtw2a2ep2t" timestamp="1472684616"&gt;79&lt;/key&gt;&lt;/foreign-keys&gt;&lt;ref-type name="Journal Article"&gt;17&lt;/ref-type&gt;&lt;contributors&gt;&lt;authors&gt;&lt;author&gt;Downs, Sara H&lt;/author&gt;&lt;author&gt;Black, Nick&lt;/author&gt;&lt;/authors&gt;&lt;/contributors&gt;&lt;titles&gt;&lt;title&gt;The feasibility of creating a checklist for the assessment of the methodological quality both of randomised and non-randomised studies of health care interventions&lt;/title&gt;&lt;secondary-title&gt;J Epidemiol Community Health&lt;/secondary-title&gt;&lt;/titles&gt;&lt;periodical&gt;&lt;full-title&gt;J Epidemiol Community Health&lt;/full-title&gt;&lt;/periodical&gt;&lt;pages&gt;377-384&lt;/pages&gt;&lt;volume&gt;52&lt;/volume&gt;&lt;number&gt;6&lt;/number&gt;&lt;dates&gt;&lt;year&gt;1998&lt;/year&gt;&lt;/dates&gt;&lt;isbn&gt;1470-2738&lt;/isbn&gt;&lt;urls&gt;&lt;/urls&gt;&lt;/record&gt;&lt;/Cite&gt;&lt;/EndNote&gt;</w:instrText>
      </w:r>
      <w:r w:rsidR="008E0B00">
        <w:fldChar w:fldCharType="separate"/>
      </w:r>
      <w:r w:rsidR="008E0B00">
        <w:rPr>
          <w:noProof/>
        </w:rPr>
        <w:t>(</w:t>
      </w:r>
      <w:hyperlink w:anchor="_ENREF_42" w:tooltip="Downs, 1998 #79" w:history="1">
        <w:r w:rsidR="008E0B00">
          <w:rPr>
            <w:noProof/>
          </w:rPr>
          <w:t>Downs and Black 1998</w:t>
        </w:r>
      </w:hyperlink>
      <w:r w:rsidR="008E0B00">
        <w:rPr>
          <w:noProof/>
        </w:rPr>
        <w:t>)</w:t>
      </w:r>
      <w:r w:rsidR="008E0B00">
        <w:fldChar w:fldCharType="end"/>
      </w:r>
      <w:r>
        <w:t>.</w:t>
      </w:r>
    </w:p>
    <w:p w14:paraId="090AC6C3" w14:textId="3F6246D2" w:rsidR="00AA7489" w:rsidRDefault="00AA7489" w:rsidP="00967A5E">
      <w:r>
        <w:lastRenderedPageBreak/>
        <w:t xml:space="preserve">The systematic review by van den Bergh et al. </w:t>
      </w:r>
      <w:r w:rsidR="004B7679">
        <w:t xml:space="preserve">(2013) </w:t>
      </w:r>
      <w:r>
        <w:t xml:space="preserve">failed to assess the quality of the included </w:t>
      </w:r>
      <w:r w:rsidR="00305C27">
        <w:t>studies;</w:t>
      </w:r>
      <w:r>
        <w:t xml:space="preserve"> </w:t>
      </w:r>
      <w:r w:rsidR="004B7679">
        <w:t xml:space="preserve">it </w:t>
      </w:r>
      <w:r>
        <w:t xml:space="preserve">did not assess any publication bias, </w:t>
      </w:r>
      <w:r w:rsidR="00F6311C">
        <w:t>nor</w:t>
      </w:r>
      <w:r>
        <w:t xml:space="preserve"> include grey literature</w:t>
      </w:r>
      <w:r w:rsidR="00F6311C">
        <w:t>,</w:t>
      </w:r>
      <w:r>
        <w:t xml:space="preserve"> and did not provide a list of excluded studies. Therefore</w:t>
      </w:r>
      <w:r w:rsidR="00EE7964">
        <w:t>,</w:t>
      </w:r>
      <w:r>
        <w:t xml:space="preserve"> this review is considered poor quality</w:t>
      </w:r>
      <w:r w:rsidR="00D86D03">
        <w:t xml:space="preserve"> (</w:t>
      </w:r>
      <w:r w:rsidR="009530EE">
        <w:fldChar w:fldCharType="begin"/>
      </w:r>
      <w:r w:rsidR="009530EE">
        <w:instrText xml:space="preserve"> REF _Ref456769281 \h </w:instrText>
      </w:r>
      <w:r w:rsidR="009530EE">
        <w:fldChar w:fldCharType="separate"/>
      </w:r>
      <w:r w:rsidR="0029649D">
        <w:t xml:space="preserve">Table </w:t>
      </w:r>
      <w:r w:rsidR="0029649D">
        <w:rPr>
          <w:noProof/>
        </w:rPr>
        <w:t>83</w:t>
      </w:r>
      <w:r w:rsidR="009530EE">
        <w:fldChar w:fldCharType="end"/>
      </w:r>
      <w:r w:rsidR="00D735BB">
        <w:t>, Appendix F</w:t>
      </w:r>
      <w:r w:rsidR="009530EE">
        <w:t>)</w:t>
      </w:r>
      <w:r>
        <w:t>. However, the review did provide adequate information about the included studies to enable data extraction and the methodological issues of the review were not considered to impact the conclusions of this assessment.</w:t>
      </w:r>
    </w:p>
    <w:p w14:paraId="0B2E8CDD" w14:textId="69D7A473" w:rsidR="00472895" w:rsidRDefault="00472895" w:rsidP="00967A5E">
      <w:r>
        <w:t xml:space="preserve">Overall, </w:t>
      </w:r>
      <w:r w:rsidR="005A14BF">
        <w:t xml:space="preserve">the primary studies </w:t>
      </w:r>
      <w:r w:rsidR="00AB15BF">
        <w:t xml:space="preserve">were </w:t>
      </w:r>
      <w:r>
        <w:t xml:space="preserve">judged </w:t>
      </w:r>
      <w:r w:rsidR="00AB15BF">
        <w:t>to have a</w:t>
      </w:r>
      <w:r w:rsidR="001155C9">
        <w:t xml:space="preserve"> moderate risk of bias</w:t>
      </w:r>
      <w:r w:rsidR="00113789">
        <w:t xml:space="preserve"> (</w:t>
      </w:r>
      <w:r w:rsidR="00113789">
        <w:fldChar w:fldCharType="begin"/>
      </w:r>
      <w:r w:rsidR="00113789">
        <w:instrText xml:space="preserve"> REF _Ref456769282 \h </w:instrText>
      </w:r>
      <w:r w:rsidR="00113789">
        <w:fldChar w:fldCharType="separate"/>
      </w:r>
      <w:r w:rsidR="0029649D">
        <w:t xml:space="preserve">Table </w:t>
      </w:r>
      <w:r w:rsidR="0029649D">
        <w:rPr>
          <w:noProof/>
        </w:rPr>
        <w:t>84</w:t>
      </w:r>
      <w:r w:rsidR="00113789">
        <w:fldChar w:fldCharType="end"/>
      </w:r>
      <w:r w:rsidR="00113789">
        <w:t>, Appendix F)</w:t>
      </w:r>
      <w:r>
        <w:t>. The major limitation</w:t>
      </w:r>
      <w:r w:rsidR="00AB15BF">
        <w:t>s</w:t>
      </w:r>
      <w:r>
        <w:t xml:space="preserve"> of the evidence base </w:t>
      </w:r>
      <w:r w:rsidR="00AB15BF">
        <w:t xml:space="preserve">were </w:t>
      </w:r>
      <w:r>
        <w:t>the potential for confounding variable</w:t>
      </w:r>
      <w:r w:rsidR="00AB15BF">
        <w:t>s</w:t>
      </w:r>
      <w:r>
        <w:t xml:space="preserve"> to influence the results and potential issues with applicability. The population included in most studies was entirely or mostly </w:t>
      </w:r>
      <w:r w:rsidR="00F6311C">
        <w:t xml:space="preserve">comprised of </w:t>
      </w:r>
      <w:r>
        <w:t xml:space="preserve">patients with low risk disease. Patients experiencing longer delays to treatment also tended to be men with low risk disease. It is unclear to what extent this influenced the results. Most studies measured the impact of </w:t>
      </w:r>
      <w:r w:rsidR="00973F9C">
        <w:t>a treatment delay of</w:t>
      </w:r>
      <w:r>
        <w:t xml:space="preserve"> approximately </w:t>
      </w:r>
      <w:r w:rsidR="00926DA5">
        <w:t>three</w:t>
      </w:r>
      <w:r>
        <w:t xml:space="preserve"> months. This is likely to be </w:t>
      </w:r>
      <w:r w:rsidR="00973F9C">
        <w:t xml:space="preserve">a </w:t>
      </w:r>
      <w:r>
        <w:t xml:space="preserve">shorter </w:t>
      </w:r>
      <w:r w:rsidR="00973F9C">
        <w:t xml:space="preserve">delay </w:t>
      </w:r>
      <w:r>
        <w:t xml:space="preserve">than patients in our target population would </w:t>
      </w:r>
      <w:r w:rsidR="00973F9C">
        <w:t>experience</w:t>
      </w:r>
      <w:r>
        <w:t xml:space="preserve"> (expected to be ≥ 6 months). However, the stud</w:t>
      </w:r>
      <w:r w:rsidR="00926DA5">
        <w:t>ies</w:t>
      </w:r>
      <w:r>
        <w:t xml:space="preserve"> by Dong et al.</w:t>
      </w:r>
      <w:r w:rsidR="00926DA5">
        <w:t xml:space="preserve"> </w:t>
      </w:r>
      <w:r w:rsidR="00F6311C">
        <w:t xml:space="preserve">(2016) </w:t>
      </w:r>
      <w:r w:rsidR="00926DA5">
        <w:t>and Loeb et al.</w:t>
      </w:r>
      <w:r>
        <w:t xml:space="preserve"> </w:t>
      </w:r>
      <w:r w:rsidR="00F6311C">
        <w:t xml:space="preserve">(2016) </w:t>
      </w:r>
      <w:r w:rsidR="00926DA5">
        <w:t>included treatment delays of greater than one year</w:t>
      </w:r>
      <w:r w:rsidR="00973F9C">
        <w:t xml:space="preserve"> and included patients with low, intermediate and high</w:t>
      </w:r>
      <w:r w:rsidR="00F6311C">
        <w:t xml:space="preserve"> </w:t>
      </w:r>
      <w:r w:rsidR="00973F9C">
        <w:t>risk disease</w:t>
      </w:r>
      <w:r w:rsidR="00926DA5">
        <w:t xml:space="preserve"> </w:t>
      </w:r>
      <w:r w:rsidR="008E0B00">
        <w:fldChar w:fldCharType="begin">
          <w:fldData xml:space="preserve">PEVuZE5vdGU+PENpdGU+PEF1dGhvcj5Eb25nPC9BdXRob3I+PFllYXI+MjAxNjwvWWVhcj48UmVj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==
</w:fldData>
        </w:fldChar>
      </w:r>
      <w:r w:rsidR="008E0B00">
        <w:instrText xml:space="preserve"> ADDIN EN.CITE </w:instrText>
      </w:r>
      <w:r w:rsidR="008E0B00">
        <w:fldChar w:fldCharType="begin">
          <w:fldData xml:space="preserve">PEVuZE5vdGU+PENpdGU+PEF1dGhvcj5Eb25nPC9BdXRob3I+PFllYXI+MjAxNjwvWWVhcj48UmVj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==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41" w:tooltip="Dong, 2016 #80" w:history="1">
        <w:r w:rsidR="008E0B00">
          <w:rPr>
            <w:noProof/>
          </w:rPr>
          <w:t>Dong et al. 2016</w:t>
        </w:r>
      </w:hyperlink>
      <w:r w:rsidR="008E0B00">
        <w:rPr>
          <w:noProof/>
        </w:rPr>
        <w:t xml:space="preserve">; </w:t>
      </w:r>
      <w:hyperlink w:anchor="_ENREF_86" w:tooltip="Loeb, 2016 #81" w:history="1">
        <w:r w:rsidR="008E0B00">
          <w:rPr>
            <w:noProof/>
          </w:rPr>
          <w:t>Loeb et al. 2016</w:t>
        </w:r>
      </w:hyperlink>
      <w:r w:rsidR="008E0B00">
        <w:rPr>
          <w:noProof/>
        </w:rPr>
        <w:t>)</w:t>
      </w:r>
      <w:r w:rsidR="008E0B00">
        <w:fldChar w:fldCharType="end"/>
      </w:r>
      <w:r>
        <w:t>. Therefore</w:t>
      </w:r>
      <w:r w:rsidR="00EE7964">
        <w:t>,</w:t>
      </w:r>
      <w:r>
        <w:t xml:space="preserve"> </w:t>
      </w:r>
      <w:r w:rsidR="00926DA5">
        <w:t>these studies were</w:t>
      </w:r>
      <w:r>
        <w:t xml:space="preserve"> considered </w:t>
      </w:r>
      <w:r w:rsidR="00926DA5">
        <w:t>most applicable to this Assessment</w:t>
      </w:r>
      <w:r>
        <w:t xml:space="preserve">. </w:t>
      </w:r>
    </w:p>
    <w:p w14:paraId="46F223F2" w14:textId="77777777" w:rsidR="00AD09B2" w:rsidRPr="00183E4D" w:rsidRDefault="00AD09B2" w:rsidP="00F87EE4">
      <w:pPr>
        <w:pStyle w:val="Heading2"/>
        <w:numPr>
          <w:ilvl w:val="1"/>
          <w:numId w:val="15"/>
        </w:numPr>
      </w:pPr>
      <w:bookmarkStart w:id="336" w:name="_Toc460513929"/>
      <w:r w:rsidRPr="00183E4D">
        <w:t>Characteristics of the Evidence Base</w:t>
      </w:r>
      <w:bookmarkEnd w:id="336"/>
    </w:p>
    <w:p w14:paraId="586E2529" w14:textId="0F9B00F2" w:rsidR="009965FA" w:rsidRPr="00183E4D" w:rsidRDefault="00895CD3" w:rsidP="00CA5A99">
      <w:r>
        <w:t>One systematic</w:t>
      </w:r>
      <w:r w:rsidR="00B7123A">
        <w:t xml:space="preserve"> review</w:t>
      </w:r>
      <w:r w:rsidR="00DC4597">
        <w:t xml:space="preserve"> </w:t>
      </w:r>
      <w:r w:rsidR="008E0B00">
        <w:fldChar w:fldCharType="begin">
          <w:fldData xml:space="preserve">PEVuZE5vdGU+PENpdGU+PEF1dGhvcj52YW4gZGVuIEJlcmdoPC9BdXRob3I+PFllYXI+MjAxMzwv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</w:fldData>
        </w:fldChar>
      </w:r>
      <w:r w:rsidR="008E0B00">
        <w:instrText xml:space="preserve"> ADDIN EN.CITE </w:instrText>
      </w:r>
      <w:r w:rsidR="008E0B00">
        <w:fldChar w:fldCharType="begin">
          <w:fldData xml:space="preserve">PEVuZE5vdGU+PENpdGU+PEF1dGhvcj52YW4gZGVuIEJlcmdoPC9BdXRob3I+PFllYXI+MjAxMzwv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</w:fldData>
        </w:fldChar>
      </w:r>
      <w:r w:rsidR="008E0B00">
        <w:instrText xml:space="preserve"> ADDIN EN.CITE.DATA </w:instrText>
      </w:r>
      <w:r w:rsidR="008E0B00">
        <w:fldChar w:fldCharType="end"/>
      </w:r>
      <w:r w:rsidR="008E0B00">
        <w:fldChar w:fldCharType="separate"/>
      </w:r>
      <w:r w:rsidR="008E0B00">
        <w:rPr>
          <w:noProof/>
        </w:rPr>
        <w:t>(</w:t>
      </w:r>
      <w:hyperlink w:anchor="_ENREF_167" w:tooltip="van den Bergh, 2013 #78" w:history="1">
        <w:r w:rsidR="008E0B00">
          <w:rPr>
            <w:noProof/>
          </w:rPr>
          <w:t>van den Bergh et al. 2013</w:t>
        </w:r>
      </w:hyperlink>
      <w:r w:rsidR="008E0B00">
        <w:rPr>
          <w:noProof/>
        </w:rPr>
        <w:t>)</w:t>
      </w:r>
      <w:r w:rsidR="008E0B00">
        <w:fldChar w:fldCharType="end"/>
      </w:r>
      <w:r w:rsidR="00B7123A">
        <w:t xml:space="preserve">, including </w:t>
      </w:r>
      <w:r w:rsidR="00512964">
        <w:t>17</w:t>
      </w:r>
      <w:r w:rsidR="00B7123A">
        <w:t xml:space="preserve"> studies with </w:t>
      </w:r>
      <w:r w:rsidR="00512964">
        <w:t>34,517</w:t>
      </w:r>
      <w:r w:rsidR="00B7123A">
        <w:t xml:space="preserve"> patients </w:t>
      </w:r>
      <w:r>
        <w:t xml:space="preserve">and </w:t>
      </w:r>
      <w:r w:rsidR="00D76031">
        <w:t>six</w:t>
      </w:r>
      <w:r>
        <w:t xml:space="preserve"> primary studies</w:t>
      </w:r>
      <w:r w:rsidR="00DC4597">
        <w:t xml:space="preserve"> </w:t>
      </w:r>
      <w:r w:rsidR="008E0B00">
        <w:fldChar w:fldCharType="begin">
          <w:fldData xml:space="preserve">PEVuZE5vdGU+PENpdGU+PEF1dGhvcj5Cb29yamlhbjwvQXV0aG9yPjxZZWFyPjIwMDU8L1llYXI+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</w:fldData>
        </w:fldChar>
      </w:r>
      <w:r w:rsidR="008E0B00">
        <w:instrText xml:space="preserve"> ADDIN EN.CITE </w:instrText>
      </w:r>
      <w:r w:rsidR="008E0B00">
        <w:fldChar w:fldCharType="begin">
          <w:fldData xml:space="preserve">PEVuZE5vdGU+PENpdGU+PEF1dGhvcj5Cb29yamlhbjwvQXV0aG9yPjxZZWFyPjIwMDU8L1llYXI+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</w:fldData>
        </w:fldChar>
      </w:r>
      <w:r w:rsidR="008E0B00">
        <w:instrText xml:space="preserve"> ADDIN EN.CITE.DATA </w:instrText>
      </w:r>
      <w:r w:rsidR="008E0B00">
        <w:fldChar w:fldCharType="end"/>
      </w:r>
      <w:r w:rsidR="008E0B00">
        <w:fldChar w:fldCharType="separate"/>
      </w:r>
      <w:r w:rsidR="008E0B00">
        <w:rPr>
          <w:noProof/>
        </w:rPr>
        <w:t>(</w:t>
      </w:r>
      <w:hyperlink w:anchor="_ENREF_20" w:tooltip="Boorjian, 2005 #188" w:history="1">
        <w:r w:rsidR="008E0B00">
          <w:rPr>
            <w:noProof/>
          </w:rPr>
          <w:t>Boorjian et al. 2005</w:t>
        </w:r>
      </w:hyperlink>
      <w:r w:rsidR="008E0B00">
        <w:rPr>
          <w:noProof/>
        </w:rPr>
        <w:t xml:space="preserve">; </w:t>
      </w:r>
      <w:hyperlink w:anchor="_ENREF_41" w:tooltip="Dong, 2016 #80" w:history="1">
        <w:r w:rsidR="008E0B00">
          <w:rPr>
            <w:noProof/>
          </w:rPr>
          <w:t>Dong et al. 2016</w:t>
        </w:r>
      </w:hyperlink>
      <w:r w:rsidR="008E0B00">
        <w:rPr>
          <w:noProof/>
        </w:rPr>
        <w:t xml:space="preserve">; </w:t>
      </w:r>
      <w:hyperlink w:anchor="_ENREF_45" w:tooltip="Eroglu, 2014 #190" w:history="1">
        <w:r w:rsidR="008E0B00">
          <w:rPr>
            <w:noProof/>
          </w:rPr>
          <w:t>Eroglu et al. 2014</w:t>
        </w:r>
      </w:hyperlink>
      <w:r w:rsidR="008E0B00">
        <w:rPr>
          <w:noProof/>
        </w:rPr>
        <w:t xml:space="preserve">; </w:t>
      </w:r>
      <w:hyperlink w:anchor="_ENREF_86" w:tooltip="Loeb, 2016 #81" w:history="1">
        <w:r w:rsidR="008E0B00">
          <w:rPr>
            <w:noProof/>
          </w:rPr>
          <w:t>Loeb et al. 2016</w:t>
        </w:r>
      </w:hyperlink>
      <w:r w:rsidR="008E0B00">
        <w:rPr>
          <w:noProof/>
        </w:rPr>
        <w:t xml:space="preserve">; </w:t>
      </w:r>
      <w:hyperlink w:anchor="_ENREF_107" w:tooltip="O'Kelly, 2013 #82" w:history="1">
        <w:r w:rsidR="008E0B00">
          <w:rPr>
            <w:noProof/>
          </w:rPr>
          <w:t>O'Kelly et al. 2013</w:t>
        </w:r>
      </w:hyperlink>
      <w:r w:rsidR="008E0B00">
        <w:rPr>
          <w:noProof/>
        </w:rPr>
        <w:t xml:space="preserve">; </w:t>
      </w:r>
      <w:hyperlink w:anchor="_ENREF_123" w:tooltip="Redaniel, 2013 #193" w:history="1">
        <w:r w:rsidR="008E0B00">
          <w:rPr>
            <w:noProof/>
          </w:rPr>
          <w:t>Redaniel et al. 2013</w:t>
        </w:r>
      </w:hyperlink>
      <w:r w:rsidR="008E0B00">
        <w:rPr>
          <w:noProof/>
        </w:rPr>
        <w:t>)</w:t>
      </w:r>
      <w:r w:rsidR="008E0B00">
        <w:fldChar w:fldCharType="end"/>
      </w:r>
      <w:r w:rsidR="00305C27">
        <w:t xml:space="preserve"> with</w:t>
      </w:r>
      <w:r w:rsidR="00512964">
        <w:t xml:space="preserve"> an additional 32,504</w:t>
      </w:r>
      <w:r w:rsidR="00D76031">
        <w:t xml:space="preserve"> patients,</w:t>
      </w:r>
      <w:r>
        <w:t xml:space="preserve"> that </w:t>
      </w:r>
      <w:r w:rsidR="00351265">
        <w:t xml:space="preserve">assessed the impact of delayed treatment for </w:t>
      </w:r>
      <w:r w:rsidR="006818E1">
        <w:t>PCa</w:t>
      </w:r>
      <w:r w:rsidR="00F6311C" w:rsidRPr="00F6311C">
        <w:t xml:space="preserve"> </w:t>
      </w:r>
      <w:r w:rsidR="00F6311C">
        <w:t>were identified</w:t>
      </w:r>
      <w:r w:rsidR="00173B1C">
        <w:t>.</w:t>
      </w:r>
      <w:r w:rsidR="00173B1C" w:rsidRPr="00173B1C">
        <w:t xml:space="preserve"> </w:t>
      </w:r>
      <w:r w:rsidR="00173B1C" w:rsidRPr="00183E4D">
        <w:t xml:space="preserve">See </w:t>
      </w:r>
      <w:r w:rsidR="00173B1C" w:rsidRPr="00A8687A">
        <w:t>Appendix C</w:t>
      </w:r>
      <w:r w:rsidR="00173B1C" w:rsidRPr="00183E4D">
        <w:t xml:space="preserve"> for details on the individual studies included in the evidence base. </w:t>
      </w:r>
      <w:r w:rsidR="009965FA">
        <w:t xml:space="preserve">A summary of the trial characteristics of studies providing evidence relating to the health impact from the change in management </w:t>
      </w:r>
      <w:r w:rsidR="009965FA" w:rsidRPr="00183E4D">
        <w:t xml:space="preserve">is provided </w:t>
      </w:r>
      <w:r w:rsidR="009965FA">
        <w:t>in</w:t>
      </w:r>
      <w:r w:rsidR="00CA5A99">
        <w:t xml:space="preserve"> </w:t>
      </w:r>
      <w:r w:rsidR="00CA5A99">
        <w:fldChar w:fldCharType="begin"/>
      </w:r>
      <w:r w:rsidR="00CA5A99">
        <w:instrText xml:space="preserve"> REF _Ref458591798 \h  \* MERGEFORMAT </w:instrText>
      </w:r>
      <w:r w:rsidR="00CA5A99">
        <w:fldChar w:fldCharType="separate"/>
      </w:r>
      <w:r w:rsidR="0029649D">
        <w:t xml:space="preserve">Table </w:t>
      </w:r>
      <w:r w:rsidR="0029649D">
        <w:rPr>
          <w:noProof/>
        </w:rPr>
        <w:t>28</w:t>
      </w:r>
      <w:r w:rsidR="00CA5A99">
        <w:fldChar w:fldCharType="end"/>
      </w:r>
      <w:r w:rsidR="00CA5A99">
        <w:t xml:space="preserve">. </w:t>
      </w:r>
    </w:p>
    <w:p w14:paraId="681AD4C1" w14:textId="28A118DA" w:rsidR="00291227" w:rsidRDefault="009965FA" w:rsidP="003223EC">
      <w:r>
        <w:t xml:space="preserve">The </w:t>
      </w:r>
      <w:r w:rsidR="00F534F6">
        <w:t>evidence</w:t>
      </w:r>
      <w:r>
        <w:t xml:space="preserve"> base to inform the impact on a delay to treatment was diverse with respect to outcomes measured and study design. Length of delay </w:t>
      </w:r>
      <w:r w:rsidR="005A6665">
        <w:t xml:space="preserve">as </w:t>
      </w:r>
      <w:r w:rsidR="00F534F6">
        <w:t xml:space="preserve">measured by the studies ranged from </w:t>
      </w:r>
      <w:r w:rsidR="005A6665">
        <w:t>2-</w:t>
      </w:r>
      <w:r w:rsidR="00F534F6">
        <w:t xml:space="preserve">24 months. Most studies (14/23) assessed the impact of a delay greater than </w:t>
      </w:r>
      <w:r w:rsidR="00CA5A99">
        <w:t xml:space="preserve">three </w:t>
      </w:r>
      <w:r w:rsidR="00F534F6">
        <w:t xml:space="preserve">months compared to a delay </w:t>
      </w:r>
      <w:r w:rsidR="00A8687A">
        <w:t>less than</w:t>
      </w:r>
      <w:r w:rsidR="00F534F6">
        <w:t xml:space="preserve"> </w:t>
      </w:r>
      <w:r w:rsidR="00CA5A99">
        <w:t xml:space="preserve">three </w:t>
      </w:r>
      <w:r w:rsidR="00F534F6">
        <w:t xml:space="preserve">months. </w:t>
      </w:r>
      <w:r w:rsidR="00F534F6" w:rsidRPr="00305C27">
        <w:t>Five studies in the systematic review</w:t>
      </w:r>
      <w:r w:rsidR="003C3442" w:rsidRPr="00305C27">
        <w:t xml:space="preserve">, as well as Dong et al. </w:t>
      </w:r>
      <w:r w:rsidR="003223EC">
        <w:t xml:space="preserve">(2016), </w:t>
      </w:r>
      <w:r w:rsidR="00E31E0E" w:rsidRPr="00305C27">
        <w:t xml:space="preserve">Loeb et al. </w:t>
      </w:r>
      <w:r w:rsidR="003223EC">
        <w:t xml:space="preserve">(2016), </w:t>
      </w:r>
      <w:r w:rsidR="00E31E0E" w:rsidRPr="00305C27">
        <w:t>and</w:t>
      </w:r>
      <w:r w:rsidR="003C3442" w:rsidRPr="00305C27">
        <w:t xml:space="preserve"> O’Kelly et al. </w:t>
      </w:r>
      <w:r w:rsidR="003223EC">
        <w:t xml:space="preserve">(2013) </w:t>
      </w:r>
      <w:r w:rsidR="003B4D1D" w:rsidRPr="00305C27">
        <w:t>assessed</w:t>
      </w:r>
      <w:r w:rsidR="00F534F6" w:rsidRPr="00305C27">
        <w:t xml:space="preserve"> the impact of a delay </w:t>
      </w:r>
      <w:r w:rsidR="00CA5A99" w:rsidRPr="00305C27">
        <w:t>greater than six</w:t>
      </w:r>
      <w:r w:rsidR="00F534F6" w:rsidRPr="00305C27">
        <w:t xml:space="preserve"> months</w:t>
      </w:r>
      <w:r w:rsidR="00E31E0E" w:rsidRPr="00305C27">
        <w:t xml:space="preserve"> </w:t>
      </w:r>
      <w:r w:rsidR="008E0B00">
        <w:fldChar w:fldCharType="begin">
          <w:fldData xml:space="preserve">PEVuZE5vdGU+PENpdGU+PEF1dGhvcj5Eb25nPC9BdXRob3I+PFllYXI+MjAxNjwvWWVhcj48UmVj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</w:fldData>
        </w:fldChar>
      </w:r>
      <w:r w:rsidR="008E0B00">
        <w:instrText xml:space="preserve"> ADDIN EN.CITE </w:instrText>
      </w:r>
      <w:r w:rsidR="008E0B00">
        <w:fldChar w:fldCharType="begin">
          <w:fldData xml:space="preserve">PEVuZE5vdGU+PENpdGU+PEF1dGhvcj5Eb25nPC9BdXRob3I+PFllYXI+MjAxNjwvWWVhcj48UmVj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41" w:tooltip="Dong, 2016 #80" w:history="1">
        <w:r w:rsidR="008E0B00">
          <w:rPr>
            <w:noProof/>
          </w:rPr>
          <w:t>Dong et al. 2016</w:t>
        </w:r>
      </w:hyperlink>
      <w:r w:rsidR="008E0B00">
        <w:rPr>
          <w:noProof/>
        </w:rPr>
        <w:t xml:space="preserve">; </w:t>
      </w:r>
      <w:hyperlink w:anchor="_ENREF_86" w:tooltip="Loeb, 2016 #81" w:history="1">
        <w:r w:rsidR="008E0B00">
          <w:rPr>
            <w:noProof/>
          </w:rPr>
          <w:t>Loeb et al. 2016</w:t>
        </w:r>
      </w:hyperlink>
      <w:r w:rsidR="008E0B00">
        <w:rPr>
          <w:noProof/>
        </w:rPr>
        <w:t xml:space="preserve">; </w:t>
      </w:r>
      <w:hyperlink w:anchor="_ENREF_107" w:tooltip="O'Kelly, 2013 #82" w:history="1">
        <w:r w:rsidR="008E0B00">
          <w:rPr>
            <w:noProof/>
          </w:rPr>
          <w:t>O'Kelly et al. 2013</w:t>
        </w:r>
      </w:hyperlink>
      <w:r w:rsidR="008E0B00">
        <w:rPr>
          <w:noProof/>
        </w:rPr>
        <w:t>)</w:t>
      </w:r>
      <w:r w:rsidR="008E0B00">
        <w:fldChar w:fldCharType="end"/>
      </w:r>
      <w:r w:rsidR="00F534F6" w:rsidRPr="00305C27">
        <w:t>.</w:t>
      </w:r>
      <w:r w:rsidR="00F534F6">
        <w:t xml:space="preserve"> </w:t>
      </w:r>
      <w:r w:rsidR="003B4D1D">
        <w:t>These studies were considered most applicable to this assessment as it is un</w:t>
      </w:r>
      <w:r w:rsidR="000C7211">
        <w:t>likely that</w:t>
      </w:r>
      <w:r w:rsidR="003B4D1D">
        <w:t xml:space="preserve"> patients would be re-assessed within six months following an mpMRI.</w:t>
      </w:r>
      <w:bookmarkStart w:id="337" w:name="_Ref456612645"/>
      <w:r w:rsidR="00291227">
        <w:br w:type="page"/>
      </w:r>
    </w:p>
    <w:p w14:paraId="06F46D8E" w14:textId="3E8000AA" w:rsidR="00AD09B2" w:rsidRDefault="00CA5A99" w:rsidP="00CA5A99">
      <w:pPr>
        <w:pStyle w:val="Caption"/>
      </w:pPr>
      <w:bookmarkStart w:id="338" w:name="_Ref458591798"/>
      <w:bookmarkStart w:id="339" w:name="_Toc460514528"/>
      <w:bookmarkEnd w:id="337"/>
      <w:r>
        <w:lastRenderedPageBreak/>
        <w:t xml:space="preserve">Table </w:t>
      </w:r>
      <w:fldSimple w:instr=" SEQ Table \* ARABIC ">
        <w:r w:rsidR="0029649D">
          <w:rPr>
            <w:noProof/>
          </w:rPr>
          <w:t>28</w:t>
        </w:r>
      </w:fldSimple>
      <w:bookmarkEnd w:id="338"/>
      <w:r w:rsidR="00AD09B2" w:rsidRPr="005602E5">
        <w:tab/>
      </w:r>
      <w:r w:rsidR="00AD09B2" w:rsidRPr="00466B3D">
        <w:t xml:space="preserve">Key features of the included evidence assessing impact of </w:t>
      </w:r>
      <w:r w:rsidR="001155C9" w:rsidRPr="00466B3D">
        <w:t>delayed treatment</w:t>
      </w:r>
      <w:r w:rsidR="005602E5" w:rsidRPr="00466B3D">
        <w:t xml:space="preserve"> in Population 1</w:t>
      </w:r>
      <w:bookmarkEnd w:id="339"/>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033"/>
        <w:gridCol w:w="877"/>
        <w:gridCol w:w="1167"/>
        <w:gridCol w:w="875"/>
        <w:gridCol w:w="2076"/>
        <w:gridCol w:w="2089"/>
        <w:gridCol w:w="995"/>
      </w:tblGrid>
      <w:tr w:rsidR="00955C58" w:rsidRPr="003F2FD7" w14:paraId="12FD539B" w14:textId="77777777" w:rsidTr="00E6732A">
        <w:trPr>
          <w:trHeight w:val="397"/>
          <w:tblHeader/>
        </w:trPr>
        <w:tc>
          <w:tcPr>
            <w:tcW w:w="0" w:type="auto"/>
            <w:shd w:val="clear" w:color="auto" w:fill="auto"/>
          </w:tcPr>
          <w:p w14:paraId="286D1758" w14:textId="77777777" w:rsidR="00955C58" w:rsidRPr="003F2FD7" w:rsidRDefault="00955C58" w:rsidP="002F16DB">
            <w:pPr>
              <w:pStyle w:val="Tableheading1"/>
            </w:pPr>
            <w:r w:rsidRPr="003F2FD7">
              <w:t>Trial/Study</w:t>
            </w:r>
          </w:p>
        </w:tc>
        <w:tc>
          <w:tcPr>
            <w:tcW w:w="0" w:type="auto"/>
            <w:shd w:val="clear" w:color="auto" w:fill="auto"/>
          </w:tcPr>
          <w:p w14:paraId="7C254748" w14:textId="69EF7098" w:rsidR="00955C58" w:rsidRPr="003F2FD7" w:rsidRDefault="00E6732A" w:rsidP="002F16DB">
            <w:pPr>
              <w:pStyle w:val="Tableheading1"/>
            </w:pPr>
            <w:r>
              <w:t>n</w:t>
            </w:r>
          </w:p>
        </w:tc>
        <w:tc>
          <w:tcPr>
            <w:tcW w:w="0" w:type="auto"/>
            <w:shd w:val="clear" w:color="auto" w:fill="auto"/>
          </w:tcPr>
          <w:p w14:paraId="3D2C9DD3" w14:textId="77777777" w:rsidR="00955C58" w:rsidRPr="00C4654F" w:rsidRDefault="00955C58" w:rsidP="002F16DB">
            <w:pPr>
              <w:pStyle w:val="Tableheading1"/>
              <w:rPr>
                <w:vertAlign w:val="superscript"/>
              </w:rPr>
            </w:pPr>
            <w:r w:rsidRPr="003F2FD7">
              <w:t>Design</w:t>
            </w:r>
            <w:r>
              <w:rPr>
                <w:vertAlign w:val="superscript"/>
              </w:rPr>
              <w:t>a</w:t>
            </w:r>
            <w:r w:rsidRPr="003F2FD7">
              <w:t>/ duration</w:t>
            </w:r>
          </w:p>
        </w:tc>
        <w:tc>
          <w:tcPr>
            <w:tcW w:w="0" w:type="auto"/>
            <w:shd w:val="clear" w:color="auto" w:fill="auto"/>
          </w:tcPr>
          <w:p w14:paraId="73AF8D7A" w14:textId="77777777" w:rsidR="00955C58" w:rsidRPr="003F2FD7" w:rsidRDefault="00955C58" w:rsidP="002F16DB">
            <w:pPr>
              <w:pStyle w:val="Tableheading1"/>
            </w:pPr>
            <w:r w:rsidRPr="003F2FD7">
              <w:t>Risk of bias</w:t>
            </w:r>
          </w:p>
        </w:tc>
        <w:tc>
          <w:tcPr>
            <w:tcW w:w="0" w:type="auto"/>
            <w:shd w:val="clear" w:color="auto" w:fill="auto"/>
          </w:tcPr>
          <w:p w14:paraId="30D37BC1" w14:textId="77777777" w:rsidR="00955C58" w:rsidRPr="003F2FD7" w:rsidRDefault="00955C58" w:rsidP="002F16DB">
            <w:pPr>
              <w:pStyle w:val="Tableheading1"/>
            </w:pPr>
            <w:r w:rsidRPr="003F2FD7">
              <w:t>Patient population</w:t>
            </w:r>
          </w:p>
        </w:tc>
        <w:tc>
          <w:tcPr>
            <w:tcW w:w="0" w:type="auto"/>
            <w:shd w:val="clear" w:color="auto" w:fill="auto"/>
          </w:tcPr>
          <w:p w14:paraId="3C3F6D4F" w14:textId="77777777" w:rsidR="00955C58" w:rsidRPr="003F2FD7" w:rsidRDefault="00955C58" w:rsidP="002F16DB">
            <w:pPr>
              <w:pStyle w:val="Tableheading1"/>
            </w:pPr>
            <w:r w:rsidRPr="003F2FD7">
              <w:t>Key outcome(s)</w:t>
            </w:r>
          </w:p>
        </w:tc>
        <w:tc>
          <w:tcPr>
            <w:tcW w:w="0" w:type="auto"/>
            <w:shd w:val="clear" w:color="auto" w:fill="auto"/>
          </w:tcPr>
          <w:p w14:paraId="68515380" w14:textId="77777777" w:rsidR="00955C58" w:rsidRPr="003F2FD7" w:rsidRDefault="00955C58" w:rsidP="002F16DB">
            <w:pPr>
              <w:pStyle w:val="Tableheading1"/>
            </w:pPr>
            <w:r w:rsidRPr="003F2FD7">
              <w:t>Result used in economic model</w:t>
            </w:r>
          </w:p>
        </w:tc>
      </w:tr>
      <w:tr w:rsidR="00955C58" w:rsidRPr="001155C9" w14:paraId="7C65B040" w14:textId="77777777" w:rsidTr="00E6732A">
        <w:trPr>
          <w:trHeight w:val="397"/>
        </w:trPr>
        <w:tc>
          <w:tcPr>
            <w:tcW w:w="0" w:type="auto"/>
            <w:shd w:val="clear" w:color="auto" w:fill="auto"/>
          </w:tcPr>
          <w:p w14:paraId="1B7D2FB0" w14:textId="2F18C30A" w:rsidR="00955C58" w:rsidRPr="001155C9" w:rsidRDefault="00A20B9A" w:rsidP="002F16DB">
            <w:pPr>
              <w:pStyle w:val="Tabletext1"/>
              <w:rPr>
                <w:snapToGrid w:val="0"/>
              </w:rPr>
            </w:pPr>
            <w:r>
              <w:t>v</w:t>
            </w:r>
            <w:r w:rsidR="00955C58" w:rsidRPr="001155C9">
              <w:t>an den Bergh et al. (2013)</w:t>
            </w:r>
          </w:p>
        </w:tc>
        <w:tc>
          <w:tcPr>
            <w:tcW w:w="0" w:type="auto"/>
            <w:shd w:val="clear" w:color="auto" w:fill="auto"/>
          </w:tcPr>
          <w:p w14:paraId="2C9B2644" w14:textId="77777777" w:rsidR="00955C58" w:rsidRPr="001155C9" w:rsidRDefault="00955C58" w:rsidP="002F16DB">
            <w:pPr>
              <w:pStyle w:val="Tabletext1"/>
              <w:rPr>
                <w:snapToGrid w:val="0"/>
              </w:rPr>
            </w:pPr>
            <w:r w:rsidRPr="001155C9">
              <w:t>17 studies 34,517 patients</w:t>
            </w:r>
          </w:p>
        </w:tc>
        <w:tc>
          <w:tcPr>
            <w:tcW w:w="0" w:type="auto"/>
            <w:shd w:val="clear" w:color="auto" w:fill="auto"/>
          </w:tcPr>
          <w:p w14:paraId="63FF17E5" w14:textId="77777777" w:rsidR="00955C58" w:rsidRDefault="00955C58" w:rsidP="002F16DB">
            <w:pPr>
              <w:pStyle w:val="Tabletext1"/>
            </w:pPr>
            <w:r w:rsidRPr="001155C9">
              <w:t>Systematic review of level III evidence</w:t>
            </w:r>
          </w:p>
          <w:p w14:paraId="5717C270" w14:textId="4C448E0C" w:rsidR="00305C27" w:rsidRPr="001155C9" w:rsidRDefault="00305C27" w:rsidP="002F16DB">
            <w:pPr>
              <w:pStyle w:val="Tabletext1"/>
              <w:rPr>
                <w:snapToGrid w:val="0"/>
              </w:rPr>
            </w:pPr>
            <w:r>
              <w:t>Duration of primary studies NR</w:t>
            </w:r>
          </w:p>
        </w:tc>
        <w:tc>
          <w:tcPr>
            <w:tcW w:w="0" w:type="auto"/>
            <w:shd w:val="clear" w:color="auto" w:fill="auto"/>
          </w:tcPr>
          <w:p w14:paraId="458B2452" w14:textId="77777777" w:rsidR="00955C58" w:rsidRPr="001155C9" w:rsidRDefault="00955C58" w:rsidP="002F16DB">
            <w:pPr>
              <w:pStyle w:val="Tabletext1"/>
              <w:rPr>
                <w:snapToGrid w:val="0"/>
              </w:rPr>
            </w:pPr>
            <w:r>
              <w:rPr>
                <w:snapToGrid w:val="0"/>
              </w:rPr>
              <w:t>Moderate</w:t>
            </w:r>
          </w:p>
        </w:tc>
        <w:tc>
          <w:tcPr>
            <w:tcW w:w="0" w:type="auto"/>
            <w:shd w:val="clear" w:color="auto" w:fill="auto"/>
          </w:tcPr>
          <w:p w14:paraId="05FD2B45" w14:textId="77777777" w:rsidR="00955C58" w:rsidRPr="001155C9" w:rsidRDefault="00955C58" w:rsidP="002F16DB">
            <w:pPr>
              <w:pStyle w:val="Tabletext1"/>
              <w:rPr>
                <w:snapToGrid w:val="0"/>
              </w:rPr>
            </w:pPr>
            <w:r w:rsidRPr="001155C9">
              <w:t>Patients receiving radical local therapy – either prostatectomy, radiation therapy or both.</w:t>
            </w:r>
          </w:p>
        </w:tc>
        <w:tc>
          <w:tcPr>
            <w:tcW w:w="0" w:type="auto"/>
            <w:shd w:val="clear" w:color="auto" w:fill="auto"/>
          </w:tcPr>
          <w:p w14:paraId="5C71A27F" w14:textId="5D2B1945" w:rsidR="00955C58" w:rsidRPr="001155C9" w:rsidRDefault="00955C58" w:rsidP="002F16DB">
            <w:pPr>
              <w:pStyle w:val="Tabletext1"/>
              <w:rPr>
                <w:snapToGrid w:val="0"/>
              </w:rPr>
            </w:pPr>
            <w:r w:rsidRPr="001155C9">
              <w:rPr>
                <w:snapToGrid w:val="0"/>
              </w:rPr>
              <w:t>Survival, metastases formation, biochemical recurrence, extra-capsular extension, lymph node involvement, positive surgical margins, Gleason upgrade</w:t>
            </w:r>
            <w:r w:rsidR="00513B61">
              <w:rPr>
                <w:snapToGrid w:val="0"/>
              </w:rPr>
              <w:t>.</w:t>
            </w:r>
          </w:p>
          <w:p w14:paraId="0E73D754" w14:textId="77777777" w:rsidR="00955C58" w:rsidRPr="001155C9" w:rsidRDefault="00955C58" w:rsidP="002F16DB">
            <w:pPr>
              <w:pStyle w:val="Tabletext1"/>
              <w:rPr>
                <w:snapToGrid w:val="0"/>
              </w:rPr>
            </w:pPr>
          </w:p>
        </w:tc>
        <w:tc>
          <w:tcPr>
            <w:tcW w:w="0" w:type="auto"/>
            <w:shd w:val="clear" w:color="auto" w:fill="auto"/>
          </w:tcPr>
          <w:p w14:paraId="0D18684B" w14:textId="77777777" w:rsidR="00955C58" w:rsidRPr="001155C9" w:rsidRDefault="00955C58" w:rsidP="002F16DB">
            <w:pPr>
              <w:pStyle w:val="Tabletext1"/>
              <w:rPr>
                <w:snapToGrid w:val="0"/>
              </w:rPr>
            </w:pPr>
            <w:r w:rsidRPr="001155C9">
              <w:rPr>
                <w:snapToGrid w:val="0"/>
              </w:rPr>
              <w:t>Used</w:t>
            </w:r>
          </w:p>
        </w:tc>
      </w:tr>
      <w:tr w:rsidR="00955C58" w:rsidRPr="00183E4D" w14:paraId="7434CA35" w14:textId="77777777" w:rsidTr="00E6732A">
        <w:trPr>
          <w:trHeight w:val="397"/>
        </w:trPr>
        <w:tc>
          <w:tcPr>
            <w:tcW w:w="0" w:type="auto"/>
            <w:shd w:val="clear" w:color="auto" w:fill="auto"/>
          </w:tcPr>
          <w:p w14:paraId="6427917E" w14:textId="77777777" w:rsidR="00955C58" w:rsidRPr="001155C9" w:rsidRDefault="00955C58" w:rsidP="002F16DB">
            <w:pPr>
              <w:pStyle w:val="Tabletext1"/>
              <w:rPr>
                <w:snapToGrid w:val="0"/>
              </w:rPr>
            </w:pPr>
            <w:r>
              <w:t>Boorjian et al. (2005)</w:t>
            </w:r>
          </w:p>
        </w:tc>
        <w:tc>
          <w:tcPr>
            <w:tcW w:w="0" w:type="auto"/>
            <w:shd w:val="clear" w:color="auto" w:fill="auto"/>
          </w:tcPr>
          <w:p w14:paraId="5D056D8E" w14:textId="77777777" w:rsidR="00955C58" w:rsidRPr="001155C9" w:rsidRDefault="00955C58" w:rsidP="002F16DB">
            <w:pPr>
              <w:pStyle w:val="Tabletext1"/>
              <w:rPr>
                <w:snapToGrid w:val="0"/>
              </w:rPr>
            </w:pPr>
            <w:r>
              <w:rPr>
                <w:snapToGrid w:val="0"/>
              </w:rPr>
              <w:t>3,149</w:t>
            </w:r>
          </w:p>
        </w:tc>
        <w:tc>
          <w:tcPr>
            <w:tcW w:w="0" w:type="auto"/>
            <w:shd w:val="clear" w:color="auto" w:fill="auto"/>
          </w:tcPr>
          <w:p w14:paraId="3448D82C" w14:textId="77777777" w:rsidR="00955C58" w:rsidRDefault="00955C58" w:rsidP="002F16DB">
            <w:pPr>
              <w:pStyle w:val="Tabletext1"/>
            </w:pPr>
            <w:r>
              <w:t>Prognosis level III-3</w:t>
            </w:r>
          </w:p>
          <w:p w14:paraId="6999E5ED" w14:textId="77777777" w:rsidR="00955C58" w:rsidRPr="001155C9" w:rsidRDefault="00955C58" w:rsidP="002F16DB">
            <w:pPr>
              <w:pStyle w:val="Tabletext1"/>
              <w:rPr>
                <w:snapToGrid w:val="0"/>
              </w:rPr>
            </w:pPr>
            <w:r>
              <w:t>Median 5.4 years (IQR 2.2-7.9)</w:t>
            </w:r>
          </w:p>
        </w:tc>
        <w:tc>
          <w:tcPr>
            <w:tcW w:w="0" w:type="auto"/>
            <w:shd w:val="clear" w:color="auto" w:fill="auto"/>
          </w:tcPr>
          <w:p w14:paraId="50169C0C" w14:textId="77777777" w:rsidR="00955C58" w:rsidRPr="001155C9" w:rsidRDefault="00955C58" w:rsidP="002F16DB">
            <w:pPr>
              <w:pStyle w:val="Tabletext1"/>
              <w:rPr>
                <w:snapToGrid w:val="0"/>
              </w:rPr>
            </w:pPr>
            <w:r>
              <w:rPr>
                <w:snapToGrid w:val="0"/>
              </w:rPr>
              <w:t>Moderate</w:t>
            </w:r>
          </w:p>
        </w:tc>
        <w:tc>
          <w:tcPr>
            <w:tcW w:w="0" w:type="auto"/>
            <w:shd w:val="clear" w:color="auto" w:fill="auto"/>
          </w:tcPr>
          <w:p w14:paraId="0E6D683B" w14:textId="59754262" w:rsidR="00955C58" w:rsidRPr="001155C9" w:rsidRDefault="00955C58" w:rsidP="002F16DB">
            <w:pPr>
              <w:pStyle w:val="Tabletext1"/>
              <w:rPr>
                <w:snapToGrid w:val="0"/>
              </w:rPr>
            </w:pPr>
            <w:r>
              <w:t>Men with clinically localised PCa treated with radical prostatectomy</w:t>
            </w:r>
            <w:r w:rsidR="00513B61">
              <w:t>.</w:t>
            </w:r>
          </w:p>
        </w:tc>
        <w:tc>
          <w:tcPr>
            <w:tcW w:w="0" w:type="auto"/>
            <w:shd w:val="clear" w:color="auto" w:fill="auto"/>
          </w:tcPr>
          <w:p w14:paraId="16445A2E" w14:textId="02808D09" w:rsidR="00955C58" w:rsidRPr="001155C9" w:rsidRDefault="00955C58" w:rsidP="002F16DB">
            <w:pPr>
              <w:pStyle w:val="Tabletext1"/>
              <w:rPr>
                <w:snapToGrid w:val="0"/>
              </w:rPr>
            </w:pPr>
            <w:r>
              <w:rPr>
                <w:snapToGrid w:val="0"/>
              </w:rPr>
              <w:t>Biochemical recurrence</w:t>
            </w:r>
            <w:r w:rsidR="00513B61">
              <w:rPr>
                <w:snapToGrid w:val="0"/>
              </w:rPr>
              <w:t>.</w:t>
            </w:r>
          </w:p>
        </w:tc>
        <w:tc>
          <w:tcPr>
            <w:tcW w:w="0" w:type="auto"/>
            <w:shd w:val="clear" w:color="auto" w:fill="auto"/>
          </w:tcPr>
          <w:p w14:paraId="574459C5" w14:textId="77777777" w:rsidR="00955C58" w:rsidRPr="001155C9" w:rsidRDefault="00955C58" w:rsidP="002F16DB">
            <w:pPr>
              <w:pStyle w:val="Tabletext1"/>
              <w:rPr>
                <w:snapToGrid w:val="0"/>
              </w:rPr>
            </w:pPr>
            <w:r>
              <w:rPr>
                <w:snapToGrid w:val="0"/>
              </w:rPr>
              <w:t>Used</w:t>
            </w:r>
          </w:p>
        </w:tc>
      </w:tr>
      <w:tr w:rsidR="00955C58" w:rsidRPr="00183E4D" w14:paraId="699FB09D" w14:textId="77777777" w:rsidTr="00E6732A">
        <w:trPr>
          <w:trHeight w:val="397"/>
        </w:trPr>
        <w:tc>
          <w:tcPr>
            <w:tcW w:w="0" w:type="auto"/>
            <w:shd w:val="clear" w:color="auto" w:fill="auto"/>
          </w:tcPr>
          <w:p w14:paraId="283E45D2" w14:textId="77777777" w:rsidR="00955C58" w:rsidRDefault="00955C58" w:rsidP="002F16DB">
            <w:pPr>
              <w:pStyle w:val="Tabletext1"/>
            </w:pPr>
            <w:r>
              <w:t>Dong et al. (2016)</w:t>
            </w:r>
          </w:p>
        </w:tc>
        <w:tc>
          <w:tcPr>
            <w:tcW w:w="0" w:type="auto"/>
            <w:shd w:val="clear" w:color="auto" w:fill="auto"/>
          </w:tcPr>
          <w:p w14:paraId="780958C9" w14:textId="77777777" w:rsidR="00955C58" w:rsidRPr="001155C9" w:rsidRDefault="00955C58" w:rsidP="002F16DB">
            <w:pPr>
              <w:pStyle w:val="Tabletext1"/>
              <w:rPr>
                <w:snapToGrid w:val="0"/>
              </w:rPr>
            </w:pPr>
            <w:r>
              <w:rPr>
                <w:snapToGrid w:val="0"/>
              </w:rPr>
              <w:t>4,064</w:t>
            </w:r>
          </w:p>
        </w:tc>
        <w:tc>
          <w:tcPr>
            <w:tcW w:w="0" w:type="auto"/>
            <w:shd w:val="clear" w:color="auto" w:fill="auto"/>
          </w:tcPr>
          <w:p w14:paraId="19A00C82" w14:textId="77777777" w:rsidR="00955C58" w:rsidRDefault="00955C58" w:rsidP="002F16DB">
            <w:pPr>
              <w:pStyle w:val="Tabletext1"/>
            </w:pPr>
            <w:r>
              <w:t>Prognosis level III-3</w:t>
            </w:r>
          </w:p>
          <w:p w14:paraId="2C0CA9E0" w14:textId="77777777" w:rsidR="00955C58" w:rsidRPr="001155C9" w:rsidRDefault="00955C58" w:rsidP="002F16DB">
            <w:pPr>
              <w:pStyle w:val="Tabletext1"/>
              <w:rPr>
                <w:snapToGrid w:val="0"/>
              </w:rPr>
            </w:pPr>
            <w:r>
              <w:t>&gt;12 months</w:t>
            </w:r>
          </w:p>
        </w:tc>
        <w:tc>
          <w:tcPr>
            <w:tcW w:w="0" w:type="auto"/>
            <w:shd w:val="clear" w:color="auto" w:fill="auto"/>
          </w:tcPr>
          <w:p w14:paraId="7CDDB742" w14:textId="77777777" w:rsidR="00955C58" w:rsidRPr="001155C9" w:rsidRDefault="00955C58" w:rsidP="002F16DB">
            <w:pPr>
              <w:pStyle w:val="Tabletext1"/>
              <w:rPr>
                <w:snapToGrid w:val="0"/>
              </w:rPr>
            </w:pPr>
            <w:r>
              <w:rPr>
                <w:snapToGrid w:val="0"/>
              </w:rPr>
              <w:t>Moderate</w:t>
            </w:r>
          </w:p>
        </w:tc>
        <w:tc>
          <w:tcPr>
            <w:tcW w:w="0" w:type="auto"/>
            <w:shd w:val="clear" w:color="auto" w:fill="auto"/>
          </w:tcPr>
          <w:p w14:paraId="60CC6AB7" w14:textId="174A1F9B" w:rsidR="00955C58" w:rsidRPr="001155C9" w:rsidRDefault="00955C58" w:rsidP="002F16DB">
            <w:pPr>
              <w:pStyle w:val="Tabletext1"/>
              <w:rPr>
                <w:snapToGrid w:val="0"/>
              </w:rPr>
            </w:pPr>
            <w:r>
              <w:t>Men with clinically localised PCa treated with radiation therapy</w:t>
            </w:r>
            <w:r w:rsidR="00513B61">
              <w:t>.</w:t>
            </w:r>
          </w:p>
        </w:tc>
        <w:tc>
          <w:tcPr>
            <w:tcW w:w="0" w:type="auto"/>
            <w:shd w:val="clear" w:color="auto" w:fill="auto"/>
          </w:tcPr>
          <w:p w14:paraId="1D26E58B" w14:textId="18AF472C" w:rsidR="00955C58" w:rsidRPr="001155C9" w:rsidRDefault="00955C58" w:rsidP="002F16DB">
            <w:pPr>
              <w:pStyle w:val="Tabletext1"/>
              <w:rPr>
                <w:snapToGrid w:val="0"/>
              </w:rPr>
            </w:pPr>
            <w:r>
              <w:rPr>
                <w:snapToGrid w:val="0"/>
              </w:rPr>
              <w:t>Survival, metastases formation, biochemical recurrence</w:t>
            </w:r>
            <w:r w:rsidR="00513B61">
              <w:rPr>
                <w:snapToGrid w:val="0"/>
              </w:rPr>
              <w:t>.</w:t>
            </w:r>
          </w:p>
        </w:tc>
        <w:tc>
          <w:tcPr>
            <w:tcW w:w="0" w:type="auto"/>
            <w:shd w:val="clear" w:color="auto" w:fill="auto"/>
          </w:tcPr>
          <w:p w14:paraId="7840D105" w14:textId="77777777" w:rsidR="00955C58" w:rsidRPr="001155C9" w:rsidRDefault="00955C58" w:rsidP="002F16DB">
            <w:pPr>
              <w:pStyle w:val="Tabletext1"/>
              <w:rPr>
                <w:snapToGrid w:val="0"/>
              </w:rPr>
            </w:pPr>
            <w:r>
              <w:rPr>
                <w:snapToGrid w:val="0"/>
              </w:rPr>
              <w:t>Used</w:t>
            </w:r>
          </w:p>
        </w:tc>
      </w:tr>
      <w:tr w:rsidR="00955C58" w:rsidRPr="00183E4D" w14:paraId="34A754F0" w14:textId="77777777" w:rsidTr="00E6732A">
        <w:trPr>
          <w:trHeight w:val="397"/>
        </w:trPr>
        <w:tc>
          <w:tcPr>
            <w:tcW w:w="0" w:type="auto"/>
            <w:shd w:val="clear" w:color="auto" w:fill="auto"/>
          </w:tcPr>
          <w:p w14:paraId="2E47645B" w14:textId="77777777" w:rsidR="00955C58" w:rsidRDefault="00955C58" w:rsidP="002F16DB">
            <w:pPr>
              <w:pStyle w:val="Tabletext1"/>
            </w:pPr>
            <w:r>
              <w:t>Eroglu et al. (2014)</w:t>
            </w:r>
          </w:p>
        </w:tc>
        <w:tc>
          <w:tcPr>
            <w:tcW w:w="0" w:type="auto"/>
            <w:shd w:val="clear" w:color="auto" w:fill="auto"/>
          </w:tcPr>
          <w:p w14:paraId="03E1D16D" w14:textId="77777777" w:rsidR="00955C58" w:rsidRPr="001155C9" w:rsidRDefault="00955C58" w:rsidP="002F16DB">
            <w:pPr>
              <w:pStyle w:val="Tabletext1"/>
              <w:rPr>
                <w:snapToGrid w:val="0"/>
              </w:rPr>
            </w:pPr>
            <w:r>
              <w:rPr>
                <w:snapToGrid w:val="0"/>
              </w:rPr>
              <w:t>290</w:t>
            </w:r>
          </w:p>
        </w:tc>
        <w:tc>
          <w:tcPr>
            <w:tcW w:w="0" w:type="auto"/>
            <w:shd w:val="clear" w:color="auto" w:fill="auto"/>
          </w:tcPr>
          <w:p w14:paraId="092BF853" w14:textId="77777777" w:rsidR="00955C58" w:rsidRDefault="00955C58" w:rsidP="002F16DB">
            <w:pPr>
              <w:pStyle w:val="Tabletext1"/>
            </w:pPr>
            <w:r>
              <w:t>Prognosis level III-3</w:t>
            </w:r>
          </w:p>
          <w:p w14:paraId="76E244B1" w14:textId="77777777" w:rsidR="00955C58" w:rsidRPr="001155C9" w:rsidRDefault="00955C58" w:rsidP="002F16DB">
            <w:pPr>
              <w:pStyle w:val="Tabletext1"/>
              <w:rPr>
                <w:snapToGrid w:val="0"/>
              </w:rPr>
            </w:pPr>
            <w:r>
              <w:t>NR</w:t>
            </w:r>
          </w:p>
        </w:tc>
        <w:tc>
          <w:tcPr>
            <w:tcW w:w="0" w:type="auto"/>
            <w:shd w:val="clear" w:color="auto" w:fill="auto"/>
          </w:tcPr>
          <w:p w14:paraId="61723183" w14:textId="77777777" w:rsidR="00955C58" w:rsidRPr="001155C9" w:rsidRDefault="00955C58" w:rsidP="002F16DB">
            <w:pPr>
              <w:pStyle w:val="Tabletext1"/>
              <w:rPr>
                <w:snapToGrid w:val="0"/>
              </w:rPr>
            </w:pPr>
            <w:r>
              <w:rPr>
                <w:snapToGrid w:val="0"/>
              </w:rPr>
              <w:t>Moderate</w:t>
            </w:r>
          </w:p>
        </w:tc>
        <w:tc>
          <w:tcPr>
            <w:tcW w:w="0" w:type="auto"/>
            <w:shd w:val="clear" w:color="auto" w:fill="auto"/>
          </w:tcPr>
          <w:p w14:paraId="74E24820" w14:textId="11AB45C4" w:rsidR="00955C58" w:rsidRPr="001155C9" w:rsidRDefault="00955C58" w:rsidP="002F16DB">
            <w:pPr>
              <w:pStyle w:val="Tabletext1"/>
              <w:rPr>
                <w:snapToGrid w:val="0"/>
              </w:rPr>
            </w:pPr>
            <w:r>
              <w:t xml:space="preserve">Men undergoing prostatectomy who’s Gleason score at diagnosis was compared to at surgery </w:t>
            </w:r>
            <w:r w:rsidR="00513B61">
              <w:t>.</w:t>
            </w:r>
          </w:p>
        </w:tc>
        <w:tc>
          <w:tcPr>
            <w:tcW w:w="0" w:type="auto"/>
            <w:shd w:val="clear" w:color="auto" w:fill="auto"/>
          </w:tcPr>
          <w:p w14:paraId="27F5F627" w14:textId="72A03C7A" w:rsidR="00955C58" w:rsidRPr="001155C9" w:rsidRDefault="00955C58" w:rsidP="002F16DB">
            <w:pPr>
              <w:pStyle w:val="Tabletext1"/>
              <w:rPr>
                <w:snapToGrid w:val="0"/>
              </w:rPr>
            </w:pPr>
            <w:r>
              <w:rPr>
                <w:snapToGrid w:val="0"/>
              </w:rPr>
              <w:t>Gleason upgrade</w:t>
            </w:r>
            <w:r w:rsidR="00513B61">
              <w:rPr>
                <w:snapToGrid w:val="0"/>
              </w:rPr>
              <w:t>.</w:t>
            </w:r>
          </w:p>
        </w:tc>
        <w:tc>
          <w:tcPr>
            <w:tcW w:w="0" w:type="auto"/>
            <w:shd w:val="clear" w:color="auto" w:fill="auto"/>
          </w:tcPr>
          <w:p w14:paraId="21F0F9AE" w14:textId="77777777" w:rsidR="00955C58" w:rsidRPr="001155C9" w:rsidRDefault="00955C58" w:rsidP="002F16DB">
            <w:pPr>
              <w:pStyle w:val="Tabletext1"/>
              <w:rPr>
                <w:snapToGrid w:val="0"/>
              </w:rPr>
            </w:pPr>
            <w:r>
              <w:rPr>
                <w:snapToGrid w:val="0"/>
              </w:rPr>
              <w:t>Not used</w:t>
            </w:r>
          </w:p>
        </w:tc>
      </w:tr>
      <w:tr w:rsidR="00955C58" w:rsidRPr="00183E4D" w14:paraId="062E928F" w14:textId="77777777" w:rsidTr="00E6732A">
        <w:trPr>
          <w:trHeight w:val="397"/>
        </w:trPr>
        <w:tc>
          <w:tcPr>
            <w:tcW w:w="0" w:type="auto"/>
            <w:shd w:val="clear" w:color="auto" w:fill="auto"/>
          </w:tcPr>
          <w:p w14:paraId="12725508" w14:textId="77777777" w:rsidR="00955C58" w:rsidRDefault="00955C58" w:rsidP="002F16DB">
            <w:pPr>
              <w:pStyle w:val="Tabletext1"/>
            </w:pPr>
            <w:r>
              <w:t>Loeb et al. (2016)</w:t>
            </w:r>
          </w:p>
        </w:tc>
        <w:tc>
          <w:tcPr>
            <w:tcW w:w="0" w:type="auto"/>
            <w:shd w:val="clear" w:color="auto" w:fill="auto"/>
          </w:tcPr>
          <w:p w14:paraId="4734BF37" w14:textId="77777777" w:rsidR="00955C58" w:rsidRPr="001155C9" w:rsidRDefault="00955C58" w:rsidP="002F16DB">
            <w:pPr>
              <w:pStyle w:val="Tabletext1"/>
              <w:rPr>
                <w:snapToGrid w:val="0"/>
              </w:rPr>
            </w:pPr>
            <w:r>
              <w:rPr>
                <w:snapToGrid w:val="0"/>
              </w:rPr>
              <w:t>7,608</w:t>
            </w:r>
          </w:p>
        </w:tc>
        <w:tc>
          <w:tcPr>
            <w:tcW w:w="0" w:type="auto"/>
            <w:shd w:val="clear" w:color="auto" w:fill="auto"/>
          </w:tcPr>
          <w:p w14:paraId="4D987A5F" w14:textId="77777777" w:rsidR="00955C58" w:rsidRDefault="00955C58" w:rsidP="002F16DB">
            <w:pPr>
              <w:pStyle w:val="Tabletext1"/>
            </w:pPr>
            <w:r>
              <w:t>Prognosis level III-3</w:t>
            </w:r>
          </w:p>
          <w:p w14:paraId="6D9B5CBC" w14:textId="77777777" w:rsidR="00955C58" w:rsidRDefault="00955C58" w:rsidP="002F16DB">
            <w:pPr>
              <w:pStyle w:val="Tabletext1"/>
            </w:pPr>
            <w:r>
              <w:t>Median 8.1 years</w:t>
            </w:r>
          </w:p>
          <w:p w14:paraId="7C418A69" w14:textId="77777777" w:rsidR="00955C58" w:rsidRPr="001155C9" w:rsidRDefault="00955C58" w:rsidP="002F16DB">
            <w:pPr>
              <w:pStyle w:val="Tabletext1"/>
              <w:rPr>
                <w:snapToGrid w:val="0"/>
              </w:rPr>
            </w:pPr>
          </w:p>
        </w:tc>
        <w:tc>
          <w:tcPr>
            <w:tcW w:w="0" w:type="auto"/>
            <w:shd w:val="clear" w:color="auto" w:fill="auto"/>
          </w:tcPr>
          <w:p w14:paraId="7967D08F" w14:textId="77777777" w:rsidR="00955C58" w:rsidRPr="001155C9" w:rsidRDefault="00955C58" w:rsidP="002F16DB">
            <w:pPr>
              <w:pStyle w:val="Tabletext1"/>
              <w:rPr>
                <w:snapToGrid w:val="0"/>
              </w:rPr>
            </w:pPr>
            <w:r>
              <w:rPr>
                <w:snapToGrid w:val="0"/>
              </w:rPr>
              <w:t>Moderate</w:t>
            </w:r>
          </w:p>
        </w:tc>
        <w:tc>
          <w:tcPr>
            <w:tcW w:w="0" w:type="auto"/>
            <w:shd w:val="clear" w:color="auto" w:fill="auto"/>
          </w:tcPr>
          <w:p w14:paraId="1EB8E5E1" w14:textId="406952C8" w:rsidR="00955C58" w:rsidRPr="001155C9" w:rsidRDefault="00955C58" w:rsidP="002F16DB">
            <w:pPr>
              <w:pStyle w:val="Tabletext1"/>
              <w:rPr>
                <w:snapToGrid w:val="0"/>
              </w:rPr>
            </w:pPr>
            <w:r>
              <w:t>Men with low risk PCa (Gleason ≤ 6) who entered an active surveillance protocol who subsequently were upgraded to Gleason ≥7</w:t>
            </w:r>
            <w:r w:rsidR="00513B61">
              <w:t>.</w:t>
            </w:r>
          </w:p>
        </w:tc>
        <w:tc>
          <w:tcPr>
            <w:tcW w:w="0" w:type="auto"/>
            <w:shd w:val="clear" w:color="auto" w:fill="auto"/>
          </w:tcPr>
          <w:p w14:paraId="365799D1" w14:textId="083D1114" w:rsidR="00955C58" w:rsidRPr="001155C9" w:rsidRDefault="00955C58" w:rsidP="002F16DB">
            <w:pPr>
              <w:pStyle w:val="Tabletext1"/>
              <w:rPr>
                <w:snapToGrid w:val="0"/>
              </w:rPr>
            </w:pPr>
            <w:r>
              <w:rPr>
                <w:snapToGrid w:val="0"/>
              </w:rPr>
              <w:t>Survival, extra-capsular extensions, positive surgical margins, Gleason upgrade</w:t>
            </w:r>
            <w:r w:rsidR="00513B61">
              <w:rPr>
                <w:snapToGrid w:val="0"/>
              </w:rPr>
              <w:t>.</w:t>
            </w:r>
          </w:p>
        </w:tc>
        <w:tc>
          <w:tcPr>
            <w:tcW w:w="0" w:type="auto"/>
            <w:shd w:val="clear" w:color="auto" w:fill="auto"/>
          </w:tcPr>
          <w:p w14:paraId="59B4BFCA" w14:textId="77777777" w:rsidR="00955C58" w:rsidRPr="001155C9" w:rsidRDefault="00955C58" w:rsidP="002F16DB">
            <w:pPr>
              <w:pStyle w:val="Tabletext1"/>
              <w:rPr>
                <w:snapToGrid w:val="0"/>
              </w:rPr>
            </w:pPr>
            <w:r>
              <w:rPr>
                <w:snapToGrid w:val="0"/>
              </w:rPr>
              <w:t>Used</w:t>
            </w:r>
          </w:p>
        </w:tc>
      </w:tr>
      <w:tr w:rsidR="00955C58" w:rsidRPr="00183E4D" w14:paraId="4D84E226" w14:textId="77777777" w:rsidTr="00E6732A">
        <w:trPr>
          <w:trHeight w:val="397"/>
        </w:trPr>
        <w:tc>
          <w:tcPr>
            <w:tcW w:w="0" w:type="auto"/>
            <w:shd w:val="clear" w:color="auto" w:fill="auto"/>
          </w:tcPr>
          <w:p w14:paraId="43B93A30" w14:textId="77777777" w:rsidR="00955C58" w:rsidRDefault="00955C58" w:rsidP="002F16DB">
            <w:pPr>
              <w:pStyle w:val="Tabletext1"/>
            </w:pPr>
            <w:r>
              <w:t>O’Kelly et al. (2013)</w:t>
            </w:r>
          </w:p>
        </w:tc>
        <w:tc>
          <w:tcPr>
            <w:tcW w:w="0" w:type="auto"/>
            <w:shd w:val="clear" w:color="auto" w:fill="auto"/>
          </w:tcPr>
          <w:p w14:paraId="33FA0CCB" w14:textId="77777777" w:rsidR="00955C58" w:rsidRPr="001155C9" w:rsidRDefault="00955C58" w:rsidP="002F16DB">
            <w:pPr>
              <w:pStyle w:val="Tabletext1"/>
              <w:rPr>
                <w:snapToGrid w:val="0"/>
              </w:rPr>
            </w:pPr>
            <w:r>
              <w:rPr>
                <w:snapToGrid w:val="0"/>
              </w:rPr>
              <w:t>350</w:t>
            </w:r>
          </w:p>
        </w:tc>
        <w:tc>
          <w:tcPr>
            <w:tcW w:w="0" w:type="auto"/>
            <w:shd w:val="clear" w:color="auto" w:fill="auto"/>
          </w:tcPr>
          <w:p w14:paraId="1AC99AEB" w14:textId="77777777" w:rsidR="00955C58" w:rsidRDefault="00955C58" w:rsidP="002F16DB">
            <w:pPr>
              <w:pStyle w:val="Tabletext1"/>
            </w:pPr>
            <w:r>
              <w:t>Prognosis level III-3</w:t>
            </w:r>
          </w:p>
          <w:p w14:paraId="4348F4AD" w14:textId="77777777" w:rsidR="00955C58" w:rsidRPr="001155C9" w:rsidRDefault="00955C58" w:rsidP="002F16DB">
            <w:pPr>
              <w:pStyle w:val="Tabletext1"/>
              <w:rPr>
                <w:snapToGrid w:val="0"/>
              </w:rPr>
            </w:pPr>
            <w:r>
              <w:t>NR</w:t>
            </w:r>
          </w:p>
        </w:tc>
        <w:tc>
          <w:tcPr>
            <w:tcW w:w="0" w:type="auto"/>
            <w:shd w:val="clear" w:color="auto" w:fill="auto"/>
          </w:tcPr>
          <w:p w14:paraId="60DF5960" w14:textId="77777777" w:rsidR="00955C58" w:rsidRPr="001155C9" w:rsidRDefault="00955C58" w:rsidP="002F16DB">
            <w:pPr>
              <w:pStyle w:val="Tabletext1"/>
              <w:rPr>
                <w:snapToGrid w:val="0"/>
              </w:rPr>
            </w:pPr>
            <w:r>
              <w:rPr>
                <w:snapToGrid w:val="0"/>
              </w:rPr>
              <w:t>Moderate</w:t>
            </w:r>
          </w:p>
        </w:tc>
        <w:tc>
          <w:tcPr>
            <w:tcW w:w="0" w:type="auto"/>
            <w:shd w:val="clear" w:color="auto" w:fill="auto"/>
          </w:tcPr>
          <w:p w14:paraId="7374B17B" w14:textId="23999754" w:rsidR="00955C58" w:rsidRPr="001155C9" w:rsidRDefault="00955C58" w:rsidP="002F16DB">
            <w:pPr>
              <w:pStyle w:val="Tabletext1"/>
              <w:rPr>
                <w:snapToGrid w:val="0"/>
              </w:rPr>
            </w:pPr>
            <w:r>
              <w:t>Men with low risk disease (Gleason ≤ 6, PSA &lt;20 ng/ml, T1-2, Not N1, not M1</w:t>
            </w:r>
            <w:r w:rsidR="00513B61">
              <w:t>.</w:t>
            </w:r>
          </w:p>
        </w:tc>
        <w:tc>
          <w:tcPr>
            <w:tcW w:w="0" w:type="auto"/>
            <w:shd w:val="clear" w:color="auto" w:fill="auto"/>
          </w:tcPr>
          <w:p w14:paraId="5EC9B451" w14:textId="564F45BC" w:rsidR="00955C58" w:rsidRPr="001155C9" w:rsidRDefault="00955C58" w:rsidP="002F16DB">
            <w:pPr>
              <w:pStyle w:val="Tabletext1"/>
              <w:rPr>
                <w:snapToGrid w:val="0"/>
              </w:rPr>
            </w:pPr>
            <w:r>
              <w:rPr>
                <w:snapToGrid w:val="0"/>
              </w:rPr>
              <w:t>Gleason upgrade</w:t>
            </w:r>
            <w:r w:rsidR="00513B61">
              <w:rPr>
                <w:snapToGrid w:val="0"/>
              </w:rPr>
              <w:t>.</w:t>
            </w:r>
          </w:p>
        </w:tc>
        <w:tc>
          <w:tcPr>
            <w:tcW w:w="0" w:type="auto"/>
            <w:shd w:val="clear" w:color="auto" w:fill="auto"/>
          </w:tcPr>
          <w:p w14:paraId="7B177232" w14:textId="77777777" w:rsidR="00955C58" w:rsidRPr="001155C9" w:rsidRDefault="00955C58" w:rsidP="002F16DB">
            <w:pPr>
              <w:pStyle w:val="Tabletext1"/>
              <w:rPr>
                <w:snapToGrid w:val="0"/>
              </w:rPr>
            </w:pPr>
            <w:r>
              <w:rPr>
                <w:snapToGrid w:val="0"/>
              </w:rPr>
              <w:t>Not used</w:t>
            </w:r>
          </w:p>
        </w:tc>
      </w:tr>
      <w:tr w:rsidR="00955C58" w:rsidRPr="00183E4D" w14:paraId="02452EFD" w14:textId="77777777" w:rsidTr="00E6732A">
        <w:trPr>
          <w:trHeight w:val="397"/>
        </w:trPr>
        <w:tc>
          <w:tcPr>
            <w:tcW w:w="0" w:type="auto"/>
            <w:shd w:val="clear" w:color="auto" w:fill="auto"/>
          </w:tcPr>
          <w:p w14:paraId="7DE49A8D" w14:textId="77777777" w:rsidR="00955C58" w:rsidRDefault="00955C58" w:rsidP="002F16DB">
            <w:pPr>
              <w:pStyle w:val="Tabletext1"/>
            </w:pPr>
            <w:r>
              <w:t>Redaniel et al. (2013)</w:t>
            </w:r>
          </w:p>
        </w:tc>
        <w:tc>
          <w:tcPr>
            <w:tcW w:w="0" w:type="auto"/>
            <w:shd w:val="clear" w:color="auto" w:fill="auto"/>
          </w:tcPr>
          <w:p w14:paraId="460A0FC1" w14:textId="77777777" w:rsidR="00955C58" w:rsidRPr="001155C9" w:rsidRDefault="00955C58" w:rsidP="002F16DB">
            <w:pPr>
              <w:pStyle w:val="Tabletext1"/>
              <w:rPr>
                <w:snapToGrid w:val="0"/>
              </w:rPr>
            </w:pPr>
            <w:r>
              <w:rPr>
                <w:snapToGrid w:val="0"/>
              </w:rPr>
              <w:t>17,043</w:t>
            </w:r>
          </w:p>
        </w:tc>
        <w:tc>
          <w:tcPr>
            <w:tcW w:w="0" w:type="auto"/>
            <w:shd w:val="clear" w:color="auto" w:fill="auto"/>
          </w:tcPr>
          <w:p w14:paraId="0B0B349C" w14:textId="77777777" w:rsidR="00955C58" w:rsidRDefault="00955C58" w:rsidP="002F16DB">
            <w:pPr>
              <w:pStyle w:val="Tabletext1"/>
            </w:pPr>
            <w:r>
              <w:t>Prognosis level III-3</w:t>
            </w:r>
          </w:p>
          <w:p w14:paraId="47EE01D0" w14:textId="77777777" w:rsidR="00955C58" w:rsidRPr="001155C9" w:rsidRDefault="00955C58" w:rsidP="002F16DB">
            <w:pPr>
              <w:pStyle w:val="Tabletext1"/>
              <w:rPr>
                <w:snapToGrid w:val="0"/>
              </w:rPr>
            </w:pPr>
            <w:r>
              <w:t>10 years</w:t>
            </w:r>
          </w:p>
        </w:tc>
        <w:tc>
          <w:tcPr>
            <w:tcW w:w="0" w:type="auto"/>
            <w:shd w:val="clear" w:color="auto" w:fill="auto"/>
          </w:tcPr>
          <w:p w14:paraId="10C86ACC" w14:textId="77777777" w:rsidR="00955C58" w:rsidRPr="001155C9" w:rsidRDefault="00955C58" w:rsidP="002F16DB">
            <w:pPr>
              <w:pStyle w:val="Tabletext1"/>
              <w:rPr>
                <w:snapToGrid w:val="0"/>
              </w:rPr>
            </w:pPr>
            <w:r>
              <w:rPr>
                <w:snapToGrid w:val="0"/>
              </w:rPr>
              <w:t>Moderate</w:t>
            </w:r>
          </w:p>
        </w:tc>
        <w:tc>
          <w:tcPr>
            <w:tcW w:w="0" w:type="auto"/>
            <w:shd w:val="clear" w:color="auto" w:fill="auto"/>
          </w:tcPr>
          <w:p w14:paraId="73B5CC9A" w14:textId="77777777" w:rsidR="00955C58" w:rsidRPr="001155C9" w:rsidRDefault="00955C58" w:rsidP="002F16DB">
            <w:pPr>
              <w:pStyle w:val="Tabletext1"/>
              <w:rPr>
                <w:snapToGrid w:val="0"/>
              </w:rPr>
            </w:pPr>
            <w:r>
              <w:t>Men who were referred to a specialist following a positive biopsy – outcomes associated with the delay in referral were analysed.</w:t>
            </w:r>
          </w:p>
        </w:tc>
        <w:tc>
          <w:tcPr>
            <w:tcW w:w="0" w:type="auto"/>
            <w:shd w:val="clear" w:color="auto" w:fill="auto"/>
          </w:tcPr>
          <w:p w14:paraId="20772E80" w14:textId="3A331D6E" w:rsidR="00955C58" w:rsidRPr="001155C9" w:rsidRDefault="00955C58" w:rsidP="002F16DB">
            <w:pPr>
              <w:pStyle w:val="Tabletext1"/>
              <w:rPr>
                <w:snapToGrid w:val="0"/>
              </w:rPr>
            </w:pPr>
            <w:r>
              <w:rPr>
                <w:snapToGrid w:val="0"/>
              </w:rPr>
              <w:t>Survival</w:t>
            </w:r>
            <w:r w:rsidR="00513B61">
              <w:rPr>
                <w:snapToGrid w:val="0"/>
              </w:rPr>
              <w:t>.</w:t>
            </w:r>
          </w:p>
        </w:tc>
        <w:tc>
          <w:tcPr>
            <w:tcW w:w="0" w:type="auto"/>
            <w:shd w:val="clear" w:color="auto" w:fill="auto"/>
          </w:tcPr>
          <w:p w14:paraId="173FB666" w14:textId="77777777" w:rsidR="00955C58" w:rsidRPr="001155C9" w:rsidRDefault="00955C58" w:rsidP="002F16DB">
            <w:pPr>
              <w:pStyle w:val="Tabletext1"/>
              <w:rPr>
                <w:snapToGrid w:val="0"/>
              </w:rPr>
            </w:pPr>
            <w:r>
              <w:rPr>
                <w:snapToGrid w:val="0"/>
              </w:rPr>
              <w:t>Used</w:t>
            </w:r>
          </w:p>
        </w:tc>
      </w:tr>
    </w:tbl>
    <w:p w14:paraId="3CFF0155" w14:textId="75BC92D0" w:rsidR="00955C58" w:rsidRDefault="00A25AE0" w:rsidP="00955C58">
      <w:pPr>
        <w:pStyle w:val="TableNotes"/>
      </w:pPr>
      <w:r>
        <w:rPr>
          <w:vertAlign w:val="superscript"/>
        </w:rPr>
        <w:t>a</w:t>
      </w:r>
      <w:r w:rsidR="00267381">
        <w:t>:</w:t>
      </w:r>
      <w:r>
        <w:t xml:space="preserve"> </w:t>
      </w:r>
      <w:r w:rsidR="00955C58" w:rsidRPr="00267381">
        <w:t>NHMRC</w:t>
      </w:r>
      <w:r w:rsidR="00454474">
        <w:t xml:space="preserve"> L</w:t>
      </w:r>
      <w:r w:rsidR="00955C58">
        <w:t>evel of evidence</w:t>
      </w:r>
      <w:r w:rsidR="00AD722C">
        <w:t>.</w:t>
      </w:r>
    </w:p>
    <w:p w14:paraId="1DE2FF69" w14:textId="38C5C0EA" w:rsidR="00955C58" w:rsidRPr="00955C58" w:rsidRDefault="00955C58" w:rsidP="00955C58">
      <w:pPr>
        <w:pStyle w:val="TableNotes"/>
      </w:pPr>
      <w:r>
        <w:t xml:space="preserve">PSA = prostate specific antigen, TX = local spread of disease, N1 = lymph node involvement, M1 = </w:t>
      </w:r>
      <w:r w:rsidR="008A46E2">
        <w:t>metastatic</w:t>
      </w:r>
      <w:r>
        <w:t xml:space="preserve"> disease, PCa = prostate cancer</w:t>
      </w:r>
      <w:r w:rsidR="00AD722C">
        <w:t>.</w:t>
      </w:r>
    </w:p>
    <w:p w14:paraId="3C286720" w14:textId="2C345D75" w:rsidR="00AD09B2" w:rsidRPr="00183E4D" w:rsidRDefault="00AD09B2" w:rsidP="00F87EE4">
      <w:pPr>
        <w:pStyle w:val="Heading2"/>
        <w:numPr>
          <w:ilvl w:val="1"/>
          <w:numId w:val="15"/>
        </w:numPr>
      </w:pPr>
      <w:bookmarkStart w:id="340" w:name="_Toc460513930"/>
      <w:r w:rsidRPr="00183E4D">
        <w:t>Outcome Measures and Analysis</w:t>
      </w:r>
      <w:r w:rsidR="00375205">
        <w:t xml:space="preserve">: therapeutic effectiveness </w:t>
      </w:r>
      <w:r w:rsidR="00267381">
        <w:br/>
      </w:r>
      <w:r w:rsidR="00375205">
        <w:t>(Population 1)</w:t>
      </w:r>
      <w:bookmarkEnd w:id="340"/>
    </w:p>
    <w:p w14:paraId="750919FA" w14:textId="293DDCE0" w:rsidR="00AD09B2" w:rsidRDefault="00AD09B2" w:rsidP="00AD09B2">
      <w:r w:rsidRPr="00142882">
        <w:t>See Appendix C for d</w:t>
      </w:r>
      <w:r w:rsidRPr="00183E4D">
        <w:t>etails on the outcomes m</w:t>
      </w:r>
      <w:r w:rsidR="00895CD3">
        <w:t>easured in the included studies.</w:t>
      </w:r>
    </w:p>
    <w:p w14:paraId="14B394F7" w14:textId="15B79F75" w:rsidR="00277FA2" w:rsidRDefault="00277FA2" w:rsidP="00277FA2">
      <w:r>
        <w:lastRenderedPageBreak/>
        <w:t xml:space="preserve">Due to the heterogeneous nature of the evidence base, </w:t>
      </w:r>
      <w:r w:rsidR="00985D99">
        <w:t>no pooled statistical analysis was performed</w:t>
      </w:r>
      <w:r>
        <w:t>. Instead</w:t>
      </w:r>
      <w:r w:rsidR="00985D99">
        <w:t>,</w:t>
      </w:r>
      <w:r>
        <w:t xml:space="preserve"> results are discussed narratively below.</w:t>
      </w:r>
    </w:p>
    <w:p w14:paraId="15B88AF8" w14:textId="406CF7B6" w:rsidR="001D07EA" w:rsidRDefault="00770167" w:rsidP="00AD09B2">
      <w:r>
        <w:t>A</w:t>
      </w:r>
      <w:r w:rsidR="001D07EA">
        <w:t xml:space="preserve"> difference in survival, metastatic disease, biochemical recurrence, extra-capsular extension, lymph node involvement and positive surgical margins was considered potentially clinically significant. Upgrade of tumour Gleason score in isolation of other outcomes was not considered clinically significant. </w:t>
      </w:r>
    </w:p>
    <w:p w14:paraId="7CCEC278" w14:textId="5626041B" w:rsidR="00AD09B2" w:rsidRPr="00183E4D" w:rsidRDefault="00AD09B2" w:rsidP="00F87EE4">
      <w:pPr>
        <w:pStyle w:val="Heading2"/>
        <w:numPr>
          <w:ilvl w:val="1"/>
          <w:numId w:val="15"/>
        </w:numPr>
      </w:pPr>
      <w:bookmarkStart w:id="341" w:name="_Toc460513931"/>
      <w:r w:rsidRPr="00183E4D">
        <w:t>Results of the Systematic Literature review</w:t>
      </w:r>
      <w:r w:rsidR="00924CDC">
        <w:t>: therapeutic effectiveness (Population 1)</w:t>
      </w:r>
      <w:bookmarkEnd w:id="341"/>
    </w:p>
    <w:p w14:paraId="7221CF20" w14:textId="1BEDF576" w:rsidR="00AD09B2" w:rsidRDefault="00AD09B2" w:rsidP="00AD09B2">
      <w:pPr>
        <w:pStyle w:val="Heading3"/>
      </w:pPr>
      <w:bookmarkStart w:id="342" w:name="_Toc460513932"/>
      <w:r w:rsidRPr="004D0C0F">
        <w:t xml:space="preserve">Does the change in management </w:t>
      </w:r>
      <w:r>
        <w:t>improve</w:t>
      </w:r>
      <w:r w:rsidRPr="004D0C0F">
        <w:t xml:space="preserve"> health outcomes?</w:t>
      </w:r>
      <w:bookmarkEnd w:id="342"/>
      <w:r w:rsidRPr="004D0C0F">
        <w:t xml:space="preserve"> </w:t>
      </w:r>
    </w:p>
    <w:p w14:paraId="1614038D" w14:textId="7E3342E9" w:rsidR="00AD09B2" w:rsidRDefault="00AD09B2" w:rsidP="00AD09B2">
      <w:pPr>
        <w:pStyle w:val="Summaryboxheading"/>
        <w:pBdr>
          <w:top w:val="single" w:sz="4" w:space="1" w:color="auto"/>
          <w:left w:val="single" w:sz="4" w:space="4" w:color="auto"/>
          <w:bottom w:val="single" w:sz="4" w:space="1" w:color="auto"/>
          <w:right w:val="single" w:sz="4" w:space="4" w:color="auto"/>
        </w:pBdr>
      </w:pPr>
      <w:r w:rsidRPr="00183E4D">
        <w:t xml:space="preserve">Summary – </w:t>
      </w:r>
      <w:r w:rsidR="00C2765D">
        <w:t>Does imaging with mpMRI improve health outcomes for men suspected of having prostate cancer?</w:t>
      </w:r>
    </w:p>
    <w:p w14:paraId="6F84DEBB" w14:textId="2F67E167" w:rsidR="00C2765D" w:rsidRPr="00C2765D" w:rsidRDefault="00C2765D" w:rsidP="00C2765D">
      <w:pPr>
        <w:pStyle w:val="Summaryboxheading"/>
        <w:pBdr>
          <w:top w:val="single" w:sz="4" w:space="1" w:color="auto"/>
          <w:left w:val="single" w:sz="4" w:space="4" w:color="auto"/>
          <w:bottom w:val="single" w:sz="4" w:space="1" w:color="auto"/>
          <w:right w:val="single" w:sz="4" w:space="4" w:color="auto"/>
        </w:pBdr>
        <w:rPr>
          <w:b w:val="0"/>
        </w:rPr>
      </w:pPr>
      <w:r w:rsidRPr="00C2765D">
        <w:t>Low</w:t>
      </w:r>
      <w:r w:rsidR="00985D99">
        <w:t>-</w:t>
      </w:r>
      <w:r w:rsidR="00A9704F">
        <w:t>concern</w:t>
      </w:r>
      <w:r w:rsidR="00A9704F" w:rsidRPr="00C2765D">
        <w:t xml:space="preserve"> </w:t>
      </w:r>
      <w:r w:rsidRPr="00C2765D">
        <w:t>patients</w:t>
      </w:r>
      <w:r w:rsidRPr="00C2765D">
        <w:rPr>
          <w:b w:val="0"/>
        </w:rPr>
        <w:t xml:space="preserve"> </w:t>
      </w:r>
      <w:r w:rsidR="0046483A">
        <w:rPr>
          <w:b w:val="0"/>
        </w:rPr>
        <w:t>(50% of patient in Population 1)</w:t>
      </w:r>
    </w:p>
    <w:p w14:paraId="5761AC96" w14:textId="1B8BA57F" w:rsidR="00C2765D" w:rsidRPr="00C2765D" w:rsidRDefault="00E7473C" w:rsidP="00C2765D">
      <w:pPr>
        <w:pStyle w:val="Summaryboxheading"/>
        <w:pBdr>
          <w:top w:val="single" w:sz="4" w:space="1" w:color="auto"/>
          <w:left w:val="single" w:sz="4" w:space="4" w:color="auto"/>
          <w:bottom w:val="single" w:sz="4" w:space="1" w:color="auto"/>
          <w:right w:val="single" w:sz="4" w:space="4" w:color="auto"/>
        </w:pBdr>
        <w:rPr>
          <w:b w:val="0"/>
        </w:rPr>
      </w:pPr>
      <w:r>
        <w:rPr>
          <w:b w:val="0"/>
        </w:rPr>
        <w:t>mpMRI</w:t>
      </w:r>
      <w:r w:rsidR="00C2765D" w:rsidRPr="00C2765D">
        <w:rPr>
          <w:b w:val="0"/>
        </w:rPr>
        <w:t xml:space="preserve"> True positive</w:t>
      </w:r>
      <w:r w:rsidR="005711F8">
        <w:rPr>
          <w:b w:val="0"/>
        </w:rPr>
        <w:t>:</w:t>
      </w:r>
      <w:r w:rsidR="00C2765D" w:rsidRPr="00C2765D">
        <w:rPr>
          <w:b w:val="0"/>
        </w:rPr>
        <w:t xml:space="preserve"> </w:t>
      </w:r>
      <w:r w:rsidR="005711F8">
        <w:rPr>
          <w:b w:val="0"/>
        </w:rPr>
        <w:t>No evidence that patients with a true positive will experience any change in management or change to health outcomes was identified.</w:t>
      </w:r>
    </w:p>
    <w:p w14:paraId="0F01408A" w14:textId="029A756A" w:rsidR="005711F8" w:rsidRDefault="00E7473C" w:rsidP="00C2765D">
      <w:pPr>
        <w:pStyle w:val="Summaryboxheading"/>
        <w:pBdr>
          <w:top w:val="single" w:sz="4" w:space="1" w:color="auto"/>
          <w:left w:val="single" w:sz="4" w:space="4" w:color="auto"/>
          <w:bottom w:val="single" w:sz="4" w:space="1" w:color="auto"/>
          <w:right w:val="single" w:sz="4" w:space="4" w:color="auto"/>
        </w:pBdr>
        <w:rPr>
          <w:b w:val="0"/>
        </w:rPr>
      </w:pPr>
      <w:r>
        <w:rPr>
          <w:b w:val="0"/>
        </w:rPr>
        <w:t>mpMRI</w:t>
      </w:r>
      <w:r w:rsidR="005711F8">
        <w:rPr>
          <w:b w:val="0"/>
        </w:rPr>
        <w:t xml:space="preserve"> False positive:</w:t>
      </w:r>
      <w:r w:rsidR="00E16238">
        <w:rPr>
          <w:b w:val="0"/>
        </w:rPr>
        <w:t xml:space="preserve"> </w:t>
      </w:r>
      <w:r w:rsidR="005711F8">
        <w:rPr>
          <w:b w:val="0"/>
        </w:rPr>
        <w:t>No evidence that patients with a false positive will experience any change in management or change to health outcomes was identified.</w:t>
      </w:r>
    </w:p>
    <w:p w14:paraId="4060E692" w14:textId="114E13BE" w:rsidR="00C2765D" w:rsidRPr="00C2765D" w:rsidRDefault="00E7473C" w:rsidP="00C2765D">
      <w:pPr>
        <w:pStyle w:val="Summaryboxheading"/>
        <w:pBdr>
          <w:top w:val="single" w:sz="4" w:space="1" w:color="auto"/>
          <w:left w:val="single" w:sz="4" w:space="4" w:color="auto"/>
          <w:bottom w:val="single" w:sz="4" w:space="1" w:color="auto"/>
          <w:right w:val="single" w:sz="4" w:space="4" w:color="auto"/>
        </w:pBdr>
        <w:rPr>
          <w:b w:val="0"/>
        </w:rPr>
      </w:pPr>
      <w:r>
        <w:rPr>
          <w:b w:val="0"/>
        </w:rPr>
        <w:t>mpMRI</w:t>
      </w:r>
      <w:r w:rsidR="00C2765D" w:rsidRPr="00C2765D">
        <w:rPr>
          <w:b w:val="0"/>
        </w:rPr>
        <w:t xml:space="preserve"> True </w:t>
      </w:r>
      <w:r w:rsidR="005711F8">
        <w:rPr>
          <w:b w:val="0"/>
        </w:rPr>
        <w:t xml:space="preserve">negative: </w:t>
      </w:r>
      <w:r w:rsidR="00C2765D" w:rsidRPr="00C2765D">
        <w:rPr>
          <w:b w:val="0"/>
        </w:rPr>
        <w:t xml:space="preserve">These patients will avoid having a biopsy and therefore avoid the adverse events associated with biopsy. The adverse events are discussed in Subsection B7. </w:t>
      </w:r>
    </w:p>
    <w:p w14:paraId="607A3B64" w14:textId="2B09B011" w:rsidR="00C2765D" w:rsidRDefault="00E7473C" w:rsidP="00C2765D">
      <w:pPr>
        <w:pStyle w:val="Summaryboxheading"/>
        <w:pBdr>
          <w:top w:val="single" w:sz="4" w:space="1" w:color="auto"/>
          <w:left w:val="single" w:sz="4" w:space="4" w:color="auto"/>
          <w:bottom w:val="single" w:sz="4" w:space="1" w:color="auto"/>
          <w:right w:val="single" w:sz="4" w:space="4" w:color="auto"/>
        </w:pBdr>
        <w:rPr>
          <w:b w:val="0"/>
        </w:rPr>
      </w:pPr>
      <w:r>
        <w:rPr>
          <w:b w:val="0"/>
        </w:rPr>
        <w:t>mpMRI</w:t>
      </w:r>
      <w:r w:rsidR="00C2765D" w:rsidRPr="00C2765D">
        <w:rPr>
          <w:b w:val="0"/>
        </w:rPr>
        <w:t xml:space="preserve"> False negative</w:t>
      </w:r>
      <w:r w:rsidR="005711F8">
        <w:rPr>
          <w:b w:val="0"/>
        </w:rPr>
        <w:t>:</w:t>
      </w:r>
      <w:r w:rsidR="00C2765D" w:rsidRPr="00C2765D">
        <w:rPr>
          <w:b w:val="0"/>
        </w:rPr>
        <w:t xml:space="preserve"> </w:t>
      </w:r>
      <w:r w:rsidR="00B91E35">
        <w:rPr>
          <w:b w:val="0"/>
        </w:rPr>
        <w:t>P</w:t>
      </w:r>
      <w:r w:rsidR="00C2765D" w:rsidRPr="00C2765D">
        <w:rPr>
          <w:b w:val="0"/>
        </w:rPr>
        <w:t>atients will avoid the adverse events associated with biopsy as described in Subsection B7. However, the</w:t>
      </w:r>
      <w:r w:rsidR="00B91E35">
        <w:rPr>
          <w:b w:val="0"/>
        </w:rPr>
        <w:t>se</w:t>
      </w:r>
      <w:r w:rsidR="00C2765D" w:rsidRPr="00C2765D">
        <w:rPr>
          <w:b w:val="0"/>
        </w:rPr>
        <w:t xml:space="preserve"> patients will be subject to a delay in the diagnosis of their disease</w:t>
      </w:r>
      <w:r w:rsidR="005711F8">
        <w:rPr>
          <w:b w:val="0"/>
        </w:rPr>
        <w:t xml:space="preserve">. Systematic review of the literature has found </w:t>
      </w:r>
      <w:r w:rsidR="00A13071">
        <w:rPr>
          <w:b w:val="0"/>
        </w:rPr>
        <w:t>little evidence that</w:t>
      </w:r>
      <w:r w:rsidR="005711F8">
        <w:rPr>
          <w:b w:val="0"/>
        </w:rPr>
        <w:t xml:space="preserve"> delay</w:t>
      </w:r>
      <w:r w:rsidR="00A13071">
        <w:rPr>
          <w:b w:val="0"/>
        </w:rPr>
        <w:t>s in treatment of up to 24 months will</w:t>
      </w:r>
      <w:r w:rsidR="005711F8">
        <w:rPr>
          <w:b w:val="0"/>
        </w:rPr>
        <w:t xml:space="preserve"> impact </w:t>
      </w:r>
      <w:r w:rsidR="004127A2">
        <w:rPr>
          <w:b w:val="0"/>
        </w:rPr>
        <w:t>patient’s</w:t>
      </w:r>
      <w:r w:rsidR="005711F8">
        <w:rPr>
          <w:b w:val="0"/>
        </w:rPr>
        <w:t xml:space="preserve"> health outcomes. This includes patients with high risk disease.</w:t>
      </w:r>
      <w:r w:rsidR="00B82BCD">
        <w:rPr>
          <w:b w:val="0"/>
        </w:rPr>
        <w:t xml:space="preserve"> These results are informed by </w:t>
      </w:r>
      <w:r w:rsidR="00B91E35">
        <w:rPr>
          <w:b w:val="0"/>
        </w:rPr>
        <w:t xml:space="preserve">one </w:t>
      </w:r>
      <w:r w:rsidR="00B82BCD">
        <w:rPr>
          <w:b w:val="0"/>
        </w:rPr>
        <w:t>systematic review and six primary studies, all of which had a moderate</w:t>
      </w:r>
      <w:r w:rsidR="00B91E35">
        <w:rPr>
          <w:b w:val="0"/>
        </w:rPr>
        <w:t>/high</w:t>
      </w:r>
      <w:r w:rsidR="00B82BCD">
        <w:rPr>
          <w:b w:val="0"/>
        </w:rPr>
        <w:t xml:space="preserve"> risk of bias.</w:t>
      </w:r>
    </w:p>
    <w:p w14:paraId="0580AD30" w14:textId="3F3EEF8E" w:rsidR="00C2765D" w:rsidRDefault="00C2765D" w:rsidP="005711F8">
      <w:pPr>
        <w:pStyle w:val="Summaryboxheading"/>
        <w:pBdr>
          <w:top w:val="single" w:sz="4" w:space="1" w:color="auto"/>
          <w:left w:val="single" w:sz="4" w:space="4" w:color="auto"/>
          <w:bottom w:val="single" w:sz="4" w:space="1" w:color="auto"/>
          <w:right w:val="single" w:sz="4" w:space="4" w:color="auto"/>
        </w:pBdr>
      </w:pPr>
      <w:r w:rsidRPr="005711F8">
        <w:t>High</w:t>
      </w:r>
      <w:r w:rsidR="00985D99">
        <w:t>-</w:t>
      </w:r>
      <w:r w:rsidR="00A9704F">
        <w:t>concern</w:t>
      </w:r>
      <w:r w:rsidR="00A9704F" w:rsidRPr="005711F8">
        <w:t xml:space="preserve"> </w:t>
      </w:r>
      <w:r w:rsidRPr="005711F8">
        <w:t>pati</w:t>
      </w:r>
      <w:r w:rsidR="005711F8" w:rsidRPr="005711F8">
        <w:t>ents</w:t>
      </w:r>
      <w:r w:rsidR="0046483A">
        <w:t xml:space="preserve"> </w:t>
      </w:r>
      <w:r w:rsidR="0046483A">
        <w:rPr>
          <w:b w:val="0"/>
        </w:rPr>
        <w:t>(50% of patient in Population 1)</w:t>
      </w:r>
    </w:p>
    <w:p w14:paraId="2C005C8B" w14:textId="6C78EAD5" w:rsidR="005C404F" w:rsidRDefault="005C404F" w:rsidP="005C404F">
      <w:pPr>
        <w:pStyle w:val="Summaryboxheading"/>
        <w:pBdr>
          <w:top w:val="single" w:sz="4" w:space="1" w:color="auto"/>
          <w:left w:val="single" w:sz="4" w:space="4" w:color="auto"/>
          <w:bottom w:val="single" w:sz="4" w:space="1" w:color="auto"/>
          <w:right w:val="single" w:sz="4" w:space="4" w:color="auto"/>
        </w:pBdr>
        <w:rPr>
          <w:b w:val="0"/>
        </w:rPr>
      </w:pPr>
      <w:r>
        <w:rPr>
          <w:b w:val="0"/>
        </w:rPr>
        <w:t>All high</w:t>
      </w:r>
      <w:r w:rsidR="00985D99">
        <w:rPr>
          <w:b w:val="0"/>
        </w:rPr>
        <w:t>-</w:t>
      </w:r>
      <w:r w:rsidR="00A9704F">
        <w:rPr>
          <w:b w:val="0"/>
        </w:rPr>
        <w:t xml:space="preserve">concern </w:t>
      </w:r>
      <w:r>
        <w:rPr>
          <w:b w:val="0"/>
        </w:rPr>
        <w:t>patients will undergo a biopsy under both current and proposed management algorithms. No evidence that patients who undergo a biopsy of any type will experience any change in management or change to health outcomes was identified.</w:t>
      </w:r>
    </w:p>
    <w:p w14:paraId="24EB1684" w14:textId="376DE3C6" w:rsidR="005C404F" w:rsidRPr="005711F8" w:rsidRDefault="005C404F" w:rsidP="005C404F">
      <w:pPr>
        <w:pStyle w:val="Summaryboxheading"/>
        <w:pBdr>
          <w:top w:val="single" w:sz="4" w:space="1" w:color="auto"/>
          <w:left w:val="single" w:sz="4" w:space="4" w:color="auto"/>
          <w:bottom w:val="single" w:sz="4" w:space="1" w:color="auto"/>
          <w:right w:val="single" w:sz="4" w:space="4" w:color="auto"/>
        </w:pBdr>
        <w:rPr>
          <w:b w:val="0"/>
        </w:rPr>
      </w:pPr>
      <w:r w:rsidRPr="00BC766F">
        <w:t>Summary</w:t>
      </w:r>
      <w:r>
        <w:rPr>
          <w:b w:val="0"/>
        </w:rPr>
        <w:t>: based on the current and proposed clinical algorithms, most patients will not have any change to their management following introduction of mpMRI beyond a change in the type of biopsy they receive. There is no evidence that treatment decisions will be changed as a result</w:t>
      </w:r>
      <w:r w:rsidR="002D4A50">
        <w:rPr>
          <w:b w:val="0"/>
        </w:rPr>
        <w:t xml:space="preserve"> of a change in biopsy technique</w:t>
      </w:r>
      <w:r>
        <w:rPr>
          <w:b w:val="0"/>
        </w:rPr>
        <w:t xml:space="preserve">. There is very limited evidence that for high risk disease a delay in treatment due to a false negative on mpMRI </w:t>
      </w:r>
      <w:r w:rsidR="00985D99">
        <w:rPr>
          <w:b w:val="0"/>
        </w:rPr>
        <w:t xml:space="preserve">would </w:t>
      </w:r>
      <w:r>
        <w:rPr>
          <w:b w:val="0"/>
        </w:rPr>
        <w:lastRenderedPageBreak/>
        <w:t>compromise patient outcomes; however, most evidence indicates a delay will not impact health outcomes regardless of disease risk.</w:t>
      </w:r>
      <w:r w:rsidR="00305C27">
        <w:rPr>
          <w:b w:val="0"/>
        </w:rPr>
        <w:t xml:space="preserve"> </w:t>
      </w:r>
      <w:r w:rsidR="00985D99">
        <w:rPr>
          <w:b w:val="0"/>
        </w:rPr>
        <w:t>I</w:t>
      </w:r>
      <w:r>
        <w:rPr>
          <w:b w:val="0"/>
        </w:rPr>
        <w:t xml:space="preserve">t should be noted that the evidence base for each outcome was rated </w:t>
      </w:r>
      <w:r w:rsidR="00985D99">
        <w:rPr>
          <w:b w:val="0"/>
        </w:rPr>
        <w:t>as ‘</w:t>
      </w:r>
      <w:r>
        <w:rPr>
          <w:b w:val="0"/>
        </w:rPr>
        <w:t>very low</w:t>
      </w:r>
      <w:r w:rsidR="00985D99">
        <w:rPr>
          <w:b w:val="0"/>
        </w:rPr>
        <w:t>’</w:t>
      </w:r>
      <w:r>
        <w:rPr>
          <w:b w:val="0"/>
        </w:rPr>
        <w:t xml:space="preserve"> </w:t>
      </w:r>
      <w:r w:rsidR="00985D99">
        <w:rPr>
          <w:b w:val="0"/>
        </w:rPr>
        <w:t xml:space="preserve">when </w:t>
      </w:r>
      <w:r>
        <w:rPr>
          <w:b w:val="0"/>
        </w:rPr>
        <w:t>using the GRADE tool reflecting the observational nature of the included studies and the potential applicability issues of the included population.</w:t>
      </w:r>
      <w:r w:rsidR="00FD5BE0">
        <w:rPr>
          <w:b w:val="0"/>
        </w:rPr>
        <w:t xml:space="preserve"> </w:t>
      </w:r>
    </w:p>
    <w:p w14:paraId="70D5FACB" w14:textId="50F98427" w:rsidR="00813DC8" w:rsidRDefault="00813DC8" w:rsidP="00EB2E2F">
      <w:r>
        <w:t>As discussed above, only low-</w:t>
      </w:r>
      <w:r w:rsidR="00A9704F">
        <w:t xml:space="preserve">concern </w:t>
      </w:r>
      <w:r>
        <w:t xml:space="preserve">patients with a negative mpMRI will have a potential change to </w:t>
      </w:r>
      <w:r w:rsidR="0068293B">
        <w:t xml:space="preserve">their </w:t>
      </w:r>
      <w:r>
        <w:t>health outcomes</w:t>
      </w:r>
      <w:r w:rsidR="0068293B">
        <w:t xml:space="preserve"> under the proposed algorithm</w:t>
      </w:r>
      <w:r>
        <w:t xml:space="preserve">. </w:t>
      </w:r>
    </w:p>
    <w:p w14:paraId="6CBFF270" w14:textId="13B0C363" w:rsidR="00813DC8" w:rsidRDefault="00813DC8" w:rsidP="00EB2E2F">
      <w:r>
        <w:t xml:space="preserve">For patients with a true negative result, health outcomes will be improved due to an avoidance of the adverse events </w:t>
      </w:r>
      <w:r w:rsidR="00EB2E2F">
        <w:t>associated with biopsy (discussed in Subsection B7).</w:t>
      </w:r>
      <w:r w:rsidR="00E402A9">
        <w:t xml:space="preserve"> </w:t>
      </w:r>
    </w:p>
    <w:p w14:paraId="6386B51D" w14:textId="358FDD36" w:rsidR="00AD09B2" w:rsidRPr="009A7431" w:rsidRDefault="00080450" w:rsidP="00496E91">
      <w:r>
        <w:t>P</w:t>
      </w:r>
      <w:r w:rsidR="00EB2E2F">
        <w:t xml:space="preserve">atients with a false negative result will avoid the adverse events associated with biopsy (discussed in Subsection B7). However, these patients will experience a delayed diagnosis of their disease. The </w:t>
      </w:r>
      <w:r w:rsidR="0068293B">
        <w:t xml:space="preserve">summary of findings from the systematic literature review assessing the potential </w:t>
      </w:r>
      <w:r w:rsidR="0068293B" w:rsidRPr="00FE48CB">
        <w:t>impact of this delay is</w:t>
      </w:r>
      <w:r w:rsidR="00EB2E2F" w:rsidRPr="00FE48CB">
        <w:t xml:space="preserve"> shown in </w:t>
      </w:r>
      <w:r w:rsidR="00D203E3" w:rsidRPr="00FE48CB">
        <w:fldChar w:fldCharType="begin"/>
      </w:r>
      <w:r w:rsidR="00D203E3" w:rsidRPr="00FE48CB">
        <w:instrText xml:space="preserve"> REF _Ref456613391 \h </w:instrText>
      </w:r>
      <w:r w:rsidR="00FE48CB">
        <w:instrText xml:space="preserve"> \* MERGEFORMAT </w:instrText>
      </w:r>
      <w:r w:rsidR="00D203E3" w:rsidRPr="00FE48CB">
        <w:fldChar w:fldCharType="separate"/>
      </w:r>
      <w:r w:rsidR="0029649D" w:rsidRPr="00FE48CB">
        <w:t xml:space="preserve">Table </w:t>
      </w:r>
      <w:r w:rsidR="0029649D">
        <w:rPr>
          <w:noProof/>
        </w:rPr>
        <w:t>29</w:t>
      </w:r>
      <w:r w:rsidR="00D203E3" w:rsidRPr="00FE48CB">
        <w:fldChar w:fldCharType="end"/>
      </w:r>
      <w:r w:rsidR="00EB2E2F" w:rsidRPr="00FE48CB">
        <w:t>.</w:t>
      </w:r>
      <w:r w:rsidR="00D203E3" w:rsidRPr="00FE48CB">
        <w:t xml:space="preserve"> The results from the individual studies</w:t>
      </w:r>
      <w:r w:rsidR="000C52C0">
        <w:t>, including thos</w:t>
      </w:r>
      <w:r w:rsidR="007D2B77">
        <w:t>e</w:t>
      </w:r>
      <w:r w:rsidR="000C52C0">
        <w:t xml:space="preserve"> in van den Bergh et al. (2013)</w:t>
      </w:r>
      <w:r w:rsidR="007D2B77">
        <w:t>,</w:t>
      </w:r>
      <w:r w:rsidR="00D203E3" w:rsidRPr="00FE48CB">
        <w:t xml:space="preserve"> are reported in </w:t>
      </w:r>
      <w:r w:rsidR="004A1E9A" w:rsidRPr="00FE48CB">
        <w:t xml:space="preserve">Appendix </w:t>
      </w:r>
      <w:r w:rsidR="00A10482">
        <w:t>H</w:t>
      </w:r>
      <w:r w:rsidR="004A1E9A" w:rsidRPr="009A7431">
        <w:t>.</w:t>
      </w:r>
      <w:r w:rsidR="00AD09B2" w:rsidRPr="009A7431">
        <w:t xml:space="preserve"> </w:t>
      </w:r>
    </w:p>
    <w:p w14:paraId="248ED94B" w14:textId="1305DF19" w:rsidR="004A1E9A" w:rsidRPr="00466B3D" w:rsidRDefault="004A1E9A" w:rsidP="00E6732A">
      <w:pPr>
        <w:pStyle w:val="Caption"/>
        <w:ind w:left="1134" w:hanging="1134"/>
      </w:pPr>
      <w:bookmarkStart w:id="343" w:name="_Ref456613391"/>
      <w:bookmarkStart w:id="344" w:name="_Toc460514529"/>
      <w:r w:rsidRPr="00FE48CB">
        <w:t xml:space="preserve">Table </w:t>
      </w:r>
      <w:fldSimple w:instr=" SEQ Table \* ARABIC ">
        <w:r w:rsidR="0029649D">
          <w:rPr>
            <w:noProof/>
          </w:rPr>
          <w:t>29</w:t>
        </w:r>
      </w:fldSimple>
      <w:bookmarkEnd w:id="343"/>
      <w:r w:rsidRPr="00FE48CB">
        <w:tab/>
        <w:t xml:space="preserve">Summary of findings assessing whether </w:t>
      </w:r>
      <w:r w:rsidR="00FE48CB" w:rsidRPr="00FE48CB">
        <w:t xml:space="preserve">a delay in treatment due to a false negative </w:t>
      </w:r>
      <w:r w:rsidR="00FE48CB" w:rsidRPr="00466B3D">
        <w:t>mpMRI</w:t>
      </w:r>
      <w:r w:rsidRPr="00466B3D">
        <w:t xml:space="preserve"> changes </w:t>
      </w:r>
      <w:r w:rsidR="00FE48CB" w:rsidRPr="00466B3D">
        <w:t>patient outcomes in patients with prostate cancer</w:t>
      </w:r>
      <w:bookmarkEnd w:id="344"/>
    </w:p>
    <w:tbl>
      <w:tblPr>
        <w:tblW w:w="9112" w:type="dxa"/>
        <w:tblInd w:w="130" w:type="dxa"/>
        <w:tblCellMar>
          <w:left w:w="28" w:type="dxa"/>
          <w:right w:w="28" w:type="dxa"/>
        </w:tblCellMar>
        <w:tblLook w:val="04A0" w:firstRow="1" w:lastRow="0" w:firstColumn="1" w:lastColumn="0" w:noHBand="0" w:noVBand="1"/>
        <w:tblDescription w:val="Summary of findings table"/>
      </w:tblPr>
      <w:tblGrid>
        <w:gridCol w:w="2070"/>
        <w:gridCol w:w="1682"/>
        <w:gridCol w:w="1784"/>
        <w:gridCol w:w="2094"/>
        <w:gridCol w:w="1482"/>
      </w:tblGrid>
      <w:tr w:rsidR="00BA6858" w:rsidRPr="00E6732A" w14:paraId="48A4AA86" w14:textId="77777777" w:rsidTr="00E6732A">
        <w:trPr>
          <w:cantSplit/>
          <w:trHeight w:val="397"/>
          <w:tblHeader/>
        </w:trPr>
        <w:tc>
          <w:tcPr>
            <w:tcW w:w="1136" w:type="pct"/>
            <w:tcBorders>
              <w:top w:val="single" w:sz="4" w:space="0" w:color="auto"/>
              <w:left w:val="single" w:sz="4" w:space="0" w:color="auto"/>
              <w:bottom w:val="single" w:sz="4" w:space="0" w:color="auto"/>
              <w:right w:val="single" w:sz="4" w:space="0" w:color="auto"/>
            </w:tcBorders>
          </w:tcPr>
          <w:p w14:paraId="1732EA5D" w14:textId="77777777" w:rsidR="00BA6858" w:rsidRPr="00E6732A" w:rsidRDefault="00BA6858" w:rsidP="00C53DDF">
            <w:pPr>
              <w:pStyle w:val="Tableheading1"/>
            </w:pPr>
            <w:r w:rsidRPr="00E6732A">
              <w:t>Outcomes</w:t>
            </w:r>
          </w:p>
        </w:tc>
        <w:tc>
          <w:tcPr>
            <w:tcW w:w="923" w:type="pct"/>
            <w:tcBorders>
              <w:top w:val="single" w:sz="4" w:space="0" w:color="auto"/>
              <w:left w:val="single" w:sz="4" w:space="0" w:color="auto"/>
              <w:bottom w:val="single" w:sz="4" w:space="0" w:color="auto"/>
              <w:right w:val="single" w:sz="4" w:space="0" w:color="auto"/>
            </w:tcBorders>
          </w:tcPr>
          <w:p w14:paraId="1755BCA4" w14:textId="77777777" w:rsidR="00BA6858" w:rsidRPr="00E6732A" w:rsidRDefault="00BA6858" w:rsidP="00C53DDF">
            <w:pPr>
              <w:pStyle w:val="Tableheading1"/>
            </w:pPr>
            <w:r w:rsidRPr="00E6732A">
              <w:t>Impact of delay</w:t>
            </w:r>
          </w:p>
        </w:tc>
        <w:tc>
          <w:tcPr>
            <w:tcW w:w="979" w:type="pct"/>
            <w:tcBorders>
              <w:top w:val="single" w:sz="4" w:space="0" w:color="auto"/>
              <w:left w:val="single" w:sz="4" w:space="0" w:color="auto"/>
              <w:bottom w:val="single" w:sz="4" w:space="0" w:color="auto"/>
              <w:right w:val="single" w:sz="4" w:space="0" w:color="auto"/>
            </w:tcBorders>
          </w:tcPr>
          <w:p w14:paraId="16F12B99" w14:textId="27113FC8" w:rsidR="00BA6858" w:rsidRPr="00E6732A" w:rsidRDefault="00A20B9A" w:rsidP="00C53DDF">
            <w:pPr>
              <w:pStyle w:val="Tableheading1"/>
            </w:pPr>
            <w:r w:rsidRPr="00E6732A">
              <w:t>Patients/Studies</w:t>
            </w:r>
          </w:p>
        </w:tc>
        <w:tc>
          <w:tcPr>
            <w:tcW w:w="1149" w:type="pct"/>
            <w:tcBorders>
              <w:top w:val="single" w:sz="4" w:space="0" w:color="auto"/>
              <w:left w:val="single" w:sz="4" w:space="0" w:color="auto"/>
              <w:bottom w:val="single" w:sz="4" w:space="0" w:color="auto"/>
              <w:right w:val="single" w:sz="4" w:space="0" w:color="auto"/>
            </w:tcBorders>
          </w:tcPr>
          <w:p w14:paraId="4F32A4A9" w14:textId="12EB009E" w:rsidR="00BA6858" w:rsidRPr="00E6732A" w:rsidRDefault="00BA6858" w:rsidP="00C53DDF">
            <w:pPr>
              <w:pStyle w:val="Tableheading1"/>
            </w:pPr>
            <w:r w:rsidRPr="00E6732A">
              <w:t>Quality of evidence</w:t>
            </w:r>
            <w:r w:rsidR="00EE7964" w:rsidRPr="00E6732A">
              <w:rPr>
                <w:vertAlign w:val="superscript"/>
              </w:rPr>
              <w:t>a</w:t>
            </w:r>
          </w:p>
        </w:tc>
        <w:tc>
          <w:tcPr>
            <w:tcW w:w="814" w:type="pct"/>
            <w:tcBorders>
              <w:top w:val="single" w:sz="4" w:space="0" w:color="auto"/>
              <w:left w:val="single" w:sz="4" w:space="0" w:color="auto"/>
              <w:bottom w:val="single" w:sz="4" w:space="0" w:color="auto"/>
              <w:right w:val="single" w:sz="4" w:space="0" w:color="auto"/>
            </w:tcBorders>
          </w:tcPr>
          <w:p w14:paraId="64E3D35D" w14:textId="77777777" w:rsidR="00BA6858" w:rsidRPr="00E6732A" w:rsidRDefault="00BA6858" w:rsidP="00C53DDF">
            <w:pPr>
              <w:pStyle w:val="Tableheading1"/>
            </w:pPr>
            <w:r w:rsidRPr="00E6732A">
              <w:t>Importance</w:t>
            </w:r>
          </w:p>
        </w:tc>
      </w:tr>
      <w:tr w:rsidR="00BA6858" w:rsidRPr="009D7541" w14:paraId="094B7671" w14:textId="77777777" w:rsidTr="00E6732A">
        <w:trPr>
          <w:cantSplit/>
          <w:trHeight w:val="397"/>
        </w:trPr>
        <w:tc>
          <w:tcPr>
            <w:tcW w:w="1136" w:type="pct"/>
            <w:tcBorders>
              <w:top w:val="single" w:sz="4" w:space="0" w:color="auto"/>
              <w:left w:val="single" w:sz="4" w:space="0" w:color="auto"/>
              <w:bottom w:val="single" w:sz="4" w:space="0" w:color="auto"/>
              <w:right w:val="single" w:sz="4" w:space="0" w:color="auto"/>
            </w:tcBorders>
          </w:tcPr>
          <w:p w14:paraId="702EB2D7" w14:textId="1AEBE934" w:rsidR="00BA6858" w:rsidRPr="009D7541" w:rsidRDefault="00BA6858" w:rsidP="00245217">
            <w:pPr>
              <w:pStyle w:val="Tabletext1"/>
              <w:rPr>
                <w:rFonts w:cs="Arial"/>
              </w:rPr>
            </w:pPr>
            <w:r w:rsidRPr="00B375F2">
              <w:rPr>
                <w:rStyle w:val="label"/>
              </w:rPr>
              <w:t>Overall survival</w:t>
            </w:r>
            <w:r w:rsidR="00B01696">
              <w:rPr>
                <w:rStyle w:val="label"/>
              </w:rPr>
              <w:t xml:space="preserve"> </w:t>
            </w:r>
            <w:r w:rsidRPr="00B375F2">
              <w:rPr>
                <w:rStyle w:val="label"/>
              </w:rPr>
              <w:t>follow</w:t>
            </w:r>
            <w:r w:rsidR="00B01696">
              <w:rPr>
                <w:rStyle w:val="label"/>
              </w:rPr>
              <w:t>-</w:t>
            </w:r>
            <w:r w:rsidRPr="00B375F2">
              <w:rPr>
                <w:rStyle w:val="label"/>
              </w:rPr>
              <w:t>up range 5 to 8 years</w:t>
            </w:r>
            <w:r w:rsidR="00B01696">
              <w:rPr>
                <w:rStyle w:val="label"/>
              </w:rPr>
              <w:t>.</w:t>
            </w:r>
            <w:r w:rsidRPr="00B375F2">
              <w:t xml:space="preserve"> </w:t>
            </w:r>
          </w:p>
        </w:tc>
        <w:tc>
          <w:tcPr>
            <w:tcW w:w="923" w:type="pct"/>
            <w:tcBorders>
              <w:top w:val="single" w:sz="4" w:space="0" w:color="auto"/>
              <w:left w:val="single" w:sz="4" w:space="0" w:color="auto"/>
              <w:bottom w:val="single" w:sz="4" w:space="0" w:color="auto"/>
              <w:right w:val="single" w:sz="4" w:space="0" w:color="auto"/>
            </w:tcBorders>
          </w:tcPr>
          <w:p w14:paraId="4A8FCBFB" w14:textId="675E2EC1" w:rsidR="00BA6858" w:rsidRPr="009D7541" w:rsidRDefault="00BA6858" w:rsidP="00245217">
            <w:pPr>
              <w:pStyle w:val="Tabletext1"/>
              <w:rPr>
                <w:rFonts w:cs="Arial"/>
              </w:rPr>
            </w:pPr>
            <w:r w:rsidRPr="00B375F2">
              <w:t xml:space="preserve">Delay did not impact overall survival (results from </w:t>
            </w:r>
            <w:r w:rsidR="00B01696">
              <w:t>5</w:t>
            </w:r>
            <w:r w:rsidR="00B01696" w:rsidRPr="00B375F2">
              <w:t xml:space="preserve"> </w:t>
            </w:r>
            <w:r w:rsidRPr="00B375F2">
              <w:t>studies)</w:t>
            </w:r>
            <w:r w:rsidR="00513B61">
              <w:t>.</w:t>
            </w:r>
            <w:r w:rsidRPr="00B375F2">
              <w:t xml:space="preserve"> </w:t>
            </w:r>
          </w:p>
        </w:tc>
        <w:tc>
          <w:tcPr>
            <w:tcW w:w="979" w:type="pct"/>
            <w:tcBorders>
              <w:top w:val="single" w:sz="4" w:space="0" w:color="auto"/>
              <w:left w:val="single" w:sz="4" w:space="0" w:color="auto"/>
              <w:bottom w:val="single" w:sz="4" w:space="0" w:color="auto"/>
              <w:right w:val="single" w:sz="4" w:space="0" w:color="auto"/>
            </w:tcBorders>
          </w:tcPr>
          <w:p w14:paraId="673F62C4" w14:textId="23348B2A" w:rsidR="00BA6858" w:rsidRPr="00B375F2" w:rsidRDefault="00BA6858" w:rsidP="00245217">
            <w:pPr>
              <w:pStyle w:val="Tabletext1"/>
              <w:rPr>
                <w:rStyle w:val="quality-sign"/>
                <w:rFonts w:ascii="Cambria Math" w:hAnsi="Cambria Math" w:cs="Cambria Math"/>
              </w:rPr>
            </w:pPr>
            <w:r w:rsidRPr="00B375F2">
              <w:t>41</w:t>
            </w:r>
            <w:r w:rsidR="00EE7964" w:rsidRPr="00B375F2">
              <w:t>,</w:t>
            </w:r>
            <w:r w:rsidRPr="00B375F2">
              <w:t>146</w:t>
            </w:r>
            <w:r w:rsidR="00A20B9A">
              <w:t xml:space="preserve"> patients</w:t>
            </w:r>
            <w:r w:rsidRPr="00B375F2">
              <w:br/>
              <w:t xml:space="preserve">(5 studies) </w:t>
            </w:r>
          </w:p>
        </w:tc>
        <w:tc>
          <w:tcPr>
            <w:tcW w:w="1149" w:type="pct"/>
            <w:tcBorders>
              <w:top w:val="single" w:sz="4" w:space="0" w:color="auto"/>
              <w:left w:val="single" w:sz="4" w:space="0" w:color="auto"/>
              <w:bottom w:val="single" w:sz="4" w:space="0" w:color="auto"/>
              <w:right w:val="single" w:sz="4" w:space="0" w:color="auto"/>
            </w:tcBorders>
          </w:tcPr>
          <w:p w14:paraId="099128FD" w14:textId="21BF564E" w:rsidR="00BA6858" w:rsidRPr="009D7541" w:rsidRDefault="00291227" w:rsidP="00245217">
            <w:pPr>
              <w:pStyle w:val="Tabletext1"/>
              <w:rPr>
                <w:rFonts w:cs="Arial"/>
              </w:rPr>
            </w:pPr>
            <w:r w:rsidRPr="009D7541">
              <w:rPr>
                <w:rFonts w:ascii="Cambria Math" w:hAnsi="Cambria Math"/>
                <w:color w:val="00B050"/>
              </w:rPr>
              <w:t>⨁</w:t>
            </w:r>
            <w:r w:rsidRPr="009D7541">
              <w:rPr>
                <w:rFonts w:ascii="Cambria Math" w:hAnsi="Cambria Math" w:cs="Cambria Math"/>
                <w:color w:val="C00000"/>
              </w:rPr>
              <w:t>⨀⨀⨀</w:t>
            </w:r>
            <w:r w:rsidR="00BA6858" w:rsidRPr="00B375F2">
              <w:br/>
              <w:t>VERY LOW</w:t>
            </w:r>
            <w:r w:rsidR="00BA6858" w:rsidRPr="00B375F2">
              <w:rPr>
                <w:vertAlign w:val="superscript"/>
              </w:rPr>
              <w:t>1</w:t>
            </w:r>
          </w:p>
        </w:tc>
        <w:tc>
          <w:tcPr>
            <w:tcW w:w="814" w:type="pct"/>
            <w:tcBorders>
              <w:top w:val="single" w:sz="4" w:space="0" w:color="auto"/>
              <w:left w:val="single" w:sz="4" w:space="0" w:color="auto"/>
              <w:bottom w:val="single" w:sz="4" w:space="0" w:color="auto"/>
              <w:right w:val="single" w:sz="4" w:space="0" w:color="auto"/>
            </w:tcBorders>
          </w:tcPr>
          <w:p w14:paraId="20DE2C5B" w14:textId="04FCB5CC" w:rsidR="00BA6858" w:rsidRPr="009D7541" w:rsidRDefault="00AD4368" w:rsidP="00245217">
            <w:pPr>
              <w:pStyle w:val="Tabletext1"/>
            </w:pPr>
            <w:r w:rsidRPr="009D7541">
              <w:t>Critical</w:t>
            </w:r>
          </w:p>
        </w:tc>
      </w:tr>
      <w:tr w:rsidR="00BA6858" w:rsidRPr="009D7541" w14:paraId="5F764AE2" w14:textId="77777777" w:rsidTr="00E6732A">
        <w:trPr>
          <w:cantSplit/>
          <w:trHeight w:val="397"/>
        </w:trPr>
        <w:tc>
          <w:tcPr>
            <w:tcW w:w="1136" w:type="pct"/>
            <w:tcBorders>
              <w:top w:val="single" w:sz="4" w:space="0" w:color="auto"/>
              <w:left w:val="single" w:sz="4" w:space="0" w:color="auto"/>
              <w:bottom w:val="single" w:sz="4" w:space="0" w:color="auto"/>
              <w:right w:val="single" w:sz="4" w:space="0" w:color="auto"/>
            </w:tcBorders>
          </w:tcPr>
          <w:p w14:paraId="2F0B7164" w14:textId="3EA9E087" w:rsidR="00BA6858" w:rsidRPr="009D7541" w:rsidRDefault="00BA6858" w:rsidP="00245217">
            <w:pPr>
              <w:pStyle w:val="Tabletext1"/>
              <w:rPr>
                <w:rFonts w:cs="Arial"/>
              </w:rPr>
            </w:pPr>
            <w:r w:rsidRPr="00B375F2">
              <w:rPr>
                <w:rStyle w:val="label"/>
              </w:rPr>
              <w:t>Cancer free survival</w:t>
            </w:r>
            <w:r w:rsidR="00B01696">
              <w:rPr>
                <w:rStyle w:val="label"/>
              </w:rPr>
              <w:t xml:space="preserve"> </w:t>
            </w:r>
            <w:r w:rsidRPr="00B375F2">
              <w:rPr>
                <w:rStyle w:val="label"/>
              </w:rPr>
              <w:t>follow</w:t>
            </w:r>
            <w:r w:rsidR="00B01696">
              <w:rPr>
                <w:rStyle w:val="label"/>
              </w:rPr>
              <w:t>-</w:t>
            </w:r>
            <w:r w:rsidRPr="00B375F2">
              <w:rPr>
                <w:rStyle w:val="label"/>
              </w:rPr>
              <w:t>up median 5 years</w:t>
            </w:r>
            <w:r w:rsidR="00B01696">
              <w:rPr>
                <w:rStyle w:val="label"/>
              </w:rPr>
              <w:t>.</w:t>
            </w:r>
            <w:r w:rsidRPr="00B375F2">
              <w:t xml:space="preserve"> </w:t>
            </w:r>
          </w:p>
        </w:tc>
        <w:tc>
          <w:tcPr>
            <w:tcW w:w="923" w:type="pct"/>
            <w:tcBorders>
              <w:top w:val="single" w:sz="4" w:space="0" w:color="auto"/>
              <w:left w:val="single" w:sz="4" w:space="0" w:color="auto"/>
              <w:bottom w:val="single" w:sz="4" w:space="0" w:color="auto"/>
              <w:right w:val="single" w:sz="4" w:space="0" w:color="auto"/>
            </w:tcBorders>
          </w:tcPr>
          <w:p w14:paraId="6509E6D6" w14:textId="161774CF" w:rsidR="00BA6858" w:rsidRPr="009D7541" w:rsidRDefault="00BA6858" w:rsidP="00245217">
            <w:pPr>
              <w:pStyle w:val="Tabletext1"/>
              <w:rPr>
                <w:rFonts w:cs="Arial"/>
              </w:rPr>
            </w:pPr>
            <w:r w:rsidRPr="00B375F2">
              <w:t xml:space="preserve">Delay did not impact cancer free survival (results from </w:t>
            </w:r>
            <w:r w:rsidR="00B01696">
              <w:t>2</w:t>
            </w:r>
            <w:r w:rsidR="00B01696" w:rsidRPr="00B375F2">
              <w:t xml:space="preserve"> </w:t>
            </w:r>
            <w:r w:rsidRPr="00B375F2">
              <w:t>studies)</w:t>
            </w:r>
            <w:r w:rsidR="00221CFF">
              <w:t>.</w:t>
            </w:r>
            <w:r w:rsidRPr="00B375F2">
              <w:t xml:space="preserve"> </w:t>
            </w:r>
          </w:p>
        </w:tc>
        <w:tc>
          <w:tcPr>
            <w:tcW w:w="979" w:type="pct"/>
            <w:tcBorders>
              <w:top w:val="single" w:sz="4" w:space="0" w:color="auto"/>
              <w:left w:val="single" w:sz="4" w:space="0" w:color="auto"/>
              <w:bottom w:val="single" w:sz="4" w:space="0" w:color="auto"/>
              <w:right w:val="single" w:sz="4" w:space="0" w:color="auto"/>
            </w:tcBorders>
          </w:tcPr>
          <w:p w14:paraId="3857FA67" w14:textId="1CE8F3E8" w:rsidR="00BA6858" w:rsidRPr="00B375F2" w:rsidRDefault="00BA6858" w:rsidP="00245217">
            <w:pPr>
              <w:pStyle w:val="Tabletext1"/>
              <w:rPr>
                <w:rStyle w:val="quality-sign"/>
                <w:rFonts w:ascii="Cambria Math" w:hAnsi="Cambria Math" w:cs="Cambria Math"/>
              </w:rPr>
            </w:pPr>
            <w:r w:rsidRPr="00B375F2">
              <w:t>8</w:t>
            </w:r>
            <w:r w:rsidR="00EE7964" w:rsidRPr="00B375F2">
              <w:t>,</w:t>
            </w:r>
            <w:r w:rsidRPr="00B375F2">
              <w:t>916</w:t>
            </w:r>
            <w:r w:rsidR="00A20B9A">
              <w:t xml:space="preserve"> patients</w:t>
            </w:r>
            <w:r w:rsidRPr="00B375F2">
              <w:br/>
              <w:t xml:space="preserve">(2 studies) </w:t>
            </w:r>
          </w:p>
        </w:tc>
        <w:tc>
          <w:tcPr>
            <w:tcW w:w="1149" w:type="pct"/>
            <w:tcBorders>
              <w:top w:val="single" w:sz="4" w:space="0" w:color="auto"/>
              <w:left w:val="single" w:sz="4" w:space="0" w:color="auto"/>
              <w:bottom w:val="single" w:sz="4" w:space="0" w:color="auto"/>
              <w:right w:val="single" w:sz="4" w:space="0" w:color="auto"/>
            </w:tcBorders>
          </w:tcPr>
          <w:p w14:paraId="47E993F5" w14:textId="445EB511" w:rsidR="00BA6858" w:rsidRPr="009D7541" w:rsidRDefault="00291227" w:rsidP="00245217">
            <w:pPr>
              <w:pStyle w:val="Tabletext1"/>
              <w:rPr>
                <w:rFonts w:cs="Arial"/>
              </w:rPr>
            </w:pPr>
            <w:r w:rsidRPr="009D7541">
              <w:rPr>
                <w:rFonts w:ascii="Cambria Math" w:hAnsi="Cambria Math"/>
                <w:color w:val="00B050"/>
              </w:rPr>
              <w:t>⨁</w:t>
            </w:r>
            <w:r w:rsidRPr="009D7541">
              <w:rPr>
                <w:rFonts w:ascii="Cambria Math" w:hAnsi="Cambria Math" w:cs="Cambria Math"/>
                <w:color w:val="C00000"/>
              </w:rPr>
              <w:t>⨀⨀⨀</w:t>
            </w:r>
            <w:r w:rsidR="00BA6858" w:rsidRPr="00B375F2">
              <w:br/>
              <w:t>VERY LOW</w:t>
            </w:r>
            <w:r w:rsidR="00BA6858" w:rsidRPr="00B375F2">
              <w:rPr>
                <w:vertAlign w:val="superscript"/>
              </w:rPr>
              <w:t>1</w:t>
            </w:r>
            <w:r w:rsidR="00BA6858" w:rsidRPr="00B375F2">
              <w:rPr>
                <w:rStyle w:val="comma"/>
                <w:vertAlign w:val="superscript"/>
              </w:rPr>
              <w:t>,</w:t>
            </w:r>
            <w:r w:rsidR="00BA6858" w:rsidRPr="00B375F2">
              <w:rPr>
                <w:vertAlign w:val="superscript"/>
              </w:rPr>
              <w:t>2</w:t>
            </w:r>
          </w:p>
        </w:tc>
        <w:tc>
          <w:tcPr>
            <w:tcW w:w="814" w:type="pct"/>
            <w:tcBorders>
              <w:top w:val="single" w:sz="4" w:space="0" w:color="auto"/>
              <w:left w:val="single" w:sz="4" w:space="0" w:color="auto"/>
              <w:bottom w:val="single" w:sz="4" w:space="0" w:color="auto"/>
              <w:right w:val="single" w:sz="4" w:space="0" w:color="auto"/>
            </w:tcBorders>
          </w:tcPr>
          <w:p w14:paraId="66DDED47" w14:textId="6CFC3BF9" w:rsidR="00BA6858" w:rsidRPr="009D7541" w:rsidRDefault="00AD4368" w:rsidP="00245217">
            <w:pPr>
              <w:pStyle w:val="Tabletext1"/>
            </w:pPr>
            <w:r w:rsidRPr="009D7541">
              <w:t>Critical</w:t>
            </w:r>
          </w:p>
        </w:tc>
      </w:tr>
      <w:tr w:rsidR="00BA6858" w:rsidRPr="009D7541" w14:paraId="2D3C76E5" w14:textId="77777777" w:rsidTr="00E6732A">
        <w:trPr>
          <w:cantSplit/>
          <w:trHeight w:val="397"/>
        </w:trPr>
        <w:tc>
          <w:tcPr>
            <w:tcW w:w="1136" w:type="pct"/>
            <w:tcBorders>
              <w:top w:val="single" w:sz="4" w:space="0" w:color="auto"/>
              <w:left w:val="single" w:sz="4" w:space="0" w:color="auto"/>
              <w:bottom w:val="single" w:sz="4" w:space="0" w:color="auto"/>
              <w:right w:val="single" w:sz="4" w:space="0" w:color="auto"/>
            </w:tcBorders>
          </w:tcPr>
          <w:p w14:paraId="7381BC60" w14:textId="161EDF54" w:rsidR="00BA6858" w:rsidRPr="00B375F2" w:rsidRDefault="00BA6858" w:rsidP="00245217">
            <w:pPr>
              <w:pStyle w:val="Tabletext1"/>
              <w:rPr>
                <w:rStyle w:val="CommentReference"/>
                <w:sz w:val="20"/>
              </w:rPr>
            </w:pPr>
            <w:r w:rsidRPr="00B375F2">
              <w:rPr>
                <w:rStyle w:val="label"/>
              </w:rPr>
              <w:t>Rate of metastases formation</w:t>
            </w:r>
            <w:r w:rsidR="00B01696">
              <w:rPr>
                <w:rStyle w:val="label"/>
              </w:rPr>
              <w:t xml:space="preserve"> </w:t>
            </w:r>
            <w:r w:rsidRPr="00B375F2">
              <w:rPr>
                <w:rStyle w:val="label"/>
              </w:rPr>
              <w:t>follow</w:t>
            </w:r>
            <w:r w:rsidR="00B01696">
              <w:rPr>
                <w:rStyle w:val="label"/>
              </w:rPr>
              <w:t>-</w:t>
            </w:r>
            <w:r w:rsidRPr="00B375F2">
              <w:rPr>
                <w:rStyle w:val="label"/>
              </w:rPr>
              <w:t>up range 38 to 120 months</w:t>
            </w:r>
            <w:r w:rsidR="00B01696">
              <w:rPr>
                <w:rStyle w:val="label"/>
              </w:rPr>
              <w:t>.</w:t>
            </w:r>
            <w:r w:rsidRPr="00B375F2">
              <w:t xml:space="preserve"> </w:t>
            </w:r>
          </w:p>
        </w:tc>
        <w:tc>
          <w:tcPr>
            <w:tcW w:w="923" w:type="pct"/>
            <w:tcBorders>
              <w:top w:val="single" w:sz="4" w:space="0" w:color="auto"/>
              <w:left w:val="single" w:sz="4" w:space="0" w:color="auto"/>
              <w:bottom w:val="single" w:sz="4" w:space="0" w:color="auto"/>
              <w:right w:val="single" w:sz="4" w:space="0" w:color="auto"/>
            </w:tcBorders>
          </w:tcPr>
          <w:p w14:paraId="5324B24C" w14:textId="7F161BDE" w:rsidR="00BA6858" w:rsidRPr="009D7541" w:rsidRDefault="00BA6858" w:rsidP="00245217">
            <w:pPr>
              <w:pStyle w:val="Tabletext1"/>
              <w:rPr>
                <w:rFonts w:cs="Arial"/>
              </w:rPr>
            </w:pPr>
            <w:r w:rsidRPr="00B375F2">
              <w:t>Delay did not impact rate of metastases formation (results from 4 studies)</w:t>
            </w:r>
            <w:r w:rsidR="00221CFF">
              <w:t>.</w:t>
            </w:r>
            <w:r w:rsidRPr="00B375F2">
              <w:t xml:space="preserve"> </w:t>
            </w:r>
          </w:p>
        </w:tc>
        <w:tc>
          <w:tcPr>
            <w:tcW w:w="979" w:type="pct"/>
            <w:tcBorders>
              <w:top w:val="single" w:sz="4" w:space="0" w:color="auto"/>
              <w:left w:val="single" w:sz="4" w:space="0" w:color="auto"/>
              <w:bottom w:val="single" w:sz="4" w:space="0" w:color="auto"/>
              <w:right w:val="single" w:sz="4" w:space="0" w:color="auto"/>
            </w:tcBorders>
          </w:tcPr>
          <w:p w14:paraId="5AA54981" w14:textId="396A692A" w:rsidR="00BA6858" w:rsidRPr="00B375F2" w:rsidRDefault="00BA6858" w:rsidP="00245217">
            <w:pPr>
              <w:pStyle w:val="Tabletext1"/>
              <w:rPr>
                <w:rStyle w:val="quality-sign"/>
                <w:rFonts w:ascii="Cambria Math" w:hAnsi="Cambria Math" w:cs="Cambria Math"/>
              </w:rPr>
            </w:pPr>
            <w:r w:rsidRPr="00B375F2">
              <w:t>6</w:t>
            </w:r>
            <w:r w:rsidR="00EE7964" w:rsidRPr="00B375F2">
              <w:t>,</w:t>
            </w:r>
            <w:r w:rsidRPr="00B375F2">
              <w:t>681</w:t>
            </w:r>
            <w:r w:rsidR="00A20B9A">
              <w:t xml:space="preserve"> patients</w:t>
            </w:r>
            <w:r w:rsidRPr="00B375F2">
              <w:br/>
              <w:t xml:space="preserve">(4 studies) </w:t>
            </w:r>
          </w:p>
        </w:tc>
        <w:tc>
          <w:tcPr>
            <w:tcW w:w="1149" w:type="pct"/>
            <w:tcBorders>
              <w:top w:val="single" w:sz="4" w:space="0" w:color="auto"/>
              <w:left w:val="single" w:sz="4" w:space="0" w:color="auto"/>
              <w:bottom w:val="single" w:sz="4" w:space="0" w:color="auto"/>
              <w:right w:val="single" w:sz="4" w:space="0" w:color="auto"/>
            </w:tcBorders>
          </w:tcPr>
          <w:p w14:paraId="41D8FE60" w14:textId="00553900" w:rsidR="00BA6858" w:rsidRPr="009D7541" w:rsidRDefault="00291227" w:rsidP="00245217">
            <w:pPr>
              <w:pStyle w:val="Tabletext1"/>
              <w:rPr>
                <w:rFonts w:cs="Arial"/>
              </w:rPr>
            </w:pPr>
            <w:r w:rsidRPr="009D7541">
              <w:rPr>
                <w:rFonts w:ascii="Cambria Math" w:hAnsi="Cambria Math"/>
                <w:color w:val="00B050"/>
              </w:rPr>
              <w:t>⨁</w:t>
            </w:r>
            <w:r w:rsidRPr="009D7541">
              <w:rPr>
                <w:rFonts w:ascii="Cambria Math" w:hAnsi="Cambria Math" w:cs="Cambria Math"/>
                <w:color w:val="C00000"/>
              </w:rPr>
              <w:t>⨀⨀⨀</w:t>
            </w:r>
            <w:r w:rsidR="00BA6858" w:rsidRPr="00B375F2">
              <w:br/>
              <w:t>VERY LOW</w:t>
            </w:r>
            <w:r w:rsidR="00BA6858" w:rsidRPr="00B375F2">
              <w:rPr>
                <w:vertAlign w:val="superscript"/>
              </w:rPr>
              <w:t>1</w:t>
            </w:r>
            <w:r w:rsidR="00BA6858" w:rsidRPr="00B375F2">
              <w:rPr>
                <w:rStyle w:val="comma"/>
                <w:vertAlign w:val="superscript"/>
              </w:rPr>
              <w:t>,</w:t>
            </w:r>
            <w:r w:rsidR="00BA6858" w:rsidRPr="00B375F2">
              <w:rPr>
                <w:vertAlign w:val="superscript"/>
              </w:rPr>
              <w:t>3</w:t>
            </w:r>
          </w:p>
        </w:tc>
        <w:tc>
          <w:tcPr>
            <w:tcW w:w="814" w:type="pct"/>
            <w:tcBorders>
              <w:top w:val="single" w:sz="4" w:space="0" w:color="auto"/>
              <w:left w:val="single" w:sz="4" w:space="0" w:color="auto"/>
              <w:bottom w:val="single" w:sz="4" w:space="0" w:color="auto"/>
              <w:right w:val="single" w:sz="4" w:space="0" w:color="auto"/>
            </w:tcBorders>
          </w:tcPr>
          <w:p w14:paraId="3CA390E0" w14:textId="2395AC2E" w:rsidR="00BA6858" w:rsidRPr="009D7541" w:rsidRDefault="00AD4368" w:rsidP="00245217">
            <w:pPr>
              <w:pStyle w:val="Tabletext1"/>
            </w:pPr>
            <w:r w:rsidRPr="009D7541">
              <w:t>Critical</w:t>
            </w:r>
          </w:p>
        </w:tc>
      </w:tr>
      <w:tr w:rsidR="00BA6858" w:rsidRPr="009D7541" w14:paraId="1A326545" w14:textId="77777777" w:rsidTr="00E6732A">
        <w:trPr>
          <w:cantSplit/>
          <w:trHeight w:val="397"/>
        </w:trPr>
        <w:tc>
          <w:tcPr>
            <w:tcW w:w="1136" w:type="pct"/>
            <w:tcBorders>
              <w:top w:val="single" w:sz="4" w:space="0" w:color="auto"/>
              <w:left w:val="single" w:sz="4" w:space="0" w:color="auto"/>
              <w:bottom w:val="single" w:sz="4" w:space="0" w:color="auto"/>
              <w:right w:val="single" w:sz="4" w:space="0" w:color="auto"/>
            </w:tcBorders>
          </w:tcPr>
          <w:p w14:paraId="3EF4C5E2" w14:textId="7013AECE" w:rsidR="00BA6858" w:rsidRPr="00B375F2" w:rsidRDefault="00BA6858" w:rsidP="00245217">
            <w:pPr>
              <w:pStyle w:val="Tabletext1"/>
              <w:rPr>
                <w:rStyle w:val="CommentReference"/>
                <w:sz w:val="20"/>
              </w:rPr>
            </w:pPr>
            <w:r w:rsidRPr="00B375F2">
              <w:rPr>
                <w:rStyle w:val="label"/>
              </w:rPr>
              <w:t>Biochemical recurrence</w:t>
            </w:r>
            <w:r w:rsidR="00B01696">
              <w:rPr>
                <w:rStyle w:val="label"/>
              </w:rPr>
              <w:t xml:space="preserve"> </w:t>
            </w:r>
            <w:r w:rsidRPr="00B375F2">
              <w:rPr>
                <w:rStyle w:val="label"/>
              </w:rPr>
              <w:t>follow</w:t>
            </w:r>
            <w:r w:rsidR="00B01696">
              <w:rPr>
                <w:rStyle w:val="label"/>
              </w:rPr>
              <w:t>-</w:t>
            </w:r>
            <w:r w:rsidRPr="00B375F2">
              <w:rPr>
                <w:rStyle w:val="label"/>
              </w:rPr>
              <w:t>up range 6 to 120 months</w:t>
            </w:r>
            <w:r w:rsidR="00B01696">
              <w:rPr>
                <w:rStyle w:val="label"/>
              </w:rPr>
              <w:t>.</w:t>
            </w:r>
            <w:r w:rsidRPr="00B375F2">
              <w:t xml:space="preserve"> </w:t>
            </w:r>
          </w:p>
        </w:tc>
        <w:tc>
          <w:tcPr>
            <w:tcW w:w="923" w:type="pct"/>
            <w:tcBorders>
              <w:top w:val="single" w:sz="4" w:space="0" w:color="auto"/>
              <w:left w:val="single" w:sz="4" w:space="0" w:color="auto"/>
              <w:bottom w:val="single" w:sz="4" w:space="0" w:color="auto"/>
              <w:right w:val="single" w:sz="4" w:space="0" w:color="auto"/>
            </w:tcBorders>
          </w:tcPr>
          <w:p w14:paraId="4F58530E" w14:textId="33A769AD" w:rsidR="00BA6858" w:rsidRPr="009D7541" w:rsidRDefault="00BA6858" w:rsidP="00245217">
            <w:pPr>
              <w:pStyle w:val="Tabletext1"/>
              <w:rPr>
                <w:rFonts w:cs="Arial"/>
              </w:rPr>
            </w:pPr>
            <w:r w:rsidRPr="00B375F2">
              <w:t xml:space="preserve">3 studies reported recurrence was associated with delayed treatment, 11 studies reported no impact. </w:t>
            </w:r>
          </w:p>
        </w:tc>
        <w:tc>
          <w:tcPr>
            <w:tcW w:w="979" w:type="pct"/>
            <w:tcBorders>
              <w:top w:val="single" w:sz="4" w:space="0" w:color="auto"/>
              <w:left w:val="single" w:sz="4" w:space="0" w:color="auto"/>
              <w:bottom w:val="single" w:sz="4" w:space="0" w:color="auto"/>
              <w:right w:val="single" w:sz="4" w:space="0" w:color="auto"/>
            </w:tcBorders>
          </w:tcPr>
          <w:p w14:paraId="69D00A19" w14:textId="3E2608FA" w:rsidR="00BA6858" w:rsidRPr="00B375F2" w:rsidRDefault="00BA6858" w:rsidP="00245217">
            <w:pPr>
              <w:pStyle w:val="Tabletext1"/>
              <w:rPr>
                <w:rStyle w:val="quality-sign"/>
                <w:rFonts w:ascii="Cambria Math" w:hAnsi="Cambria Math" w:cs="Cambria Math"/>
              </w:rPr>
            </w:pPr>
            <w:r w:rsidRPr="00B375F2">
              <w:t>19</w:t>
            </w:r>
            <w:r w:rsidR="00EE7964" w:rsidRPr="00B375F2">
              <w:t>,</w:t>
            </w:r>
            <w:r w:rsidRPr="00B375F2">
              <w:t>768</w:t>
            </w:r>
            <w:r w:rsidR="00A20B9A">
              <w:t xml:space="preserve"> patients</w:t>
            </w:r>
            <w:r w:rsidRPr="00B375F2">
              <w:br/>
              <w:t xml:space="preserve">(14 studies) </w:t>
            </w:r>
          </w:p>
        </w:tc>
        <w:tc>
          <w:tcPr>
            <w:tcW w:w="1149" w:type="pct"/>
            <w:tcBorders>
              <w:top w:val="single" w:sz="4" w:space="0" w:color="auto"/>
              <w:left w:val="single" w:sz="4" w:space="0" w:color="auto"/>
              <w:bottom w:val="single" w:sz="4" w:space="0" w:color="auto"/>
              <w:right w:val="single" w:sz="4" w:space="0" w:color="auto"/>
            </w:tcBorders>
          </w:tcPr>
          <w:p w14:paraId="0A7725C4" w14:textId="60787716" w:rsidR="00BA6858" w:rsidRPr="009D7541" w:rsidRDefault="00291227" w:rsidP="00245217">
            <w:pPr>
              <w:pStyle w:val="Tabletext1"/>
              <w:rPr>
                <w:rFonts w:cs="Arial"/>
              </w:rPr>
            </w:pPr>
            <w:r w:rsidRPr="009D7541">
              <w:rPr>
                <w:rFonts w:ascii="Cambria Math" w:hAnsi="Cambria Math"/>
                <w:color w:val="00B050"/>
              </w:rPr>
              <w:t>⨁</w:t>
            </w:r>
            <w:r w:rsidRPr="009D7541">
              <w:rPr>
                <w:rFonts w:ascii="Cambria Math" w:hAnsi="Cambria Math" w:cs="Cambria Math"/>
                <w:color w:val="C00000"/>
              </w:rPr>
              <w:t>⨀⨀⨀</w:t>
            </w:r>
            <w:r w:rsidR="00BA6858" w:rsidRPr="00B375F2">
              <w:br/>
              <w:t>VERY LOW</w:t>
            </w:r>
            <w:r w:rsidR="00BA6858" w:rsidRPr="00B375F2">
              <w:rPr>
                <w:vertAlign w:val="superscript"/>
              </w:rPr>
              <w:t>1</w:t>
            </w:r>
          </w:p>
        </w:tc>
        <w:tc>
          <w:tcPr>
            <w:tcW w:w="814" w:type="pct"/>
            <w:tcBorders>
              <w:top w:val="single" w:sz="4" w:space="0" w:color="auto"/>
              <w:left w:val="single" w:sz="4" w:space="0" w:color="auto"/>
              <w:bottom w:val="single" w:sz="4" w:space="0" w:color="auto"/>
              <w:right w:val="single" w:sz="4" w:space="0" w:color="auto"/>
            </w:tcBorders>
          </w:tcPr>
          <w:p w14:paraId="17F09657" w14:textId="3FFB29C4" w:rsidR="00BA6858" w:rsidRPr="009D7541" w:rsidRDefault="00AD4368" w:rsidP="00245217">
            <w:pPr>
              <w:pStyle w:val="Tabletext1"/>
            </w:pPr>
            <w:r w:rsidRPr="009D7541">
              <w:t>Critical</w:t>
            </w:r>
          </w:p>
        </w:tc>
      </w:tr>
      <w:tr w:rsidR="00BA6858" w:rsidRPr="009D7541" w14:paraId="4D39EC2D" w14:textId="77777777" w:rsidTr="00E6732A">
        <w:trPr>
          <w:cantSplit/>
          <w:trHeight w:val="397"/>
        </w:trPr>
        <w:tc>
          <w:tcPr>
            <w:tcW w:w="1136" w:type="pct"/>
            <w:tcBorders>
              <w:top w:val="single" w:sz="4" w:space="0" w:color="auto"/>
              <w:left w:val="single" w:sz="4" w:space="0" w:color="auto"/>
              <w:bottom w:val="single" w:sz="4" w:space="0" w:color="auto"/>
              <w:right w:val="single" w:sz="4" w:space="0" w:color="auto"/>
            </w:tcBorders>
          </w:tcPr>
          <w:p w14:paraId="39CE2338" w14:textId="5A1720EE" w:rsidR="00BA6858" w:rsidRPr="00B375F2" w:rsidRDefault="00BA6858" w:rsidP="00245217">
            <w:pPr>
              <w:pStyle w:val="Tabletext1"/>
              <w:rPr>
                <w:rStyle w:val="CommentReference"/>
                <w:sz w:val="20"/>
              </w:rPr>
            </w:pPr>
            <w:r w:rsidRPr="00B375F2">
              <w:rPr>
                <w:rStyle w:val="label"/>
              </w:rPr>
              <w:t>Extra-capsular extension</w:t>
            </w:r>
            <w:r w:rsidR="00B01696">
              <w:rPr>
                <w:rStyle w:val="label"/>
              </w:rPr>
              <w:t xml:space="preserve"> </w:t>
            </w:r>
            <w:r w:rsidRPr="00B375F2">
              <w:rPr>
                <w:rStyle w:val="label"/>
              </w:rPr>
              <w:t>follow</w:t>
            </w:r>
            <w:r w:rsidR="00B01696">
              <w:rPr>
                <w:rStyle w:val="label"/>
              </w:rPr>
              <w:t>-</w:t>
            </w:r>
            <w:r w:rsidRPr="00B375F2">
              <w:rPr>
                <w:rStyle w:val="label"/>
              </w:rPr>
              <w:t>up range 27 to 97 months</w:t>
            </w:r>
            <w:r w:rsidR="00B01696">
              <w:rPr>
                <w:rStyle w:val="label"/>
              </w:rPr>
              <w:t>.</w:t>
            </w:r>
            <w:r w:rsidRPr="00B375F2">
              <w:t xml:space="preserve"> </w:t>
            </w:r>
          </w:p>
        </w:tc>
        <w:tc>
          <w:tcPr>
            <w:tcW w:w="923" w:type="pct"/>
            <w:tcBorders>
              <w:top w:val="single" w:sz="4" w:space="0" w:color="auto"/>
              <w:left w:val="single" w:sz="4" w:space="0" w:color="auto"/>
              <w:bottom w:val="single" w:sz="4" w:space="0" w:color="auto"/>
              <w:right w:val="single" w:sz="4" w:space="0" w:color="auto"/>
            </w:tcBorders>
          </w:tcPr>
          <w:p w14:paraId="3429E11A" w14:textId="0E380C83" w:rsidR="00BA6858" w:rsidRPr="009D7541" w:rsidRDefault="00BA6858" w:rsidP="00245217">
            <w:pPr>
              <w:pStyle w:val="Tabletext1"/>
              <w:rPr>
                <w:rFonts w:cs="Arial"/>
              </w:rPr>
            </w:pPr>
            <w:r w:rsidRPr="00B375F2">
              <w:t>Delay did not impact rate of extra-capsular extension (results from 7 studies)</w:t>
            </w:r>
            <w:r w:rsidR="00221CFF">
              <w:t>.</w:t>
            </w:r>
            <w:r w:rsidRPr="00B375F2">
              <w:t xml:space="preserve"> </w:t>
            </w:r>
          </w:p>
        </w:tc>
        <w:tc>
          <w:tcPr>
            <w:tcW w:w="979" w:type="pct"/>
            <w:tcBorders>
              <w:top w:val="single" w:sz="4" w:space="0" w:color="auto"/>
              <w:left w:val="single" w:sz="4" w:space="0" w:color="auto"/>
              <w:bottom w:val="single" w:sz="4" w:space="0" w:color="auto"/>
              <w:right w:val="single" w:sz="4" w:space="0" w:color="auto"/>
            </w:tcBorders>
          </w:tcPr>
          <w:p w14:paraId="0D132CC6" w14:textId="2C8CB354" w:rsidR="00BA6858" w:rsidRPr="00B375F2" w:rsidRDefault="00BA6858" w:rsidP="00245217">
            <w:pPr>
              <w:pStyle w:val="Tabletext1"/>
              <w:rPr>
                <w:rStyle w:val="quality-sign"/>
                <w:rFonts w:ascii="Cambria Math" w:hAnsi="Cambria Math" w:cs="Cambria Math"/>
              </w:rPr>
            </w:pPr>
            <w:r w:rsidRPr="00B375F2">
              <w:t>16</w:t>
            </w:r>
            <w:r w:rsidR="00EE7964" w:rsidRPr="00B375F2">
              <w:t>,</w:t>
            </w:r>
            <w:r w:rsidRPr="00B375F2">
              <w:t>039</w:t>
            </w:r>
            <w:r w:rsidR="00A20B9A">
              <w:t xml:space="preserve"> patients</w:t>
            </w:r>
            <w:r w:rsidRPr="00B375F2">
              <w:br/>
              <w:t xml:space="preserve">(7 studies) </w:t>
            </w:r>
          </w:p>
        </w:tc>
        <w:tc>
          <w:tcPr>
            <w:tcW w:w="1149" w:type="pct"/>
            <w:tcBorders>
              <w:top w:val="single" w:sz="4" w:space="0" w:color="auto"/>
              <w:left w:val="single" w:sz="4" w:space="0" w:color="auto"/>
              <w:bottom w:val="single" w:sz="4" w:space="0" w:color="auto"/>
              <w:right w:val="single" w:sz="4" w:space="0" w:color="auto"/>
            </w:tcBorders>
          </w:tcPr>
          <w:p w14:paraId="45AD8068" w14:textId="087D68C7" w:rsidR="00BA6858" w:rsidRPr="009D7541" w:rsidRDefault="00291227" w:rsidP="00245217">
            <w:pPr>
              <w:pStyle w:val="Tabletext1"/>
              <w:rPr>
                <w:rFonts w:cs="Arial"/>
              </w:rPr>
            </w:pPr>
            <w:r w:rsidRPr="009D7541">
              <w:rPr>
                <w:rFonts w:ascii="Cambria Math" w:hAnsi="Cambria Math"/>
                <w:color w:val="00B050"/>
              </w:rPr>
              <w:t>⨁</w:t>
            </w:r>
            <w:r w:rsidRPr="009D7541">
              <w:rPr>
                <w:rFonts w:ascii="Cambria Math" w:hAnsi="Cambria Math" w:cs="Cambria Math"/>
                <w:color w:val="C00000"/>
              </w:rPr>
              <w:t>⨀⨀⨀</w:t>
            </w:r>
            <w:r w:rsidR="00BA6858" w:rsidRPr="00B375F2">
              <w:br/>
              <w:t>VERY LOW</w:t>
            </w:r>
            <w:r w:rsidR="00BA6858" w:rsidRPr="00B375F2">
              <w:rPr>
                <w:vertAlign w:val="superscript"/>
              </w:rPr>
              <w:t>1</w:t>
            </w:r>
          </w:p>
        </w:tc>
        <w:tc>
          <w:tcPr>
            <w:tcW w:w="814" w:type="pct"/>
            <w:tcBorders>
              <w:top w:val="single" w:sz="4" w:space="0" w:color="auto"/>
              <w:left w:val="single" w:sz="4" w:space="0" w:color="auto"/>
              <w:bottom w:val="single" w:sz="4" w:space="0" w:color="auto"/>
              <w:right w:val="single" w:sz="4" w:space="0" w:color="auto"/>
            </w:tcBorders>
          </w:tcPr>
          <w:p w14:paraId="2C23E714" w14:textId="217E21DE" w:rsidR="00BA6858" w:rsidRPr="009D7541" w:rsidRDefault="00AD4368" w:rsidP="00245217">
            <w:pPr>
              <w:pStyle w:val="Tabletext1"/>
            </w:pPr>
            <w:r w:rsidRPr="009D7541">
              <w:t>Important</w:t>
            </w:r>
          </w:p>
        </w:tc>
      </w:tr>
      <w:tr w:rsidR="00BA6858" w:rsidRPr="009D7541" w14:paraId="10A01DA3" w14:textId="77777777" w:rsidTr="00E6732A">
        <w:trPr>
          <w:cantSplit/>
          <w:trHeight w:val="397"/>
        </w:trPr>
        <w:tc>
          <w:tcPr>
            <w:tcW w:w="1136" w:type="pct"/>
            <w:tcBorders>
              <w:top w:val="single" w:sz="4" w:space="0" w:color="auto"/>
              <w:left w:val="single" w:sz="4" w:space="0" w:color="auto"/>
              <w:bottom w:val="single" w:sz="4" w:space="0" w:color="auto"/>
              <w:right w:val="single" w:sz="4" w:space="0" w:color="auto"/>
            </w:tcBorders>
          </w:tcPr>
          <w:p w14:paraId="69A804F2" w14:textId="7CDF6FF2" w:rsidR="00BA6858" w:rsidRPr="00B375F2" w:rsidRDefault="00BA6858" w:rsidP="00245217">
            <w:pPr>
              <w:pStyle w:val="Tabletext1"/>
              <w:rPr>
                <w:rStyle w:val="label"/>
              </w:rPr>
            </w:pPr>
            <w:r w:rsidRPr="00B375F2">
              <w:rPr>
                <w:rStyle w:val="label"/>
              </w:rPr>
              <w:t>Lymph node involvement</w:t>
            </w:r>
            <w:r w:rsidR="00B01696">
              <w:rPr>
                <w:rStyle w:val="label"/>
              </w:rPr>
              <w:t xml:space="preserve"> </w:t>
            </w:r>
            <w:r w:rsidRPr="00B375F2">
              <w:rPr>
                <w:rStyle w:val="label"/>
              </w:rPr>
              <w:t>follow</w:t>
            </w:r>
            <w:r w:rsidR="00B01696">
              <w:rPr>
                <w:rStyle w:val="label"/>
              </w:rPr>
              <w:t>-</w:t>
            </w:r>
            <w:r w:rsidRPr="00B375F2">
              <w:rPr>
                <w:rStyle w:val="label"/>
              </w:rPr>
              <w:t>up range 38 to 120 months</w:t>
            </w:r>
            <w:r w:rsidR="00B01696">
              <w:t>.</w:t>
            </w:r>
          </w:p>
        </w:tc>
        <w:tc>
          <w:tcPr>
            <w:tcW w:w="923" w:type="pct"/>
            <w:tcBorders>
              <w:top w:val="single" w:sz="4" w:space="0" w:color="auto"/>
              <w:left w:val="single" w:sz="4" w:space="0" w:color="auto"/>
              <w:bottom w:val="single" w:sz="4" w:space="0" w:color="auto"/>
              <w:right w:val="single" w:sz="4" w:space="0" w:color="auto"/>
            </w:tcBorders>
          </w:tcPr>
          <w:p w14:paraId="6DD29FD6" w14:textId="1744B09E" w:rsidR="00BA6858" w:rsidRPr="009D7541" w:rsidRDefault="00BA6858" w:rsidP="00245217">
            <w:pPr>
              <w:pStyle w:val="Tabletext1"/>
              <w:rPr>
                <w:rFonts w:cs="Arial"/>
              </w:rPr>
            </w:pPr>
            <w:r w:rsidRPr="00B375F2">
              <w:t>Delay did not impact rates of lymph node involvement (results from 3 studies)</w:t>
            </w:r>
            <w:r w:rsidR="00221CFF">
              <w:t>.</w:t>
            </w:r>
            <w:r w:rsidRPr="00B375F2">
              <w:t xml:space="preserve"> </w:t>
            </w:r>
          </w:p>
        </w:tc>
        <w:tc>
          <w:tcPr>
            <w:tcW w:w="979" w:type="pct"/>
            <w:tcBorders>
              <w:top w:val="single" w:sz="4" w:space="0" w:color="auto"/>
              <w:left w:val="single" w:sz="4" w:space="0" w:color="auto"/>
              <w:bottom w:val="single" w:sz="4" w:space="0" w:color="auto"/>
              <w:right w:val="single" w:sz="4" w:space="0" w:color="auto"/>
            </w:tcBorders>
          </w:tcPr>
          <w:p w14:paraId="04B1249C" w14:textId="22D697B8" w:rsidR="00BA6858" w:rsidRPr="00B375F2" w:rsidRDefault="00BA6858" w:rsidP="00245217">
            <w:pPr>
              <w:pStyle w:val="Tabletext1"/>
              <w:rPr>
                <w:rStyle w:val="quality-sign"/>
                <w:rFonts w:ascii="Cambria Math" w:hAnsi="Cambria Math" w:cs="Cambria Math"/>
              </w:rPr>
            </w:pPr>
            <w:r w:rsidRPr="00B375F2">
              <w:t>3</w:t>
            </w:r>
            <w:r w:rsidR="00EE7964" w:rsidRPr="00B375F2">
              <w:t>,</w:t>
            </w:r>
            <w:r w:rsidRPr="00B375F2">
              <w:t>605</w:t>
            </w:r>
            <w:r w:rsidR="00A20B9A">
              <w:t xml:space="preserve"> patients</w:t>
            </w:r>
            <w:r w:rsidRPr="00B375F2">
              <w:br/>
              <w:t xml:space="preserve">(3 studies) </w:t>
            </w:r>
          </w:p>
        </w:tc>
        <w:tc>
          <w:tcPr>
            <w:tcW w:w="1149" w:type="pct"/>
            <w:tcBorders>
              <w:top w:val="single" w:sz="4" w:space="0" w:color="auto"/>
              <w:left w:val="single" w:sz="4" w:space="0" w:color="auto"/>
              <w:bottom w:val="single" w:sz="4" w:space="0" w:color="auto"/>
              <w:right w:val="single" w:sz="4" w:space="0" w:color="auto"/>
            </w:tcBorders>
          </w:tcPr>
          <w:p w14:paraId="444AD279" w14:textId="4E295DBA" w:rsidR="00BA6858" w:rsidRPr="009D7541" w:rsidRDefault="00291227" w:rsidP="00245217">
            <w:pPr>
              <w:pStyle w:val="Tabletext1"/>
              <w:rPr>
                <w:rFonts w:cs="Arial"/>
              </w:rPr>
            </w:pPr>
            <w:r w:rsidRPr="009D7541">
              <w:rPr>
                <w:rFonts w:ascii="Cambria Math" w:hAnsi="Cambria Math"/>
                <w:color w:val="00B050"/>
              </w:rPr>
              <w:t>⨁</w:t>
            </w:r>
            <w:r w:rsidRPr="009D7541">
              <w:rPr>
                <w:rFonts w:ascii="Cambria Math" w:hAnsi="Cambria Math" w:cs="Cambria Math"/>
                <w:color w:val="C00000"/>
              </w:rPr>
              <w:t>⨀⨀⨀</w:t>
            </w:r>
            <w:r w:rsidR="00BA6858" w:rsidRPr="00B375F2">
              <w:br/>
              <w:t>VERY LOW</w:t>
            </w:r>
            <w:r w:rsidR="00BA6858" w:rsidRPr="00B375F2">
              <w:rPr>
                <w:vertAlign w:val="superscript"/>
              </w:rPr>
              <w:t>1</w:t>
            </w:r>
            <w:r w:rsidR="00BA6858" w:rsidRPr="00B375F2">
              <w:rPr>
                <w:rStyle w:val="comma"/>
                <w:vertAlign w:val="superscript"/>
              </w:rPr>
              <w:t>,</w:t>
            </w:r>
            <w:r w:rsidR="00BA6858" w:rsidRPr="00B375F2">
              <w:rPr>
                <w:vertAlign w:val="superscript"/>
              </w:rPr>
              <w:t>3</w:t>
            </w:r>
          </w:p>
        </w:tc>
        <w:tc>
          <w:tcPr>
            <w:tcW w:w="814" w:type="pct"/>
            <w:tcBorders>
              <w:top w:val="single" w:sz="4" w:space="0" w:color="auto"/>
              <w:left w:val="single" w:sz="4" w:space="0" w:color="auto"/>
              <w:bottom w:val="single" w:sz="4" w:space="0" w:color="auto"/>
              <w:right w:val="single" w:sz="4" w:space="0" w:color="auto"/>
            </w:tcBorders>
          </w:tcPr>
          <w:p w14:paraId="05793DDC" w14:textId="7EE5F712" w:rsidR="00BA6858" w:rsidRPr="009D7541" w:rsidRDefault="00AD4368" w:rsidP="00245217">
            <w:pPr>
              <w:pStyle w:val="Tabletext1"/>
            </w:pPr>
            <w:r w:rsidRPr="009D7541">
              <w:t>Important</w:t>
            </w:r>
          </w:p>
        </w:tc>
      </w:tr>
      <w:tr w:rsidR="00BA6858" w:rsidRPr="009D7541" w14:paraId="0777C485" w14:textId="77777777" w:rsidTr="00E6732A">
        <w:trPr>
          <w:cantSplit/>
          <w:trHeight w:val="397"/>
        </w:trPr>
        <w:tc>
          <w:tcPr>
            <w:tcW w:w="1136" w:type="pct"/>
            <w:tcBorders>
              <w:top w:val="single" w:sz="4" w:space="0" w:color="auto"/>
              <w:left w:val="single" w:sz="4" w:space="0" w:color="auto"/>
              <w:bottom w:val="single" w:sz="4" w:space="0" w:color="auto"/>
              <w:right w:val="single" w:sz="4" w:space="0" w:color="auto"/>
            </w:tcBorders>
          </w:tcPr>
          <w:p w14:paraId="13A8A328" w14:textId="28D08AB3" w:rsidR="00BA6858" w:rsidRPr="00B375F2" w:rsidRDefault="00BA6858" w:rsidP="00D51AF4">
            <w:pPr>
              <w:pStyle w:val="Tabletext1"/>
              <w:rPr>
                <w:rStyle w:val="label"/>
              </w:rPr>
            </w:pPr>
            <w:r w:rsidRPr="00B375F2">
              <w:rPr>
                <w:rStyle w:val="label"/>
              </w:rPr>
              <w:lastRenderedPageBreak/>
              <w:t>Positive surgical margins</w:t>
            </w:r>
            <w:r w:rsidR="00B01696">
              <w:rPr>
                <w:rStyle w:val="label"/>
              </w:rPr>
              <w:t xml:space="preserve"> </w:t>
            </w:r>
            <w:r w:rsidRPr="00B375F2">
              <w:rPr>
                <w:rStyle w:val="label"/>
              </w:rPr>
              <w:t>follow up range 6 to 97 months</w:t>
            </w:r>
            <w:r w:rsidR="00B01696">
              <w:rPr>
                <w:rStyle w:val="label"/>
              </w:rPr>
              <w:t>.</w:t>
            </w:r>
            <w:r w:rsidRPr="00B375F2">
              <w:t xml:space="preserve"> </w:t>
            </w:r>
          </w:p>
        </w:tc>
        <w:tc>
          <w:tcPr>
            <w:tcW w:w="923" w:type="pct"/>
            <w:tcBorders>
              <w:top w:val="single" w:sz="4" w:space="0" w:color="auto"/>
              <w:left w:val="single" w:sz="4" w:space="0" w:color="auto"/>
              <w:bottom w:val="single" w:sz="4" w:space="0" w:color="auto"/>
              <w:right w:val="single" w:sz="4" w:space="0" w:color="auto"/>
            </w:tcBorders>
          </w:tcPr>
          <w:p w14:paraId="4787DEE4" w14:textId="6365CB58" w:rsidR="00BA6858" w:rsidRPr="009D7541" w:rsidRDefault="00BA6858" w:rsidP="00D51AF4">
            <w:pPr>
              <w:pStyle w:val="Tabletext1"/>
              <w:rPr>
                <w:rFonts w:cs="Arial"/>
              </w:rPr>
            </w:pPr>
            <w:r w:rsidRPr="00B375F2">
              <w:t>One study reported a delay &gt;9 months was associated with an increase in the rate of positive surgical margins in patients with intermediate risk disease. 8 studies reported no impact from delayed treatment</w:t>
            </w:r>
            <w:r w:rsidR="00221CFF">
              <w:t>.</w:t>
            </w:r>
          </w:p>
        </w:tc>
        <w:tc>
          <w:tcPr>
            <w:tcW w:w="979" w:type="pct"/>
            <w:tcBorders>
              <w:top w:val="single" w:sz="4" w:space="0" w:color="auto"/>
              <w:left w:val="single" w:sz="4" w:space="0" w:color="auto"/>
              <w:bottom w:val="single" w:sz="4" w:space="0" w:color="auto"/>
              <w:right w:val="single" w:sz="4" w:space="0" w:color="auto"/>
            </w:tcBorders>
          </w:tcPr>
          <w:p w14:paraId="25C0809D" w14:textId="5336D266" w:rsidR="00BA6858" w:rsidRPr="00B375F2" w:rsidRDefault="00BA6858" w:rsidP="00D51AF4">
            <w:pPr>
              <w:pStyle w:val="Tabletext1"/>
              <w:rPr>
                <w:rStyle w:val="quality-sign"/>
                <w:rFonts w:ascii="Cambria Math" w:hAnsi="Cambria Math" w:cs="Cambria Math"/>
              </w:rPr>
            </w:pPr>
            <w:r w:rsidRPr="00B375F2">
              <w:t>14</w:t>
            </w:r>
            <w:r w:rsidR="00EE7964" w:rsidRPr="00B375F2">
              <w:t>,</w:t>
            </w:r>
            <w:r w:rsidRPr="00B375F2">
              <w:t>413</w:t>
            </w:r>
            <w:r w:rsidR="00A20B9A">
              <w:t xml:space="preserve"> patients</w:t>
            </w:r>
            <w:r w:rsidRPr="00B375F2">
              <w:br/>
              <w:t xml:space="preserve">(6 studies) </w:t>
            </w:r>
          </w:p>
        </w:tc>
        <w:tc>
          <w:tcPr>
            <w:tcW w:w="1149" w:type="pct"/>
            <w:tcBorders>
              <w:top w:val="single" w:sz="4" w:space="0" w:color="auto"/>
              <w:left w:val="single" w:sz="4" w:space="0" w:color="auto"/>
              <w:bottom w:val="single" w:sz="4" w:space="0" w:color="auto"/>
              <w:right w:val="single" w:sz="4" w:space="0" w:color="auto"/>
            </w:tcBorders>
          </w:tcPr>
          <w:p w14:paraId="427EB4DC" w14:textId="23FD94B2" w:rsidR="00BA6858" w:rsidRPr="009D7541" w:rsidRDefault="00291227" w:rsidP="00D51AF4">
            <w:pPr>
              <w:pStyle w:val="Tabletext1"/>
              <w:rPr>
                <w:rFonts w:cs="Arial"/>
              </w:rPr>
            </w:pPr>
            <w:r w:rsidRPr="009D7541">
              <w:rPr>
                <w:rFonts w:ascii="Cambria Math" w:hAnsi="Cambria Math"/>
                <w:color w:val="00B050"/>
              </w:rPr>
              <w:t>⨁</w:t>
            </w:r>
            <w:r w:rsidRPr="009D7541">
              <w:rPr>
                <w:rFonts w:ascii="Cambria Math" w:hAnsi="Cambria Math" w:cs="Cambria Math"/>
                <w:color w:val="C00000"/>
              </w:rPr>
              <w:t>⨀⨀⨀</w:t>
            </w:r>
            <w:r w:rsidR="00BA6858" w:rsidRPr="00B375F2">
              <w:br/>
              <w:t>VERY LOW</w:t>
            </w:r>
            <w:r w:rsidR="00BA6858" w:rsidRPr="00B375F2">
              <w:rPr>
                <w:vertAlign w:val="superscript"/>
              </w:rPr>
              <w:t>1</w:t>
            </w:r>
          </w:p>
        </w:tc>
        <w:tc>
          <w:tcPr>
            <w:tcW w:w="814" w:type="pct"/>
            <w:tcBorders>
              <w:top w:val="single" w:sz="4" w:space="0" w:color="auto"/>
              <w:left w:val="single" w:sz="4" w:space="0" w:color="auto"/>
              <w:bottom w:val="single" w:sz="4" w:space="0" w:color="auto"/>
              <w:right w:val="single" w:sz="4" w:space="0" w:color="auto"/>
            </w:tcBorders>
          </w:tcPr>
          <w:p w14:paraId="11ED2235" w14:textId="57445AEF" w:rsidR="00BA6858" w:rsidRPr="009D7541" w:rsidRDefault="00AD4368" w:rsidP="00D51AF4">
            <w:pPr>
              <w:pStyle w:val="Tabletext1"/>
            </w:pPr>
            <w:r w:rsidRPr="009D7541">
              <w:t>Important</w:t>
            </w:r>
          </w:p>
        </w:tc>
      </w:tr>
    </w:tbl>
    <w:p w14:paraId="7C4BFD6D" w14:textId="44F95A0F" w:rsidR="00197B72" w:rsidRDefault="00A25AE0" w:rsidP="00B375F2">
      <w:pPr>
        <w:pStyle w:val="TableNotes"/>
      </w:pPr>
      <w:r w:rsidRPr="00A25AE0">
        <w:rPr>
          <w:vertAlign w:val="superscript"/>
        </w:rPr>
        <w:t>a</w:t>
      </w:r>
      <w:r w:rsidR="00267381">
        <w:t xml:space="preserve">: </w:t>
      </w:r>
      <w:r w:rsidR="00AD0990" w:rsidRPr="00267381">
        <w:t>GRADE</w:t>
      </w:r>
      <w:r w:rsidR="00AD0990" w:rsidRPr="00E10B76">
        <w:t xml:space="preserve"> Working Group grades of evidence</w:t>
      </w:r>
      <w:r w:rsidR="00AD0990">
        <w:t xml:space="preserve"> </w:t>
      </w:r>
      <w:r w:rsidR="008E0B00">
        <w:fldChar w:fldCharType="begin"/>
      </w:r>
      <w:r w:rsidR="008E0B00">
        <w:instrText xml:space="preserve"> ADDIN EN.CITE &lt;EndNote&gt;&lt;Cite&gt;&lt;Author&gt;Guyatt&lt;/Author&gt;&lt;Year&gt;2013&lt;/Year&gt;&lt;RecNum&gt;166&lt;/RecNum&gt;&lt;DisplayText&gt;(Guyatt et al. 2013)&lt;/DisplayText&gt;&lt;record&gt;&lt;rec-number&gt;166&lt;/rec-number&gt;&lt;foreign-keys&gt;&lt;key app="EN" db-id="xzzrstesqpaavfe0te5p2zssvee5ervas2vt" timestamp="1469161165"&gt;166&lt;/key&gt;&lt;/foreign-keys&gt;&lt;ref-type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Epidemiol&lt;/full-title&gt;&lt;abbr-1&gt;Journal of clinical epidemiology&lt;/abbr-1&gt;&lt;/periodical&gt;&lt;pages&gt;151-157&lt;/pages&gt;&lt;volume&gt;66&lt;/volume&gt;&lt;number&gt;2&lt;/number&gt;&lt;dates&gt;&lt;year&gt;2013&lt;/year&gt;&lt;/dates&gt;&lt;urls&gt;&lt;/urls&gt;&lt;/record&gt;&lt;/Cite&gt;&lt;/EndNote&gt;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00AD722C">
        <w:t>.</w:t>
      </w:r>
      <w:r w:rsidR="00AD0990" w:rsidRPr="00E10B76">
        <w:br/>
      </w:r>
      <w:r w:rsidR="00AD0990" w:rsidRPr="00D4733A">
        <w:rPr>
          <w:rFonts w:ascii="Cambria Math" w:hAnsi="Cambria Math"/>
          <w:color w:val="00B050"/>
        </w:rPr>
        <w:t>⨁⨁⨁⨁</w:t>
      </w:r>
      <w:r w:rsidR="00AD0990">
        <w:rPr>
          <w:rFonts w:ascii="Cambria Math" w:hAnsi="Cambria Math"/>
          <w:color w:val="00B050"/>
        </w:rPr>
        <w:t xml:space="preserve"> </w:t>
      </w:r>
      <w:r w:rsidR="00AD0990" w:rsidRPr="00E10B76">
        <w:rPr>
          <w:b/>
          <w:bCs/>
        </w:rPr>
        <w:t>High quality:</w:t>
      </w:r>
      <w:r w:rsidR="00AD0990" w:rsidRPr="00E10B76">
        <w:t xml:space="preserve"> </w:t>
      </w:r>
      <w:r w:rsidR="00AD0990">
        <w:t>We are very confident that the true effect lies close to that of the estimate of effect.</w:t>
      </w:r>
      <w:r w:rsidR="00AD0990" w:rsidRPr="00E10B76">
        <w:t xml:space="preserve"> </w:t>
      </w:r>
      <w:r w:rsidR="00AD0990" w:rsidRPr="00E10B76">
        <w:br/>
      </w:r>
      <w:r w:rsidR="00AD0990" w:rsidRPr="00D4733A">
        <w:rPr>
          <w:rFonts w:ascii="Cambria Math" w:hAnsi="Cambria Math"/>
          <w:color w:val="00B050"/>
        </w:rPr>
        <w:t>⨁⨁⨁</w:t>
      </w:r>
      <w:r w:rsidR="00AD0990" w:rsidRPr="00D4733A">
        <w:rPr>
          <w:rFonts w:ascii="Cambria Math" w:hAnsi="Cambria Math" w:cs="Cambria Math"/>
          <w:color w:val="C00000"/>
        </w:rPr>
        <w:t>⨀</w:t>
      </w:r>
      <w:r w:rsidR="00AD0990">
        <w:rPr>
          <w:rFonts w:ascii="Cambria Math" w:hAnsi="Cambria Math" w:cs="Cambria Math"/>
          <w:color w:val="C00000"/>
        </w:rPr>
        <w:t xml:space="preserve"> </w:t>
      </w:r>
      <w:r w:rsidR="00AD0990" w:rsidRPr="00E10B76">
        <w:rPr>
          <w:b/>
          <w:bCs/>
        </w:rPr>
        <w:t>Moderate quality:</w:t>
      </w:r>
      <w:r w:rsidR="00AD0990" w:rsidRPr="00E10B76">
        <w:t xml:space="preserve"> </w:t>
      </w:r>
      <w:r w:rsidR="00AD0990">
        <w:t xml:space="preserve">We are moderately confident in the effect estimate: The true effect is likely to be close to the estimate of the effect, but there is a </w:t>
      </w:r>
      <w:r w:rsidR="00AD0990" w:rsidRPr="00955C58">
        <w:t>possibility</w:t>
      </w:r>
      <w:r w:rsidR="00AD0990">
        <w:t xml:space="preserve"> that it is substantially different. </w:t>
      </w:r>
      <w:r w:rsidR="00AD0990" w:rsidRPr="00E10B76">
        <w:br/>
      </w:r>
      <w:r w:rsidR="00AD0990">
        <w:rPr>
          <w:rFonts w:ascii="Cambria Math" w:hAnsi="Cambria Math"/>
          <w:color w:val="00B050"/>
        </w:rPr>
        <w:t>⨁⨁</w:t>
      </w:r>
      <w:r w:rsidR="00AD0990" w:rsidRPr="00D4733A">
        <w:rPr>
          <w:rFonts w:ascii="Cambria Math" w:hAnsi="Cambria Math" w:cs="Cambria Math"/>
          <w:color w:val="C00000"/>
        </w:rPr>
        <w:t>⨀⨀</w:t>
      </w:r>
      <w:r w:rsidR="00AD0990">
        <w:rPr>
          <w:rFonts w:ascii="Cambria Math" w:hAnsi="Cambria Math" w:cs="Cambria Math"/>
          <w:color w:val="C00000"/>
        </w:rPr>
        <w:t xml:space="preserve"> </w:t>
      </w:r>
      <w:r w:rsidR="00AD0990" w:rsidRPr="00E10B76">
        <w:rPr>
          <w:b/>
          <w:bCs/>
        </w:rPr>
        <w:t>Low quality:</w:t>
      </w:r>
      <w:r w:rsidR="00AD0990" w:rsidRPr="00E10B76">
        <w:t xml:space="preserve"> </w:t>
      </w:r>
      <w:r w:rsidR="00AD0990">
        <w:t>Our confidence in the effect estimate is limited: The true effect may be substantially different from the estimate of the effect.</w:t>
      </w:r>
      <w:r w:rsidR="00AD0990" w:rsidRPr="00E10B76">
        <w:br/>
      </w:r>
      <w:r w:rsidR="00AD0990">
        <w:rPr>
          <w:rFonts w:ascii="Cambria Math" w:hAnsi="Cambria Math"/>
          <w:color w:val="00B050"/>
        </w:rPr>
        <w:t>⨁</w:t>
      </w:r>
      <w:r w:rsidR="00AD0990" w:rsidRPr="00D4733A">
        <w:rPr>
          <w:rFonts w:ascii="Cambria Math" w:hAnsi="Cambria Math" w:cs="Cambria Math"/>
          <w:color w:val="C00000"/>
        </w:rPr>
        <w:t>⨀⨀⨀</w:t>
      </w:r>
      <w:r w:rsidR="00AD0990">
        <w:rPr>
          <w:rFonts w:ascii="Cambria Math" w:hAnsi="Cambria Math" w:cs="Cambria Math"/>
          <w:color w:val="C00000"/>
        </w:rPr>
        <w:t xml:space="preserve"> </w:t>
      </w:r>
      <w:r w:rsidR="00AD0990" w:rsidRPr="00E10B76">
        <w:rPr>
          <w:b/>
          <w:bCs/>
        </w:rPr>
        <w:t>Very low quality:</w:t>
      </w:r>
      <w:r w:rsidR="00AD0990" w:rsidRPr="00E10B76">
        <w:t xml:space="preserve"> </w:t>
      </w:r>
      <w:r w:rsidR="00AD0990">
        <w:t>We have very little confidence in the effect estimate: The true effect is likely to be substantially different from the estimate of effect.</w:t>
      </w:r>
      <w:r w:rsidR="00AD4368">
        <w:br/>
      </w:r>
      <w:r w:rsidRPr="00C44F15">
        <w:rPr>
          <w:vertAlign w:val="superscript"/>
        </w:rPr>
        <w:t>1</w:t>
      </w:r>
      <w:r>
        <w:t>: I</w:t>
      </w:r>
      <w:r w:rsidR="00AD0990" w:rsidRPr="00A25AE0">
        <w:t>ndirectness</w:t>
      </w:r>
      <w:r w:rsidR="00AD0990">
        <w:t xml:space="preserve"> was rated serious: this was due to the delay in the included studies being shorted than what would likely be experienced by patients in our population</w:t>
      </w:r>
      <w:r w:rsidR="00B375F2">
        <w:t>.</w:t>
      </w:r>
      <w:r w:rsidR="00AD4368">
        <w:br/>
      </w:r>
      <w:r w:rsidRPr="00C44F15">
        <w:rPr>
          <w:vertAlign w:val="superscript"/>
        </w:rPr>
        <w:t>2</w:t>
      </w:r>
      <w:r w:rsidRPr="00A25AE0">
        <w:t>:</w:t>
      </w:r>
      <w:r>
        <w:rPr>
          <w:vertAlign w:val="superscript"/>
        </w:rPr>
        <w:t xml:space="preserve"> </w:t>
      </w:r>
      <w:r w:rsidR="00AD0990" w:rsidRPr="00BA6858">
        <w:t>Noting the small number of included studies; however both studies had &gt;300 patients</w:t>
      </w:r>
      <w:r w:rsidR="00B375F2">
        <w:t>.</w:t>
      </w:r>
      <w:r w:rsidR="00AD4368">
        <w:br/>
      </w:r>
      <w:r w:rsidR="00C44F15">
        <w:rPr>
          <w:vertAlign w:val="superscript"/>
        </w:rPr>
        <w:t>3</w:t>
      </w:r>
      <w:r w:rsidR="00C44F15" w:rsidRPr="00C44F15">
        <w:t>:</w:t>
      </w:r>
      <w:r w:rsidR="00C44F15">
        <w:rPr>
          <w:vertAlign w:val="superscript"/>
        </w:rPr>
        <w:t xml:space="preserve"> </w:t>
      </w:r>
      <w:r w:rsidR="00AD0990" w:rsidRPr="00BA6858">
        <w:t>Noting the small number of included studies; however median sample size was &gt;300 patients</w:t>
      </w:r>
      <w:r w:rsidR="00B375F2">
        <w:t>.</w:t>
      </w:r>
    </w:p>
    <w:p w14:paraId="3367FCCC" w14:textId="16CAE86F" w:rsidR="005C404F" w:rsidRDefault="005C404F" w:rsidP="005C404F">
      <w:r>
        <w:t>Overall survival was reported by five studies</w:t>
      </w:r>
      <w:r w:rsidR="00EC6181">
        <w:t xml:space="preserve"> </w:t>
      </w:r>
      <w:r w:rsidR="008E0B00">
        <w:fldChar w:fldCharType="begin">
          <w:fldData xml:space="preserve">PEVuZE5vdGU+PENpdGU+PEF1dGhvcj5BbmRyZXdzPC9BdXRob3I+PFllYXI+MjAwNTwvWWVhcj48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YmJyLTE+Q2FuY2VyPC9hYmJyLTE+PC9hbHQtcGVyaW9kaWNhbD48cGFnZXM+Mjk5LTMwNDwvcGFn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</w:fldData>
        </w:fldChar>
      </w:r>
      <w:r w:rsidR="008E0B00">
        <w:instrText xml:space="preserve"> ADDIN EN.CITE </w:instrText>
      </w:r>
      <w:r w:rsidR="008E0B00">
        <w:fldChar w:fldCharType="begin">
          <w:fldData xml:space="preserve">PEVuZE5vdGU+PENpdGU+PEF1dGhvcj5BbmRyZXdzPC9BdXRob3I+PFllYXI+MjAwNTwvWWVhcj48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8" w:tooltip="Andrews, 2005 #195" w:history="1">
        <w:r w:rsidR="008E0B00">
          <w:rPr>
            <w:noProof/>
          </w:rPr>
          <w:t>Andrews et al. 2005</w:t>
        </w:r>
      </w:hyperlink>
      <w:r w:rsidR="008E0B00">
        <w:rPr>
          <w:noProof/>
        </w:rPr>
        <w:t xml:space="preserve">; </w:t>
      </w:r>
      <w:hyperlink w:anchor="_ENREF_41" w:tooltip="Dong, 2016 #80" w:history="1">
        <w:r w:rsidR="008E0B00">
          <w:rPr>
            <w:noProof/>
          </w:rPr>
          <w:t>Dong et al. 2016</w:t>
        </w:r>
      </w:hyperlink>
      <w:r w:rsidR="008E0B00">
        <w:rPr>
          <w:noProof/>
        </w:rPr>
        <w:t xml:space="preserve">; </w:t>
      </w:r>
      <w:hyperlink w:anchor="_ENREF_79" w:tooltip="Korets, 2012 #203" w:history="1">
        <w:r w:rsidR="008E0B00">
          <w:rPr>
            <w:noProof/>
          </w:rPr>
          <w:t>Korets et al. 2012</w:t>
        </w:r>
      </w:hyperlink>
      <w:r w:rsidR="008E0B00">
        <w:rPr>
          <w:noProof/>
        </w:rPr>
        <w:t xml:space="preserve">; </w:t>
      </w:r>
      <w:hyperlink w:anchor="_ENREF_123" w:tooltip="Redaniel, 2013 #193" w:history="1">
        <w:r w:rsidR="008E0B00">
          <w:rPr>
            <w:noProof/>
          </w:rPr>
          <w:t>Redaniel et al. 2013</w:t>
        </w:r>
      </w:hyperlink>
      <w:r w:rsidR="008E0B00">
        <w:rPr>
          <w:noProof/>
        </w:rPr>
        <w:t xml:space="preserve">; </w:t>
      </w:r>
      <w:hyperlink w:anchor="_ENREF_157" w:tooltip="Sun, 2012 #210" w:history="1">
        <w:r w:rsidR="008E0B00">
          <w:rPr>
            <w:noProof/>
          </w:rPr>
          <w:t>Sun et al. 2012</w:t>
        </w:r>
      </w:hyperlink>
      <w:r w:rsidR="008E0B00">
        <w:rPr>
          <w:noProof/>
        </w:rPr>
        <w:t>)</w:t>
      </w:r>
      <w:r w:rsidR="008E0B00">
        <w:fldChar w:fldCharType="end"/>
      </w:r>
      <w:r>
        <w:t>, no statistical difference between patients with delayed treatment to immediate treatment were observed</w:t>
      </w:r>
      <w:r w:rsidR="00EE7964">
        <w:t xml:space="preserve"> (delay was a median of three months in four studies and up to 24 months in Dong et al.</w:t>
      </w:r>
      <w:r w:rsidR="00EE0E8D">
        <w:t xml:space="preserve"> </w:t>
      </w:r>
      <w:r w:rsidR="00B01696">
        <w:t>(</w:t>
      </w:r>
      <w:r w:rsidR="00EE0E8D">
        <w:t>2016</w:t>
      </w:r>
      <w:r w:rsidR="00EE7964">
        <w:t>)</w:t>
      </w:r>
      <w:r w:rsidR="00B01696">
        <w:t>.</w:t>
      </w:r>
    </w:p>
    <w:p w14:paraId="3759DB1A" w14:textId="33F1917D" w:rsidR="005C404F" w:rsidRDefault="005C404F" w:rsidP="005C404F">
      <w:r>
        <w:t>Cancer specific survival was reported by two studies</w:t>
      </w:r>
      <w:r w:rsidR="00767FE1">
        <w:t xml:space="preserve"> </w:t>
      </w:r>
      <w:r w:rsidR="008E0B00">
        <w:fldChar w:fldCharType="begin">
          <w:fldData xml:space="preserve">PEVuZE5vdGU+PENpdGU+PEF1dGhvcj5BbmRyZXdzPC9BdXRob3I+PFllYXI+MjAwNTwvWWVhcj48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ci0xPkNhbmNlcjwvYWJici0xPjwvYWx0LXBlcmlvZGljYWw+PHBhZ2VzPjI5OS0zMDQ8L3BhZ2Vz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</w:fldData>
        </w:fldChar>
      </w:r>
      <w:r w:rsidR="008E0B00">
        <w:instrText xml:space="preserve"> ADDIN EN.CITE </w:instrText>
      </w:r>
      <w:r w:rsidR="008E0B00">
        <w:fldChar w:fldCharType="begin">
          <w:fldData xml:space="preserve">PEVuZE5vdGU+PENpdGU+PEF1dGhvcj5BbmRyZXdzPC9BdXRob3I+PFllYXI+MjAwNTwvWWVhcj48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8" w:tooltip="Andrews, 2005 #195" w:history="1">
        <w:r w:rsidR="008E0B00">
          <w:rPr>
            <w:noProof/>
          </w:rPr>
          <w:t>Andrews et al. 2005</w:t>
        </w:r>
      </w:hyperlink>
      <w:r w:rsidR="008E0B00">
        <w:rPr>
          <w:noProof/>
        </w:rPr>
        <w:t xml:space="preserve">; </w:t>
      </w:r>
      <w:hyperlink w:anchor="_ENREF_86" w:tooltip="Loeb, 2016 #81" w:history="1">
        <w:r w:rsidR="008E0B00">
          <w:rPr>
            <w:noProof/>
          </w:rPr>
          <w:t>Loeb et al. 2016</w:t>
        </w:r>
      </w:hyperlink>
      <w:r w:rsidR="008E0B00">
        <w:rPr>
          <w:noProof/>
        </w:rPr>
        <w:t>)</w:t>
      </w:r>
      <w:r w:rsidR="008E0B00">
        <w:fldChar w:fldCharType="end"/>
      </w:r>
      <w:r>
        <w:t xml:space="preserve">, neither of which reported any difference in survival between </w:t>
      </w:r>
      <w:r w:rsidR="009D7541">
        <w:t>g</w:t>
      </w:r>
      <w:r>
        <w:t>roups. Andrews et al.</w:t>
      </w:r>
      <w:r w:rsidR="00CB54B5">
        <w:t xml:space="preserve"> (2005)</w:t>
      </w:r>
      <w:r>
        <w:t xml:space="preserve"> compared patients receiving treatment less than 3.1 months</w:t>
      </w:r>
      <w:r w:rsidR="00330BD2">
        <w:t xml:space="preserve"> following diagnosis</w:t>
      </w:r>
      <w:r>
        <w:t xml:space="preserve"> to those receiving treatment </w:t>
      </w:r>
      <w:r w:rsidR="00330BD2">
        <w:t xml:space="preserve">more </w:t>
      </w:r>
      <w:r>
        <w:t>than 3.1 months post diagnosis. Loeb et al.</w:t>
      </w:r>
      <w:r w:rsidR="00CB54B5">
        <w:t xml:space="preserve"> (2016)</w:t>
      </w:r>
      <w:r>
        <w:t xml:space="preserve"> compared delay lengths of less than 12 months</w:t>
      </w:r>
      <w:r w:rsidR="00330BD2">
        <w:t>,</w:t>
      </w:r>
      <w:r>
        <w:t xml:space="preserve"> 12-24 months and greater than 24 months. </w:t>
      </w:r>
    </w:p>
    <w:p w14:paraId="0D3748BE" w14:textId="5C16F5C7" w:rsidR="005C404F" w:rsidRDefault="005C404F" w:rsidP="005C404F">
      <w:r>
        <w:t>The proportion of patients with metastases formation was reported by four studies</w:t>
      </w:r>
      <w:r w:rsidR="00767FE1">
        <w:t xml:space="preserve"> </w:t>
      </w:r>
      <w:r w:rsidR="008E0B00">
        <w:fldChar w:fldCharType="begin">
          <w:fldData xml:space="preserve">PEVuZE5vdGU+PENpdGU+PEF1dGhvcj5BbmRyZXdzPC9BdXRob3I+PFllYXI+MjAwNTwvWWVhcj48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</w:fldData>
        </w:fldChar>
      </w:r>
      <w:r w:rsidR="008E0B00">
        <w:instrText xml:space="preserve"> ADDIN EN.CITE </w:instrText>
      </w:r>
      <w:r w:rsidR="008E0B00">
        <w:fldChar w:fldCharType="begin">
          <w:fldData xml:space="preserve">PEVuZE5vdGU+PENpdGU+PEF1dGhvcj5BbmRyZXdzPC9BdXRob3I+PFllYXI+MjAwNTwvWWVhcj48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</w:fldData>
        </w:fldChar>
      </w:r>
      <w:r w:rsidR="008E0B00">
        <w:instrText xml:space="preserve"> ADDIN EN.CITE.DATA </w:instrText>
      </w:r>
      <w:r w:rsidR="008E0B00">
        <w:fldChar w:fldCharType="end"/>
      </w:r>
      <w:r w:rsidR="008E0B00">
        <w:fldChar w:fldCharType="separate"/>
      </w:r>
      <w:r w:rsidR="008E0B00">
        <w:rPr>
          <w:noProof/>
        </w:rPr>
        <w:t>(</w:t>
      </w:r>
      <w:hyperlink w:anchor="_ENREF_8" w:tooltip="Andrews, 2005 #195" w:history="1">
        <w:r w:rsidR="008E0B00">
          <w:rPr>
            <w:noProof/>
          </w:rPr>
          <w:t>Andrews et al. 2005</w:t>
        </w:r>
      </w:hyperlink>
      <w:r w:rsidR="008E0B00">
        <w:rPr>
          <w:noProof/>
        </w:rPr>
        <w:t xml:space="preserve">; </w:t>
      </w:r>
      <w:hyperlink w:anchor="_ENREF_41" w:tooltip="Dong, 2016 #80" w:history="1">
        <w:r w:rsidR="008E0B00">
          <w:rPr>
            <w:noProof/>
          </w:rPr>
          <w:t>Dong et al. 2016</w:t>
        </w:r>
      </w:hyperlink>
      <w:r w:rsidR="008E0B00">
        <w:rPr>
          <w:noProof/>
        </w:rPr>
        <w:t xml:space="preserve">; </w:t>
      </w:r>
      <w:hyperlink w:anchor="_ENREF_106" w:tooltip="O'Brien, 2011 #207" w:history="1">
        <w:r w:rsidR="008E0B00">
          <w:rPr>
            <w:noProof/>
          </w:rPr>
          <w:t>O'Brien et al. 2011</w:t>
        </w:r>
      </w:hyperlink>
      <w:r w:rsidR="008E0B00">
        <w:rPr>
          <w:noProof/>
        </w:rPr>
        <w:t xml:space="preserve">; </w:t>
      </w:r>
      <w:hyperlink w:anchor="_ENREF_176" w:tooltip="Warlick, 2006 #213" w:history="1">
        <w:r w:rsidR="008E0B00">
          <w:rPr>
            <w:noProof/>
          </w:rPr>
          <w:t>Warlick et al. 2006</w:t>
        </w:r>
      </w:hyperlink>
      <w:r w:rsidR="008E0B00">
        <w:rPr>
          <w:noProof/>
        </w:rPr>
        <w:t>)</w:t>
      </w:r>
      <w:r w:rsidR="008E0B00">
        <w:fldChar w:fldCharType="end"/>
      </w:r>
      <w:r>
        <w:t xml:space="preserve">. Delayed treatment was not observed to have any impact on the rates of metastatic disease in any study. </w:t>
      </w:r>
    </w:p>
    <w:p w14:paraId="360060A9" w14:textId="4202F36C" w:rsidR="002F1124" w:rsidRDefault="002F1124" w:rsidP="00FD4FAE">
      <w:r>
        <w:t>Biochemical recurrence post treatment was reported by 14 studies</w:t>
      </w:r>
      <w:r w:rsidR="00B66EDE">
        <w:t xml:space="preserve"> </w:t>
      </w:r>
      <w:r w:rsidR="008E0B00">
        <w:fldChar w:fldCharType="begin">
          <w:fldData xml:space="preserve">PEVuZE5vdGU+PENpdGU+PEF1dGhvcj5BYmVybjwvQXV0aG9yPjxZZWFyPjIwMTM8L1llYXI+PFJl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PGFiYnItMT5DYW5jZXI8L2FiYnItMT48L2FsdC1wZXJpb2RpY2FsPjxwYWdlcz4yMDUzLTk8L3Bh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cz4xMjgxLTkwPC9wYWdlcz48dm9sdW1lPjExNjwvdm9sdW1lPjxudW1iZXI+NTwvbnVtYmVyPjxl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==
</w:fldData>
        </w:fldChar>
      </w:r>
      <w:r w:rsidR="008E0B00">
        <w:instrText xml:space="preserve"> ADDIN EN.CITE </w:instrText>
      </w:r>
      <w:r w:rsidR="008E0B00">
        <w:fldChar w:fldCharType="begin">
          <w:fldData xml:space="preserve">PEVuZE5vdGU+PENpdGU+PEF1dGhvcj5BYmVybjwvQXV0aG9yPjxZZWFyPjIwMTM8L1llYXI+PFJl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==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3" w:tooltip="Abern, 2013 #194" w:history="1">
        <w:r w:rsidR="008E0B00">
          <w:rPr>
            <w:noProof/>
          </w:rPr>
          <w:t>Abern et al. 2013</w:t>
        </w:r>
      </w:hyperlink>
      <w:r w:rsidR="008E0B00">
        <w:rPr>
          <w:noProof/>
        </w:rPr>
        <w:t xml:space="preserve">; </w:t>
      </w:r>
      <w:hyperlink w:anchor="_ENREF_8" w:tooltip="Andrews, 2005 #195" w:history="1">
        <w:r w:rsidR="008E0B00">
          <w:rPr>
            <w:noProof/>
          </w:rPr>
          <w:t>Andrews et al. 2005</w:t>
        </w:r>
      </w:hyperlink>
      <w:r w:rsidR="008E0B00">
        <w:rPr>
          <w:noProof/>
        </w:rPr>
        <w:t xml:space="preserve">; </w:t>
      </w:r>
      <w:hyperlink w:anchor="_ENREF_20" w:tooltip="Boorjian, 2005 #188" w:history="1">
        <w:r w:rsidR="008E0B00">
          <w:rPr>
            <w:noProof/>
          </w:rPr>
          <w:t>Boorjian et al. 2005</w:t>
        </w:r>
      </w:hyperlink>
      <w:r w:rsidR="008E0B00">
        <w:rPr>
          <w:noProof/>
        </w:rPr>
        <w:t xml:space="preserve">; </w:t>
      </w:r>
      <w:hyperlink w:anchor="_ENREF_41" w:tooltip="Dong, 2016 #80" w:history="1">
        <w:r w:rsidR="008E0B00">
          <w:rPr>
            <w:noProof/>
          </w:rPr>
          <w:t>Dong et al. 2016</w:t>
        </w:r>
      </w:hyperlink>
      <w:r w:rsidR="008E0B00">
        <w:rPr>
          <w:noProof/>
        </w:rPr>
        <w:t xml:space="preserve">; </w:t>
      </w:r>
      <w:hyperlink w:anchor="_ENREF_55" w:tooltip="Graefen, 2005 #199" w:history="1">
        <w:r w:rsidR="008E0B00">
          <w:rPr>
            <w:noProof/>
          </w:rPr>
          <w:t>Graefen et al. 2005</w:t>
        </w:r>
      </w:hyperlink>
      <w:r w:rsidR="008E0B00">
        <w:rPr>
          <w:noProof/>
        </w:rPr>
        <w:t xml:space="preserve">; </w:t>
      </w:r>
      <w:hyperlink w:anchor="_ENREF_76" w:tooltip="Khan, 2004 #201" w:history="1">
        <w:r w:rsidR="008E0B00">
          <w:rPr>
            <w:noProof/>
          </w:rPr>
          <w:t>Khan et al. 2004</w:t>
        </w:r>
      </w:hyperlink>
      <w:r w:rsidR="008E0B00">
        <w:rPr>
          <w:noProof/>
        </w:rPr>
        <w:t xml:space="preserve">; </w:t>
      </w:r>
      <w:hyperlink w:anchor="_ENREF_79" w:tooltip="Korets, 2012 #203" w:history="1">
        <w:r w:rsidR="008E0B00">
          <w:rPr>
            <w:noProof/>
          </w:rPr>
          <w:t>Korets et al. 2012</w:t>
        </w:r>
      </w:hyperlink>
      <w:r w:rsidR="008E0B00">
        <w:rPr>
          <w:noProof/>
        </w:rPr>
        <w:t xml:space="preserve">; </w:t>
      </w:r>
      <w:hyperlink w:anchor="_ENREF_80" w:tooltip="Kwan, 2006 #204" w:history="1">
        <w:r w:rsidR="008E0B00">
          <w:rPr>
            <w:noProof/>
          </w:rPr>
          <w:t>Kwan et al. 2006</w:t>
        </w:r>
      </w:hyperlink>
      <w:r w:rsidR="008E0B00">
        <w:rPr>
          <w:noProof/>
        </w:rPr>
        <w:t xml:space="preserve">; </w:t>
      </w:r>
      <w:hyperlink w:anchor="_ENREF_99" w:tooltip="Nam, 2003 #205" w:history="1">
        <w:r w:rsidR="008E0B00">
          <w:rPr>
            <w:noProof/>
          </w:rPr>
          <w:t>Nam et al. 2003</w:t>
        </w:r>
      </w:hyperlink>
      <w:r w:rsidR="008E0B00">
        <w:rPr>
          <w:noProof/>
        </w:rPr>
        <w:t xml:space="preserve">; </w:t>
      </w:r>
      <w:hyperlink w:anchor="_ENREF_102" w:tooltip="Nguyen, 2005 #206" w:history="1">
        <w:r w:rsidR="008E0B00">
          <w:rPr>
            <w:noProof/>
          </w:rPr>
          <w:t>Nguyen et al. 2005</w:t>
        </w:r>
      </w:hyperlink>
      <w:r w:rsidR="008E0B00">
        <w:rPr>
          <w:noProof/>
        </w:rPr>
        <w:t xml:space="preserve">; </w:t>
      </w:r>
      <w:hyperlink w:anchor="_ENREF_106" w:tooltip="O'Brien, 2011 #207" w:history="1">
        <w:r w:rsidR="008E0B00">
          <w:rPr>
            <w:noProof/>
          </w:rPr>
          <w:t>O'Brien et al. 2011</w:t>
        </w:r>
      </w:hyperlink>
      <w:r w:rsidR="008E0B00">
        <w:rPr>
          <w:noProof/>
        </w:rPr>
        <w:t xml:space="preserve">; </w:t>
      </w:r>
      <w:hyperlink w:anchor="_ENREF_113" w:tooltip="Phillips, 2007 #208" w:history="1">
        <w:r w:rsidR="008E0B00">
          <w:rPr>
            <w:noProof/>
          </w:rPr>
          <w:t>Phillips et al. 2007</w:t>
        </w:r>
      </w:hyperlink>
      <w:r w:rsidR="008E0B00">
        <w:rPr>
          <w:noProof/>
        </w:rPr>
        <w:t xml:space="preserve">; </w:t>
      </w:r>
      <w:hyperlink w:anchor="_ENREF_168" w:tooltip="van den Bergh, 2010 #211" w:history="1">
        <w:r w:rsidR="008E0B00">
          <w:rPr>
            <w:noProof/>
          </w:rPr>
          <w:t>van den Bergh et al. 2010</w:t>
        </w:r>
      </w:hyperlink>
      <w:r w:rsidR="008E0B00">
        <w:rPr>
          <w:noProof/>
        </w:rPr>
        <w:t xml:space="preserve">; </w:t>
      </w:r>
      <w:hyperlink w:anchor="_ENREF_169" w:tooltip="Vickers, 2006 #212" w:history="1">
        <w:r w:rsidR="008E0B00">
          <w:rPr>
            <w:noProof/>
          </w:rPr>
          <w:t>Vickers et al. 2006</w:t>
        </w:r>
      </w:hyperlink>
      <w:r w:rsidR="008E0B00">
        <w:rPr>
          <w:noProof/>
        </w:rPr>
        <w:t>)</w:t>
      </w:r>
      <w:r w:rsidR="008E0B00">
        <w:fldChar w:fldCharType="end"/>
      </w:r>
      <w:r w:rsidR="00B66EDE">
        <w:t>.</w:t>
      </w:r>
      <w:r w:rsidRPr="00A727F6">
        <w:t xml:space="preserve"> Abern et al.</w:t>
      </w:r>
      <w:r w:rsidR="00A727F6" w:rsidRPr="00A727F6">
        <w:t xml:space="preserve"> (2013)</w:t>
      </w:r>
      <w:r w:rsidRPr="00A727F6">
        <w:t xml:space="preserve"> found men with intermediate risk disease had higher rates of recurrence when treatment was delayed more than nine months compare</w:t>
      </w:r>
      <w:r w:rsidR="008D68AF" w:rsidRPr="00A727F6">
        <w:t>d</w:t>
      </w:r>
      <w:r w:rsidRPr="00A727F6">
        <w:t xml:space="preserve"> to patients receiving treatment within nine months. Nguyen et al.</w:t>
      </w:r>
      <w:r w:rsidR="00FD5BE0">
        <w:t xml:space="preserve"> </w:t>
      </w:r>
      <w:r w:rsidR="00A727F6" w:rsidRPr="00A727F6">
        <w:t xml:space="preserve">(2005) </w:t>
      </w:r>
      <w:r w:rsidRPr="00A727F6">
        <w:t xml:space="preserve">reported higher </w:t>
      </w:r>
      <w:r w:rsidRPr="00A727F6">
        <w:lastRenderedPageBreak/>
        <w:t xml:space="preserve">rates </w:t>
      </w:r>
      <w:r w:rsidR="008D68AF" w:rsidRPr="00A727F6">
        <w:t xml:space="preserve">of </w:t>
      </w:r>
      <w:r w:rsidRPr="00A727F6">
        <w:t xml:space="preserve">recurrence in men with high risk disease with treatment delays greater than three months compared to less than three months (55% </w:t>
      </w:r>
      <w:r w:rsidR="006C03BC">
        <w:t>versus</w:t>
      </w:r>
      <w:r w:rsidRPr="00A727F6">
        <w:t xml:space="preserve"> 39%, </w:t>
      </w:r>
      <w:r w:rsidRPr="00A727F6">
        <w:rPr>
          <w:i/>
        </w:rPr>
        <w:t>p</w:t>
      </w:r>
      <w:r w:rsidRPr="00A727F6">
        <w:t xml:space="preserve">=0.014). O’Brien </w:t>
      </w:r>
      <w:r w:rsidR="00A727F6" w:rsidRPr="00A727F6">
        <w:t xml:space="preserve">(2011) </w:t>
      </w:r>
      <w:r w:rsidRPr="00A727F6">
        <w:t>reported 12 per cent recurrence in patients with a treatment delay greater than six months</w:t>
      </w:r>
      <w:r>
        <w:t xml:space="preserve"> compared to five per cent recurrence in those treated within six months. </w:t>
      </w:r>
      <w:r w:rsidR="00272D38">
        <w:t xml:space="preserve">The remaining eleven studies reported </w:t>
      </w:r>
      <w:r w:rsidR="00A7273F">
        <w:t xml:space="preserve">that </w:t>
      </w:r>
      <w:r w:rsidR="00272D38">
        <w:t>delayed treatment did not impact recurrence rates.</w:t>
      </w:r>
    </w:p>
    <w:p w14:paraId="7A53888B" w14:textId="04FB78DC" w:rsidR="00DE06BB" w:rsidRDefault="00DE06BB" w:rsidP="00FD4FAE">
      <w:r>
        <w:t>Seven studies reported no difference in rates of extra-capsular extension between patients receiving immediate treatment compared to those receiving delayed treatment</w:t>
      </w:r>
      <w:r w:rsidR="00C438B5">
        <w:t xml:space="preserve"> </w:t>
      </w:r>
      <w:r w:rsidR="008E0B00">
        <w:fldChar w:fldCharType="begin">
          <w:fldData xml:space="preserve">PEVuZE5vdGU+PENpdGU+PEF1dGhvcj5BYmVybjwvQXV0aG9yPjxZZWFyPjIwMTM8L1llYXI+PFJl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</w:fldData>
        </w:fldChar>
      </w:r>
      <w:r w:rsidR="008E0B00">
        <w:instrText xml:space="preserve"> ADDIN EN.CITE </w:instrText>
      </w:r>
      <w:r w:rsidR="008E0B00">
        <w:fldChar w:fldCharType="begin">
          <w:fldData xml:space="preserve">PEVuZE5vdGU+PENpdGU+PEF1dGhvcj5BYmVybjwvQXV0aG9yPjxZZWFyPjIwMTM8L1llYXI+PFJl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</w:fldData>
        </w:fldChar>
      </w:r>
      <w:r w:rsidR="008E0B00">
        <w:instrText xml:space="preserve"> ADDIN EN.CITE.DATA </w:instrText>
      </w:r>
      <w:r w:rsidR="008E0B00">
        <w:fldChar w:fldCharType="end"/>
      </w:r>
      <w:r w:rsidR="008E0B00">
        <w:fldChar w:fldCharType="separate"/>
      </w:r>
      <w:r w:rsidR="008E0B00">
        <w:rPr>
          <w:noProof/>
        </w:rPr>
        <w:t>(</w:t>
      </w:r>
      <w:hyperlink w:anchor="_ENREF_3" w:tooltip="Abern, 2013 #194" w:history="1">
        <w:r w:rsidR="008E0B00">
          <w:rPr>
            <w:noProof/>
          </w:rPr>
          <w:t>Abern et al. 2013</w:t>
        </w:r>
      </w:hyperlink>
      <w:r w:rsidR="008E0B00">
        <w:rPr>
          <w:noProof/>
        </w:rPr>
        <w:t xml:space="preserve">; </w:t>
      </w:r>
      <w:hyperlink w:anchor="_ENREF_31" w:tooltip="Dall'Era, 2012 #215" w:history="1">
        <w:r w:rsidR="008E0B00">
          <w:rPr>
            <w:noProof/>
          </w:rPr>
          <w:t>Dall'Era et al. 2012</w:t>
        </w:r>
      </w:hyperlink>
      <w:r w:rsidR="008E0B00">
        <w:rPr>
          <w:noProof/>
        </w:rPr>
        <w:t xml:space="preserve">; </w:t>
      </w:r>
      <w:hyperlink w:anchor="_ENREF_64" w:tooltip="Holmstrom, 2010 #200" w:history="1">
        <w:r w:rsidR="008E0B00">
          <w:rPr>
            <w:noProof/>
          </w:rPr>
          <w:t>Holmstrom et al. 2010</w:t>
        </w:r>
      </w:hyperlink>
      <w:r w:rsidR="008E0B00">
        <w:rPr>
          <w:noProof/>
        </w:rPr>
        <w:t xml:space="preserve">; </w:t>
      </w:r>
      <w:hyperlink w:anchor="_ENREF_79" w:tooltip="Korets, 2012 #203" w:history="1">
        <w:r w:rsidR="008E0B00">
          <w:rPr>
            <w:noProof/>
          </w:rPr>
          <w:t>Korets et al. 2012</w:t>
        </w:r>
      </w:hyperlink>
      <w:r w:rsidR="008E0B00">
        <w:rPr>
          <w:noProof/>
        </w:rPr>
        <w:t xml:space="preserve">; </w:t>
      </w:r>
      <w:hyperlink w:anchor="_ENREF_86" w:tooltip="Loeb, 2016 #81" w:history="1">
        <w:r w:rsidR="008E0B00">
          <w:rPr>
            <w:noProof/>
          </w:rPr>
          <w:t>Loeb et al. 2016</w:t>
        </w:r>
      </w:hyperlink>
      <w:r w:rsidR="008E0B00">
        <w:rPr>
          <w:noProof/>
        </w:rPr>
        <w:t xml:space="preserve">; </w:t>
      </w:r>
      <w:hyperlink w:anchor="_ENREF_106" w:tooltip="O'Brien, 2011 #207" w:history="1">
        <w:r w:rsidR="008E0B00">
          <w:rPr>
            <w:noProof/>
          </w:rPr>
          <w:t>O'Brien et al. 2011</w:t>
        </w:r>
      </w:hyperlink>
      <w:r w:rsidR="008E0B00">
        <w:rPr>
          <w:noProof/>
        </w:rPr>
        <w:t xml:space="preserve">; </w:t>
      </w:r>
      <w:hyperlink w:anchor="_ENREF_168" w:tooltip="van den Bergh, 2010 #211" w:history="1">
        <w:r w:rsidR="008E0B00">
          <w:rPr>
            <w:noProof/>
          </w:rPr>
          <w:t>van den Bergh et al. 2010</w:t>
        </w:r>
      </w:hyperlink>
      <w:r w:rsidR="008E0B00">
        <w:rPr>
          <w:noProof/>
        </w:rPr>
        <w:t>)</w:t>
      </w:r>
      <w:r w:rsidR="008E0B00">
        <w:fldChar w:fldCharType="end"/>
      </w:r>
      <w:r>
        <w:t xml:space="preserve">. </w:t>
      </w:r>
      <w:r w:rsidR="00884585">
        <w:t>Three</w:t>
      </w:r>
      <w:r>
        <w:t xml:space="preserve"> studies also reported no difference in rates of lymph node involvement</w:t>
      </w:r>
      <w:r w:rsidR="00757BA2">
        <w:t xml:space="preserve"> </w:t>
      </w:r>
      <w:r w:rsidR="008E0B00">
        <w:fldChar w:fldCharType="begin">
          <w:fldData xml:space="preserve">PEVuZE5vdGU+PENpdGU+PEF1dGhvcj5LaGFuPC9BdXRob3I+PFllYXI+MjAwNDwvWWVhcj48UmVj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</w:fldData>
        </w:fldChar>
      </w:r>
      <w:r w:rsidR="008E0B00">
        <w:instrText xml:space="preserve"> ADDIN EN.CITE </w:instrText>
      </w:r>
      <w:r w:rsidR="008E0B00">
        <w:fldChar w:fldCharType="begin">
          <w:fldData xml:space="preserve">PEVuZE5vdGU+PENpdGU+PEF1dGhvcj5LaGFuPC9BdXRob3I+PFllYXI+MjAwNDwvWWVhcj48UmVj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76" w:tooltip="Khan, 2004 #201" w:history="1">
        <w:r w:rsidR="008E0B00">
          <w:rPr>
            <w:noProof/>
          </w:rPr>
          <w:t>Khan et al. 2004</w:t>
        </w:r>
      </w:hyperlink>
      <w:r w:rsidR="008E0B00">
        <w:rPr>
          <w:noProof/>
        </w:rPr>
        <w:t xml:space="preserve">; </w:t>
      </w:r>
      <w:hyperlink w:anchor="_ENREF_79" w:tooltip="Korets, 2012 #203" w:history="1">
        <w:r w:rsidR="008E0B00">
          <w:rPr>
            <w:noProof/>
          </w:rPr>
          <w:t>Korets et al. 2012</w:t>
        </w:r>
      </w:hyperlink>
      <w:r w:rsidR="008E0B00">
        <w:rPr>
          <w:noProof/>
        </w:rPr>
        <w:t xml:space="preserve">; </w:t>
      </w:r>
      <w:hyperlink w:anchor="_ENREF_106" w:tooltip="O'Brien, 2011 #207" w:history="1">
        <w:r w:rsidR="008E0B00">
          <w:rPr>
            <w:noProof/>
          </w:rPr>
          <w:t>O'Brien et al. 2011</w:t>
        </w:r>
      </w:hyperlink>
      <w:r w:rsidR="008E0B00">
        <w:rPr>
          <w:noProof/>
        </w:rPr>
        <w:t>)</w:t>
      </w:r>
      <w:r w:rsidR="008E0B00">
        <w:fldChar w:fldCharType="end"/>
      </w:r>
      <w:r>
        <w:t>.</w:t>
      </w:r>
      <w:r w:rsidR="00884585">
        <w:t xml:space="preserve"> </w:t>
      </w:r>
      <w:r>
        <w:t>Rate of positive surgical margins were not observed to be impacted by delayed treatment in six studies</w:t>
      </w:r>
      <w:r w:rsidR="00757BA2">
        <w:t xml:space="preserve"> </w:t>
      </w:r>
      <w:r w:rsidR="008E0B00">
        <w:fldChar w:fldCharType="begin">
          <w:fldData xml:space="preserve">PEVuZE5vdGU+PENpdGU+PEF1dGhvcj5BYmVybjwvQXV0aG9yPjxZZWFyPjIwMTM8L1llYXI+PFJl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</w:fldData>
        </w:fldChar>
      </w:r>
      <w:r w:rsidR="008E0B00">
        <w:instrText xml:space="preserve"> ADDIN EN.CITE </w:instrText>
      </w:r>
      <w:r w:rsidR="008E0B00">
        <w:fldChar w:fldCharType="begin">
          <w:fldData xml:space="preserve">PEVuZE5vdGU+PENpdGU+PEF1dGhvcj5BYmVybjwvQXV0aG9yPjxZZWFyPjIwMTM8L1llYXI+PFJl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</w:fldData>
        </w:fldChar>
      </w:r>
      <w:r w:rsidR="008E0B00">
        <w:instrText xml:space="preserve"> ADDIN EN.CITE.DATA </w:instrText>
      </w:r>
      <w:r w:rsidR="008E0B00">
        <w:fldChar w:fldCharType="end"/>
      </w:r>
      <w:r w:rsidR="008E0B00">
        <w:fldChar w:fldCharType="separate"/>
      </w:r>
      <w:r w:rsidR="008E0B00">
        <w:rPr>
          <w:noProof/>
        </w:rPr>
        <w:t>(</w:t>
      </w:r>
      <w:hyperlink w:anchor="_ENREF_3" w:tooltip="Abern, 2013 #194" w:history="1">
        <w:r w:rsidR="008E0B00">
          <w:rPr>
            <w:noProof/>
          </w:rPr>
          <w:t>Abern et al. 2013</w:t>
        </w:r>
      </w:hyperlink>
      <w:r w:rsidR="008E0B00">
        <w:rPr>
          <w:noProof/>
        </w:rPr>
        <w:t xml:space="preserve">; </w:t>
      </w:r>
      <w:hyperlink w:anchor="_ENREF_31" w:tooltip="Dall'Era, 2012 #215" w:history="1">
        <w:r w:rsidR="008E0B00">
          <w:rPr>
            <w:noProof/>
          </w:rPr>
          <w:t>Dall'Era et al. 2012</w:t>
        </w:r>
      </w:hyperlink>
      <w:r w:rsidR="008E0B00">
        <w:rPr>
          <w:noProof/>
        </w:rPr>
        <w:t xml:space="preserve">; </w:t>
      </w:r>
      <w:hyperlink w:anchor="_ENREF_64" w:tooltip="Holmstrom, 2010 #200" w:history="1">
        <w:r w:rsidR="008E0B00">
          <w:rPr>
            <w:noProof/>
          </w:rPr>
          <w:t>Holmstrom et al. 2010</w:t>
        </w:r>
      </w:hyperlink>
      <w:r w:rsidR="008E0B00">
        <w:rPr>
          <w:noProof/>
        </w:rPr>
        <w:t xml:space="preserve">; </w:t>
      </w:r>
      <w:hyperlink w:anchor="_ENREF_83" w:tooltip="Lee, 2006 #216" w:history="1">
        <w:r w:rsidR="008E0B00">
          <w:rPr>
            <w:noProof/>
          </w:rPr>
          <w:t>Lee et al. 2006</w:t>
        </w:r>
      </w:hyperlink>
      <w:r w:rsidR="008E0B00">
        <w:rPr>
          <w:noProof/>
        </w:rPr>
        <w:t xml:space="preserve">; </w:t>
      </w:r>
      <w:hyperlink w:anchor="_ENREF_86" w:tooltip="Loeb, 2016 #81" w:history="1">
        <w:r w:rsidR="008E0B00">
          <w:rPr>
            <w:noProof/>
          </w:rPr>
          <w:t>Loeb et al. 2016</w:t>
        </w:r>
      </w:hyperlink>
      <w:r w:rsidR="008E0B00">
        <w:rPr>
          <w:noProof/>
        </w:rPr>
        <w:t xml:space="preserve">; </w:t>
      </w:r>
      <w:hyperlink w:anchor="_ENREF_106" w:tooltip="O'Brien, 2011 #207" w:history="1">
        <w:r w:rsidR="008E0B00">
          <w:rPr>
            <w:noProof/>
          </w:rPr>
          <w:t>O'Brien et al. 2011</w:t>
        </w:r>
      </w:hyperlink>
      <w:r w:rsidR="008E0B00">
        <w:rPr>
          <w:noProof/>
        </w:rPr>
        <w:t>)</w:t>
      </w:r>
      <w:r w:rsidR="008E0B00">
        <w:fldChar w:fldCharType="end"/>
      </w:r>
      <w:r>
        <w:t>.</w:t>
      </w:r>
    </w:p>
    <w:p w14:paraId="28386F9C" w14:textId="636E880D" w:rsidR="00DE06BB" w:rsidRDefault="00DE06BB" w:rsidP="00FD4FAE">
      <w:r>
        <w:t>Rates of Gleason upgrade were reported by 10 studies</w:t>
      </w:r>
      <w:r w:rsidR="00581EBA">
        <w:t xml:space="preserve"> </w:t>
      </w:r>
      <w:r w:rsidR="008E0B00">
        <w:fldChar w:fldCharType="begin">
          <w:fldData xml:space="preserve">PEVuZE5vdGU+PENpdGU+PEF1dGhvcj5BYmVybjwvQXV0aG9yPjxZZWFyPjIwMTM8L1llYXI+PFJl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</w:fldData>
        </w:fldChar>
      </w:r>
      <w:r w:rsidR="008E0B00">
        <w:instrText xml:space="preserve"> ADDIN EN.CITE </w:instrText>
      </w:r>
      <w:r w:rsidR="008E0B00">
        <w:fldChar w:fldCharType="begin">
          <w:fldData xml:space="preserve">PEVuZE5vdGU+PENpdGU+PEF1dGhvcj5BYmVybjwvQXV0aG9yPjxZZWFyPjIwMTM8L1llYXI+PFJl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3" w:tooltip="Abern, 2013 #194" w:history="1">
        <w:r w:rsidR="008E0B00">
          <w:rPr>
            <w:noProof/>
          </w:rPr>
          <w:t>Abern et al. 2013</w:t>
        </w:r>
      </w:hyperlink>
      <w:r w:rsidR="008E0B00">
        <w:rPr>
          <w:noProof/>
        </w:rPr>
        <w:t xml:space="preserve">; </w:t>
      </w:r>
      <w:hyperlink w:anchor="_ENREF_31" w:tooltip="Dall'Era, 2012 #215" w:history="1">
        <w:r w:rsidR="008E0B00">
          <w:rPr>
            <w:noProof/>
          </w:rPr>
          <w:t>Dall'Era et al. 2012</w:t>
        </w:r>
      </w:hyperlink>
      <w:r w:rsidR="008E0B00">
        <w:rPr>
          <w:noProof/>
        </w:rPr>
        <w:t xml:space="preserve">; </w:t>
      </w:r>
      <w:hyperlink w:anchor="_ENREF_45" w:tooltip="Eroglu, 2014 #190" w:history="1">
        <w:r w:rsidR="008E0B00">
          <w:rPr>
            <w:noProof/>
          </w:rPr>
          <w:t>Eroglu et al. 2014</w:t>
        </w:r>
      </w:hyperlink>
      <w:r w:rsidR="008E0B00">
        <w:rPr>
          <w:noProof/>
        </w:rPr>
        <w:t xml:space="preserve">; </w:t>
      </w:r>
      <w:hyperlink w:anchor="_ENREF_64" w:tooltip="Holmstrom, 2010 #200" w:history="1">
        <w:r w:rsidR="008E0B00">
          <w:rPr>
            <w:noProof/>
          </w:rPr>
          <w:t>Holmstrom et al. 2010</w:t>
        </w:r>
      </w:hyperlink>
      <w:r w:rsidR="008E0B00">
        <w:rPr>
          <w:noProof/>
        </w:rPr>
        <w:t xml:space="preserve">; </w:t>
      </w:r>
      <w:hyperlink w:anchor="_ENREF_79" w:tooltip="Korets, 2012 #203" w:history="1">
        <w:r w:rsidR="008E0B00">
          <w:rPr>
            <w:noProof/>
          </w:rPr>
          <w:t>Korets et al. 2012</w:t>
        </w:r>
      </w:hyperlink>
      <w:r w:rsidR="008E0B00">
        <w:rPr>
          <w:noProof/>
        </w:rPr>
        <w:t xml:space="preserve">; </w:t>
      </w:r>
      <w:hyperlink w:anchor="_ENREF_86" w:tooltip="Loeb, 2016 #81" w:history="1">
        <w:r w:rsidR="008E0B00">
          <w:rPr>
            <w:noProof/>
          </w:rPr>
          <w:t>Loeb et al. 2016</w:t>
        </w:r>
      </w:hyperlink>
      <w:r w:rsidR="008E0B00">
        <w:rPr>
          <w:noProof/>
        </w:rPr>
        <w:t xml:space="preserve">; </w:t>
      </w:r>
      <w:hyperlink w:anchor="_ENREF_106" w:tooltip="O'Brien, 2011 #207" w:history="1">
        <w:r w:rsidR="008E0B00">
          <w:rPr>
            <w:noProof/>
          </w:rPr>
          <w:t>O'Brien et al. 2011</w:t>
        </w:r>
      </w:hyperlink>
      <w:r w:rsidR="008E0B00">
        <w:rPr>
          <w:noProof/>
        </w:rPr>
        <w:t xml:space="preserve">; </w:t>
      </w:r>
      <w:hyperlink w:anchor="_ENREF_107" w:tooltip="O'Kelly, 2013 #82" w:history="1">
        <w:r w:rsidR="008E0B00">
          <w:rPr>
            <w:noProof/>
          </w:rPr>
          <w:t>O'Kelly et al. 2013</w:t>
        </w:r>
      </w:hyperlink>
      <w:r w:rsidR="008E0B00">
        <w:rPr>
          <w:noProof/>
        </w:rPr>
        <w:t xml:space="preserve">; </w:t>
      </w:r>
      <w:hyperlink w:anchor="_ENREF_157" w:tooltip="Sun, 2012 #210" w:history="1">
        <w:r w:rsidR="008E0B00">
          <w:rPr>
            <w:noProof/>
          </w:rPr>
          <w:t>Sun et al. 2012</w:t>
        </w:r>
      </w:hyperlink>
      <w:r w:rsidR="008E0B00">
        <w:rPr>
          <w:noProof/>
        </w:rPr>
        <w:t xml:space="preserve">; </w:t>
      </w:r>
      <w:hyperlink w:anchor="_ENREF_168" w:tooltip="van den Bergh, 2010 #211" w:history="1">
        <w:r w:rsidR="008E0B00">
          <w:rPr>
            <w:noProof/>
          </w:rPr>
          <w:t>van den Bergh et al. 2010</w:t>
        </w:r>
      </w:hyperlink>
      <w:r w:rsidR="008E0B00">
        <w:rPr>
          <w:noProof/>
        </w:rPr>
        <w:t>)</w:t>
      </w:r>
      <w:r w:rsidR="008E0B00">
        <w:fldChar w:fldCharType="end"/>
      </w:r>
      <w:r>
        <w:t xml:space="preserve">, five of which reported that delayed treatment was associated with higher rates of Gleason upgrade. </w:t>
      </w:r>
      <w:r w:rsidR="00046EE5">
        <w:t xml:space="preserve">However, Gleason upgrade does not </w:t>
      </w:r>
      <w:r w:rsidR="00072539">
        <w:t>necessarily</w:t>
      </w:r>
      <w:r w:rsidR="00046EE5">
        <w:t xml:space="preserve"> indicate worse patient </w:t>
      </w:r>
      <w:r w:rsidR="00305C27">
        <w:t>outcomes;</w:t>
      </w:r>
      <w:r w:rsidR="00BB6745">
        <w:t xml:space="preserve"> consequently</w:t>
      </w:r>
      <w:r w:rsidR="00046EE5">
        <w:t xml:space="preserve"> this outcome has </w:t>
      </w:r>
      <w:r w:rsidR="00BB6745">
        <w:t>a</w:t>
      </w:r>
      <w:r w:rsidR="00046EE5">
        <w:t xml:space="preserve"> low importance</w:t>
      </w:r>
      <w:r w:rsidR="00072539">
        <w:t xml:space="preserve"> and was not included in the summary of findings (</w:t>
      </w:r>
      <w:r w:rsidR="00072539">
        <w:fldChar w:fldCharType="begin"/>
      </w:r>
      <w:r w:rsidR="00072539">
        <w:instrText xml:space="preserve"> REF _Ref456613391 \h </w:instrText>
      </w:r>
      <w:r w:rsidR="00072539">
        <w:fldChar w:fldCharType="separate"/>
      </w:r>
      <w:r w:rsidR="0029649D" w:rsidRPr="00FE48CB">
        <w:t xml:space="preserve">Table </w:t>
      </w:r>
      <w:r w:rsidR="0029649D">
        <w:rPr>
          <w:noProof/>
        </w:rPr>
        <w:t>29</w:t>
      </w:r>
      <w:r w:rsidR="00072539">
        <w:fldChar w:fldCharType="end"/>
      </w:r>
      <w:r w:rsidR="00072539">
        <w:t>)</w:t>
      </w:r>
      <w:r w:rsidR="00046EE5">
        <w:t xml:space="preserve">. </w:t>
      </w:r>
    </w:p>
    <w:p w14:paraId="0A464972" w14:textId="672BFFCB" w:rsidR="00197B72" w:rsidRPr="00B375F2" w:rsidRDefault="00CE0DC9" w:rsidP="00AD09B2">
      <w:pPr>
        <w:rPr>
          <w:vanish/>
        </w:rPr>
      </w:pPr>
      <w:r>
        <w:t xml:space="preserve">Overall, </w:t>
      </w:r>
      <w:r w:rsidR="00072539">
        <w:t xml:space="preserve">evidence is mixed as to whether patients with intermediate or high risk disease </w:t>
      </w:r>
      <w:r w:rsidR="00826B43">
        <w:t>will</w:t>
      </w:r>
      <w:r w:rsidR="00072539">
        <w:t xml:space="preserve"> have their health compromised by a delay in treatment</w:t>
      </w:r>
      <w:r>
        <w:t>; however, most studies reported delay did not impact patient outcomes</w:t>
      </w:r>
      <w:r w:rsidR="00072539">
        <w:t xml:space="preserve"> for patient with disease of any risk level.</w:t>
      </w:r>
      <w:r>
        <w:t xml:space="preserve"> </w:t>
      </w:r>
    </w:p>
    <w:p w14:paraId="6937B39F" w14:textId="7B3BDAA4" w:rsidR="00F54E7C" w:rsidRDefault="00F54E7C" w:rsidP="00F54E7C">
      <w:pPr>
        <w:pStyle w:val="Heading1"/>
        <w:ind w:left="0" w:firstLine="0"/>
      </w:pPr>
      <w:bookmarkStart w:id="345" w:name="_Toc460513933"/>
      <w:r>
        <w:lastRenderedPageBreak/>
        <w:t>B6</w:t>
      </w:r>
      <w:r>
        <w:tab/>
        <w:t>Impact of repeat testing/monitoring</w:t>
      </w:r>
      <w:bookmarkEnd w:id="345"/>
    </w:p>
    <w:p w14:paraId="18F1C117" w14:textId="1892D4F4" w:rsidR="009C4430" w:rsidRDefault="009C4430" w:rsidP="009C4430">
      <w:pPr>
        <w:contextualSpacing/>
      </w:pPr>
      <w:r>
        <w:t xml:space="preserve">This section details the use of mpMRI in patients </w:t>
      </w:r>
      <w:r w:rsidRPr="008B4730">
        <w:t xml:space="preserve">diagnosed with low or intermediate risk </w:t>
      </w:r>
      <w:r w:rsidR="006818E1">
        <w:t>PCa</w:t>
      </w:r>
      <w:r w:rsidRPr="008B4730">
        <w:t xml:space="preserve"> undertaking AS</w:t>
      </w:r>
      <w:r>
        <w:t xml:space="preserve"> (Population 2)</w:t>
      </w:r>
      <w:r w:rsidRPr="008B4730">
        <w:t>.</w:t>
      </w:r>
    </w:p>
    <w:p w14:paraId="407BEA15" w14:textId="77777777" w:rsidR="00D33B58" w:rsidRDefault="00D33B58" w:rsidP="009C4430">
      <w:pPr>
        <w:contextualSpacing/>
      </w:pPr>
    </w:p>
    <w:p w14:paraId="111FCDC5" w14:textId="1EC59922" w:rsidR="00E938BE" w:rsidRDefault="00E938BE" w:rsidP="009C4430">
      <w:pPr>
        <w:contextualSpacing/>
      </w:pPr>
      <w:r>
        <w:t xml:space="preserve">No direct evidence was identified for Population </w:t>
      </w:r>
      <w:r w:rsidR="000B7431">
        <w:t>2;</w:t>
      </w:r>
      <w:r>
        <w:t xml:space="preserve"> therefore linked evidence approach was taken. </w:t>
      </w:r>
    </w:p>
    <w:p w14:paraId="34C1CA31" w14:textId="77777777" w:rsidR="00D81DD5" w:rsidRPr="00D81DD5" w:rsidRDefault="00D81DD5" w:rsidP="00D81DD5">
      <w:pPr>
        <w:pStyle w:val="Heading2"/>
      </w:pPr>
      <w:bookmarkStart w:id="346" w:name="_Toc460513934"/>
      <w:r w:rsidRPr="00D81DD5">
        <w:t>B6.1</w:t>
      </w:r>
      <w:r w:rsidRPr="00D81DD5">
        <w:tab/>
      </w:r>
      <w:r>
        <w:tab/>
      </w:r>
      <w:r w:rsidRPr="00D81DD5">
        <w:t>Reference standard</w:t>
      </w:r>
      <w:bookmarkEnd w:id="346"/>
    </w:p>
    <w:p w14:paraId="09768F39" w14:textId="194902BA" w:rsidR="00D81DD5" w:rsidRDefault="00722F59" w:rsidP="00722F59">
      <w:r>
        <w:t xml:space="preserve">This is as discussed in </w:t>
      </w:r>
      <w:r w:rsidR="0042364C">
        <w:t>Subs</w:t>
      </w:r>
      <w:r>
        <w:t>ection B3.1.</w:t>
      </w:r>
    </w:p>
    <w:p w14:paraId="246133E2" w14:textId="22CFE433" w:rsidR="00D81DD5" w:rsidRPr="00D81DD5" w:rsidRDefault="00D81DD5" w:rsidP="00D81DD5">
      <w:pPr>
        <w:pStyle w:val="Heading2"/>
      </w:pPr>
      <w:bookmarkStart w:id="347" w:name="_Toc460513935"/>
      <w:r w:rsidRPr="00D81DD5">
        <w:t>B6.2</w:t>
      </w:r>
      <w:r w:rsidRPr="00D81DD5">
        <w:tab/>
      </w:r>
      <w:r w:rsidRPr="00D81DD5">
        <w:tab/>
        <w:t>Literature sources and search strategies</w:t>
      </w:r>
      <w:r w:rsidR="00E33C5B">
        <w:t>: diagnostic accuracy (Population 2)</w:t>
      </w:r>
      <w:bookmarkEnd w:id="347"/>
    </w:p>
    <w:p w14:paraId="40102517" w14:textId="77777777" w:rsidR="00D81DD5" w:rsidRDefault="00D81DD5" w:rsidP="00D81DD5">
      <w:r>
        <w:t>The search strategy used to identify diagnostic accuracy studies is described in Subsection B1.1.</w:t>
      </w:r>
    </w:p>
    <w:p w14:paraId="466BC1D7" w14:textId="2C8B1142" w:rsidR="00D81DD5" w:rsidRPr="00183E4D" w:rsidRDefault="00D81DD5" w:rsidP="00D81DD5">
      <w:pPr>
        <w:pStyle w:val="Heading3"/>
      </w:pPr>
      <w:bookmarkStart w:id="348" w:name="_Toc460513936"/>
      <w:r>
        <w:t>B6.2.1</w:t>
      </w:r>
      <w:r>
        <w:tab/>
      </w:r>
      <w:r w:rsidRPr="00183E4D">
        <w:t>Results of Literature Search</w:t>
      </w:r>
      <w:r w:rsidR="008A090B">
        <w:t>: diagnostic accuracy (Population 2)</w:t>
      </w:r>
      <w:bookmarkEnd w:id="348"/>
    </w:p>
    <w:p w14:paraId="2EF830D2" w14:textId="6B120190" w:rsidR="00D81DD5" w:rsidRPr="00183E4D" w:rsidRDefault="003769B7" w:rsidP="00D81DD5">
      <w:r>
        <w:t>T</w:t>
      </w:r>
      <w:r w:rsidR="00B01696">
        <w:t>he</w:t>
      </w:r>
      <w:r w:rsidR="00D81DD5" w:rsidRPr="00183E4D">
        <w:t xml:space="preserve"> PRISMA flowchart </w:t>
      </w:r>
      <w:r w:rsidR="00B01696">
        <w:t xml:space="preserve">at </w:t>
      </w:r>
      <w:r w:rsidR="00D81DD5">
        <w:fldChar w:fldCharType="begin"/>
      </w:r>
      <w:r w:rsidR="00D81DD5">
        <w:instrText xml:space="preserve"> REF _Ref454348671 \h </w:instrText>
      </w:r>
      <w:r w:rsidR="00D81DD5">
        <w:fldChar w:fldCharType="separate"/>
      </w:r>
      <w:r w:rsidR="0029649D" w:rsidRPr="00183E4D">
        <w:t xml:space="preserve">Figure </w:t>
      </w:r>
      <w:r w:rsidR="0029649D">
        <w:rPr>
          <w:noProof/>
        </w:rPr>
        <w:t>5</w:t>
      </w:r>
      <w:r w:rsidR="00D81DD5">
        <w:fldChar w:fldCharType="end"/>
      </w:r>
      <w:r w:rsidR="00D81DD5">
        <w:t>, Subsection B1.1</w:t>
      </w:r>
      <w:r>
        <w:t xml:space="preserve"> </w:t>
      </w:r>
      <w:r w:rsidR="00D81DD5" w:rsidRPr="00183E4D">
        <w:t xml:space="preserve">provides a graphic depiction of the results of the literature search and the application of the study selection criteria </w:t>
      </w:r>
      <w:r w:rsidR="00EE7964">
        <w:t xml:space="preserve">as </w:t>
      </w:r>
      <w:r w:rsidR="00D81DD5" w:rsidRPr="00183E4D">
        <w:t xml:space="preserve">listed in </w:t>
      </w:r>
      <w:r w:rsidR="00C01566">
        <w:t xml:space="preserve">Box </w:t>
      </w:r>
      <w:r w:rsidR="006B4AA3">
        <w:t>4 (Subsection A9)</w:t>
      </w:r>
      <w:r w:rsidR="00D81DD5" w:rsidRPr="00183E4D">
        <w:t xml:space="preserve">. </w:t>
      </w:r>
    </w:p>
    <w:p w14:paraId="579A69D5" w14:textId="278803A8" w:rsidR="00197B72" w:rsidRDefault="00197B72" w:rsidP="00D81DD5">
      <w:r w:rsidRPr="00C728D5">
        <w:t>An overview of the studies</w:t>
      </w:r>
      <w:r>
        <w:t xml:space="preserve"> used to inform the assessment of Population 2</w:t>
      </w:r>
      <w:r w:rsidRPr="00C728D5">
        <w:t xml:space="preserve"> is given in </w:t>
      </w:r>
      <w:r w:rsidRPr="00C728D5">
        <w:fldChar w:fldCharType="begin"/>
      </w:r>
      <w:r w:rsidRPr="00C728D5">
        <w:instrText xml:space="preserve"> REF _Ref456275695 \h </w:instrText>
      </w:r>
      <w:r>
        <w:instrText xml:space="preserve"> \* MERGEFORMAT </w:instrText>
      </w:r>
      <w:r w:rsidRPr="00C728D5">
        <w:fldChar w:fldCharType="separate"/>
      </w:r>
      <w:r w:rsidR="0029649D" w:rsidRPr="00C728D5">
        <w:t xml:space="preserve">Table </w:t>
      </w:r>
      <w:r w:rsidR="0029649D">
        <w:rPr>
          <w:noProof/>
        </w:rPr>
        <w:t>30</w:t>
      </w:r>
      <w:r w:rsidRPr="00C728D5">
        <w:fldChar w:fldCharType="end"/>
      </w:r>
      <w:r w:rsidRPr="00C728D5">
        <w:t xml:space="preserve">. </w:t>
      </w:r>
      <w:r w:rsidRPr="00284952">
        <w:t>A profile of each included study is given in Appendix C.</w:t>
      </w:r>
    </w:p>
    <w:p w14:paraId="0275A85B" w14:textId="5DED882D" w:rsidR="00D81DD5" w:rsidRPr="00C728D5" w:rsidRDefault="00D81DD5" w:rsidP="00D81DD5">
      <w:r w:rsidRPr="00C728D5">
        <w:t xml:space="preserve">Those studies which technically met the inclusion criteria, but which were </w:t>
      </w:r>
      <w:r w:rsidR="0065496E">
        <w:t>excluded</w:t>
      </w:r>
      <w:r w:rsidRPr="00C728D5">
        <w:t xml:space="preserve"> </w:t>
      </w:r>
      <w:r w:rsidR="0065496E">
        <w:t xml:space="preserve">from </w:t>
      </w:r>
      <w:r w:rsidRPr="00C728D5">
        <w:t xml:space="preserve">the results section or meta-analyses, are listed in </w:t>
      </w:r>
      <w:r w:rsidRPr="00C728D5">
        <w:fldChar w:fldCharType="begin"/>
      </w:r>
      <w:r w:rsidRPr="00C728D5">
        <w:instrText xml:space="preserve"> REF _Ref364237293 \h </w:instrText>
      </w:r>
      <w:r w:rsidR="00C728D5">
        <w:instrText xml:space="preserve"> \* MERGEFORMAT </w:instrText>
      </w:r>
      <w:r w:rsidRPr="00C728D5">
        <w:fldChar w:fldCharType="separate"/>
      </w:r>
      <w:r w:rsidR="0029649D" w:rsidRPr="00183E4D">
        <w:t xml:space="preserve">Appendix </w:t>
      </w:r>
      <w:r w:rsidR="0029649D">
        <w:rPr>
          <w:noProof/>
        </w:rPr>
        <w:t>E</w:t>
      </w:r>
      <w:r w:rsidRPr="00C728D5">
        <w:fldChar w:fldCharType="end"/>
      </w:r>
      <w:r w:rsidRPr="00C728D5">
        <w:t>. The risk of bias associated with these studies is discussed in Subsection B6.3 and the characteristics of the included studies are discussed in Subsection B6.4.</w:t>
      </w:r>
    </w:p>
    <w:p w14:paraId="31D14AAA" w14:textId="4174C6F8" w:rsidR="006E1646" w:rsidRDefault="00D81DD5" w:rsidP="00D81DD5">
      <w:r w:rsidRPr="00C728D5">
        <w:t>A total of 16 primary studies including 1,367 patients that assessed the diagnostic accuracy of mpMRI against prostate biopsy in patients on</w:t>
      </w:r>
      <w:r w:rsidR="0065496E">
        <w:t>,</w:t>
      </w:r>
      <w:r w:rsidRPr="00C728D5">
        <w:t xml:space="preserve"> or eligible for</w:t>
      </w:r>
      <w:r w:rsidR="0065496E">
        <w:t>,</w:t>
      </w:r>
      <w:r w:rsidRPr="00C728D5">
        <w:t xml:space="preserve"> </w:t>
      </w:r>
      <w:r w:rsidR="004E17B9">
        <w:t>AS</w:t>
      </w:r>
      <w:r w:rsidRPr="00C728D5">
        <w:t xml:space="preserve"> programs were identified (</w:t>
      </w:r>
      <w:r w:rsidR="00C728D5" w:rsidRPr="00C728D5">
        <w:fldChar w:fldCharType="begin"/>
      </w:r>
      <w:r w:rsidR="00C728D5" w:rsidRPr="00C728D5">
        <w:instrText xml:space="preserve"> REF _Ref456275695 \h </w:instrText>
      </w:r>
      <w:r w:rsidR="00C728D5">
        <w:instrText xml:space="preserve"> \* MERGEFORMAT </w:instrText>
      </w:r>
      <w:r w:rsidR="00C728D5" w:rsidRPr="00C728D5">
        <w:fldChar w:fldCharType="separate"/>
      </w:r>
      <w:r w:rsidR="0029649D" w:rsidRPr="00C728D5">
        <w:t xml:space="preserve">Table </w:t>
      </w:r>
      <w:r w:rsidR="0029649D">
        <w:rPr>
          <w:noProof/>
        </w:rPr>
        <w:t>30</w:t>
      </w:r>
      <w:r w:rsidR="00C728D5" w:rsidRPr="00C728D5">
        <w:fldChar w:fldCharType="end"/>
      </w:r>
      <w:r w:rsidRPr="00C728D5">
        <w:t>)</w:t>
      </w:r>
      <w:r w:rsidR="00C01566">
        <w:t xml:space="preserve"> </w:t>
      </w:r>
      <w:r w:rsidR="008E0B00">
        <w:fldChar w:fldCharType="begin">
          <w:fldData xml:space="preserve">bnVtYmVyPjE4PC9udW1iZXI+PGVkaXRpb24+MjAxMy8wNy8wNDwvZWRpdGlvbj48a2V5d29yZHM+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</w:fldData>
        </w:fldChar>
      </w:r>
      <w:r w:rsidR="008E0B00">
        <w:instrText xml:space="preserve"> ADDIN EN.CITE </w:instrText>
      </w:r>
      <w:r w:rsidR="008E0B00">
        <w:fldChar w:fldCharType="begin">
          <w:fldData xml:space="preserve">PEVuZE5vdGU+PENpdGU+PEF1dGhvcj5BYmQtQWxhemVlejwvQXV0aG9yPjxZZWFyPjIwMTQ8L1ll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==
</w:fldData>
        </w:fldChar>
      </w:r>
      <w:r w:rsidR="008E0B00">
        <w:instrText xml:space="preserve"> ADDIN EN.CITE.DATA </w:instrText>
      </w:r>
      <w:r w:rsidR="008E0B00">
        <w:fldChar w:fldCharType="end"/>
      </w:r>
      <w:r w:rsidR="008E0B00">
        <w:fldChar w:fldCharType="begin">
          <w:fldData xml:space="preserve">bnVtYmVyPjE4PC9udW1iZXI+PGVkaXRpb24+MjAxMy8wNy8wNDwvZWRpdGlvbj48a2V5d29yZHM+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</w:fldData>
        </w:fldChar>
      </w:r>
      <w:r w:rsidR="008E0B00">
        <w:instrText xml:space="preserve"> ADDIN EN.CITE.DATA </w:instrText>
      </w:r>
      <w:r w:rsidR="008E0B00">
        <w:fldChar w:fldCharType="end"/>
      </w:r>
      <w:r w:rsidR="008E0B00">
        <w:fldChar w:fldCharType="separate"/>
      </w:r>
      <w:r w:rsidR="008E0B00">
        <w:rPr>
          <w:noProof/>
        </w:rPr>
        <w:t>(</w:t>
      </w:r>
      <w:hyperlink w:anchor="_ENREF_1" w:tooltip="Abd-Alazeez, 2014 #83" w:history="1">
        <w:r w:rsidR="008E0B00">
          <w:rPr>
            <w:noProof/>
          </w:rPr>
          <w:t>Abd-Alazeez et al. 2014a</w:t>
        </w:r>
      </w:hyperlink>
      <w:r w:rsidR="008E0B00">
        <w:rPr>
          <w:noProof/>
        </w:rPr>
        <w:t xml:space="preserve">; </w:t>
      </w:r>
      <w:hyperlink w:anchor="_ENREF_6" w:tooltip="Almeida, 2016 #84" w:history="1">
        <w:r w:rsidR="008E0B00">
          <w:rPr>
            <w:noProof/>
          </w:rPr>
          <w:t>Almeida et al. 2016</w:t>
        </w:r>
      </w:hyperlink>
      <w:r w:rsidR="008E0B00">
        <w:rPr>
          <w:noProof/>
        </w:rPr>
        <w:t xml:space="preserve">; </w:t>
      </w:r>
      <w:hyperlink w:anchor="_ENREF_19" w:tooltip="Bonekamp, 2013 #85" w:history="1">
        <w:r w:rsidR="008E0B00">
          <w:rPr>
            <w:noProof/>
          </w:rPr>
          <w:t>Bonekamp et al. 2013</w:t>
        </w:r>
      </w:hyperlink>
      <w:r w:rsidR="008E0B00">
        <w:rPr>
          <w:noProof/>
        </w:rPr>
        <w:t xml:space="preserve">; </w:t>
      </w:r>
      <w:hyperlink w:anchor="_ENREF_34" w:tooltip="de Cobelli, 2015 #86" w:history="1">
        <w:r w:rsidR="008E0B00">
          <w:rPr>
            <w:noProof/>
          </w:rPr>
          <w:t>de Cobelli et al. 2015</w:t>
        </w:r>
      </w:hyperlink>
      <w:r w:rsidR="008E0B00">
        <w:rPr>
          <w:noProof/>
        </w:rPr>
        <w:t xml:space="preserve">; </w:t>
      </w:r>
      <w:hyperlink w:anchor="_ENREF_48" w:tooltip="Felker, 2016 #87" w:history="1">
        <w:r w:rsidR="008E0B00">
          <w:rPr>
            <w:noProof/>
          </w:rPr>
          <w:t>Felker et al. 2016</w:t>
        </w:r>
      </w:hyperlink>
      <w:r w:rsidR="008E0B00">
        <w:rPr>
          <w:noProof/>
        </w:rPr>
        <w:t xml:space="preserve">; </w:t>
      </w:r>
      <w:hyperlink w:anchor="_ENREF_50" w:tooltip="Flavell, 2014 #88" w:history="1">
        <w:r w:rsidR="008E0B00">
          <w:rPr>
            <w:noProof/>
          </w:rPr>
          <w:t>Flavell et al. 2014</w:t>
        </w:r>
      </w:hyperlink>
      <w:r w:rsidR="008E0B00">
        <w:rPr>
          <w:noProof/>
        </w:rPr>
        <w:t xml:space="preserve">; </w:t>
      </w:r>
      <w:hyperlink w:anchor="_ENREF_91" w:tooltip="Margel, 2012 #89" w:history="1">
        <w:r w:rsidR="008E0B00">
          <w:rPr>
            <w:noProof/>
          </w:rPr>
          <w:t>Margel et al. 2012</w:t>
        </w:r>
      </w:hyperlink>
      <w:r w:rsidR="008E0B00">
        <w:rPr>
          <w:noProof/>
        </w:rPr>
        <w:t xml:space="preserve">; </w:t>
      </w:r>
      <w:hyperlink w:anchor="_ENREF_98" w:tooltip="Mullins, 2013 #90" w:history="1">
        <w:r w:rsidR="008E0B00">
          <w:rPr>
            <w:noProof/>
          </w:rPr>
          <w:t>Mullins et al. 2013</w:t>
        </w:r>
      </w:hyperlink>
      <w:r w:rsidR="008E0B00">
        <w:rPr>
          <w:noProof/>
        </w:rPr>
        <w:t xml:space="preserve">; </w:t>
      </w:r>
      <w:hyperlink w:anchor="_ENREF_116" w:tooltip="Porpiglia, 2015 #91" w:history="1">
        <w:r w:rsidR="008E0B00">
          <w:rPr>
            <w:noProof/>
          </w:rPr>
          <w:t>Porpiglia et al. 2015</w:t>
        </w:r>
      </w:hyperlink>
      <w:r w:rsidR="008E0B00">
        <w:rPr>
          <w:noProof/>
        </w:rPr>
        <w:t xml:space="preserve">; </w:t>
      </w:r>
      <w:hyperlink w:anchor="_ENREF_122" w:tooltip="Recabal, 2016 #92" w:history="1">
        <w:r w:rsidR="008E0B00">
          <w:rPr>
            <w:noProof/>
          </w:rPr>
          <w:t>Recabal et al. 2016</w:t>
        </w:r>
      </w:hyperlink>
      <w:r w:rsidR="008E0B00">
        <w:rPr>
          <w:noProof/>
        </w:rPr>
        <w:t xml:space="preserve">; </w:t>
      </w:r>
      <w:hyperlink w:anchor="_ENREF_139" w:tooltip="Sahibzada, 2016 #93" w:history="1">
        <w:r w:rsidR="008E0B00">
          <w:rPr>
            <w:noProof/>
          </w:rPr>
          <w:t>Sahibzada et al. 2016</w:t>
        </w:r>
      </w:hyperlink>
      <w:r w:rsidR="008E0B00">
        <w:rPr>
          <w:noProof/>
        </w:rPr>
        <w:t xml:space="preserve">; </w:t>
      </w:r>
      <w:hyperlink w:anchor="_ENREF_148" w:tooltip="Siddiqui, 2015 #94" w:history="1">
        <w:r w:rsidR="008E0B00">
          <w:rPr>
            <w:noProof/>
          </w:rPr>
          <w:t>Siddiqui et al. 2015</w:t>
        </w:r>
      </w:hyperlink>
      <w:r w:rsidR="008E0B00">
        <w:rPr>
          <w:noProof/>
        </w:rPr>
        <w:t xml:space="preserve">; </w:t>
      </w:r>
      <w:hyperlink w:anchor="_ENREF_153" w:tooltip="Stamatakis, 2013 #95" w:history="1">
        <w:r w:rsidR="008E0B00">
          <w:rPr>
            <w:noProof/>
          </w:rPr>
          <w:t>Stamatakis et al. 2013</w:t>
        </w:r>
      </w:hyperlink>
      <w:r w:rsidR="008E0B00">
        <w:rPr>
          <w:noProof/>
        </w:rPr>
        <w:t xml:space="preserve">; </w:t>
      </w:r>
      <w:hyperlink w:anchor="_ENREF_173" w:tooltip="Vos, 2016 #96" w:history="1">
        <w:r w:rsidR="008E0B00">
          <w:rPr>
            <w:noProof/>
          </w:rPr>
          <w:t>Vos et al. 2016</w:t>
        </w:r>
      </w:hyperlink>
      <w:r w:rsidR="008E0B00">
        <w:rPr>
          <w:noProof/>
        </w:rPr>
        <w:t xml:space="preserve">; </w:t>
      </w:r>
      <w:hyperlink w:anchor="_ENREF_174" w:tooltip="Walton Diaz, 2015 #97" w:history="1">
        <w:r w:rsidR="008E0B00">
          <w:rPr>
            <w:noProof/>
          </w:rPr>
          <w:t>Walton Diaz et al. 2015</w:t>
        </w:r>
      </w:hyperlink>
      <w:r w:rsidR="008E0B00">
        <w:rPr>
          <w:noProof/>
        </w:rPr>
        <w:t xml:space="preserve">; </w:t>
      </w:r>
      <w:hyperlink w:anchor="_ENREF_182" w:tooltip="Wysock, 2016 #64" w:history="1">
        <w:r w:rsidR="008E0B00">
          <w:rPr>
            <w:noProof/>
          </w:rPr>
          <w:t>Wysock et al. 2016</w:t>
        </w:r>
      </w:hyperlink>
      <w:r w:rsidR="008E0B00">
        <w:rPr>
          <w:noProof/>
        </w:rPr>
        <w:t>)</w:t>
      </w:r>
      <w:r w:rsidR="008E0B00">
        <w:fldChar w:fldCharType="end"/>
      </w:r>
      <w:r w:rsidR="00300D04">
        <w:t xml:space="preserve">. </w:t>
      </w:r>
      <w:r w:rsidRPr="00C728D5">
        <w:t>As described in S</w:t>
      </w:r>
      <w:r w:rsidR="00676D0E">
        <w:t xml:space="preserve">ubsections B3.2 and </w:t>
      </w:r>
      <w:r w:rsidR="00197B72">
        <w:t>B</w:t>
      </w:r>
      <w:r w:rsidR="00676D0E">
        <w:t>3.4</w:t>
      </w:r>
      <w:r w:rsidRPr="00C728D5">
        <w:t xml:space="preserve">, only studies which reported the use of a PI-RADS ≥4 threshold were included in the meta-analyses (results from studies </w:t>
      </w:r>
      <w:r w:rsidR="00722F59" w:rsidRPr="00C728D5">
        <w:t xml:space="preserve">using a different threshold </w:t>
      </w:r>
      <w:r w:rsidRPr="00C728D5">
        <w:t xml:space="preserve">are presented in Appendix </w:t>
      </w:r>
      <w:r w:rsidR="00A67E0F">
        <w:t>G</w:t>
      </w:r>
      <w:r w:rsidRPr="00C728D5">
        <w:t>). Considering on</w:t>
      </w:r>
      <w:r w:rsidR="00722F59" w:rsidRPr="00C728D5">
        <w:t>ly</w:t>
      </w:r>
      <w:r w:rsidRPr="00C728D5">
        <w:t xml:space="preserve"> studies using the PI-RADS ≥4 threshold, </w:t>
      </w:r>
      <w:r w:rsidR="00722F59" w:rsidRPr="00C728D5">
        <w:t>six</w:t>
      </w:r>
      <w:r w:rsidRPr="00C728D5">
        <w:t xml:space="preserve"> studies including </w:t>
      </w:r>
      <w:r w:rsidR="00090BB9" w:rsidRPr="00C728D5">
        <w:t>823</w:t>
      </w:r>
      <w:r w:rsidRPr="00C728D5">
        <w:t xml:space="preserve"> patients were identified for Population 2</w:t>
      </w:r>
      <w:r w:rsidR="00C01566">
        <w:t xml:space="preserve"> </w:t>
      </w:r>
      <w:r w:rsidR="008E0B00">
        <w:fldChar w:fldCharType="begin">
          <w:fldData xml:space="preserve">PEVuZE5vdGU+PENpdGU+PEF1dGhvcj5BYmQtQWxhemVlejwvQXV0aG9yPjxZZWFyPjIwMTQ8L1ll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MDEzOTY5NjwvcGFnZXM+PHZvbHVtZT4xMDwvdm9sdW1lPjxudW1iZXI+MTA8L251bWJlcj48ZWRp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</w:fldData>
        </w:fldChar>
      </w:r>
      <w:r w:rsidR="008E0B00">
        <w:instrText xml:space="preserve"> ADDIN EN.CITE </w:instrText>
      </w:r>
      <w:r w:rsidR="008E0B00">
        <w:fldChar w:fldCharType="begin">
          <w:fldData xml:space="preserve">PEVuZE5vdGU+PENpdGU+PEF1dGhvcj5BYmQtQWxhemVlejwvQXV0aG9yPjxZZWFyPjIwMTQ8L1ll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MDEzOTY5NjwvcGFnZXM+PHZvbHVtZT4xMDwvdm9sdW1lPjxudW1iZXI+MTA8L251bWJlcj48ZWRp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1" w:tooltip="Abd-Alazeez, 2014 #83" w:history="1">
        <w:r w:rsidR="008E0B00">
          <w:rPr>
            <w:noProof/>
          </w:rPr>
          <w:t>Abd-Alazeez et al. 2014a</w:t>
        </w:r>
      </w:hyperlink>
      <w:r w:rsidR="008E0B00">
        <w:rPr>
          <w:noProof/>
        </w:rPr>
        <w:t xml:space="preserve">; </w:t>
      </w:r>
      <w:hyperlink w:anchor="_ENREF_6" w:tooltip="Almeida, 2016 #84" w:history="1">
        <w:r w:rsidR="008E0B00">
          <w:rPr>
            <w:noProof/>
          </w:rPr>
          <w:t>Almeida et al. 2016</w:t>
        </w:r>
      </w:hyperlink>
      <w:r w:rsidR="008E0B00">
        <w:rPr>
          <w:noProof/>
        </w:rPr>
        <w:t xml:space="preserve">; </w:t>
      </w:r>
      <w:hyperlink w:anchor="_ENREF_34" w:tooltip="de Cobelli, 2015 #86" w:history="1">
        <w:r w:rsidR="008E0B00">
          <w:rPr>
            <w:noProof/>
          </w:rPr>
          <w:t>de Cobelli et al. 2015</w:t>
        </w:r>
      </w:hyperlink>
      <w:r w:rsidR="008E0B00">
        <w:rPr>
          <w:noProof/>
        </w:rPr>
        <w:t xml:space="preserve">; </w:t>
      </w:r>
      <w:hyperlink w:anchor="_ENREF_50" w:tooltip="Flavell, 2014 #88" w:history="1">
        <w:r w:rsidR="008E0B00">
          <w:rPr>
            <w:noProof/>
          </w:rPr>
          <w:t>Flavell et al. 2014</w:t>
        </w:r>
      </w:hyperlink>
      <w:r w:rsidR="008E0B00">
        <w:rPr>
          <w:noProof/>
        </w:rPr>
        <w:t xml:space="preserve">; </w:t>
      </w:r>
      <w:hyperlink w:anchor="_ENREF_116" w:tooltip="Porpiglia, 2015 #91" w:history="1">
        <w:r w:rsidR="008E0B00">
          <w:rPr>
            <w:noProof/>
          </w:rPr>
          <w:t>Porpiglia et al. 2015</w:t>
        </w:r>
      </w:hyperlink>
      <w:r w:rsidR="008E0B00">
        <w:rPr>
          <w:noProof/>
        </w:rPr>
        <w:t xml:space="preserve">; </w:t>
      </w:r>
      <w:hyperlink w:anchor="_ENREF_122" w:tooltip="Recabal, 2016 #92" w:history="1">
        <w:r w:rsidR="008E0B00">
          <w:rPr>
            <w:noProof/>
          </w:rPr>
          <w:t>Recabal et al. 2016</w:t>
        </w:r>
      </w:hyperlink>
      <w:r w:rsidR="008E0B00">
        <w:rPr>
          <w:noProof/>
        </w:rPr>
        <w:t>)</w:t>
      </w:r>
      <w:r w:rsidR="008E0B00">
        <w:fldChar w:fldCharType="end"/>
      </w:r>
      <w:r w:rsidR="006E1646">
        <w:t>.</w:t>
      </w:r>
    </w:p>
    <w:p w14:paraId="019D0B67" w14:textId="558F4A44" w:rsidR="00D81DD5" w:rsidRPr="00466B3D" w:rsidRDefault="00D81DD5" w:rsidP="00466B3D">
      <w:pPr>
        <w:pStyle w:val="Caption"/>
      </w:pPr>
      <w:bookmarkStart w:id="349" w:name="_Ref456275695"/>
      <w:bookmarkStart w:id="350" w:name="_Toc460514530"/>
      <w:r w:rsidRPr="00C728D5">
        <w:lastRenderedPageBreak/>
        <w:t xml:space="preserve">Table </w:t>
      </w:r>
      <w:fldSimple w:instr=" SEQ Table \* ARABIC ">
        <w:r w:rsidR="0029649D">
          <w:rPr>
            <w:noProof/>
          </w:rPr>
          <w:t>30</w:t>
        </w:r>
      </w:fldSimple>
      <w:bookmarkEnd w:id="349"/>
      <w:r w:rsidRPr="00C728D5">
        <w:tab/>
      </w:r>
      <w:r w:rsidRPr="00466B3D">
        <w:t>Key features of the included evidence</w:t>
      </w:r>
      <w:r w:rsidR="0066172B" w:rsidRPr="00466B3D">
        <w:t xml:space="preserve"> comparing mp</w:t>
      </w:r>
      <w:r w:rsidRPr="00466B3D">
        <w:t>MRI against prostate biopsy in Population 2</w:t>
      </w:r>
      <w:bookmarkEnd w:id="350"/>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513"/>
        <w:gridCol w:w="1159"/>
        <w:gridCol w:w="1503"/>
        <w:gridCol w:w="1336"/>
        <w:gridCol w:w="1943"/>
        <w:gridCol w:w="1658"/>
      </w:tblGrid>
      <w:tr w:rsidR="00D81DD5" w:rsidRPr="00E6732A" w14:paraId="48221459" w14:textId="77777777" w:rsidTr="00E6732A">
        <w:trPr>
          <w:trHeight w:val="397"/>
          <w:tblHeader/>
        </w:trPr>
        <w:tc>
          <w:tcPr>
            <w:tcW w:w="830" w:type="pct"/>
            <w:shd w:val="clear" w:color="auto" w:fill="auto"/>
          </w:tcPr>
          <w:p w14:paraId="00CB1F80" w14:textId="77777777" w:rsidR="00D81DD5" w:rsidRPr="00E6732A" w:rsidRDefault="00D81DD5" w:rsidP="00A74752">
            <w:pPr>
              <w:pStyle w:val="Tableheading1"/>
              <w:rPr>
                <w:snapToGrid w:val="0"/>
              </w:rPr>
            </w:pPr>
            <w:r w:rsidRPr="00E6732A">
              <w:rPr>
                <w:snapToGrid w:val="0"/>
              </w:rPr>
              <w:t>Trial/Study</w:t>
            </w:r>
          </w:p>
        </w:tc>
        <w:tc>
          <w:tcPr>
            <w:tcW w:w="636" w:type="pct"/>
            <w:shd w:val="clear" w:color="auto" w:fill="auto"/>
          </w:tcPr>
          <w:p w14:paraId="0B842402" w14:textId="359B63A3" w:rsidR="00D81DD5" w:rsidRPr="00E6732A" w:rsidRDefault="00E6732A" w:rsidP="00A74752">
            <w:pPr>
              <w:pStyle w:val="Tableheading1"/>
              <w:rPr>
                <w:snapToGrid w:val="0"/>
              </w:rPr>
            </w:pPr>
            <w:r w:rsidRPr="00E6732A">
              <w:rPr>
                <w:snapToGrid w:val="0"/>
              </w:rPr>
              <w:t>n</w:t>
            </w:r>
          </w:p>
        </w:tc>
        <w:tc>
          <w:tcPr>
            <w:tcW w:w="825" w:type="pct"/>
            <w:shd w:val="clear" w:color="auto" w:fill="auto"/>
          </w:tcPr>
          <w:p w14:paraId="676609AC" w14:textId="77777777" w:rsidR="00D81DD5" w:rsidRPr="00E6732A" w:rsidRDefault="00D81DD5" w:rsidP="00A74752">
            <w:pPr>
              <w:pStyle w:val="Tableheading1"/>
              <w:rPr>
                <w:snapToGrid w:val="0"/>
                <w:vertAlign w:val="superscript"/>
              </w:rPr>
            </w:pPr>
            <w:r w:rsidRPr="00E6732A">
              <w:rPr>
                <w:snapToGrid w:val="0"/>
              </w:rPr>
              <w:t>Level of evidence</w:t>
            </w:r>
            <w:r w:rsidRPr="00E6732A">
              <w:rPr>
                <w:snapToGrid w:val="0"/>
                <w:vertAlign w:val="superscript"/>
              </w:rPr>
              <w:t>a</w:t>
            </w:r>
          </w:p>
        </w:tc>
        <w:tc>
          <w:tcPr>
            <w:tcW w:w="733" w:type="pct"/>
            <w:shd w:val="clear" w:color="auto" w:fill="auto"/>
          </w:tcPr>
          <w:p w14:paraId="508DEBBD" w14:textId="77777777" w:rsidR="00D81DD5" w:rsidRPr="00E6732A" w:rsidRDefault="00D81DD5" w:rsidP="00A74752">
            <w:pPr>
              <w:pStyle w:val="Tableheading1"/>
              <w:rPr>
                <w:snapToGrid w:val="0"/>
                <w:vertAlign w:val="superscript"/>
              </w:rPr>
            </w:pPr>
            <w:r w:rsidRPr="00E6732A">
              <w:rPr>
                <w:snapToGrid w:val="0"/>
              </w:rPr>
              <w:t>Risk of bias</w:t>
            </w:r>
            <w:r w:rsidRPr="00E6732A">
              <w:rPr>
                <w:snapToGrid w:val="0"/>
                <w:vertAlign w:val="superscript"/>
              </w:rPr>
              <w:t>b</w:t>
            </w:r>
          </w:p>
        </w:tc>
        <w:tc>
          <w:tcPr>
            <w:tcW w:w="1066" w:type="pct"/>
            <w:shd w:val="clear" w:color="auto" w:fill="auto"/>
          </w:tcPr>
          <w:p w14:paraId="6F9993BD" w14:textId="77777777" w:rsidR="00D81DD5" w:rsidRPr="00E6732A" w:rsidRDefault="00D81DD5" w:rsidP="00A74752">
            <w:pPr>
              <w:pStyle w:val="Tableheading1"/>
              <w:rPr>
                <w:snapToGrid w:val="0"/>
                <w:vertAlign w:val="superscript"/>
              </w:rPr>
            </w:pPr>
            <w:r w:rsidRPr="00E6732A">
              <w:rPr>
                <w:snapToGrid w:val="0"/>
              </w:rPr>
              <w:t>Key outcome(s)</w:t>
            </w:r>
            <w:r w:rsidRPr="00E6732A">
              <w:rPr>
                <w:snapToGrid w:val="0"/>
                <w:vertAlign w:val="superscript"/>
              </w:rPr>
              <w:t>c</w:t>
            </w:r>
          </w:p>
        </w:tc>
        <w:tc>
          <w:tcPr>
            <w:tcW w:w="910" w:type="pct"/>
            <w:shd w:val="clear" w:color="auto" w:fill="auto"/>
          </w:tcPr>
          <w:p w14:paraId="71C5B0F1" w14:textId="77777777" w:rsidR="00D81DD5" w:rsidRPr="00E6732A" w:rsidRDefault="00D81DD5" w:rsidP="00A74752">
            <w:pPr>
              <w:pStyle w:val="Tableheading1"/>
              <w:rPr>
                <w:snapToGrid w:val="0"/>
                <w:vertAlign w:val="superscript"/>
              </w:rPr>
            </w:pPr>
            <w:r w:rsidRPr="00E6732A">
              <w:rPr>
                <w:snapToGrid w:val="0"/>
              </w:rPr>
              <w:t>Result used in meta-analysis</w:t>
            </w:r>
            <w:r w:rsidRPr="00E6732A">
              <w:rPr>
                <w:snapToGrid w:val="0"/>
                <w:vertAlign w:val="superscript"/>
              </w:rPr>
              <w:t>d</w:t>
            </w:r>
          </w:p>
        </w:tc>
      </w:tr>
      <w:tr w:rsidR="00D81DD5" w:rsidRPr="00AD60C4" w14:paraId="58F20EC6" w14:textId="77777777" w:rsidTr="00E6732A">
        <w:trPr>
          <w:trHeight w:val="397"/>
        </w:trPr>
        <w:tc>
          <w:tcPr>
            <w:tcW w:w="830" w:type="pct"/>
            <w:shd w:val="clear" w:color="auto" w:fill="auto"/>
          </w:tcPr>
          <w:p w14:paraId="5E736B7A" w14:textId="77777777" w:rsidR="00D81DD5" w:rsidRPr="00AD60C4" w:rsidRDefault="00D81DD5" w:rsidP="00A74752">
            <w:pPr>
              <w:pStyle w:val="Tabletext1"/>
              <w:rPr>
                <w:snapToGrid w:val="0"/>
              </w:rPr>
            </w:pPr>
            <w:r w:rsidRPr="00AD60C4">
              <w:t>Abd-Alazeez et al. (2014)</w:t>
            </w:r>
          </w:p>
        </w:tc>
        <w:tc>
          <w:tcPr>
            <w:tcW w:w="636" w:type="pct"/>
            <w:shd w:val="clear" w:color="auto" w:fill="auto"/>
          </w:tcPr>
          <w:p w14:paraId="0CEF1CA9" w14:textId="77777777" w:rsidR="00D81DD5" w:rsidRPr="00AD60C4" w:rsidRDefault="00D81DD5" w:rsidP="00A74752">
            <w:pPr>
              <w:pStyle w:val="Tabletext1"/>
              <w:rPr>
                <w:snapToGrid w:val="0"/>
              </w:rPr>
            </w:pPr>
            <w:r>
              <w:rPr>
                <w:snapToGrid w:val="0"/>
              </w:rPr>
              <w:t>137</w:t>
            </w:r>
          </w:p>
        </w:tc>
        <w:tc>
          <w:tcPr>
            <w:tcW w:w="825" w:type="pct"/>
            <w:shd w:val="clear" w:color="auto" w:fill="auto"/>
          </w:tcPr>
          <w:p w14:paraId="4C2B441A"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32E088F1"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6AF243D0"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6B208097" w14:textId="77777777" w:rsidR="00D81DD5" w:rsidRPr="00AD60C4" w:rsidRDefault="00D81DD5" w:rsidP="00A74752">
            <w:pPr>
              <w:pStyle w:val="Tabletext1"/>
              <w:rPr>
                <w:snapToGrid w:val="0"/>
              </w:rPr>
            </w:pPr>
            <w:r>
              <w:rPr>
                <w:snapToGrid w:val="0"/>
              </w:rPr>
              <w:t>Used</w:t>
            </w:r>
          </w:p>
        </w:tc>
      </w:tr>
      <w:tr w:rsidR="00D81DD5" w:rsidRPr="00AD60C4" w14:paraId="3CA7536D" w14:textId="77777777" w:rsidTr="00E6732A">
        <w:trPr>
          <w:trHeight w:val="397"/>
        </w:trPr>
        <w:tc>
          <w:tcPr>
            <w:tcW w:w="830" w:type="pct"/>
            <w:shd w:val="clear" w:color="auto" w:fill="auto"/>
          </w:tcPr>
          <w:p w14:paraId="592DADC0" w14:textId="77777777" w:rsidR="00D81DD5" w:rsidRPr="00AD60C4" w:rsidRDefault="00D81DD5" w:rsidP="00A74752">
            <w:pPr>
              <w:pStyle w:val="Tabletext1"/>
              <w:rPr>
                <w:snapToGrid w:val="0"/>
              </w:rPr>
            </w:pPr>
            <w:r w:rsidRPr="00AD60C4">
              <w:t>Almeida et al. (2016)</w:t>
            </w:r>
          </w:p>
        </w:tc>
        <w:tc>
          <w:tcPr>
            <w:tcW w:w="636" w:type="pct"/>
            <w:shd w:val="clear" w:color="auto" w:fill="auto"/>
          </w:tcPr>
          <w:p w14:paraId="486F8733" w14:textId="77777777" w:rsidR="00D81DD5" w:rsidRPr="00AD60C4" w:rsidRDefault="00D81DD5" w:rsidP="00A74752">
            <w:pPr>
              <w:pStyle w:val="Tabletext1"/>
              <w:rPr>
                <w:snapToGrid w:val="0"/>
              </w:rPr>
            </w:pPr>
            <w:r>
              <w:rPr>
                <w:snapToGrid w:val="0"/>
              </w:rPr>
              <w:t>73</w:t>
            </w:r>
          </w:p>
        </w:tc>
        <w:tc>
          <w:tcPr>
            <w:tcW w:w="825" w:type="pct"/>
            <w:shd w:val="clear" w:color="auto" w:fill="auto"/>
          </w:tcPr>
          <w:p w14:paraId="79A2914E"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6CAD5F1C"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5226A617"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2FBE9001" w14:textId="77777777" w:rsidR="00D81DD5" w:rsidRPr="00AD60C4" w:rsidRDefault="00D81DD5" w:rsidP="00A74752">
            <w:pPr>
              <w:pStyle w:val="Tabletext1"/>
              <w:rPr>
                <w:snapToGrid w:val="0"/>
              </w:rPr>
            </w:pPr>
            <w:r>
              <w:rPr>
                <w:snapToGrid w:val="0"/>
              </w:rPr>
              <w:t>Used</w:t>
            </w:r>
          </w:p>
        </w:tc>
      </w:tr>
      <w:tr w:rsidR="00D81DD5" w:rsidRPr="00AD60C4" w14:paraId="7F0BD95D" w14:textId="77777777" w:rsidTr="00E6732A">
        <w:trPr>
          <w:trHeight w:val="397"/>
        </w:trPr>
        <w:tc>
          <w:tcPr>
            <w:tcW w:w="830" w:type="pct"/>
            <w:shd w:val="clear" w:color="auto" w:fill="auto"/>
          </w:tcPr>
          <w:p w14:paraId="7A384700" w14:textId="77777777" w:rsidR="00D81DD5" w:rsidRPr="00AD60C4" w:rsidRDefault="00D81DD5" w:rsidP="00A74752">
            <w:pPr>
              <w:pStyle w:val="Tabletext1"/>
              <w:rPr>
                <w:snapToGrid w:val="0"/>
              </w:rPr>
            </w:pPr>
            <w:r w:rsidRPr="00AD60C4">
              <w:t>Bonekamp et al. (2013)</w:t>
            </w:r>
          </w:p>
        </w:tc>
        <w:tc>
          <w:tcPr>
            <w:tcW w:w="636" w:type="pct"/>
            <w:shd w:val="clear" w:color="auto" w:fill="auto"/>
          </w:tcPr>
          <w:p w14:paraId="5C08B300" w14:textId="77777777" w:rsidR="00D81DD5" w:rsidRPr="00AD60C4" w:rsidRDefault="00D81DD5" w:rsidP="00A74752">
            <w:pPr>
              <w:pStyle w:val="Tabletext1"/>
              <w:rPr>
                <w:snapToGrid w:val="0"/>
              </w:rPr>
            </w:pPr>
            <w:r>
              <w:rPr>
                <w:snapToGrid w:val="0"/>
              </w:rPr>
              <w:t>50</w:t>
            </w:r>
          </w:p>
        </w:tc>
        <w:tc>
          <w:tcPr>
            <w:tcW w:w="825" w:type="pct"/>
            <w:shd w:val="clear" w:color="auto" w:fill="auto"/>
          </w:tcPr>
          <w:p w14:paraId="54C7E555"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13B5E205"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43ACA21F"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50D463F7" w14:textId="28EB8B47" w:rsidR="00D81DD5" w:rsidRPr="00AD60C4" w:rsidRDefault="004B5171" w:rsidP="00A74752">
            <w:pPr>
              <w:pStyle w:val="Tabletext1"/>
              <w:rPr>
                <w:snapToGrid w:val="0"/>
              </w:rPr>
            </w:pPr>
            <w:r>
              <w:rPr>
                <w:snapToGrid w:val="0"/>
              </w:rPr>
              <w:t>Not used,</w:t>
            </w:r>
            <w:r w:rsidR="00D81DD5">
              <w:rPr>
                <w:snapToGrid w:val="0"/>
              </w:rPr>
              <w:t xml:space="preserve"> other threshold </w:t>
            </w:r>
          </w:p>
        </w:tc>
      </w:tr>
      <w:tr w:rsidR="00D81DD5" w:rsidRPr="00AD60C4" w14:paraId="5A7FD62A" w14:textId="77777777" w:rsidTr="00E6732A">
        <w:trPr>
          <w:trHeight w:val="397"/>
        </w:trPr>
        <w:tc>
          <w:tcPr>
            <w:tcW w:w="830" w:type="pct"/>
            <w:shd w:val="clear" w:color="auto" w:fill="auto"/>
          </w:tcPr>
          <w:p w14:paraId="049EAE70" w14:textId="77777777" w:rsidR="00D81DD5" w:rsidRPr="00AD60C4" w:rsidRDefault="00D81DD5" w:rsidP="00A74752">
            <w:pPr>
              <w:pStyle w:val="Tabletext1"/>
              <w:rPr>
                <w:snapToGrid w:val="0"/>
              </w:rPr>
            </w:pPr>
            <w:r w:rsidRPr="00AD60C4">
              <w:t>de Cobelli et al. 2015</w:t>
            </w:r>
          </w:p>
        </w:tc>
        <w:tc>
          <w:tcPr>
            <w:tcW w:w="636" w:type="pct"/>
            <w:shd w:val="clear" w:color="auto" w:fill="auto"/>
          </w:tcPr>
          <w:p w14:paraId="5696B6A8" w14:textId="77777777" w:rsidR="00D81DD5" w:rsidRPr="00AD60C4" w:rsidRDefault="00D81DD5" w:rsidP="00A74752">
            <w:pPr>
              <w:pStyle w:val="Tabletext1"/>
              <w:rPr>
                <w:snapToGrid w:val="0"/>
              </w:rPr>
            </w:pPr>
            <w:r>
              <w:rPr>
                <w:snapToGrid w:val="0"/>
              </w:rPr>
              <w:t>223</w:t>
            </w:r>
          </w:p>
        </w:tc>
        <w:tc>
          <w:tcPr>
            <w:tcW w:w="825" w:type="pct"/>
            <w:shd w:val="clear" w:color="auto" w:fill="auto"/>
          </w:tcPr>
          <w:p w14:paraId="6EEA3F2B"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2B86434B" w14:textId="77777777" w:rsidR="00D81DD5" w:rsidRPr="00AD60C4" w:rsidRDefault="00D81DD5" w:rsidP="00A74752">
            <w:pPr>
              <w:pStyle w:val="Tabletext1"/>
              <w:rPr>
                <w:snapToGrid w:val="0"/>
              </w:rPr>
            </w:pPr>
            <w:r>
              <w:rPr>
                <w:snapToGrid w:val="0"/>
              </w:rPr>
              <w:t>Unclear</w:t>
            </w:r>
          </w:p>
        </w:tc>
        <w:tc>
          <w:tcPr>
            <w:tcW w:w="1066" w:type="pct"/>
            <w:shd w:val="clear" w:color="auto" w:fill="auto"/>
          </w:tcPr>
          <w:p w14:paraId="58D052A9"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4B0002FF" w14:textId="77777777" w:rsidR="00D81DD5" w:rsidRPr="00AD60C4" w:rsidRDefault="00D81DD5" w:rsidP="00A74752">
            <w:pPr>
              <w:pStyle w:val="Tabletext1"/>
              <w:rPr>
                <w:snapToGrid w:val="0"/>
              </w:rPr>
            </w:pPr>
            <w:r>
              <w:rPr>
                <w:snapToGrid w:val="0"/>
              </w:rPr>
              <w:t>Used</w:t>
            </w:r>
          </w:p>
        </w:tc>
      </w:tr>
      <w:tr w:rsidR="00D81DD5" w:rsidRPr="00AD60C4" w14:paraId="411886A8" w14:textId="77777777" w:rsidTr="00E6732A">
        <w:trPr>
          <w:trHeight w:val="397"/>
        </w:trPr>
        <w:tc>
          <w:tcPr>
            <w:tcW w:w="830" w:type="pct"/>
            <w:shd w:val="clear" w:color="auto" w:fill="auto"/>
          </w:tcPr>
          <w:p w14:paraId="7547E7D0" w14:textId="77777777" w:rsidR="00D81DD5" w:rsidRPr="00AD60C4" w:rsidRDefault="00D81DD5" w:rsidP="00A74752">
            <w:pPr>
              <w:pStyle w:val="Tabletext1"/>
              <w:rPr>
                <w:snapToGrid w:val="0"/>
              </w:rPr>
            </w:pPr>
            <w:r w:rsidRPr="00AD60C4">
              <w:t>Felker et al. (2016)</w:t>
            </w:r>
          </w:p>
        </w:tc>
        <w:tc>
          <w:tcPr>
            <w:tcW w:w="636" w:type="pct"/>
            <w:shd w:val="clear" w:color="auto" w:fill="auto"/>
          </w:tcPr>
          <w:p w14:paraId="62951F9B" w14:textId="77777777" w:rsidR="00D81DD5" w:rsidRPr="00AD60C4" w:rsidRDefault="00D81DD5" w:rsidP="00A74752">
            <w:pPr>
              <w:pStyle w:val="Tabletext1"/>
              <w:rPr>
                <w:snapToGrid w:val="0"/>
              </w:rPr>
            </w:pPr>
            <w:r>
              <w:rPr>
                <w:snapToGrid w:val="0"/>
              </w:rPr>
              <w:t>49</w:t>
            </w:r>
          </w:p>
        </w:tc>
        <w:tc>
          <w:tcPr>
            <w:tcW w:w="825" w:type="pct"/>
            <w:shd w:val="clear" w:color="auto" w:fill="auto"/>
          </w:tcPr>
          <w:p w14:paraId="0DEA5FB1"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7365CFBB"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23DF2F3F"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44245688" w14:textId="5DF2E63B" w:rsidR="00D81DD5" w:rsidRPr="00AD60C4" w:rsidRDefault="004B5171" w:rsidP="00A74752">
            <w:pPr>
              <w:pStyle w:val="Tabletext1"/>
              <w:rPr>
                <w:snapToGrid w:val="0"/>
              </w:rPr>
            </w:pPr>
            <w:r>
              <w:rPr>
                <w:snapToGrid w:val="0"/>
              </w:rPr>
              <w:t>Not used,</w:t>
            </w:r>
            <w:r w:rsidR="00D81DD5">
              <w:rPr>
                <w:snapToGrid w:val="0"/>
              </w:rPr>
              <w:t xml:space="preserve"> other threshold</w:t>
            </w:r>
          </w:p>
        </w:tc>
      </w:tr>
      <w:tr w:rsidR="00D81DD5" w:rsidRPr="00AD60C4" w14:paraId="4D622D76" w14:textId="77777777" w:rsidTr="00E6732A">
        <w:trPr>
          <w:trHeight w:val="397"/>
        </w:trPr>
        <w:tc>
          <w:tcPr>
            <w:tcW w:w="830" w:type="pct"/>
            <w:shd w:val="clear" w:color="auto" w:fill="auto"/>
          </w:tcPr>
          <w:p w14:paraId="64F2C068" w14:textId="77777777" w:rsidR="00D81DD5" w:rsidRPr="00AD60C4" w:rsidRDefault="00D81DD5" w:rsidP="00A74752">
            <w:pPr>
              <w:pStyle w:val="Tabletext1"/>
              <w:rPr>
                <w:snapToGrid w:val="0"/>
              </w:rPr>
            </w:pPr>
            <w:r w:rsidRPr="00AD60C4">
              <w:t>Flavell et al. (2014)</w:t>
            </w:r>
          </w:p>
        </w:tc>
        <w:tc>
          <w:tcPr>
            <w:tcW w:w="636" w:type="pct"/>
            <w:shd w:val="clear" w:color="auto" w:fill="auto"/>
          </w:tcPr>
          <w:p w14:paraId="4FCC4CC4" w14:textId="77777777" w:rsidR="00D81DD5" w:rsidRPr="00AD60C4" w:rsidRDefault="00D81DD5" w:rsidP="00A74752">
            <w:pPr>
              <w:pStyle w:val="Tabletext1"/>
              <w:rPr>
                <w:snapToGrid w:val="0"/>
              </w:rPr>
            </w:pPr>
            <w:r>
              <w:rPr>
                <w:snapToGrid w:val="0"/>
              </w:rPr>
              <w:t>64</w:t>
            </w:r>
          </w:p>
        </w:tc>
        <w:tc>
          <w:tcPr>
            <w:tcW w:w="825" w:type="pct"/>
            <w:shd w:val="clear" w:color="auto" w:fill="auto"/>
          </w:tcPr>
          <w:p w14:paraId="6BA9E620"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6FEE3B2E"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216140BC"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2AFD2ADD" w14:textId="77777777" w:rsidR="00D81DD5" w:rsidRPr="00AD60C4" w:rsidRDefault="00D81DD5" w:rsidP="00A74752">
            <w:pPr>
              <w:pStyle w:val="Tabletext1"/>
              <w:rPr>
                <w:snapToGrid w:val="0"/>
              </w:rPr>
            </w:pPr>
            <w:r>
              <w:rPr>
                <w:snapToGrid w:val="0"/>
              </w:rPr>
              <w:t>Used</w:t>
            </w:r>
          </w:p>
        </w:tc>
      </w:tr>
      <w:tr w:rsidR="00D81DD5" w:rsidRPr="00AD60C4" w14:paraId="2595AA07" w14:textId="77777777" w:rsidTr="00E6732A">
        <w:trPr>
          <w:trHeight w:val="397"/>
        </w:trPr>
        <w:tc>
          <w:tcPr>
            <w:tcW w:w="830" w:type="pct"/>
            <w:shd w:val="clear" w:color="auto" w:fill="auto"/>
          </w:tcPr>
          <w:p w14:paraId="4A76E527" w14:textId="77777777" w:rsidR="00D81DD5" w:rsidRPr="00AD60C4" w:rsidRDefault="00D81DD5" w:rsidP="00A74752">
            <w:pPr>
              <w:pStyle w:val="Tabletext1"/>
              <w:rPr>
                <w:snapToGrid w:val="0"/>
              </w:rPr>
            </w:pPr>
            <w:r w:rsidRPr="00AD60C4">
              <w:t>Margel et al. (2012)</w:t>
            </w:r>
          </w:p>
        </w:tc>
        <w:tc>
          <w:tcPr>
            <w:tcW w:w="636" w:type="pct"/>
            <w:shd w:val="clear" w:color="auto" w:fill="auto"/>
          </w:tcPr>
          <w:p w14:paraId="4E41E87A" w14:textId="77777777" w:rsidR="00D81DD5" w:rsidRPr="00AD60C4" w:rsidRDefault="00D81DD5" w:rsidP="00A74752">
            <w:pPr>
              <w:pStyle w:val="Tabletext1"/>
              <w:rPr>
                <w:snapToGrid w:val="0"/>
              </w:rPr>
            </w:pPr>
            <w:r>
              <w:rPr>
                <w:snapToGrid w:val="0"/>
              </w:rPr>
              <w:t>60</w:t>
            </w:r>
          </w:p>
        </w:tc>
        <w:tc>
          <w:tcPr>
            <w:tcW w:w="825" w:type="pct"/>
            <w:shd w:val="clear" w:color="auto" w:fill="auto"/>
          </w:tcPr>
          <w:p w14:paraId="51806BF5"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46BA7576"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7A391970"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7B91DB44" w14:textId="37F33791" w:rsidR="00D81DD5" w:rsidRPr="00AD60C4" w:rsidRDefault="004B5171" w:rsidP="00A74752">
            <w:pPr>
              <w:pStyle w:val="Tabletext1"/>
              <w:rPr>
                <w:snapToGrid w:val="0"/>
              </w:rPr>
            </w:pPr>
            <w:r>
              <w:rPr>
                <w:snapToGrid w:val="0"/>
              </w:rPr>
              <w:t>Not used,</w:t>
            </w:r>
            <w:r w:rsidR="00D81DD5">
              <w:rPr>
                <w:snapToGrid w:val="0"/>
              </w:rPr>
              <w:t xml:space="preserve"> other threshold</w:t>
            </w:r>
          </w:p>
        </w:tc>
      </w:tr>
      <w:tr w:rsidR="00D81DD5" w:rsidRPr="00AD60C4" w14:paraId="2BE6B4C9" w14:textId="77777777" w:rsidTr="00E6732A">
        <w:trPr>
          <w:trHeight w:val="397"/>
        </w:trPr>
        <w:tc>
          <w:tcPr>
            <w:tcW w:w="830" w:type="pct"/>
            <w:shd w:val="clear" w:color="auto" w:fill="auto"/>
          </w:tcPr>
          <w:p w14:paraId="79A89ECA" w14:textId="77777777" w:rsidR="00D81DD5" w:rsidRPr="00AD60C4" w:rsidRDefault="00D81DD5" w:rsidP="00A74752">
            <w:pPr>
              <w:pStyle w:val="Tabletext1"/>
              <w:rPr>
                <w:snapToGrid w:val="0"/>
              </w:rPr>
            </w:pPr>
            <w:r w:rsidRPr="00AD60C4">
              <w:t>Mullins et al. 2013</w:t>
            </w:r>
          </w:p>
        </w:tc>
        <w:tc>
          <w:tcPr>
            <w:tcW w:w="636" w:type="pct"/>
            <w:shd w:val="clear" w:color="auto" w:fill="auto"/>
          </w:tcPr>
          <w:p w14:paraId="54E099D4" w14:textId="77777777" w:rsidR="00D81DD5" w:rsidRPr="00AD60C4" w:rsidRDefault="00D81DD5" w:rsidP="00A74752">
            <w:pPr>
              <w:pStyle w:val="Tabletext1"/>
              <w:rPr>
                <w:snapToGrid w:val="0"/>
              </w:rPr>
            </w:pPr>
            <w:r>
              <w:rPr>
                <w:snapToGrid w:val="0"/>
              </w:rPr>
              <w:t>37</w:t>
            </w:r>
          </w:p>
        </w:tc>
        <w:tc>
          <w:tcPr>
            <w:tcW w:w="825" w:type="pct"/>
            <w:shd w:val="clear" w:color="auto" w:fill="auto"/>
          </w:tcPr>
          <w:p w14:paraId="477A29F7"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34A8BB4D"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48265941"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023AFC1E" w14:textId="22D4A6D3" w:rsidR="00D81DD5" w:rsidRPr="00AD60C4" w:rsidRDefault="004B5171" w:rsidP="00A74752">
            <w:pPr>
              <w:pStyle w:val="Tabletext1"/>
              <w:rPr>
                <w:snapToGrid w:val="0"/>
              </w:rPr>
            </w:pPr>
            <w:r w:rsidRPr="008A23B2">
              <w:rPr>
                <w:snapToGrid w:val="0"/>
              </w:rPr>
              <w:t>Not used</w:t>
            </w:r>
            <w:r>
              <w:rPr>
                <w:snapToGrid w:val="0"/>
              </w:rPr>
              <w:t xml:space="preserve">, </w:t>
            </w:r>
            <w:r w:rsidR="00D311ED">
              <w:rPr>
                <w:snapToGrid w:val="0"/>
              </w:rPr>
              <w:t>per-patient</w:t>
            </w:r>
            <w:r w:rsidR="00D81DD5">
              <w:rPr>
                <w:snapToGrid w:val="0"/>
              </w:rPr>
              <w:t xml:space="preserve"> data not available</w:t>
            </w:r>
          </w:p>
        </w:tc>
      </w:tr>
      <w:tr w:rsidR="00D81DD5" w:rsidRPr="00AD60C4" w14:paraId="06B581AF" w14:textId="77777777" w:rsidTr="00E6732A">
        <w:trPr>
          <w:trHeight w:val="397"/>
        </w:trPr>
        <w:tc>
          <w:tcPr>
            <w:tcW w:w="830" w:type="pct"/>
            <w:shd w:val="clear" w:color="auto" w:fill="auto"/>
          </w:tcPr>
          <w:p w14:paraId="4CB24B1A" w14:textId="77777777" w:rsidR="00D81DD5" w:rsidRPr="00AD60C4" w:rsidRDefault="00D81DD5" w:rsidP="00A74752">
            <w:pPr>
              <w:pStyle w:val="Tabletext1"/>
              <w:rPr>
                <w:snapToGrid w:val="0"/>
              </w:rPr>
            </w:pPr>
            <w:r w:rsidRPr="00AD60C4">
              <w:t>Porpiglia et al. (2015)</w:t>
            </w:r>
          </w:p>
        </w:tc>
        <w:tc>
          <w:tcPr>
            <w:tcW w:w="636" w:type="pct"/>
            <w:shd w:val="clear" w:color="auto" w:fill="auto"/>
          </w:tcPr>
          <w:p w14:paraId="6EF80B3F" w14:textId="77777777" w:rsidR="00D81DD5" w:rsidRPr="00AD60C4" w:rsidRDefault="00D81DD5" w:rsidP="00A74752">
            <w:pPr>
              <w:pStyle w:val="Tabletext1"/>
              <w:rPr>
                <w:snapToGrid w:val="0"/>
              </w:rPr>
            </w:pPr>
            <w:r>
              <w:rPr>
                <w:snapToGrid w:val="0"/>
              </w:rPr>
              <w:t>120</w:t>
            </w:r>
          </w:p>
        </w:tc>
        <w:tc>
          <w:tcPr>
            <w:tcW w:w="825" w:type="pct"/>
            <w:shd w:val="clear" w:color="auto" w:fill="auto"/>
          </w:tcPr>
          <w:p w14:paraId="3CD451D2"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3853A85A" w14:textId="77777777" w:rsidR="00D81DD5" w:rsidRPr="00AD60C4" w:rsidRDefault="00D81DD5" w:rsidP="00A74752">
            <w:pPr>
              <w:pStyle w:val="Tabletext1"/>
              <w:rPr>
                <w:snapToGrid w:val="0"/>
              </w:rPr>
            </w:pPr>
            <w:r>
              <w:rPr>
                <w:snapToGrid w:val="0"/>
              </w:rPr>
              <w:t>Unclear</w:t>
            </w:r>
          </w:p>
        </w:tc>
        <w:tc>
          <w:tcPr>
            <w:tcW w:w="1066" w:type="pct"/>
            <w:shd w:val="clear" w:color="auto" w:fill="auto"/>
          </w:tcPr>
          <w:p w14:paraId="7C6E4DF9"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2EB23C06" w14:textId="77777777" w:rsidR="00D81DD5" w:rsidRPr="00AD60C4" w:rsidRDefault="00D81DD5" w:rsidP="00A74752">
            <w:pPr>
              <w:pStyle w:val="Tabletext1"/>
              <w:rPr>
                <w:snapToGrid w:val="0"/>
              </w:rPr>
            </w:pPr>
            <w:r>
              <w:rPr>
                <w:snapToGrid w:val="0"/>
              </w:rPr>
              <w:t>Used</w:t>
            </w:r>
          </w:p>
        </w:tc>
      </w:tr>
      <w:tr w:rsidR="00D81DD5" w:rsidRPr="00AD60C4" w14:paraId="4CB7D4CC" w14:textId="77777777" w:rsidTr="00E6732A">
        <w:trPr>
          <w:trHeight w:val="397"/>
        </w:trPr>
        <w:tc>
          <w:tcPr>
            <w:tcW w:w="830" w:type="pct"/>
            <w:shd w:val="clear" w:color="auto" w:fill="auto"/>
          </w:tcPr>
          <w:p w14:paraId="7C3CBF55" w14:textId="77777777" w:rsidR="00D81DD5" w:rsidRPr="00AD60C4" w:rsidRDefault="00D81DD5" w:rsidP="00A74752">
            <w:pPr>
              <w:pStyle w:val="Tabletext1"/>
              <w:rPr>
                <w:snapToGrid w:val="0"/>
              </w:rPr>
            </w:pPr>
            <w:r w:rsidRPr="00AD60C4">
              <w:t>Rebcal et al. 2016)</w:t>
            </w:r>
          </w:p>
        </w:tc>
        <w:tc>
          <w:tcPr>
            <w:tcW w:w="636" w:type="pct"/>
            <w:shd w:val="clear" w:color="auto" w:fill="auto"/>
          </w:tcPr>
          <w:p w14:paraId="418518E3" w14:textId="77777777" w:rsidR="00D81DD5" w:rsidRPr="00AD60C4" w:rsidRDefault="00D81DD5" w:rsidP="00A74752">
            <w:pPr>
              <w:pStyle w:val="Tabletext1"/>
              <w:rPr>
                <w:snapToGrid w:val="0"/>
              </w:rPr>
            </w:pPr>
            <w:r>
              <w:rPr>
                <w:snapToGrid w:val="0"/>
              </w:rPr>
              <w:t>206</w:t>
            </w:r>
          </w:p>
        </w:tc>
        <w:tc>
          <w:tcPr>
            <w:tcW w:w="825" w:type="pct"/>
            <w:shd w:val="clear" w:color="auto" w:fill="auto"/>
          </w:tcPr>
          <w:p w14:paraId="2A18A3CB"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0E5068BC"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3DCE9A70"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3A077F9F" w14:textId="77777777" w:rsidR="00D81DD5" w:rsidRPr="00AD60C4" w:rsidRDefault="00D81DD5" w:rsidP="00A74752">
            <w:pPr>
              <w:pStyle w:val="Tabletext1"/>
              <w:rPr>
                <w:snapToGrid w:val="0"/>
              </w:rPr>
            </w:pPr>
            <w:r>
              <w:rPr>
                <w:snapToGrid w:val="0"/>
              </w:rPr>
              <w:t>Used</w:t>
            </w:r>
          </w:p>
        </w:tc>
      </w:tr>
      <w:tr w:rsidR="00D81DD5" w:rsidRPr="00AD60C4" w14:paraId="40D76379" w14:textId="77777777" w:rsidTr="00E6732A">
        <w:trPr>
          <w:trHeight w:val="397"/>
        </w:trPr>
        <w:tc>
          <w:tcPr>
            <w:tcW w:w="830" w:type="pct"/>
            <w:shd w:val="clear" w:color="auto" w:fill="auto"/>
          </w:tcPr>
          <w:p w14:paraId="436B6E60" w14:textId="77777777" w:rsidR="00D81DD5" w:rsidRPr="00AD60C4" w:rsidRDefault="00D81DD5" w:rsidP="00A74752">
            <w:pPr>
              <w:pStyle w:val="Tabletext1"/>
              <w:rPr>
                <w:snapToGrid w:val="0"/>
              </w:rPr>
            </w:pPr>
            <w:r w:rsidRPr="00AD60C4">
              <w:t>Sahibzada et al. 2016</w:t>
            </w:r>
          </w:p>
        </w:tc>
        <w:tc>
          <w:tcPr>
            <w:tcW w:w="636" w:type="pct"/>
            <w:shd w:val="clear" w:color="auto" w:fill="auto"/>
          </w:tcPr>
          <w:p w14:paraId="0B7631AB" w14:textId="77777777" w:rsidR="00D81DD5" w:rsidRPr="00AD60C4" w:rsidRDefault="00D81DD5" w:rsidP="00A74752">
            <w:pPr>
              <w:pStyle w:val="Tabletext1"/>
              <w:rPr>
                <w:snapToGrid w:val="0"/>
              </w:rPr>
            </w:pPr>
            <w:r>
              <w:rPr>
                <w:snapToGrid w:val="0"/>
              </w:rPr>
              <w:t>100</w:t>
            </w:r>
          </w:p>
        </w:tc>
        <w:tc>
          <w:tcPr>
            <w:tcW w:w="825" w:type="pct"/>
            <w:shd w:val="clear" w:color="auto" w:fill="auto"/>
          </w:tcPr>
          <w:p w14:paraId="505C29F6"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7AC2AF16" w14:textId="77777777" w:rsidR="00D81DD5" w:rsidRPr="00AD60C4" w:rsidRDefault="00D81DD5" w:rsidP="00A74752">
            <w:pPr>
              <w:pStyle w:val="Tabletext1"/>
              <w:rPr>
                <w:snapToGrid w:val="0"/>
              </w:rPr>
            </w:pPr>
            <w:r>
              <w:rPr>
                <w:snapToGrid w:val="0"/>
              </w:rPr>
              <w:t>Unclear</w:t>
            </w:r>
          </w:p>
        </w:tc>
        <w:tc>
          <w:tcPr>
            <w:tcW w:w="1066" w:type="pct"/>
            <w:shd w:val="clear" w:color="auto" w:fill="auto"/>
          </w:tcPr>
          <w:p w14:paraId="19C3CE57"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07CF9016" w14:textId="4506282C" w:rsidR="00D81DD5" w:rsidRPr="00AD60C4" w:rsidRDefault="004B5171" w:rsidP="00A74752">
            <w:pPr>
              <w:pStyle w:val="Tabletext1"/>
              <w:rPr>
                <w:snapToGrid w:val="0"/>
              </w:rPr>
            </w:pPr>
            <w:r w:rsidRPr="008A23B2">
              <w:rPr>
                <w:snapToGrid w:val="0"/>
              </w:rPr>
              <w:t>Not used</w:t>
            </w:r>
            <w:r>
              <w:rPr>
                <w:snapToGrid w:val="0"/>
              </w:rPr>
              <w:t xml:space="preserve">, </w:t>
            </w:r>
            <w:r w:rsidR="00D311ED">
              <w:rPr>
                <w:snapToGrid w:val="0"/>
              </w:rPr>
              <w:t>per-patient</w:t>
            </w:r>
            <w:r w:rsidR="00D81DD5">
              <w:rPr>
                <w:snapToGrid w:val="0"/>
              </w:rPr>
              <w:t xml:space="preserve"> data not available</w:t>
            </w:r>
          </w:p>
        </w:tc>
      </w:tr>
      <w:tr w:rsidR="00D81DD5" w:rsidRPr="00AD60C4" w14:paraId="5A7914B8" w14:textId="77777777" w:rsidTr="00E6732A">
        <w:trPr>
          <w:trHeight w:val="397"/>
        </w:trPr>
        <w:tc>
          <w:tcPr>
            <w:tcW w:w="830" w:type="pct"/>
            <w:shd w:val="clear" w:color="auto" w:fill="auto"/>
          </w:tcPr>
          <w:p w14:paraId="220FFDBD" w14:textId="77777777" w:rsidR="00D81DD5" w:rsidRPr="00AD60C4" w:rsidRDefault="00D81DD5" w:rsidP="00A74752">
            <w:pPr>
              <w:pStyle w:val="Tabletext1"/>
              <w:rPr>
                <w:snapToGrid w:val="0"/>
              </w:rPr>
            </w:pPr>
            <w:r w:rsidRPr="00AD60C4">
              <w:t>Siddiqui et al. 2015</w:t>
            </w:r>
          </w:p>
        </w:tc>
        <w:tc>
          <w:tcPr>
            <w:tcW w:w="636" w:type="pct"/>
            <w:shd w:val="clear" w:color="auto" w:fill="auto"/>
          </w:tcPr>
          <w:p w14:paraId="5A85FAE6" w14:textId="77777777" w:rsidR="00D81DD5" w:rsidRPr="00AD60C4" w:rsidRDefault="00D81DD5" w:rsidP="00A74752">
            <w:pPr>
              <w:pStyle w:val="Tabletext1"/>
              <w:rPr>
                <w:snapToGrid w:val="0"/>
              </w:rPr>
            </w:pPr>
            <w:r>
              <w:rPr>
                <w:snapToGrid w:val="0"/>
              </w:rPr>
              <w:t>60</w:t>
            </w:r>
          </w:p>
        </w:tc>
        <w:tc>
          <w:tcPr>
            <w:tcW w:w="825" w:type="pct"/>
            <w:shd w:val="clear" w:color="auto" w:fill="auto"/>
          </w:tcPr>
          <w:p w14:paraId="60F72F15"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05D61731" w14:textId="77777777" w:rsidR="00D81DD5" w:rsidRPr="00AD60C4" w:rsidRDefault="00D81DD5" w:rsidP="00A74752">
            <w:pPr>
              <w:pStyle w:val="Tabletext1"/>
              <w:rPr>
                <w:snapToGrid w:val="0"/>
              </w:rPr>
            </w:pPr>
            <w:r>
              <w:rPr>
                <w:snapToGrid w:val="0"/>
              </w:rPr>
              <w:t>Unclear</w:t>
            </w:r>
          </w:p>
        </w:tc>
        <w:tc>
          <w:tcPr>
            <w:tcW w:w="1066" w:type="pct"/>
            <w:shd w:val="clear" w:color="auto" w:fill="auto"/>
          </w:tcPr>
          <w:p w14:paraId="01446F1F" w14:textId="77777777" w:rsidR="00D81DD5" w:rsidRPr="00AD60C4" w:rsidRDefault="00D81DD5" w:rsidP="00A74752">
            <w:pPr>
              <w:pStyle w:val="Tabletext1"/>
              <w:rPr>
                <w:snapToGrid w:val="0"/>
              </w:rPr>
            </w:pPr>
          </w:p>
        </w:tc>
        <w:tc>
          <w:tcPr>
            <w:tcW w:w="910" w:type="pct"/>
            <w:shd w:val="clear" w:color="auto" w:fill="auto"/>
          </w:tcPr>
          <w:p w14:paraId="3967B435" w14:textId="6A5FF775" w:rsidR="00D81DD5" w:rsidRPr="00AD60C4" w:rsidRDefault="004B5171" w:rsidP="00A74752">
            <w:pPr>
              <w:pStyle w:val="Tabletext1"/>
              <w:rPr>
                <w:snapToGrid w:val="0"/>
              </w:rPr>
            </w:pPr>
            <w:r>
              <w:rPr>
                <w:snapToGrid w:val="0"/>
              </w:rPr>
              <w:t>Not used,</w:t>
            </w:r>
            <w:r w:rsidR="00D81DD5" w:rsidRPr="00AD60C4">
              <w:rPr>
                <w:snapToGrid w:val="0"/>
              </w:rPr>
              <w:t xml:space="preserve"> diagnostic accuracy data not extractable</w:t>
            </w:r>
          </w:p>
        </w:tc>
      </w:tr>
      <w:tr w:rsidR="00D81DD5" w:rsidRPr="00AD60C4" w14:paraId="768433CF" w14:textId="77777777" w:rsidTr="00E6732A">
        <w:trPr>
          <w:trHeight w:val="397"/>
        </w:trPr>
        <w:tc>
          <w:tcPr>
            <w:tcW w:w="830" w:type="pct"/>
            <w:shd w:val="clear" w:color="auto" w:fill="auto"/>
          </w:tcPr>
          <w:p w14:paraId="721CB660" w14:textId="77777777" w:rsidR="00D81DD5" w:rsidRPr="00AD60C4" w:rsidRDefault="00D81DD5" w:rsidP="00A74752">
            <w:pPr>
              <w:pStyle w:val="Tabletext1"/>
              <w:rPr>
                <w:snapToGrid w:val="0"/>
              </w:rPr>
            </w:pPr>
            <w:r w:rsidRPr="00AD60C4">
              <w:t>Stamatakis et al. (2013)</w:t>
            </w:r>
          </w:p>
        </w:tc>
        <w:tc>
          <w:tcPr>
            <w:tcW w:w="636" w:type="pct"/>
            <w:shd w:val="clear" w:color="auto" w:fill="auto"/>
          </w:tcPr>
          <w:p w14:paraId="528D716B" w14:textId="77777777" w:rsidR="00D81DD5" w:rsidRPr="00AD60C4" w:rsidRDefault="00D81DD5" w:rsidP="00A74752">
            <w:pPr>
              <w:pStyle w:val="Tabletext1"/>
              <w:rPr>
                <w:snapToGrid w:val="0"/>
              </w:rPr>
            </w:pPr>
            <w:r>
              <w:rPr>
                <w:snapToGrid w:val="0"/>
              </w:rPr>
              <w:t>85</w:t>
            </w:r>
          </w:p>
        </w:tc>
        <w:tc>
          <w:tcPr>
            <w:tcW w:w="825" w:type="pct"/>
            <w:shd w:val="clear" w:color="auto" w:fill="auto"/>
          </w:tcPr>
          <w:p w14:paraId="1744E91F"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49AFF62B"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7E83BA64"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1E928850" w14:textId="4A597CD3" w:rsidR="00D81DD5" w:rsidRPr="00AD60C4" w:rsidRDefault="004B5171" w:rsidP="00A74752">
            <w:pPr>
              <w:pStyle w:val="Tabletext1"/>
              <w:rPr>
                <w:snapToGrid w:val="0"/>
              </w:rPr>
            </w:pPr>
            <w:r>
              <w:rPr>
                <w:snapToGrid w:val="0"/>
              </w:rPr>
              <w:t>Not used,</w:t>
            </w:r>
            <w:r w:rsidR="00D81DD5">
              <w:rPr>
                <w:snapToGrid w:val="0"/>
              </w:rPr>
              <w:t xml:space="preserve"> other threshold</w:t>
            </w:r>
          </w:p>
        </w:tc>
      </w:tr>
      <w:tr w:rsidR="00D81DD5" w:rsidRPr="00AD60C4" w14:paraId="006F2C8E" w14:textId="77777777" w:rsidTr="00E6732A">
        <w:trPr>
          <w:trHeight w:val="397"/>
        </w:trPr>
        <w:tc>
          <w:tcPr>
            <w:tcW w:w="830" w:type="pct"/>
            <w:shd w:val="clear" w:color="auto" w:fill="auto"/>
          </w:tcPr>
          <w:p w14:paraId="48C488BB" w14:textId="77777777" w:rsidR="00D81DD5" w:rsidRPr="00AD60C4" w:rsidRDefault="00D81DD5" w:rsidP="00A74752">
            <w:pPr>
              <w:pStyle w:val="Tabletext1"/>
              <w:rPr>
                <w:snapToGrid w:val="0"/>
              </w:rPr>
            </w:pPr>
            <w:r w:rsidRPr="00AD60C4">
              <w:t>Vos et al. 2016</w:t>
            </w:r>
          </w:p>
        </w:tc>
        <w:tc>
          <w:tcPr>
            <w:tcW w:w="636" w:type="pct"/>
            <w:shd w:val="clear" w:color="auto" w:fill="auto"/>
          </w:tcPr>
          <w:p w14:paraId="36BE4394" w14:textId="77777777" w:rsidR="00D81DD5" w:rsidRPr="00AD60C4" w:rsidRDefault="00D81DD5" w:rsidP="00A74752">
            <w:pPr>
              <w:pStyle w:val="Tabletext1"/>
              <w:rPr>
                <w:snapToGrid w:val="0"/>
              </w:rPr>
            </w:pPr>
            <w:r>
              <w:rPr>
                <w:snapToGrid w:val="0"/>
              </w:rPr>
              <w:t>24</w:t>
            </w:r>
          </w:p>
        </w:tc>
        <w:tc>
          <w:tcPr>
            <w:tcW w:w="825" w:type="pct"/>
            <w:shd w:val="clear" w:color="auto" w:fill="auto"/>
          </w:tcPr>
          <w:p w14:paraId="3C334FD8"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178AEB76"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4777C71D"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591E74AE" w14:textId="7CED7F12" w:rsidR="00D81DD5" w:rsidRPr="00AD60C4" w:rsidRDefault="004B5171" w:rsidP="00A74752">
            <w:pPr>
              <w:pStyle w:val="Tabletext1"/>
              <w:rPr>
                <w:snapToGrid w:val="0"/>
              </w:rPr>
            </w:pPr>
            <w:r>
              <w:rPr>
                <w:snapToGrid w:val="0"/>
              </w:rPr>
              <w:t>Not used,</w:t>
            </w:r>
            <w:r w:rsidR="00D81DD5">
              <w:rPr>
                <w:snapToGrid w:val="0"/>
              </w:rPr>
              <w:t xml:space="preserve"> PI-RADS ≥ 3</w:t>
            </w:r>
          </w:p>
        </w:tc>
      </w:tr>
      <w:tr w:rsidR="00D81DD5" w:rsidRPr="00AD60C4" w14:paraId="59DB5124" w14:textId="77777777" w:rsidTr="00E6732A">
        <w:trPr>
          <w:trHeight w:val="397"/>
        </w:trPr>
        <w:tc>
          <w:tcPr>
            <w:tcW w:w="830" w:type="pct"/>
            <w:shd w:val="clear" w:color="auto" w:fill="auto"/>
          </w:tcPr>
          <w:p w14:paraId="440CE1EF" w14:textId="77777777" w:rsidR="00D81DD5" w:rsidRPr="00AD60C4" w:rsidRDefault="00D81DD5" w:rsidP="00A74752">
            <w:pPr>
              <w:pStyle w:val="Tabletext1"/>
              <w:rPr>
                <w:snapToGrid w:val="0"/>
              </w:rPr>
            </w:pPr>
            <w:r w:rsidRPr="00AD60C4">
              <w:t>Walton Diaz et al. (2015)</w:t>
            </w:r>
          </w:p>
        </w:tc>
        <w:tc>
          <w:tcPr>
            <w:tcW w:w="636" w:type="pct"/>
            <w:shd w:val="clear" w:color="auto" w:fill="auto"/>
          </w:tcPr>
          <w:p w14:paraId="3D4456F5" w14:textId="77777777" w:rsidR="00D81DD5" w:rsidRPr="00AD60C4" w:rsidRDefault="00D81DD5" w:rsidP="00A74752">
            <w:pPr>
              <w:pStyle w:val="Tabletext1"/>
              <w:rPr>
                <w:snapToGrid w:val="0"/>
              </w:rPr>
            </w:pPr>
            <w:r>
              <w:rPr>
                <w:snapToGrid w:val="0"/>
              </w:rPr>
              <w:t>58</w:t>
            </w:r>
          </w:p>
        </w:tc>
        <w:tc>
          <w:tcPr>
            <w:tcW w:w="825" w:type="pct"/>
            <w:shd w:val="clear" w:color="auto" w:fill="auto"/>
          </w:tcPr>
          <w:p w14:paraId="01C8BEBD"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0D4A01F3" w14:textId="77777777" w:rsidR="00D81DD5" w:rsidRPr="00AD60C4" w:rsidRDefault="00D81DD5" w:rsidP="00A74752">
            <w:pPr>
              <w:pStyle w:val="Tabletext1"/>
              <w:rPr>
                <w:snapToGrid w:val="0"/>
              </w:rPr>
            </w:pPr>
            <w:r>
              <w:rPr>
                <w:snapToGrid w:val="0"/>
              </w:rPr>
              <w:t>High</w:t>
            </w:r>
          </w:p>
        </w:tc>
        <w:tc>
          <w:tcPr>
            <w:tcW w:w="1066" w:type="pct"/>
            <w:shd w:val="clear" w:color="auto" w:fill="auto"/>
          </w:tcPr>
          <w:p w14:paraId="6B397DFA" w14:textId="77777777" w:rsidR="00D81DD5" w:rsidRPr="00AD60C4" w:rsidRDefault="00D81DD5" w:rsidP="00A74752">
            <w:pPr>
              <w:pStyle w:val="Tabletext1"/>
              <w:rPr>
                <w:snapToGrid w:val="0"/>
              </w:rPr>
            </w:pPr>
            <w:r>
              <w:rPr>
                <w:snapToGrid w:val="0"/>
              </w:rPr>
              <w:t>TP, TN, FP, FN</w:t>
            </w:r>
          </w:p>
        </w:tc>
        <w:tc>
          <w:tcPr>
            <w:tcW w:w="910" w:type="pct"/>
            <w:shd w:val="clear" w:color="auto" w:fill="auto"/>
          </w:tcPr>
          <w:p w14:paraId="17A2C138" w14:textId="0BB436FF" w:rsidR="00D81DD5" w:rsidRPr="00AD60C4" w:rsidRDefault="004B5171" w:rsidP="00A74752">
            <w:pPr>
              <w:pStyle w:val="Tabletext1"/>
              <w:rPr>
                <w:snapToGrid w:val="0"/>
              </w:rPr>
            </w:pPr>
            <w:r>
              <w:rPr>
                <w:snapToGrid w:val="0"/>
              </w:rPr>
              <w:t>Not used,</w:t>
            </w:r>
            <w:r w:rsidR="00D81DD5">
              <w:rPr>
                <w:snapToGrid w:val="0"/>
              </w:rPr>
              <w:t xml:space="preserve"> other threshold</w:t>
            </w:r>
          </w:p>
        </w:tc>
      </w:tr>
      <w:tr w:rsidR="00D81DD5" w:rsidRPr="00183E4D" w14:paraId="3E5DA591" w14:textId="77777777" w:rsidTr="00E6732A">
        <w:trPr>
          <w:trHeight w:val="397"/>
        </w:trPr>
        <w:tc>
          <w:tcPr>
            <w:tcW w:w="830" w:type="pct"/>
            <w:shd w:val="clear" w:color="auto" w:fill="auto"/>
          </w:tcPr>
          <w:p w14:paraId="4DC4BD13" w14:textId="77777777" w:rsidR="00D81DD5" w:rsidRPr="00AD60C4" w:rsidRDefault="00D81DD5" w:rsidP="00A74752">
            <w:pPr>
              <w:pStyle w:val="Tabletext1"/>
              <w:rPr>
                <w:snapToGrid w:val="0"/>
              </w:rPr>
            </w:pPr>
            <w:r w:rsidRPr="00AD60C4">
              <w:t>Wysock et al. (2016)</w:t>
            </w:r>
          </w:p>
        </w:tc>
        <w:tc>
          <w:tcPr>
            <w:tcW w:w="636" w:type="pct"/>
            <w:shd w:val="clear" w:color="auto" w:fill="auto"/>
          </w:tcPr>
          <w:p w14:paraId="0F966A6E" w14:textId="77777777" w:rsidR="00D81DD5" w:rsidRPr="00AD60C4" w:rsidRDefault="00D81DD5" w:rsidP="00A74752">
            <w:pPr>
              <w:pStyle w:val="Tabletext1"/>
              <w:rPr>
                <w:snapToGrid w:val="0"/>
              </w:rPr>
            </w:pPr>
            <w:r>
              <w:rPr>
                <w:snapToGrid w:val="0"/>
              </w:rPr>
              <w:t>21</w:t>
            </w:r>
          </w:p>
        </w:tc>
        <w:tc>
          <w:tcPr>
            <w:tcW w:w="825" w:type="pct"/>
            <w:shd w:val="clear" w:color="auto" w:fill="auto"/>
          </w:tcPr>
          <w:p w14:paraId="187DC05A" w14:textId="77777777" w:rsidR="00D81DD5" w:rsidRPr="00AD60C4" w:rsidRDefault="00D81DD5" w:rsidP="00A74752">
            <w:pPr>
              <w:pStyle w:val="Tabletext1"/>
              <w:rPr>
                <w:snapToGrid w:val="0"/>
              </w:rPr>
            </w:pPr>
            <w:r>
              <w:rPr>
                <w:snapToGrid w:val="0"/>
              </w:rPr>
              <w:t>III-2</w:t>
            </w:r>
          </w:p>
        </w:tc>
        <w:tc>
          <w:tcPr>
            <w:tcW w:w="733" w:type="pct"/>
            <w:shd w:val="clear" w:color="auto" w:fill="auto"/>
          </w:tcPr>
          <w:p w14:paraId="2B48EDA0" w14:textId="77777777" w:rsidR="00D81DD5" w:rsidRPr="00AD60C4" w:rsidRDefault="00D81DD5" w:rsidP="00A74752">
            <w:pPr>
              <w:pStyle w:val="Tabletext1"/>
              <w:rPr>
                <w:snapToGrid w:val="0"/>
              </w:rPr>
            </w:pPr>
            <w:r>
              <w:rPr>
                <w:snapToGrid w:val="0"/>
              </w:rPr>
              <w:t>Unclear</w:t>
            </w:r>
          </w:p>
        </w:tc>
        <w:tc>
          <w:tcPr>
            <w:tcW w:w="1066" w:type="pct"/>
            <w:shd w:val="clear" w:color="auto" w:fill="auto"/>
          </w:tcPr>
          <w:p w14:paraId="27D0DE0E" w14:textId="77777777" w:rsidR="00D81DD5" w:rsidRPr="00AD60C4" w:rsidRDefault="00D81DD5" w:rsidP="00A74752">
            <w:pPr>
              <w:pStyle w:val="Tabletext1"/>
              <w:rPr>
                <w:snapToGrid w:val="0"/>
              </w:rPr>
            </w:pPr>
            <w:r w:rsidRPr="00AD60C4">
              <w:rPr>
                <w:snapToGrid w:val="0"/>
              </w:rPr>
              <w:t>TN, FN</w:t>
            </w:r>
          </w:p>
        </w:tc>
        <w:tc>
          <w:tcPr>
            <w:tcW w:w="910" w:type="pct"/>
            <w:shd w:val="clear" w:color="auto" w:fill="auto"/>
          </w:tcPr>
          <w:p w14:paraId="12E38B24" w14:textId="4E7BAF3D" w:rsidR="00D81DD5" w:rsidRPr="00AD60C4" w:rsidRDefault="00D81DD5" w:rsidP="00A74752">
            <w:pPr>
              <w:pStyle w:val="Tabletext1"/>
              <w:rPr>
                <w:snapToGrid w:val="0"/>
              </w:rPr>
            </w:pPr>
            <w:r w:rsidRPr="00AD60C4">
              <w:rPr>
                <w:snapToGrid w:val="0"/>
              </w:rPr>
              <w:t>Not used</w:t>
            </w:r>
            <w:r w:rsidR="004B5171">
              <w:rPr>
                <w:snapToGrid w:val="0"/>
              </w:rPr>
              <w:t>,</w:t>
            </w:r>
            <w:r w:rsidRPr="00AD60C4">
              <w:rPr>
                <w:snapToGrid w:val="0"/>
              </w:rPr>
              <w:t xml:space="preserve"> bivariate data not available</w:t>
            </w:r>
          </w:p>
        </w:tc>
      </w:tr>
    </w:tbl>
    <w:p w14:paraId="562C1A54" w14:textId="003A1DCA" w:rsidR="00010A96" w:rsidRPr="000E3144" w:rsidRDefault="00D81DD5" w:rsidP="00AF5B72">
      <w:pPr>
        <w:pStyle w:val="Tablenotes0"/>
        <w:jc w:val="left"/>
        <w:rPr>
          <w:rStyle w:val="TablenotesChar0"/>
        </w:rPr>
      </w:pPr>
      <w:r w:rsidRPr="009E36B5">
        <w:rPr>
          <w:rStyle w:val="TablenotesChar0"/>
          <w:vertAlign w:val="superscript"/>
        </w:rPr>
        <w:t>a</w:t>
      </w:r>
      <w:r w:rsidR="00267381">
        <w:rPr>
          <w:rStyle w:val="TablenotesChar0"/>
        </w:rPr>
        <w:t>:</w:t>
      </w:r>
      <w:r>
        <w:rPr>
          <w:rStyle w:val="TablenotesChar0"/>
          <w:vertAlign w:val="superscript"/>
        </w:rPr>
        <w:t xml:space="preserve"> </w:t>
      </w:r>
      <w:r>
        <w:rPr>
          <w:rStyle w:val="TablenotesChar0"/>
        </w:rPr>
        <w:t xml:space="preserve">I=systematic review of level II studies; II=a study of test accuracy with an independent, blinded comparison with a valid reference standard, among consecutive patients with a defined clinical presentation;III-1=at study of test accuracy with an independent blinded </w:t>
      </w:r>
      <w:r w:rsidRPr="005903BD">
        <w:rPr>
          <w:rStyle w:val="TablenotesChar0"/>
        </w:rPr>
        <w:t>comparison with a valid reference standard, among non-consecutive persons with a defined clinical presentation</w:t>
      </w:r>
      <w:r w:rsidRPr="009E36B5">
        <w:rPr>
          <w:rStyle w:val="TablenotesChar0"/>
        </w:rPr>
        <w:t>;III-2=a comparison with reference standard that does not meet the criteria for level II and III-1 evidence</w:t>
      </w:r>
      <w:r w:rsidRPr="000E3144">
        <w:rPr>
          <w:rStyle w:val="TablenotesChar0"/>
        </w:rPr>
        <w:t>;III-3=diagnostic case-control study; IV=study of diagnostic yield (no reference standard)</w:t>
      </w:r>
      <w:r>
        <w:rPr>
          <w:rStyle w:val="TablenotesChar0"/>
        </w:rPr>
        <w:t xml:space="preserve">. </w:t>
      </w:r>
      <w:r w:rsidR="007F52CC">
        <w:rPr>
          <w:rStyle w:val="TablenotesChar0"/>
        </w:rPr>
        <w:br/>
      </w:r>
      <w:r>
        <w:rPr>
          <w:vertAlign w:val="superscript"/>
        </w:rPr>
        <w:t>b</w:t>
      </w:r>
      <w:r w:rsidR="00267381">
        <w:t>: I</w:t>
      </w:r>
      <w:r w:rsidRPr="008A23B2">
        <w:t>f any domain</w:t>
      </w:r>
      <w:r>
        <w:rPr>
          <w:rStyle w:val="TablenotesChar0"/>
        </w:rPr>
        <w:t xml:space="preserve"> in the QUADAS-II assessment of risk of bias was rated as high then the overall assessment was high. If no domain was judged to have a high risk of bias but any domain was rated unclear then the overall assessment was rated as unclear. An overall rating of low was only given to studies where every domain had a low risk of bias. The breakdown of risk of bias by domain is provided in Subsection B3.3.</w:t>
      </w:r>
      <w:r w:rsidRPr="00F35CAB">
        <w:rPr>
          <w:rStyle w:val="TablenotesChar0"/>
          <w:vertAlign w:val="superscript"/>
        </w:rPr>
        <w:t xml:space="preserve"> </w:t>
      </w:r>
      <w:r w:rsidR="007F52CC">
        <w:rPr>
          <w:rStyle w:val="TablenotesChar0"/>
          <w:vertAlign w:val="superscript"/>
        </w:rPr>
        <w:br/>
      </w:r>
      <w:r w:rsidRPr="00AD722C">
        <w:rPr>
          <w:snapToGrid/>
          <w:vertAlign w:val="superscript"/>
        </w:rPr>
        <w:t>c</w:t>
      </w:r>
      <w:r w:rsidR="00267381">
        <w:rPr>
          <w:rStyle w:val="TablenotesChar0"/>
        </w:rPr>
        <w:t>: O</w:t>
      </w:r>
      <w:r w:rsidRPr="008A23B2">
        <w:rPr>
          <w:rStyle w:val="TablenotesChar0"/>
        </w:rPr>
        <w:t>nly TP, TN, FP and FN data were extracted from the primary studies, where sensitivity and specificity data only were reported then this was used to calculate TP, TN, FP and FN data.</w:t>
      </w:r>
      <w:r w:rsidR="007F52CC">
        <w:rPr>
          <w:rStyle w:val="TablenotesChar0"/>
        </w:rPr>
        <w:br/>
      </w:r>
      <w:r w:rsidR="00704BC0">
        <w:rPr>
          <w:rStyle w:val="TablenotesChar0"/>
          <w:vertAlign w:val="superscript"/>
        </w:rPr>
        <w:t>d</w:t>
      </w:r>
      <w:r w:rsidR="00267381">
        <w:rPr>
          <w:rStyle w:val="TablenotesChar0"/>
        </w:rPr>
        <w:t xml:space="preserve">: </w:t>
      </w:r>
      <w:r w:rsidRPr="00267381">
        <w:rPr>
          <w:rStyle w:val="TablenotesChar0"/>
        </w:rPr>
        <w:t>Only</w:t>
      </w:r>
      <w:r>
        <w:rPr>
          <w:rStyle w:val="TablenotesChar0"/>
        </w:rPr>
        <w:t xml:space="preserve"> studies that reported bivariate diagno</w:t>
      </w:r>
      <w:r w:rsidR="00023843">
        <w:rPr>
          <w:rStyle w:val="TablenotesChar0"/>
        </w:rPr>
        <w:t xml:space="preserve">stic accuracy outcomes on a </w:t>
      </w:r>
      <w:r w:rsidR="00D311ED">
        <w:rPr>
          <w:rStyle w:val="TablenotesChar0"/>
        </w:rPr>
        <w:t>per-patient</w:t>
      </w:r>
      <w:r>
        <w:rPr>
          <w:rStyle w:val="TablenotesChar0"/>
        </w:rPr>
        <w:t xml:space="preserve"> basis that used a PI-RADS ≥ 4 threshold were included. Some studies used a ≥ 3 PI-RADS threshold, these are presented separately in Appendix </w:t>
      </w:r>
      <w:r w:rsidR="00A67E0F">
        <w:rPr>
          <w:rStyle w:val="TablenotesChar0"/>
        </w:rPr>
        <w:t>G</w:t>
      </w:r>
      <w:r>
        <w:rPr>
          <w:rStyle w:val="TablenotesChar0"/>
        </w:rPr>
        <w:t>. Other threshold refers to studies that did not report what threshold they used or that used a system other than PI-RADS to analyse the mpMRI images. These are also presented in A</w:t>
      </w:r>
      <w:r w:rsidR="00A67E0F">
        <w:rPr>
          <w:rStyle w:val="TablenotesChar0"/>
        </w:rPr>
        <w:t>ppendix G</w:t>
      </w:r>
      <w:r>
        <w:rPr>
          <w:rStyle w:val="TablenotesChar0"/>
        </w:rPr>
        <w:t>.</w:t>
      </w:r>
      <w:r w:rsidR="00AF5B72">
        <w:rPr>
          <w:rStyle w:val="TablenotesChar0"/>
        </w:rPr>
        <w:br/>
      </w:r>
      <w:r w:rsidR="00010A96">
        <w:rPr>
          <w:rStyle w:val="TablenotesChar0"/>
        </w:rPr>
        <w:t xml:space="preserve">TP = true positive, </w:t>
      </w:r>
      <w:r w:rsidR="001B1E7C">
        <w:rPr>
          <w:rStyle w:val="TablenotesChar0"/>
        </w:rPr>
        <w:t xml:space="preserve">FP = false positive, </w:t>
      </w:r>
      <w:r w:rsidR="00010A96">
        <w:rPr>
          <w:rStyle w:val="TablenotesChar0"/>
        </w:rPr>
        <w:t>TN = tru</w:t>
      </w:r>
      <w:r w:rsidR="001B1E7C">
        <w:rPr>
          <w:rStyle w:val="TablenotesChar0"/>
        </w:rPr>
        <w:t xml:space="preserve">e negative, </w:t>
      </w:r>
      <w:r w:rsidR="00010A96">
        <w:rPr>
          <w:rStyle w:val="TablenotesChar0"/>
        </w:rPr>
        <w:t xml:space="preserve"> FN = false negative</w:t>
      </w:r>
      <w:r w:rsidR="00267381" w:rsidRPr="00B771AF">
        <w:rPr>
          <w:rStyle w:val="TablenotesChar0"/>
        </w:rPr>
        <w:t xml:space="preserve">, PI-RADS = </w:t>
      </w:r>
      <w:r w:rsidR="00B771AF" w:rsidRPr="00B771AF">
        <w:t>Prostate</w:t>
      </w:r>
      <w:r w:rsidR="00B771AF" w:rsidRPr="000C2D22">
        <w:t xml:space="preserve"> Imaging Reporting and Data System</w:t>
      </w:r>
      <w:r w:rsidR="00B375F2">
        <w:rPr>
          <w:rStyle w:val="TablenotesChar0"/>
        </w:rPr>
        <w:t>.</w:t>
      </w:r>
    </w:p>
    <w:p w14:paraId="2DB22574" w14:textId="3E5C210F" w:rsidR="00D81DD5" w:rsidRPr="007A49EE" w:rsidRDefault="0034466C" w:rsidP="0034466C">
      <w:pPr>
        <w:pStyle w:val="Heading2"/>
      </w:pPr>
      <w:bookmarkStart w:id="351" w:name="_Toc460513937"/>
      <w:r>
        <w:lastRenderedPageBreak/>
        <w:t>B6.3</w:t>
      </w:r>
      <w:r w:rsidR="00755326">
        <w:tab/>
      </w:r>
      <w:r w:rsidR="00755326">
        <w:tab/>
      </w:r>
      <w:r w:rsidR="00D81DD5" w:rsidRPr="00183E4D">
        <w:t>Risk of Bias Assessment</w:t>
      </w:r>
      <w:r w:rsidR="001872F1">
        <w:t>: diagnostic accuracy (Population 2)</w:t>
      </w:r>
      <w:bookmarkEnd w:id="351"/>
    </w:p>
    <w:p w14:paraId="107710EE" w14:textId="43DB8614" w:rsidR="00A52420" w:rsidRDefault="00A52420" w:rsidP="00A52420">
      <w:r>
        <w:t xml:space="preserve">Risk of bias </w:t>
      </w:r>
      <w:r w:rsidRPr="00B66166">
        <w:t>of the identified diagnostic accuracy studies was determined using a modified version of the Q</w:t>
      </w:r>
      <w:r>
        <w:t>U</w:t>
      </w:r>
      <w:r w:rsidRPr="00B66166">
        <w:t>ADAS</w:t>
      </w:r>
      <w:r>
        <w:t>-2</w:t>
      </w:r>
      <w:r w:rsidRPr="00B66166">
        <w:t xml:space="preserve"> quality appraisal tool </w:t>
      </w:r>
      <w:r w:rsidR="008E0B00">
        <w:fldChar w:fldCharType="begin"/>
      </w:r>
      <w:r w:rsidR="008E0B00">
        <w:instrText xml:space="preserve"> ADDIN EN.CITE &lt;EndNote&gt;&lt;Cite&gt;&lt;Author&gt;Whiting&lt;/Author&gt;&lt;Year&gt;2011&lt;/Year&gt;&lt;RecNum&gt;67&lt;/RecNum&gt;&lt;DisplayText&gt;(Whiting et al. 2011)&lt;/DisplayText&gt;&lt;record&gt;&lt;rec-number&gt;67&lt;/rec-number&gt;&lt;foreign-keys&gt;&lt;key app="EN" db-id="2p9terxr22fx91epzebpfdwuzrwtw2a2ep2t" timestamp="1472684612"&gt;67&lt;/key&gt;&lt;/foreign-keys&gt;&lt;ref-type name="Journal Article"&gt;17&lt;/ref-type&gt;&lt;contributors&gt;&lt;authors&gt;&lt;author&gt;Whiting, P. F.&lt;/author&gt;&lt;author&gt;Rutjes, A. W.&lt;/author&gt;&lt;author&gt;Westwood, M. E.&lt;/author&gt;&lt;author&gt;Mallett, S.&lt;/author&gt;&lt;author&gt;Deeks, J. J.&lt;/author&gt;&lt;author&gt;Reitsma, J. B.&lt;/author&gt;&lt;author&gt;Leeflang, M. M.&lt;/author&gt;&lt;author&gt;Sterne, J. A.&lt;/author&gt;&lt;author&gt;Bossuyt, P. M.&lt;/author&gt;&lt;/authors&gt;&lt;/contributors&gt;&lt;auth-address&gt;University of Bristol, United Kingdom. penny.whiting@bristol.ac.uk&lt;/auth-address&gt;&lt;titles&gt;&lt;title&gt;QUADAS-2: a revised tool for the quality assessment of diagnostic accuracy studies&lt;/title&gt;&lt;secondary-title&gt;Ann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medicine&lt;/abbr-1&gt;&lt;/alt-periodical&gt;&lt;pages&gt;529-36&lt;/pages&gt;&lt;volume&gt;155&lt;/volume&gt;&lt;number&gt;8&lt;/number&gt;&lt;edition&gt;2011/10/19&lt;/edition&gt;&lt;keywords&gt;&lt;keyword&gt;Bias (Epidemiology)&lt;/keyword&gt;&lt;keyword&gt;*Diagnosis&lt;/keyword&gt;&lt;keyword&gt;Evidence-Based Medicine&lt;/keyword&gt;&lt;keyword&gt;Humans&lt;/keyword&gt;&lt;keyword&gt;Patient Selection&lt;/keyword&gt;&lt;keyword&gt;Quality Control&lt;/keyword&gt;&lt;keyword&gt;*Questionnaires&lt;/keyword&gt;&lt;keyword&gt;Reference Standards&lt;/keyword&gt;&lt;keyword&gt;*Review Literature as Topic&lt;/keyword&gt;&lt;keyword&gt;Time Factors&lt;/keyword&gt;&lt;/keywords&gt;&lt;dates&gt;&lt;year&gt;2011&lt;/year&gt;&lt;pub-dates&gt;&lt;date&gt;Oct 18&lt;/date&gt;&lt;/pub-dates&gt;&lt;/dates&gt;&lt;isbn&gt;0003-4819&lt;/isbn&gt;&lt;accession-num&gt;22007046&lt;/accession-num&gt;&lt;urls&gt;&lt;/urls&gt;&lt;electronic-resource-num&gt;10.7326/0003-4819-155-8-201110180-00009&lt;/electronic-resource-num&gt;&lt;remote-database-provider&gt;NLM&lt;/remote-database-provider&gt;&lt;language&gt;eng&lt;/language&gt;&lt;/record&gt;&lt;/Cite&gt;&lt;/EndNote&gt;</w:instrText>
      </w:r>
      <w:r w:rsidR="008E0B00">
        <w:fldChar w:fldCharType="separate"/>
      </w:r>
      <w:r w:rsidR="008E0B00">
        <w:rPr>
          <w:noProof/>
        </w:rPr>
        <w:t>(</w:t>
      </w:r>
      <w:hyperlink w:anchor="_ENREF_180" w:tooltip="Whiting, 2011 #67" w:history="1">
        <w:r w:rsidR="008E0B00">
          <w:rPr>
            <w:noProof/>
          </w:rPr>
          <w:t>Whiting et al. 2011</w:t>
        </w:r>
      </w:hyperlink>
      <w:r w:rsidR="008E0B00">
        <w:rPr>
          <w:noProof/>
        </w:rPr>
        <w:t>)</w:t>
      </w:r>
      <w:r w:rsidR="008E0B00">
        <w:fldChar w:fldCharType="end"/>
      </w:r>
      <w:r>
        <w:t>. The QUADAS-2 quality appraisal tool, with triggering questions and the criteria used to apply the tool is outlined in A</w:t>
      </w:r>
      <w:r w:rsidR="00676D0E">
        <w:t>ppendix F</w:t>
      </w:r>
      <w:r w:rsidR="0065496E">
        <w:t>,</w:t>
      </w:r>
      <w:r>
        <w:t xml:space="preserve"> while t</w:t>
      </w:r>
      <w:r w:rsidRPr="00B66166">
        <w:t>he results are summarised in</w:t>
      </w:r>
      <w:r>
        <w:t xml:space="preserve"> </w:t>
      </w:r>
      <w:r>
        <w:fldChar w:fldCharType="begin"/>
      </w:r>
      <w:r>
        <w:instrText xml:space="preserve"> REF _Ref456275957 \h </w:instrText>
      </w:r>
      <w:r>
        <w:fldChar w:fldCharType="separate"/>
      </w:r>
      <w:r w:rsidR="0029649D">
        <w:t xml:space="preserve">Table </w:t>
      </w:r>
      <w:r w:rsidR="0029649D">
        <w:rPr>
          <w:noProof/>
        </w:rPr>
        <w:t>85</w:t>
      </w:r>
      <w:r>
        <w:fldChar w:fldCharType="end"/>
      </w:r>
      <w:r w:rsidR="00113789">
        <w:t xml:space="preserve"> (Appendix F)</w:t>
      </w:r>
      <w:r>
        <w:t xml:space="preserve">. Quality appraisal was performed by one researcher and checked by a second. Any disagreement was resolved by consensus agreement with a third researcher. </w:t>
      </w:r>
    </w:p>
    <w:p w14:paraId="42D13FD8" w14:textId="70D8F63B" w:rsidR="00A52420" w:rsidRDefault="00A52420" w:rsidP="00A52420">
      <w:r>
        <w:t>Risk of bias was assessed in four domains: patient selection, index test, reference standard, and flow and timing. No stud</w:t>
      </w:r>
      <w:r w:rsidR="0065496E">
        <w:t>ies were</w:t>
      </w:r>
      <w:r>
        <w:t xml:space="preserve"> excluded due to an inappropriate risk of bias.</w:t>
      </w:r>
    </w:p>
    <w:p w14:paraId="708B22F3" w14:textId="020C7EEE" w:rsidR="00B87D1B" w:rsidRDefault="00B87D1B" w:rsidP="00B87D1B">
      <w:r>
        <w:t xml:space="preserve">In the ‘patient selection’ domain </w:t>
      </w:r>
      <w:r w:rsidR="00933F36">
        <w:t>five</w:t>
      </w:r>
      <w:r>
        <w:t xml:space="preserve"> studies were found to have a low risk of bias. </w:t>
      </w:r>
      <w:r w:rsidR="00933F36">
        <w:t>Eleven</w:t>
      </w:r>
      <w:r>
        <w:t xml:space="preserve"> studies were assessed to have an uncle</w:t>
      </w:r>
      <w:r w:rsidR="00933F36">
        <w:t xml:space="preserve">ar risk of bias </w:t>
      </w:r>
      <w:r>
        <w:t>due to a failure to report whether patient enrolment was</w:t>
      </w:r>
      <w:r w:rsidR="00933F36">
        <w:t xml:space="preserve"> consecutive</w:t>
      </w:r>
      <w:r w:rsidR="007A09D2">
        <w:t xml:space="preserve"> (</w:t>
      </w:r>
      <w:r w:rsidR="0065496E">
        <w:t>nine</w:t>
      </w:r>
      <w:r w:rsidR="007A09D2">
        <w:t xml:space="preserve"> studies) or a failure to adequately report inclusion and exclusion criteria (</w:t>
      </w:r>
      <w:r w:rsidR="0065496E">
        <w:t>two</w:t>
      </w:r>
      <w:r w:rsidR="007A09D2">
        <w:t xml:space="preserve"> studies)</w:t>
      </w:r>
      <w:r>
        <w:t>.</w:t>
      </w:r>
    </w:p>
    <w:p w14:paraId="24C8AA2F" w14:textId="6EE8A261" w:rsidR="00B87D1B" w:rsidRPr="00F7720E" w:rsidRDefault="00B87D1B" w:rsidP="00B87D1B">
      <w:r>
        <w:t xml:space="preserve">In the ‘index test’ domain </w:t>
      </w:r>
      <w:r w:rsidR="007A09D2">
        <w:t>nine</w:t>
      </w:r>
      <w:r>
        <w:t xml:space="preserve"> studies were found to have a low risk of bias. </w:t>
      </w:r>
      <w:r w:rsidR="007A09D2">
        <w:t>Three</w:t>
      </w:r>
      <w:r>
        <w:t xml:space="preserve"> studies</w:t>
      </w:r>
      <w:r w:rsidR="001D2307">
        <w:t xml:space="preserve"> </w:t>
      </w:r>
      <w:r w:rsidR="008E0B00">
        <w:fldChar w:fldCharType="begin">
          <w:fldData xml:space="preserve">PEVuZE5vdGU+PENpdGU+PEF1dGhvcj5GbGF2ZWxsPC9BdXRob3I+PFllYXI+MjAxNDwvWWVhcj48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aWNhbD48cGFnZXM+MzM1OS02NjwvcGFnZXM+PHZvbHVtZT4xMTk8L3ZvbHVtZT48bnVtYmVyPjE4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</w:fldData>
        </w:fldChar>
      </w:r>
      <w:r w:rsidR="008E0B00">
        <w:instrText xml:space="preserve"> ADDIN EN.CITE </w:instrText>
      </w:r>
      <w:r w:rsidR="008E0B00">
        <w:fldChar w:fldCharType="begin">
          <w:fldData xml:space="preserve">PEVuZE5vdGU+PENpdGU+PEF1dGhvcj5GbGF2ZWxsPC9BdXRob3I+PFllYXI+MjAxNDwvWWVhcj48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50" w:tooltip="Flavell, 2014 #88" w:history="1">
        <w:r w:rsidR="008E0B00">
          <w:rPr>
            <w:noProof/>
          </w:rPr>
          <w:t>Flavell et al. 2014</w:t>
        </w:r>
      </w:hyperlink>
      <w:r w:rsidR="008E0B00">
        <w:rPr>
          <w:noProof/>
        </w:rPr>
        <w:t xml:space="preserve">; </w:t>
      </w:r>
      <w:hyperlink w:anchor="_ENREF_98" w:tooltip="Mullins, 2013 #90" w:history="1">
        <w:r w:rsidR="008E0B00">
          <w:rPr>
            <w:noProof/>
          </w:rPr>
          <w:t>Mullins et al. 2013</w:t>
        </w:r>
      </w:hyperlink>
      <w:r w:rsidR="008E0B00">
        <w:rPr>
          <w:noProof/>
        </w:rPr>
        <w:t xml:space="preserve">; </w:t>
      </w:r>
      <w:hyperlink w:anchor="_ENREF_153" w:tooltip="Stamatakis, 2013 #95" w:history="1">
        <w:r w:rsidR="008E0B00">
          <w:rPr>
            <w:noProof/>
          </w:rPr>
          <w:t>Stamatakis et al. 2013</w:t>
        </w:r>
      </w:hyperlink>
      <w:r w:rsidR="008E0B00">
        <w:rPr>
          <w:noProof/>
        </w:rPr>
        <w:t>)</w:t>
      </w:r>
      <w:r w:rsidR="008E0B00">
        <w:fldChar w:fldCharType="end"/>
      </w:r>
      <w:r w:rsidR="001D2307">
        <w:t xml:space="preserve"> </w:t>
      </w:r>
      <w:r>
        <w:t xml:space="preserve">were judged to have a high risk of bias for failing to determine the threshold for a positive test </w:t>
      </w:r>
      <w:r w:rsidRPr="00E95C28">
        <w:rPr>
          <w:i/>
        </w:rPr>
        <w:t>a priori</w:t>
      </w:r>
      <w:r w:rsidRPr="009B781C">
        <w:rPr>
          <w:i/>
        </w:rPr>
        <w:t>.</w:t>
      </w:r>
      <w:r>
        <w:rPr>
          <w:i/>
        </w:rPr>
        <w:t xml:space="preserve"> </w:t>
      </w:r>
      <w:r w:rsidR="00EC3BD4">
        <w:t>Four</w:t>
      </w:r>
      <w:r w:rsidRPr="009B781C">
        <w:t xml:space="preserve"> studies were assessed to have an unclear risk of bias due to a failure to report whether the mpMRI results were interpreted without knowledge of the biopsy results (</w:t>
      </w:r>
      <w:r w:rsidR="0065496E">
        <w:t>three</w:t>
      </w:r>
      <w:r w:rsidRPr="009B781C">
        <w:t xml:space="preserve"> studies) and/or whether the threshold for a positive result was determined</w:t>
      </w:r>
      <w:r>
        <w:rPr>
          <w:i/>
        </w:rPr>
        <w:t xml:space="preserve"> </w:t>
      </w:r>
      <w:r w:rsidRPr="00E95C28">
        <w:rPr>
          <w:i/>
        </w:rPr>
        <w:t>a priori</w:t>
      </w:r>
      <w:r w:rsidR="00EC3BD4">
        <w:t xml:space="preserve"> (</w:t>
      </w:r>
      <w:r w:rsidR="0065496E">
        <w:t>two</w:t>
      </w:r>
      <w:r>
        <w:t xml:space="preserve"> studies)</w:t>
      </w:r>
      <w:r>
        <w:rPr>
          <w:i/>
        </w:rPr>
        <w:t xml:space="preserve">. </w:t>
      </w:r>
    </w:p>
    <w:p w14:paraId="413581C0" w14:textId="570FB7D3" w:rsidR="00B87D1B" w:rsidRDefault="00B87D1B" w:rsidP="00B87D1B">
      <w:r>
        <w:t>In the ‘r</w:t>
      </w:r>
      <w:r w:rsidRPr="00F7720E">
        <w:t>eference standard</w:t>
      </w:r>
      <w:r>
        <w:t>’</w:t>
      </w:r>
      <w:r w:rsidRPr="00F7720E">
        <w:t xml:space="preserve"> domain </w:t>
      </w:r>
      <w:r>
        <w:t xml:space="preserve">risk of bias was assessed to be low in </w:t>
      </w:r>
      <w:r w:rsidR="00D16DFB">
        <w:t>two</w:t>
      </w:r>
      <w:r>
        <w:t xml:space="preserve"> studies, high in </w:t>
      </w:r>
      <w:r w:rsidR="00D16DFB">
        <w:t>seven</w:t>
      </w:r>
      <w:r>
        <w:t xml:space="preserve"> studies due to a lack of blinding to the results of the index test and unclear in </w:t>
      </w:r>
      <w:r w:rsidR="00D16DFB">
        <w:t>seven</w:t>
      </w:r>
      <w:r>
        <w:t xml:space="preserve"> studies due to inexplicit reporting of whether the result</w:t>
      </w:r>
      <w:r w:rsidR="00CB70A7">
        <w:t>s</w:t>
      </w:r>
      <w:r>
        <w:t xml:space="preserve"> </w:t>
      </w:r>
      <w:r w:rsidR="00CB70A7">
        <w:t>of</w:t>
      </w:r>
      <w:r>
        <w:t xml:space="preserve"> the reference test were interpreted without knowledge of the index test. All studies used a reference standard that was likely to classify to the condition correctly; pathology from biopsy specimens was used in all studies.</w:t>
      </w:r>
    </w:p>
    <w:p w14:paraId="3CBF70D3" w14:textId="2994DE8C" w:rsidR="00B87D1B" w:rsidRPr="00F7720E" w:rsidRDefault="00B87D1B" w:rsidP="00B87D1B">
      <w:r>
        <w:t xml:space="preserve">In the ‘flow and timing’ domain </w:t>
      </w:r>
      <w:r w:rsidR="007E2B12">
        <w:t>one</w:t>
      </w:r>
      <w:r>
        <w:t xml:space="preserve"> stud</w:t>
      </w:r>
      <w:r w:rsidR="00DA3BCB">
        <w:t xml:space="preserve">y </w:t>
      </w:r>
      <w:r w:rsidR="008E0B00">
        <w:fldChar w:fldCharType="begin">
          <w:fldData xml:space="preserve">PEVuZE5vdGU+PENpdGU+PEF1dGhvcj5Qb3JwaWdsaWE8L0F1dGhvcj48WWVhcj4yMDE1PC9ZZWFy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</w:fldData>
        </w:fldChar>
      </w:r>
      <w:r w:rsidR="008E0B00">
        <w:instrText xml:space="preserve"> ADDIN EN.CITE </w:instrText>
      </w:r>
      <w:r w:rsidR="008E0B00">
        <w:fldChar w:fldCharType="begin">
          <w:fldData xml:space="preserve">PEVuZE5vdGU+PENpdGU+PEF1dGhvcj5Qb3JwaWdsaWE8L0F1dGhvcj48WWVhcj4yMDE1PC9ZZWFy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116" w:tooltip="Porpiglia, 2015 #91" w:history="1">
        <w:r w:rsidR="008E0B00">
          <w:rPr>
            <w:noProof/>
          </w:rPr>
          <w:t>Porpiglia et al. 2015</w:t>
        </w:r>
      </w:hyperlink>
      <w:r w:rsidR="008E0B00">
        <w:rPr>
          <w:noProof/>
        </w:rPr>
        <w:t>)</w:t>
      </w:r>
      <w:r w:rsidR="008E0B00">
        <w:fldChar w:fldCharType="end"/>
      </w:r>
      <w:r>
        <w:t xml:space="preserve"> </w:t>
      </w:r>
      <w:r w:rsidR="007E2B12">
        <w:t>was</w:t>
      </w:r>
      <w:r>
        <w:t xml:space="preserve"> assessed as having a low risk of bias. </w:t>
      </w:r>
      <w:r w:rsidR="007E2B12">
        <w:t>Six</w:t>
      </w:r>
      <w:r>
        <w:t xml:space="preserve"> studies were assessed to have a high risk. This was due to the reference standard being performed more than three months after the mpMRI images were obtained in some or all included patients</w:t>
      </w:r>
      <w:r w:rsidR="007E2B12">
        <w:t xml:space="preserve"> in four studies</w:t>
      </w:r>
      <w:r>
        <w:t xml:space="preserve">. In addition, </w:t>
      </w:r>
      <w:r w:rsidR="007E2B12">
        <w:t>Abd-Alazeez et al. (2014), Margel et al. (2012) and Vos et al. (20</w:t>
      </w:r>
      <w:r w:rsidR="00B01696">
        <w:t>1</w:t>
      </w:r>
      <w:r w:rsidR="007E2B12">
        <w:t xml:space="preserve">6) did not report results for all patients. </w:t>
      </w:r>
      <w:r w:rsidR="009C02BD">
        <w:t>Nine</w:t>
      </w:r>
      <w:r>
        <w:t xml:space="preserve"> studies did not report the timing of the reference standard in relation to the index test and were therefore judged to have an unclea</w:t>
      </w:r>
      <w:r w:rsidR="009C02BD">
        <w:t xml:space="preserve">r risk of bias in this domain. </w:t>
      </w:r>
    </w:p>
    <w:p w14:paraId="175832D6" w14:textId="5B10C75B" w:rsidR="00D81DD5" w:rsidRPr="00142882" w:rsidRDefault="00B87D1B" w:rsidP="00B87D1B">
      <w:r>
        <w:t xml:space="preserve">There was no applicability issue identified relating to patient selection in any of the included studies. </w:t>
      </w:r>
      <w:r w:rsidR="009343AD">
        <w:t>Nine</w:t>
      </w:r>
      <w:r>
        <w:t xml:space="preserve"> studies were assessed as having applicability issues relating to the index test</w:t>
      </w:r>
      <w:r w:rsidR="00CB70A7">
        <w:t>,</w:t>
      </w:r>
      <w:r>
        <w:t xml:space="preserve"> </w:t>
      </w:r>
      <w:r w:rsidR="001F7AF8">
        <w:t xml:space="preserve">of </w:t>
      </w:r>
      <w:r>
        <w:t xml:space="preserve">these </w:t>
      </w:r>
      <w:r w:rsidR="00CB70A7">
        <w:t xml:space="preserve">none </w:t>
      </w:r>
      <w:r w:rsidR="00655DB6">
        <w:t>used a PI-RADS ≥4</w:t>
      </w:r>
      <w:r>
        <w:t xml:space="preserve"> cut-off </w:t>
      </w:r>
      <w:r w:rsidR="00CB70A7">
        <w:t xml:space="preserve">as </w:t>
      </w:r>
      <w:r w:rsidR="00655DB6">
        <w:t>a</w:t>
      </w:r>
      <w:r>
        <w:t xml:space="preserve"> positive result. This applicability issue was judged to be serious as the threshold used in a diagnostic accuracy study will have a large impact on the sensitivity and </w:t>
      </w:r>
      <w:r>
        <w:lastRenderedPageBreak/>
        <w:t>specificity results. Due to this, studies with an applicability issue were not included in the meta-analysis of results; however</w:t>
      </w:r>
      <w:r w:rsidR="00CB70A7">
        <w:t>,</w:t>
      </w:r>
      <w:r>
        <w:t xml:space="preserve"> results from these studies are reported separately in Appendix </w:t>
      </w:r>
      <w:r w:rsidR="00A67E0F">
        <w:t>G</w:t>
      </w:r>
      <w:r>
        <w:t xml:space="preserve">. </w:t>
      </w:r>
      <w:r w:rsidR="009343AD">
        <w:t xml:space="preserve">Three studies were assessed to have a </w:t>
      </w:r>
      <w:r w:rsidR="00287043">
        <w:t>potential</w:t>
      </w:r>
      <w:r w:rsidR="009343AD">
        <w:t xml:space="preserve"> </w:t>
      </w:r>
      <w:r w:rsidR="00287043">
        <w:t>applicably issue with respect to the reference standard. Almeida et al. (2016), de Cobelli et al. (2015) and Porpiglia et al. (2015) used prostatectomy, rather than biopsy, as the re</w:t>
      </w:r>
      <w:r w:rsidR="00287043" w:rsidRPr="00142882">
        <w:t xml:space="preserve">ference standard. </w:t>
      </w:r>
      <w:r w:rsidR="00305C27" w:rsidRPr="00305C27">
        <w:t>T</w:t>
      </w:r>
      <w:r w:rsidR="00287043" w:rsidRPr="00305C27">
        <w:t xml:space="preserve">he impact of </w:t>
      </w:r>
      <w:r w:rsidR="00305C27" w:rsidRPr="00305C27">
        <w:t>the differing reference standards</w:t>
      </w:r>
      <w:r w:rsidR="00287043" w:rsidRPr="00305C27">
        <w:t xml:space="preserve"> was</w:t>
      </w:r>
      <w:r w:rsidR="00287043" w:rsidRPr="00142882">
        <w:t xml:space="preserve"> investigated using a subgroup</w:t>
      </w:r>
      <w:r w:rsidR="00086ED1">
        <w:t xml:space="preserve"> </w:t>
      </w:r>
      <w:r w:rsidR="00287043" w:rsidRPr="00142882">
        <w:t>analysis.</w:t>
      </w:r>
      <w:r w:rsidR="00CF2DC1" w:rsidRPr="00142882">
        <w:t xml:space="preserve"> </w:t>
      </w:r>
    </w:p>
    <w:p w14:paraId="1533AC9B" w14:textId="3E9B56EF" w:rsidR="00D81DD5" w:rsidRPr="00142882" w:rsidRDefault="0034466C" w:rsidP="00B771AF">
      <w:pPr>
        <w:pStyle w:val="Heading2"/>
        <w:ind w:left="1134" w:hanging="1134"/>
      </w:pPr>
      <w:bookmarkStart w:id="352" w:name="_Toc460513938"/>
      <w:r w:rsidRPr="00142882">
        <w:t>B6.4</w:t>
      </w:r>
      <w:r w:rsidRPr="00142882">
        <w:tab/>
      </w:r>
      <w:r w:rsidR="00D81DD5" w:rsidRPr="00142882">
        <w:t>Characteristics of the Evidence Base</w:t>
      </w:r>
      <w:r w:rsidR="00B40008">
        <w:t xml:space="preserve">: diagnostic accuracy </w:t>
      </w:r>
      <w:r w:rsidR="00B771AF">
        <w:br/>
      </w:r>
      <w:r w:rsidR="00B40008">
        <w:t>(Population 2)</w:t>
      </w:r>
      <w:bookmarkEnd w:id="352"/>
    </w:p>
    <w:p w14:paraId="7A71679C" w14:textId="173762E1" w:rsidR="00D81DD5" w:rsidRDefault="00D81DD5" w:rsidP="00D81DD5">
      <w:r w:rsidRPr="00142882">
        <w:t xml:space="preserve">Appendix C </w:t>
      </w:r>
      <w:r w:rsidR="001F7AF8">
        <w:t>c</w:t>
      </w:r>
      <w:r w:rsidR="009560FA" w:rsidRPr="00142882">
        <w:t xml:space="preserve">ontains tabulated details of the entire cohort of studies included in the evidence base for Population 2. </w:t>
      </w:r>
      <w:r w:rsidR="00A30EC5" w:rsidRPr="00142882">
        <w:t>Studies</w:t>
      </w:r>
      <w:r w:rsidR="00A30EC5">
        <w:t xml:space="preserve"> which did not have applicability issues with respect to patient selection and the index test are discussed in detail in this section of the </w:t>
      </w:r>
      <w:r w:rsidR="00113789">
        <w:t>report</w:t>
      </w:r>
      <w:r w:rsidR="00A30EC5">
        <w:t xml:space="preserve">. These </w:t>
      </w:r>
      <w:r w:rsidR="00CB70A7">
        <w:t xml:space="preserve">included </w:t>
      </w:r>
      <w:r w:rsidR="00A30EC5">
        <w:t>studies that inform</w:t>
      </w:r>
      <w:r w:rsidR="00CB70A7">
        <w:t>ed</w:t>
      </w:r>
      <w:r w:rsidR="00A30EC5">
        <w:t xml:space="preserve"> the estimates of sensitivity and specificity </w:t>
      </w:r>
      <w:r w:rsidR="006573E1">
        <w:t xml:space="preserve">for </w:t>
      </w:r>
      <w:r w:rsidR="00A30EC5">
        <w:t xml:space="preserve">the clinical utility and </w:t>
      </w:r>
      <w:r w:rsidR="00086ED1">
        <w:t>e</w:t>
      </w:r>
      <w:r w:rsidR="00A30EC5">
        <w:t>conomics sections of the Assessment. These studies are referred to as ‘key studies’</w:t>
      </w:r>
      <w:r w:rsidR="00A459C3">
        <w:t xml:space="preserve"> </w:t>
      </w:r>
      <w:r w:rsidR="008E0B00">
        <w:fldChar w:fldCharType="begin">
          <w:fldData xml:space="preserve">PEVuZE5vdGU+PENpdGU+PEF1dGhvcj5BYmQtQWxhemVlejwvQXV0aG9yPjxZZWFyPjIwMTQ8L1ll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MDEzOTY5NjwvcGFnZXM+PHZvbHVtZT4xMDwvdm9sdW1lPjxudW1iZXI+MTA8L251bWJlcj48ZWRp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</w:fldData>
        </w:fldChar>
      </w:r>
      <w:r w:rsidR="008E0B00">
        <w:instrText xml:space="preserve"> ADDIN EN.CITE </w:instrText>
      </w:r>
      <w:r w:rsidR="008E0B00">
        <w:fldChar w:fldCharType="begin">
          <w:fldData xml:space="preserve">PEVuZE5vdGU+PENpdGU+PEF1dGhvcj5BYmQtQWxhemVlejwvQXV0aG9yPjxZZWFyPjIwMTQ8L1ll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MDEzOTY5NjwvcGFnZXM+PHZvbHVtZT4xMDwvdm9sdW1lPjxudW1iZXI+MTA8L251bWJlcj48ZWRp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1" w:tooltip="Abd-Alazeez, 2014 #83" w:history="1">
        <w:r w:rsidR="008E0B00">
          <w:rPr>
            <w:noProof/>
          </w:rPr>
          <w:t>Abd-Alazeez et al. 2014a</w:t>
        </w:r>
      </w:hyperlink>
      <w:r w:rsidR="008E0B00">
        <w:rPr>
          <w:noProof/>
        </w:rPr>
        <w:t xml:space="preserve">; </w:t>
      </w:r>
      <w:hyperlink w:anchor="_ENREF_6" w:tooltip="Almeida, 2016 #84" w:history="1">
        <w:r w:rsidR="008E0B00">
          <w:rPr>
            <w:noProof/>
          </w:rPr>
          <w:t>Almeida et al. 2016</w:t>
        </w:r>
      </w:hyperlink>
      <w:r w:rsidR="008E0B00">
        <w:rPr>
          <w:noProof/>
        </w:rPr>
        <w:t xml:space="preserve">; </w:t>
      </w:r>
      <w:hyperlink w:anchor="_ENREF_34" w:tooltip="de Cobelli, 2015 #86" w:history="1">
        <w:r w:rsidR="008E0B00">
          <w:rPr>
            <w:noProof/>
          </w:rPr>
          <w:t>de Cobelli et al. 2015</w:t>
        </w:r>
      </w:hyperlink>
      <w:r w:rsidR="008E0B00">
        <w:rPr>
          <w:noProof/>
        </w:rPr>
        <w:t xml:space="preserve">; </w:t>
      </w:r>
      <w:hyperlink w:anchor="_ENREF_50" w:tooltip="Flavell, 2014 #88" w:history="1">
        <w:r w:rsidR="008E0B00">
          <w:rPr>
            <w:noProof/>
          </w:rPr>
          <w:t>Flavell et al. 2014</w:t>
        </w:r>
      </w:hyperlink>
      <w:r w:rsidR="008E0B00">
        <w:rPr>
          <w:noProof/>
        </w:rPr>
        <w:t xml:space="preserve">; </w:t>
      </w:r>
      <w:hyperlink w:anchor="_ENREF_116" w:tooltip="Porpiglia, 2015 #91" w:history="1">
        <w:r w:rsidR="008E0B00">
          <w:rPr>
            <w:noProof/>
          </w:rPr>
          <w:t>Porpiglia et al. 2015</w:t>
        </w:r>
      </w:hyperlink>
      <w:r w:rsidR="008E0B00">
        <w:rPr>
          <w:noProof/>
        </w:rPr>
        <w:t xml:space="preserve">; </w:t>
      </w:r>
      <w:hyperlink w:anchor="_ENREF_122" w:tooltip="Recabal, 2016 #92" w:history="1">
        <w:r w:rsidR="008E0B00">
          <w:rPr>
            <w:noProof/>
          </w:rPr>
          <w:t>Recabal et al. 2016</w:t>
        </w:r>
      </w:hyperlink>
      <w:r w:rsidR="008E0B00">
        <w:rPr>
          <w:noProof/>
        </w:rPr>
        <w:t>)</w:t>
      </w:r>
      <w:r w:rsidR="008E0B00">
        <w:fldChar w:fldCharType="end"/>
      </w:r>
      <w:r w:rsidR="00A30EC5">
        <w:t>.</w:t>
      </w:r>
    </w:p>
    <w:p w14:paraId="6BA0B971" w14:textId="4267AB58" w:rsidR="00A30EC5" w:rsidRDefault="00A30EC5" w:rsidP="00D81DD5">
      <w:r>
        <w:t xml:space="preserve">Selected characteristics of the key studies for Population 2 are presented in </w:t>
      </w:r>
      <w:r w:rsidR="00560A40">
        <w:fldChar w:fldCharType="begin"/>
      </w:r>
      <w:r w:rsidR="00560A40">
        <w:instrText xml:space="preserve"> REF _Ref456336741 \h </w:instrText>
      </w:r>
      <w:r w:rsidR="00560A40">
        <w:fldChar w:fldCharType="separate"/>
      </w:r>
      <w:r w:rsidR="0029649D">
        <w:t xml:space="preserve">Table </w:t>
      </w:r>
      <w:r w:rsidR="0029649D">
        <w:rPr>
          <w:noProof/>
        </w:rPr>
        <w:t>31</w:t>
      </w:r>
      <w:r w:rsidR="00560A40">
        <w:fldChar w:fldCharType="end"/>
      </w:r>
      <w:r w:rsidR="00560A40">
        <w:t>.</w:t>
      </w:r>
    </w:p>
    <w:p w14:paraId="0FF701F0" w14:textId="5614B7E1" w:rsidR="00560A40" w:rsidRDefault="00086ED1" w:rsidP="00D81DD5">
      <w:r>
        <w:t>S</w:t>
      </w:r>
      <w:r w:rsidR="00560A40">
        <w:t>tudies that included patients on</w:t>
      </w:r>
      <w:r>
        <w:t xml:space="preserve"> </w:t>
      </w:r>
      <w:r w:rsidR="00560A40">
        <w:t>AS programs were included. Studies where all patients were eligible for AS</w:t>
      </w:r>
      <w:r w:rsidR="00EA7544">
        <w:t xml:space="preserve"> but elected to have prostatectomy were also included.</w:t>
      </w:r>
    </w:p>
    <w:p w14:paraId="12121E98" w14:textId="304AD30F" w:rsidR="00981758" w:rsidRDefault="00EA7544" w:rsidP="00D81DD5">
      <w:r>
        <w:t xml:space="preserve">All included patients </w:t>
      </w:r>
      <w:r w:rsidR="008149DB">
        <w:t xml:space="preserve">had tumours with </w:t>
      </w:r>
      <w:r>
        <w:t>a Gleason</w:t>
      </w:r>
      <w:r w:rsidR="008149DB">
        <w:t xml:space="preserve"> score</w:t>
      </w:r>
      <w:r>
        <w:t xml:space="preserve"> </w:t>
      </w:r>
      <w:r w:rsidR="001F7AF8">
        <w:t>less than or equal to six</w:t>
      </w:r>
      <w:r>
        <w:t>.</w:t>
      </w:r>
      <w:r w:rsidR="00EA34DA">
        <w:t xml:space="preserve"> Mean patient age in the key studies ranged from 59</w:t>
      </w:r>
      <w:r w:rsidR="001F7AF8">
        <w:t xml:space="preserve"> to </w:t>
      </w:r>
      <w:r w:rsidR="00EA34DA">
        <w:t>63 years, while median age ranged from 60</w:t>
      </w:r>
      <w:r w:rsidR="001F7AF8">
        <w:t xml:space="preserve"> to </w:t>
      </w:r>
      <w:r w:rsidR="00EA34DA">
        <w:t>66 years. This is consistent with data from the Victorian Prostate Cancer Registry which reported a median age of 66 years for patients enrolled in AS.</w:t>
      </w:r>
      <w:r>
        <w:t xml:space="preserve"> Mean PSA ranged from 4.8</w:t>
      </w:r>
      <w:r w:rsidR="001F7AF8">
        <w:t xml:space="preserve"> to </w:t>
      </w:r>
      <w:r>
        <w:t>6.5ng/ml while median PSA ranged from 4.8</w:t>
      </w:r>
      <w:r w:rsidR="001F7AF8">
        <w:t xml:space="preserve"> to </w:t>
      </w:r>
      <w:r>
        <w:t xml:space="preserve">5.4ng/ml. This is in line with data from the Victorian </w:t>
      </w:r>
      <w:r w:rsidR="001327C8">
        <w:t>Prostate Cancer</w:t>
      </w:r>
      <w:r>
        <w:t xml:space="preserve"> registry that reported 100</w:t>
      </w:r>
      <w:r w:rsidR="004B6E15">
        <w:t xml:space="preserve"> per cent</w:t>
      </w:r>
      <w:r>
        <w:t xml:space="preserve"> of men with low risk disease and 54</w:t>
      </w:r>
      <w:r w:rsidR="004B6E15">
        <w:t xml:space="preserve"> per cent </w:t>
      </w:r>
      <w:r>
        <w:t xml:space="preserve">of men with intermediate risk disease enrolled in AS had a PSA </w:t>
      </w:r>
      <w:r w:rsidR="00277FA2">
        <w:t xml:space="preserve">less than </w:t>
      </w:r>
      <w:r>
        <w:t>10ng/ml</w:t>
      </w:r>
      <w:r w:rsidR="0005426D">
        <w:t xml:space="preserve"> </w:t>
      </w:r>
      <w:r w:rsidR="008E0B00">
        <w:fldChar w:fldCharType="begin"/>
      </w:r>
      <w:r w:rsidR="008E0B00">
        <w:instrText xml:space="preserve"> ADDIN EN.CITE &lt;EndNote&gt;&lt;Cite&gt;&lt;Author&gt;Committee&lt;/Author&gt;&lt;Year&gt;2015&lt;/Year&gt;&lt;RecNum&gt;98&lt;/RecNum&gt;&lt;DisplayText&gt;(Victorian Prostate Cancer Clinical Registry Steering Committee 2015)&lt;/DisplayText&gt;&lt;record&gt;&lt;rec-number&gt;98&lt;/rec-number&gt;&lt;foreign-keys&gt;&lt;key app="EN" db-id="2p9terxr22fx91epzebpfdwuzrwtw2a2ep2t" timestamp="1472684622"&gt;98&lt;/key&gt;&lt;/foreign-keys&gt;&lt;ref-type name="Report"&gt;27&lt;/ref-type&gt;&lt;contributors&gt;&lt;authors&gt;&lt;author&gt;Victorian Prostate Cancer Clinical Registry Steering Committee,&lt;/author&gt;&lt;/authors&gt;&lt;secondary-authors&gt;&lt;author&gt;Sampurno F; Evans SM&lt;/author&gt;&lt;/secondary-authors&gt;&lt;/contributors&gt;&lt;titles&gt;&lt;title&gt;Five year report, Victorian prostate cancer clinical registry&lt;/title&gt;&lt;/titles&gt;&lt;dates&gt;&lt;year&gt;2015&lt;/year&gt;&lt;/dates&gt;&lt;urls&gt;&lt;/urls&gt;&lt;access-date&gt;1 September 2016&lt;/access-date&gt;&lt;/record&gt;&lt;/Cite&gt;&lt;/EndNote&gt;</w:instrText>
      </w:r>
      <w:r w:rsidR="008E0B00">
        <w:fldChar w:fldCharType="separate"/>
      </w:r>
      <w:r w:rsidR="008E0B00">
        <w:rPr>
          <w:noProof/>
        </w:rPr>
        <w:t>(</w:t>
      </w:r>
      <w:hyperlink w:anchor="_ENREF_170" w:tooltip="Victorian Prostate Cancer Clinical Registry Steering Committee, 2015 #98" w:history="1">
        <w:r w:rsidR="008E0B00">
          <w:rPr>
            <w:noProof/>
          </w:rPr>
          <w:t>Victorian Prostate Cancer Clinical Registry Steering Committee 2015</w:t>
        </w:r>
      </w:hyperlink>
      <w:r w:rsidR="008E0B00">
        <w:rPr>
          <w:noProof/>
        </w:rPr>
        <w:t>)</w:t>
      </w:r>
      <w:r w:rsidR="008E0B00">
        <w:fldChar w:fldCharType="end"/>
      </w:r>
      <w:r>
        <w:t>.</w:t>
      </w:r>
      <w:r w:rsidR="003833C7">
        <w:t xml:space="preserve"> Overall the included population of the key studies was judged to be consistent with the proposed population (Population 2) in the Protocol.</w:t>
      </w:r>
    </w:p>
    <w:p w14:paraId="5C2C6EDB" w14:textId="5D79BA52" w:rsidR="009950E2" w:rsidRDefault="009950E2" w:rsidP="00D81DD5">
      <w:r>
        <w:t xml:space="preserve">The included studies used 1.5 </w:t>
      </w:r>
      <w:r w:rsidR="00A957CD">
        <w:t xml:space="preserve">or 3.0T MRI, consistent with current clinical practice in Australia. All of the studies bar Flavell et al. (2014) performed T2, DW and DCE imaging. Flavell et al. (2014) did not obtained DCE images. </w:t>
      </w:r>
      <w:r w:rsidR="00253E75">
        <w:t xml:space="preserve">Three of the studies used prostatectomy as the </w:t>
      </w:r>
      <w:r w:rsidR="00E2269C">
        <w:t>reference</w:t>
      </w:r>
      <w:r w:rsidR="00253E75">
        <w:t xml:space="preserve"> standard</w:t>
      </w:r>
      <w:r w:rsidR="004C4AAB">
        <w:t xml:space="preserve"> while three studies used TRUSGB with cognitive-MRI target</w:t>
      </w:r>
      <w:r w:rsidR="001F7AF8">
        <w:t>ed</w:t>
      </w:r>
      <w:r w:rsidR="004C4AAB">
        <w:t xml:space="preserve"> cores. Due to the imperfect nature of biopsy as a reference standard, subgroup analysis by type of reference was performed to assess whether this had any impact on the estimates of the sensitivity and specificity of mpMRI. </w:t>
      </w:r>
    </w:p>
    <w:p w14:paraId="2FA5A5E5" w14:textId="4BC86870" w:rsidR="00A30EC5" w:rsidRDefault="0021757E" w:rsidP="00466B3D">
      <w:pPr>
        <w:pStyle w:val="Caption"/>
      </w:pPr>
      <w:bookmarkStart w:id="353" w:name="_Ref456336741"/>
      <w:bookmarkStart w:id="354" w:name="_Toc460514531"/>
      <w:r>
        <w:lastRenderedPageBreak/>
        <w:t xml:space="preserve">Table </w:t>
      </w:r>
      <w:fldSimple w:instr=" SEQ Table \* ARABIC ">
        <w:r w:rsidR="0029649D">
          <w:rPr>
            <w:noProof/>
          </w:rPr>
          <w:t>31</w:t>
        </w:r>
      </w:fldSimple>
      <w:bookmarkEnd w:id="353"/>
      <w:r>
        <w:tab/>
        <w:t>Selected characteristics of the key diagnostic accuracy studies for</w:t>
      </w:r>
      <w:r w:rsidR="00560A40">
        <w:t xml:space="preserve"> </w:t>
      </w:r>
      <w:r>
        <w:t>Population 2</w:t>
      </w:r>
      <w:bookmarkEnd w:id="354"/>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4 Key features of the included evidence comparing intervention with comparator"/>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917"/>
        <w:gridCol w:w="1651"/>
        <w:gridCol w:w="1980"/>
        <w:gridCol w:w="1780"/>
        <w:gridCol w:w="1784"/>
      </w:tblGrid>
      <w:tr w:rsidR="00DF2562" w:rsidRPr="00A865DD" w14:paraId="4DF430E8" w14:textId="77777777" w:rsidTr="00A865DD">
        <w:trPr>
          <w:cantSplit/>
          <w:trHeight w:val="397"/>
          <w:tblHeader/>
        </w:trPr>
        <w:tc>
          <w:tcPr>
            <w:tcW w:w="1917" w:type="dxa"/>
            <w:shd w:val="clear" w:color="auto" w:fill="auto"/>
          </w:tcPr>
          <w:p w14:paraId="00DA0FF9" w14:textId="77777777" w:rsidR="0021757E" w:rsidRPr="00A865DD" w:rsidRDefault="0021757E" w:rsidP="00FD43B9">
            <w:pPr>
              <w:pStyle w:val="Tableheading1"/>
            </w:pPr>
            <w:r w:rsidRPr="00A865DD">
              <w:t>Trial/Study</w:t>
            </w:r>
          </w:p>
          <w:p w14:paraId="48A36566" w14:textId="77777777" w:rsidR="0021757E" w:rsidRPr="00A865DD" w:rsidRDefault="0021757E" w:rsidP="00FD43B9">
            <w:pPr>
              <w:pStyle w:val="Tableheading1"/>
            </w:pPr>
            <w:r w:rsidRPr="00A865DD">
              <w:t>Country</w:t>
            </w:r>
          </w:p>
          <w:p w14:paraId="3F75DEC3" w14:textId="77777777" w:rsidR="0021757E" w:rsidRPr="00A865DD" w:rsidRDefault="0021757E" w:rsidP="00FD43B9">
            <w:pPr>
              <w:pStyle w:val="Tableheading1"/>
            </w:pPr>
            <w:r w:rsidRPr="00A865DD">
              <w:t>Prospective or retrospective?</w:t>
            </w:r>
          </w:p>
        </w:tc>
        <w:tc>
          <w:tcPr>
            <w:tcW w:w="1651" w:type="dxa"/>
            <w:shd w:val="clear" w:color="auto" w:fill="auto"/>
          </w:tcPr>
          <w:p w14:paraId="27EFA294" w14:textId="77777777" w:rsidR="0021757E" w:rsidRPr="00A865DD" w:rsidRDefault="0021757E" w:rsidP="00FD43B9">
            <w:pPr>
              <w:pStyle w:val="Tableheading1"/>
            </w:pPr>
            <w:r w:rsidRPr="00A865DD">
              <w:t>Number of patients</w:t>
            </w:r>
          </w:p>
          <w:p w14:paraId="2F3CC309" w14:textId="77777777" w:rsidR="0021757E" w:rsidRPr="00A865DD" w:rsidRDefault="0021757E" w:rsidP="00FD43B9">
            <w:pPr>
              <w:pStyle w:val="Tableheading1"/>
            </w:pPr>
            <w:r w:rsidRPr="00A865DD">
              <w:t>Age (years)</w:t>
            </w:r>
          </w:p>
        </w:tc>
        <w:tc>
          <w:tcPr>
            <w:tcW w:w="0" w:type="auto"/>
            <w:shd w:val="clear" w:color="auto" w:fill="auto"/>
          </w:tcPr>
          <w:p w14:paraId="4912FDBF" w14:textId="77777777" w:rsidR="0021757E" w:rsidRPr="00A865DD" w:rsidRDefault="007D0EC1" w:rsidP="00FD43B9">
            <w:pPr>
              <w:pStyle w:val="Tableheading1"/>
            </w:pPr>
            <w:r w:rsidRPr="00A865DD">
              <w:t>Gleason score</w:t>
            </w:r>
          </w:p>
          <w:p w14:paraId="789D5B2E" w14:textId="77777777" w:rsidR="0021757E" w:rsidRPr="00A865DD" w:rsidRDefault="0021757E" w:rsidP="00FD43B9">
            <w:pPr>
              <w:pStyle w:val="Tableheading1"/>
            </w:pPr>
            <w:r w:rsidRPr="00A865DD">
              <w:t>PSA level (ng/ml)</w:t>
            </w:r>
          </w:p>
          <w:p w14:paraId="47BFE8E6" w14:textId="77777777" w:rsidR="0021757E" w:rsidRPr="00A865DD" w:rsidRDefault="0021757E" w:rsidP="00FD43B9">
            <w:pPr>
              <w:pStyle w:val="Tableheading1"/>
            </w:pPr>
            <w:r w:rsidRPr="00A865DD">
              <w:t>PSA density (ng/ml2)</w:t>
            </w:r>
            <w:r w:rsidR="005A3FFC" w:rsidRPr="00A865DD">
              <w:t xml:space="preserve"> </w:t>
            </w:r>
          </w:p>
        </w:tc>
        <w:tc>
          <w:tcPr>
            <w:tcW w:w="0" w:type="auto"/>
          </w:tcPr>
          <w:p w14:paraId="28569CB1" w14:textId="77777777" w:rsidR="0021757E" w:rsidRPr="00A865DD" w:rsidRDefault="0021757E" w:rsidP="00FD43B9">
            <w:pPr>
              <w:pStyle w:val="Tableheading1"/>
            </w:pPr>
            <w:r w:rsidRPr="00A865DD">
              <w:t>MRI details:</w:t>
            </w:r>
          </w:p>
          <w:p w14:paraId="1DC603AD" w14:textId="77777777" w:rsidR="0021757E" w:rsidRPr="00A865DD" w:rsidRDefault="0021757E" w:rsidP="00FD43B9">
            <w:pPr>
              <w:pStyle w:val="Tableheading1"/>
            </w:pPr>
            <w:r w:rsidRPr="00A865DD">
              <w:t>T</w:t>
            </w:r>
          </w:p>
          <w:p w14:paraId="5087C15D" w14:textId="77777777" w:rsidR="0021757E" w:rsidRPr="00A865DD" w:rsidRDefault="0021757E" w:rsidP="00FD43B9">
            <w:pPr>
              <w:pStyle w:val="Tableheading1"/>
            </w:pPr>
            <w:r w:rsidRPr="00A865DD">
              <w:t>Coil</w:t>
            </w:r>
          </w:p>
          <w:p w14:paraId="0311EB80" w14:textId="77777777" w:rsidR="0021757E" w:rsidRPr="00A865DD" w:rsidRDefault="0021757E" w:rsidP="00FD43B9">
            <w:pPr>
              <w:pStyle w:val="Tableheading1"/>
            </w:pPr>
            <w:r w:rsidRPr="00A865DD">
              <w:t>Contrast</w:t>
            </w:r>
          </w:p>
        </w:tc>
        <w:tc>
          <w:tcPr>
            <w:tcW w:w="0" w:type="auto"/>
            <w:shd w:val="clear" w:color="auto" w:fill="auto"/>
          </w:tcPr>
          <w:p w14:paraId="61843164" w14:textId="77777777" w:rsidR="0021757E" w:rsidRPr="00A865DD" w:rsidRDefault="005A3FFC" w:rsidP="00FD43B9">
            <w:pPr>
              <w:pStyle w:val="Tableheading1"/>
            </w:pPr>
            <w:r w:rsidRPr="00A865DD">
              <w:t>Reference standard details</w:t>
            </w:r>
          </w:p>
          <w:p w14:paraId="2767A365" w14:textId="77777777" w:rsidR="0021757E" w:rsidRPr="00A865DD" w:rsidRDefault="0021757E" w:rsidP="00FD43B9">
            <w:pPr>
              <w:pStyle w:val="Tableheading1"/>
            </w:pPr>
          </w:p>
        </w:tc>
      </w:tr>
      <w:tr w:rsidR="00DF2562" w:rsidRPr="008A23B2" w14:paraId="0E8F6387" w14:textId="77777777" w:rsidTr="00A865DD">
        <w:trPr>
          <w:cantSplit/>
          <w:trHeight w:val="397"/>
        </w:trPr>
        <w:tc>
          <w:tcPr>
            <w:tcW w:w="1917" w:type="dxa"/>
            <w:shd w:val="clear" w:color="auto" w:fill="auto"/>
          </w:tcPr>
          <w:p w14:paraId="2C051E9B" w14:textId="77777777" w:rsidR="00652080" w:rsidRDefault="007D36B1" w:rsidP="00FD43B9">
            <w:pPr>
              <w:pStyle w:val="Tabletext1"/>
              <w:rPr>
                <w:snapToGrid w:val="0"/>
              </w:rPr>
            </w:pPr>
            <w:r>
              <w:rPr>
                <w:snapToGrid w:val="0"/>
              </w:rPr>
              <w:t>Abd-Alazeez et al. (2014)</w:t>
            </w:r>
          </w:p>
          <w:p w14:paraId="5B73F07B" w14:textId="77777777" w:rsidR="00652080" w:rsidRDefault="00652080" w:rsidP="00FD43B9">
            <w:pPr>
              <w:pStyle w:val="Tabletext1"/>
              <w:rPr>
                <w:snapToGrid w:val="0"/>
              </w:rPr>
            </w:pPr>
            <w:r>
              <w:rPr>
                <w:snapToGrid w:val="0"/>
              </w:rPr>
              <w:t>UK</w:t>
            </w:r>
          </w:p>
          <w:p w14:paraId="09DD862A" w14:textId="77777777" w:rsidR="00981758" w:rsidRPr="001B3E0A" w:rsidRDefault="00652080" w:rsidP="00FD43B9">
            <w:pPr>
              <w:pStyle w:val="Tabletext1"/>
              <w:rPr>
                <w:snapToGrid w:val="0"/>
              </w:rPr>
            </w:pPr>
            <w:r>
              <w:rPr>
                <w:snapToGrid w:val="0"/>
              </w:rPr>
              <w:t>Prospective</w:t>
            </w:r>
            <w:r w:rsidR="007D36B1">
              <w:rPr>
                <w:snapToGrid w:val="0"/>
              </w:rPr>
              <w:t xml:space="preserve"> </w:t>
            </w:r>
          </w:p>
        </w:tc>
        <w:tc>
          <w:tcPr>
            <w:tcW w:w="1651" w:type="dxa"/>
            <w:shd w:val="clear" w:color="auto" w:fill="auto"/>
          </w:tcPr>
          <w:p w14:paraId="1270A6D1" w14:textId="40CE02DD" w:rsidR="001E0D09" w:rsidRPr="001B3E0A" w:rsidRDefault="00B01696" w:rsidP="00FD43B9">
            <w:pPr>
              <w:pStyle w:val="Tabletext1"/>
              <w:rPr>
                <w:snapToGrid w:val="0"/>
              </w:rPr>
            </w:pPr>
            <w:r>
              <w:rPr>
                <w:snapToGrid w:val="0"/>
              </w:rPr>
              <w:t>n</w:t>
            </w:r>
            <w:r w:rsidR="001E0D09" w:rsidRPr="001B3E0A">
              <w:rPr>
                <w:snapToGrid w:val="0"/>
              </w:rPr>
              <w:t>=137</w:t>
            </w:r>
          </w:p>
          <w:p w14:paraId="06BC6430" w14:textId="2624711B" w:rsidR="00981758" w:rsidRPr="00C84C1F" w:rsidRDefault="00981758" w:rsidP="00FD43B9">
            <w:pPr>
              <w:pStyle w:val="Tabletext1"/>
              <w:rPr>
                <w:snapToGrid w:val="0"/>
              </w:rPr>
            </w:pPr>
            <w:r w:rsidRPr="001B3E0A">
              <w:rPr>
                <w:snapToGrid w:val="0"/>
              </w:rPr>
              <w:t xml:space="preserve">MRI </w:t>
            </w:r>
            <w:r w:rsidR="005A3FFC">
              <w:rPr>
                <w:snapToGrid w:val="0"/>
              </w:rPr>
              <w:t>+</w:t>
            </w:r>
            <w:r w:rsidRPr="001B3E0A">
              <w:rPr>
                <w:snapToGrid w:val="0"/>
              </w:rPr>
              <w:t>: mean 62.7 (SD 5.8)</w:t>
            </w:r>
            <w:r w:rsidRPr="001B3E0A">
              <w:rPr>
                <w:snapToGrid w:val="0"/>
              </w:rPr>
              <w:br/>
              <w:t xml:space="preserve">MRI </w:t>
            </w:r>
            <w:r w:rsidR="005A3FFC">
              <w:rPr>
                <w:snapToGrid w:val="0"/>
              </w:rPr>
              <w:t>EQ</w:t>
            </w:r>
            <w:r w:rsidRPr="001B3E0A">
              <w:rPr>
                <w:snapToGrid w:val="0"/>
              </w:rPr>
              <w:t xml:space="preserve">: 61.5 </w:t>
            </w:r>
            <w:r w:rsidR="00B01696">
              <w:rPr>
                <w:snapToGrid w:val="0"/>
              </w:rPr>
              <w:br/>
            </w:r>
            <w:r w:rsidRPr="001B3E0A">
              <w:rPr>
                <w:snapToGrid w:val="0"/>
              </w:rPr>
              <w:t>(SD 5.7)</w:t>
            </w:r>
            <w:r w:rsidRPr="001B3E0A">
              <w:rPr>
                <w:snapToGrid w:val="0"/>
              </w:rPr>
              <w:br/>
              <w:t xml:space="preserve">MRI </w:t>
            </w:r>
            <w:r w:rsidR="005A3FFC">
              <w:rPr>
                <w:snapToGrid w:val="0"/>
              </w:rPr>
              <w:t>-</w:t>
            </w:r>
            <w:r w:rsidRPr="001B3E0A">
              <w:rPr>
                <w:snapToGrid w:val="0"/>
              </w:rPr>
              <w:t>: 59.4 (SD 8.2)</w:t>
            </w:r>
          </w:p>
        </w:tc>
        <w:tc>
          <w:tcPr>
            <w:tcW w:w="0" w:type="auto"/>
            <w:shd w:val="clear" w:color="auto" w:fill="auto"/>
          </w:tcPr>
          <w:p w14:paraId="045C4B20" w14:textId="3A50A756" w:rsidR="007D0EC1" w:rsidRDefault="00215BBA" w:rsidP="00FD43B9">
            <w:pPr>
              <w:pStyle w:val="Tabletext1"/>
              <w:rPr>
                <w:snapToGrid w:val="0"/>
              </w:rPr>
            </w:pPr>
            <w:r>
              <w:rPr>
                <w:snapToGrid w:val="0"/>
              </w:rPr>
              <w:t>Gleason</w:t>
            </w:r>
            <w:r w:rsidR="007D0EC1">
              <w:rPr>
                <w:snapToGrid w:val="0"/>
              </w:rPr>
              <w:t xml:space="preserve"> ≤6</w:t>
            </w:r>
          </w:p>
          <w:p w14:paraId="62ADC4A2" w14:textId="77777777" w:rsidR="00B01696" w:rsidRDefault="005A3FFC" w:rsidP="00FD43B9">
            <w:pPr>
              <w:pStyle w:val="Tabletext1"/>
              <w:rPr>
                <w:snapToGrid w:val="0"/>
              </w:rPr>
            </w:pPr>
            <w:r>
              <w:rPr>
                <w:snapToGrid w:val="0"/>
              </w:rPr>
              <w:t>M</w:t>
            </w:r>
            <w:r w:rsidR="007D36B1">
              <w:rPr>
                <w:snapToGrid w:val="0"/>
              </w:rPr>
              <w:t>RI</w:t>
            </w:r>
            <w:r>
              <w:rPr>
                <w:snapToGrid w:val="0"/>
              </w:rPr>
              <w:t xml:space="preserve">+: median 7 </w:t>
            </w:r>
          </w:p>
          <w:p w14:paraId="63BABB40" w14:textId="3F5D749C" w:rsidR="00981758" w:rsidRDefault="005A3FFC" w:rsidP="00FD43B9">
            <w:pPr>
              <w:pStyle w:val="Tabletext1"/>
              <w:rPr>
                <w:snapToGrid w:val="0"/>
              </w:rPr>
            </w:pPr>
            <w:r>
              <w:rPr>
                <w:snapToGrid w:val="0"/>
              </w:rPr>
              <w:t>(range 2-29)</w:t>
            </w:r>
          </w:p>
          <w:p w14:paraId="0DAE8209" w14:textId="77777777" w:rsidR="005A3FFC" w:rsidRDefault="007D36B1" w:rsidP="00FD43B9">
            <w:pPr>
              <w:pStyle w:val="Tabletext1"/>
              <w:rPr>
                <w:snapToGrid w:val="0"/>
              </w:rPr>
            </w:pPr>
            <w:r>
              <w:rPr>
                <w:snapToGrid w:val="0"/>
              </w:rPr>
              <w:t>MRI</w:t>
            </w:r>
            <w:r w:rsidR="005A3FFC">
              <w:rPr>
                <w:snapToGrid w:val="0"/>
              </w:rPr>
              <w:t>EQ: median 8.3 (range 2.3-17)</w:t>
            </w:r>
          </w:p>
          <w:p w14:paraId="7F4F64E0" w14:textId="77777777" w:rsidR="00B01696" w:rsidRDefault="005A3FFC" w:rsidP="00FD43B9">
            <w:pPr>
              <w:pStyle w:val="Tabletext1"/>
              <w:rPr>
                <w:snapToGrid w:val="0"/>
              </w:rPr>
            </w:pPr>
            <w:r>
              <w:rPr>
                <w:snapToGrid w:val="0"/>
              </w:rPr>
              <w:t xml:space="preserve">MRI-:median 5 </w:t>
            </w:r>
          </w:p>
          <w:p w14:paraId="7ABF4970" w14:textId="23DDEE45" w:rsidR="005A3FFC" w:rsidRDefault="005A3FFC" w:rsidP="00FD43B9">
            <w:pPr>
              <w:pStyle w:val="Tabletext1"/>
              <w:rPr>
                <w:snapToGrid w:val="0"/>
              </w:rPr>
            </w:pPr>
            <w:r>
              <w:rPr>
                <w:snapToGrid w:val="0"/>
              </w:rPr>
              <w:t>(range 2.8-15)</w:t>
            </w:r>
          </w:p>
          <w:p w14:paraId="17715A68" w14:textId="77777777" w:rsidR="00981758" w:rsidRPr="008A23B2" w:rsidRDefault="007D36B1" w:rsidP="00FD43B9">
            <w:pPr>
              <w:pStyle w:val="Tabletext1"/>
              <w:rPr>
                <w:snapToGrid w:val="0"/>
              </w:rPr>
            </w:pPr>
            <w:r>
              <w:rPr>
                <w:snapToGrid w:val="0"/>
              </w:rPr>
              <w:t>Density NR</w:t>
            </w:r>
          </w:p>
        </w:tc>
        <w:tc>
          <w:tcPr>
            <w:tcW w:w="0" w:type="auto"/>
          </w:tcPr>
          <w:p w14:paraId="72A6000D" w14:textId="77777777" w:rsidR="00344025" w:rsidRDefault="00344025" w:rsidP="00FD43B9">
            <w:pPr>
              <w:pStyle w:val="Tabletext1"/>
              <w:rPr>
                <w:snapToGrid w:val="0"/>
              </w:rPr>
            </w:pPr>
            <w:r>
              <w:rPr>
                <w:snapToGrid w:val="0"/>
              </w:rPr>
              <w:t>1.5 or 3.0 T</w:t>
            </w:r>
          </w:p>
          <w:p w14:paraId="655CDC5F" w14:textId="77777777" w:rsidR="00981758" w:rsidRDefault="00981758" w:rsidP="00FD43B9">
            <w:pPr>
              <w:pStyle w:val="Tabletext1"/>
              <w:rPr>
                <w:snapToGrid w:val="0"/>
              </w:rPr>
            </w:pPr>
            <w:r>
              <w:rPr>
                <w:snapToGrid w:val="0"/>
              </w:rPr>
              <w:t>PPAC</w:t>
            </w:r>
          </w:p>
          <w:p w14:paraId="367F06D9" w14:textId="77777777" w:rsidR="00981758" w:rsidRDefault="00981758" w:rsidP="00FD43B9">
            <w:pPr>
              <w:pStyle w:val="Tabletext1"/>
              <w:rPr>
                <w:snapToGrid w:val="0"/>
              </w:rPr>
            </w:pPr>
            <w:r>
              <w:rPr>
                <w:snapToGrid w:val="0"/>
              </w:rPr>
              <w:t>G</w:t>
            </w:r>
            <w:r w:rsidRPr="00ED7420">
              <w:rPr>
                <w:snapToGrid w:val="0"/>
              </w:rPr>
              <w:t>adoterate meglumin</w:t>
            </w:r>
          </w:p>
        </w:tc>
        <w:tc>
          <w:tcPr>
            <w:tcW w:w="0" w:type="auto"/>
            <w:shd w:val="clear" w:color="auto" w:fill="auto"/>
          </w:tcPr>
          <w:p w14:paraId="4236809C" w14:textId="77777777" w:rsidR="00981758" w:rsidRDefault="00981758" w:rsidP="00FD43B9">
            <w:pPr>
              <w:pStyle w:val="Tabletext1"/>
              <w:rPr>
                <w:snapToGrid w:val="0"/>
              </w:rPr>
            </w:pPr>
            <w:r>
              <w:rPr>
                <w:snapToGrid w:val="0"/>
              </w:rPr>
              <w:t>TRUS + C-MRIGB</w:t>
            </w:r>
          </w:p>
          <w:p w14:paraId="3FF0A8FA" w14:textId="77777777" w:rsidR="00DF2562" w:rsidRPr="008A23B2" w:rsidRDefault="00084C1C" w:rsidP="00FD43B9">
            <w:pPr>
              <w:pStyle w:val="Tabletext1"/>
              <w:rPr>
                <w:snapToGrid w:val="0"/>
              </w:rPr>
            </w:pPr>
            <w:r>
              <w:rPr>
                <w:snapToGrid w:val="0"/>
              </w:rPr>
              <w:t>20 cores +</w:t>
            </w:r>
            <w:r w:rsidR="00DF2562">
              <w:rPr>
                <w:snapToGrid w:val="0"/>
              </w:rPr>
              <w:t xml:space="preserve"> targeted cores</w:t>
            </w:r>
          </w:p>
        </w:tc>
      </w:tr>
      <w:tr w:rsidR="00DF2562" w:rsidRPr="008A23B2" w14:paraId="63EC2169" w14:textId="77777777" w:rsidTr="00A865DD">
        <w:trPr>
          <w:cantSplit/>
          <w:trHeight w:val="397"/>
        </w:trPr>
        <w:tc>
          <w:tcPr>
            <w:tcW w:w="1917" w:type="dxa"/>
            <w:shd w:val="clear" w:color="auto" w:fill="auto"/>
          </w:tcPr>
          <w:p w14:paraId="2DE9EA51" w14:textId="77777777" w:rsidR="00981758" w:rsidRDefault="00981758" w:rsidP="00FD43B9">
            <w:pPr>
              <w:pStyle w:val="Tabletext1"/>
              <w:rPr>
                <w:snapToGrid w:val="0"/>
              </w:rPr>
            </w:pPr>
            <w:r w:rsidRPr="001B3E0A">
              <w:rPr>
                <w:snapToGrid w:val="0"/>
              </w:rPr>
              <w:t>Almeida et al. (2016)</w:t>
            </w:r>
          </w:p>
          <w:p w14:paraId="01CEE8B7" w14:textId="77777777" w:rsidR="00652080" w:rsidRDefault="00652080" w:rsidP="00FD43B9">
            <w:pPr>
              <w:pStyle w:val="Tabletext1"/>
              <w:rPr>
                <w:snapToGrid w:val="0"/>
              </w:rPr>
            </w:pPr>
            <w:r>
              <w:rPr>
                <w:snapToGrid w:val="0"/>
              </w:rPr>
              <w:t>Italy</w:t>
            </w:r>
          </w:p>
          <w:p w14:paraId="79C26C4D" w14:textId="77777777" w:rsidR="00652080" w:rsidRPr="001B3E0A" w:rsidRDefault="00652080" w:rsidP="00FD43B9">
            <w:pPr>
              <w:pStyle w:val="Tabletext1"/>
              <w:rPr>
                <w:snapToGrid w:val="0"/>
              </w:rPr>
            </w:pPr>
            <w:r>
              <w:rPr>
                <w:snapToGrid w:val="0"/>
              </w:rPr>
              <w:t>Prospective</w:t>
            </w:r>
          </w:p>
        </w:tc>
        <w:tc>
          <w:tcPr>
            <w:tcW w:w="1651" w:type="dxa"/>
            <w:shd w:val="clear" w:color="auto" w:fill="auto"/>
          </w:tcPr>
          <w:p w14:paraId="32C1AC2E" w14:textId="30F677BF" w:rsidR="001E0D09" w:rsidRPr="001B3E0A" w:rsidRDefault="00B01696" w:rsidP="00FD43B9">
            <w:pPr>
              <w:pStyle w:val="Tabletext1"/>
              <w:rPr>
                <w:snapToGrid w:val="0"/>
              </w:rPr>
            </w:pPr>
            <w:r>
              <w:rPr>
                <w:snapToGrid w:val="0"/>
              </w:rPr>
              <w:t>n</w:t>
            </w:r>
            <w:r w:rsidR="001E0D09" w:rsidRPr="001B3E0A">
              <w:rPr>
                <w:snapToGrid w:val="0"/>
              </w:rPr>
              <w:t>=73</w:t>
            </w:r>
          </w:p>
          <w:p w14:paraId="4AF721F9" w14:textId="5F13D799" w:rsidR="00981758" w:rsidRPr="001B3E0A" w:rsidRDefault="00981758" w:rsidP="00FD43B9">
            <w:pPr>
              <w:pStyle w:val="Tabletext1"/>
              <w:rPr>
                <w:snapToGrid w:val="0"/>
              </w:rPr>
            </w:pPr>
            <w:r w:rsidRPr="001B3E0A">
              <w:rPr>
                <w:snapToGrid w:val="0"/>
              </w:rPr>
              <w:t xml:space="preserve">mean 63.0 </w:t>
            </w:r>
            <w:r w:rsidR="00B01696">
              <w:rPr>
                <w:snapToGrid w:val="0"/>
              </w:rPr>
              <w:br/>
            </w:r>
            <w:r w:rsidRPr="001B3E0A">
              <w:rPr>
                <w:snapToGrid w:val="0"/>
              </w:rPr>
              <w:t>(SD 5.85)</w:t>
            </w:r>
          </w:p>
        </w:tc>
        <w:tc>
          <w:tcPr>
            <w:tcW w:w="0" w:type="auto"/>
            <w:shd w:val="clear" w:color="auto" w:fill="auto"/>
          </w:tcPr>
          <w:p w14:paraId="05DF2F51" w14:textId="7A5C9906" w:rsidR="007D0EC1" w:rsidRDefault="00215BBA" w:rsidP="00FD43B9">
            <w:pPr>
              <w:pStyle w:val="Tabletext1"/>
              <w:rPr>
                <w:snapToGrid w:val="0"/>
              </w:rPr>
            </w:pPr>
            <w:r>
              <w:rPr>
                <w:snapToGrid w:val="0"/>
              </w:rPr>
              <w:t>Gleason</w:t>
            </w:r>
            <w:r w:rsidR="007D0EC1">
              <w:rPr>
                <w:snapToGrid w:val="0"/>
              </w:rPr>
              <w:t xml:space="preserve"> ≤6</w:t>
            </w:r>
          </w:p>
          <w:p w14:paraId="5E26F271" w14:textId="77777777" w:rsidR="00981758" w:rsidRDefault="00981758" w:rsidP="00FD43B9">
            <w:pPr>
              <w:pStyle w:val="Tabletext1"/>
              <w:rPr>
                <w:snapToGrid w:val="0"/>
              </w:rPr>
            </w:pPr>
            <w:r>
              <w:rPr>
                <w:snapToGrid w:val="0"/>
              </w:rPr>
              <w:t xml:space="preserve">Mean </w:t>
            </w:r>
            <w:r w:rsidR="007D36B1">
              <w:rPr>
                <w:snapToGrid w:val="0"/>
              </w:rPr>
              <w:t>6.03</w:t>
            </w:r>
            <w:r>
              <w:rPr>
                <w:snapToGrid w:val="0"/>
              </w:rPr>
              <w:t xml:space="preserve"> (</w:t>
            </w:r>
            <w:r w:rsidR="007D36B1">
              <w:rPr>
                <w:snapToGrid w:val="0"/>
              </w:rPr>
              <w:t>SD 1.93</w:t>
            </w:r>
            <w:r>
              <w:rPr>
                <w:snapToGrid w:val="0"/>
              </w:rPr>
              <w:t>)</w:t>
            </w:r>
          </w:p>
          <w:p w14:paraId="172FC5D9" w14:textId="77777777" w:rsidR="00981758" w:rsidRPr="008A23B2" w:rsidRDefault="00981758" w:rsidP="00FD43B9">
            <w:pPr>
              <w:pStyle w:val="Tabletext1"/>
              <w:rPr>
                <w:snapToGrid w:val="0"/>
              </w:rPr>
            </w:pPr>
            <w:r>
              <w:rPr>
                <w:snapToGrid w:val="0"/>
              </w:rPr>
              <w:t>Mean 0.1</w:t>
            </w:r>
            <w:r w:rsidR="007D36B1">
              <w:rPr>
                <w:snapToGrid w:val="0"/>
              </w:rPr>
              <w:t>4</w:t>
            </w:r>
            <w:r>
              <w:rPr>
                <w:snapToGrid w:val="0"/>
              </w:rPr>
              <w:t xml:space="preserve"> (SD 0.</w:t>
            </w:r>
            <w:r w:rsidR="007D36B1">
              <w:rPr>
                <w:snapToGrid w:val="0"/>
              </w:rPr>
              <w:t>05</w:t>
            </w:r>
            <w:r>
              <w:rPr>
                <w:snapToGrid w:val="0"/>
              </w:rPr>
              <w:t>)</w:t>
            </w:r>
          </w:p>
        </w:tc>
        <w:tc>
          <w:tcPr>
            <w:tcW w:w="0" w:type="auto"/>
          </w:tcPr>
          <w:p w14:paraId="1EC5E5C8" w14:textId="77777777" w:rsidR="00981758" w:rsidRDefault="00344025" w:rsidP="00FD43B9">
            <w:pPr>
              <w:pStyle w:val="Tabletext1"/>
              <w:rPr>
                <w:snapToGrid w:val="0"/>
              </w:rPr>
            </w:pPr>
            <w:r>
              <w:rPr>
                <w:snapToGrid w:val="0"/>
              </w:rPr>
              <w:t>1.5</w:t>
            </w:r>
            <w:r w:rsidR="00981758">
              <w:rPr>
                <w:snapToGrid w:val="0"/>
              </w:rPr>
              <w:t>T</w:t>
            </w:r>
          </w:p>
          <w:p w14:paraId="290CFC3B" w14:textId="77777777" w:rsidR="00981758" w:rsidRDefault="00981758" w:rsidP="00FD43B9">
            <w:pPr>
              <w:pStyle w:val="Tabletext1"/>
              <w:rPr>
                <w:snapToGrid w:val="0"/>
              </w:rPr>
            </w:pPr>
            <w:r>
              <w:rPr>
                <w:snapToGrid w:val="0"/>
              </w:rPr>
              <w:t>PPAC</w:t>
            </w:r>
          </w:p>
          <w:p w14:paraId="72351D5A" w14:textId="77777777" w:rsidR="00981758" w:rsidRDefault="009A75C2" w:rsidP="00FD43B9">
            <w:pPr>
              <w:pStyle w:val="Tabletext1"/>
              <w:rPr>
                <w:snapToGrid w:val="0"/>
              </w:rPr>
            </w:pPr>
            <w:r>
              <w:rPr>
                <w:snapToGrid w:val="0"/>
              </w:rPr>
              <w:t>G</w:t>
            </w:r>
            <w:r w:rsidRPr="009A75C2">
              <w:rPr>
                <w:snapToGrid w:val="0"/>
              </w:rPr>
              <w:t>adopentetate dimeglumine</w:t>
            </w:r>
          </w:p>
        </w:tc>
        <w:tc>
          <w:tcPr>
            <w:tcW w:w="0" w:type="auto"/>
            <w:shd w:val="clear" w:color="auto" w:fill="auto"/>
          </w:tcPr>
          <w:p w14:paraId="7AB3EF31" w14:textId="77777777" w:rsidR="00981758" w:rsidRPr="008A23B2" w:rsidRDefault="00DF2562" w:rsidP="00FD43B9">
            <w:pPr>
              <w:pStyle w:val="Tabletext1"/>
              <w:rPr>
                <w:snapToGrid w:val="0"/>
              </w:rPr>
            </w:pPr>
            <w:r>
              <w:rPr>
                <w:snapToGrid w:val="0"/>
              </w:rPr>
              <w:t>Prostatectomy</w:t>
            </w:r>
          </w:p>
        </w:tc>
      </w:tr>
      <w:tr w:rsidR="00DF2562" w:rsidRPr="008A23B2" w14:paraId="5D6DD69E" w14:textId="77777777" w:rsidTr="00A865DD">
        <w:trPr>
          <w:cantSplit/>
          <w:trHeight w:val="397"/>
        </w:trPr>
        <w:tc>
          <w:tcPr>
            <w:tcW w:w="1917" w:type="dxa"/>
            <w:shd w:val="clear" w:color="auto" w:fill="auto"/>
          </w:tcPr>
          <w:p w14:paraId="74CAA7A9" w14:textId="77777777" w:rsidR="00981758" w:rsidRDefault="00652080" w:rsidP="00FD43B9">
            <w:pPr>
              <w:pStyle w:val="Tabletext1"/>
              <w:rPr>
                <w:snapToGrid w:val="0"/>
              </w:rPr>
            </w:pPr>
            <w:r>
              <w:rPr>
                <w:snapToGrid w:val="0"/>
              </w:rPr>
              <w:t>de Cobelli et al. (2015)</w:t>
            </w:r>
          </w:p>
          <w:p w14:paraId="1D8EFB87" w14:textId="77777777" w:rsidR="00652080" w:rsidRDefault="00652080" w:rsidP="00FD43B9">
            <w:pPr>
              <w:pStyle w:val="Tabletext1"/>
              <w:rPr>
                <w:snapToGrid w:val="0"/>
              </w:rPr>
            </w:pPr>
            <w:r>
              <w:rPr>
                <w:snapToGrid w:val="0"/>
              </w:rPr>
              <w:t>Italy</w:t>
            </w:r>
          </w:p>
          <w:p w14:paraId="11542AB6" w14:textId="77777777" w:rsidR="00652080" w:rsidRPr="001B3E0A" w:rsidRDefault="00652080" w:rsidP="00FD43B9">
            <w:pPr>
              <w:pStyle w:val="Tabletext1"/>
              <w:rPr>
                <w:snapToGrid w:val="0"/>
              </w:rPr>
            </w:pPr>
            <w:r>
              <w:rPr>
                <w:snapToGrid w:val="0"/>
              </w:rPr>
              <w:t>Retrospective</w:t>
            </w:r>
          </w:p>
        </w:tc>
        <w:tc>
          <w:tcPr>
            <w:tcW w:w="1651" w:type="dxa"/>
            <w:shd w:val="clear" w:color="auto" w:fill="auto"/>
          </w:tcPr>
          <w:p w14:paraId="64F7323A" w14:textId="4D6775B0" w:rsidR="001E0D09" w:rsidRPr="001B3E0A" w:rsidRDefault="00B01696" w:rsidP="00FD43B9">
            <w:pPr>
              <w:pStyle w:val="Tabletext1"/>
              <w:rPr>
                <w:snapToGrid w:val="0"/>
              </w:rPr>
            </w:pPr>
            <w:r>
              <w:rPr>
                <w:snapToGrid w:val="0"/>
              </w:rPr>
              <w:t>n=</w:t>
            </w:r>
            <w:r w:rsidR="001E0D09" w:rsidRPr="001B3E0A">
              <w:rPr>
                <w:snapToGrid w:val="0"/>
              </w:rPr>
              <w:t>223</w:t>
            </w:r>
          </w:p>
          <w:p w14:paraId="7A4EB80E" w14:textId="1742EAAA" w:rsidR="00981758" w:rsidRPr="001B3E0A" w:rsidRDefault="00981758" w:rsidP="00FD43B9">
            <w:pPr>
              <w:pStyle w:val="Tabletext1"/>
              <w:rPr>
                <w:snapToGrid w:val="0"/>
              </w:rPr>
            </w:pPr>
            <w:r w:rsidRPr="001B3E0A">
              <w:rPr>
                <w:snapToGrid w:val="0"/>
              </w:rPr>
              <w:t xml:space="preserve">mean 62.75 </w:t>
            </w:r>
            <w:r w:rsidR="00B01696">
              <w:rPr>
                <w:snapToGrid w:val="0"/>
              </w:rPr>
              <w:br/>
            </w:r>
            <w:r w:rsidRPr="001B3E0A">
              <w:rPr>
                <w:snapToGrid w:val="0"/>
              </w:rPr>
              <w:t>(SD 8.28)</w:t>
            </w:r>
          </w:p>
        </w:tc>
        <w:tc>
          <w:tcPr>
            <w:tcW w:w="0" w:type="auto"/>
            <w:shd w:val="clear" w:color="auto" w:fill="auto"/>
          </w:tcPr>
          <w:p w14:paraId="38F7DAE3" w14:textId="151ABA2E" w:rsidR="007D0EC1" w:rsidRDefault="00215BBA" w:rsidP="00FD43B9">
            <w:pPr>
              <w:pStyle w:val="Tabletext1"/>
              <w:rPr>
                <w:snapToGrid w:val="0"/>
              </w:rPr>
            </w:pPr>
            <w:r>
              <w:rPr>
                <w:snapToGrid w:val="0"/>
              </w:rPr>
              <w:t>Gleason</w:t>
            </w:r>
            <w:r w:rsidR="007D0EC1">
              <w:rPr>
                <w:snapToGrid w:val="0"/>
              </w:rPr>
              <w:t xml:space="preserve"> ≤6</w:t>
            </w:r>
          </w:p>
          <w:p w14:paraId="1794FC3A" w14:textId="77777777" w:rsidR="00981758" w:rsidRDefault="00981758" w:rsidP="00FD43B9">
            <w:pPr>
              <w:pStyle w:val="Tabletext1"/>
              <w:rPr>
                <w:snapToGrid w:val="0"/>
              </w:rPr>
            </w:pPr>
            <w:r>
              <w:rPr>
                <w:snapToGrid w:val="0"/>
              </w:rPr>
              <w:t xml:space="preserve">Mean </w:t>
            </w:r>
            <w:r w:rsidR="007D36B1">
              <w:rPr>
                <w:snapToGrid w:val="0"/>
              </w:rPr>
              <w:t>6.02</w:t>
            </w:r>
            <w:r>
              <w:rPr>
                <w:snapToGrid w:val="0"/>
              </w:rPr>
              <w:t xml:space="preserve"> (</w:t>
            </w:r>
            <w:r w:rsidR="007D36B1">
              <w:rPr>
                <w:snapToGrid w:val="0"/>
              </w:rPr>
              <w:t>SD 1.91</w:t>
            </w:r>
            <w:r>
              <w:rPr>
                <w:snapToGrid w:val="0"/>
              </w:rPr>
              <w:t>)</w:t>
            </w:r>
          </w:p>
          <w:p w14:paraId="499CF4AB" w14:textId="77777777" w:rsidR="00981758" w:rsidRPr="008A23B2" w:rsidRDefault="007D36B1" w:rsidP="00FD43B9">
            <w:pPr>
              <w:pStyle w:val="Tabletext1"/>
              <w:rPr>
                <w:snapToGrid w:val="0"/>
              </w:rPr>
            </w:pPr>
            <w:r>
              <w:rPr>
                <w:snapToGrid w:val="0"/>
              </w:rPr>
              <w:t>Mean 0.13 (SD 0.04)</w:t>
            </w:r>
          </w:p>
        </w:tc>
        <w:tc>
          <w:tcPr>
            <w:tcW w:w="0" w:type="auto"/>
          </w:tcPr>
          <w:p w14:paraId="2563156C" w14:textId="77777777" w:rsidR="00981758" w:rsidRDefault="00344025" w:rsidP="00FD43B9">
            <w:pPr>
              <w:pStyle w:val="Tabletext1"/>
              <w:rPr>
                <w:snapToGrid w:val="0"/>
              </w:rPr>
            </w:pPr>
            <w:r>
              <w:rPr>
                <w:snapToGrid w:val="0"/>
              </w:rPr>
              <w:t>1.5</w:t>
            </w:r>
            <w:r w:rsidR="00981758">
              <w:rPr>
                <w:snapToGrid w:val="0"/>
              </w:rPr>
              <w:t>T</w:t>
            </w:r>
          </w:p>
          <w:p w14:paraId="653986C8" w14:textId="77777777" w:rsidR="00981758" w:rsidRDefault="00981758" w:rsidP="00FD43B9">
            <w:pPr>
              <w:pStyle w:val="Tabletext1"/>
              <w:rPr>
                <w:snapToGrid w:val="0"/>
              </w:rPr>
            </w:pPr>
            <w:r>
              <w:rPr>
                <w:snapToGrid w:val="0"/>
              </w:rPr>
              <w:t>PPAC + ERC</w:t>
            </w:r>
          </w:p>
          <w:p w14:paraId="6AF4897C" w14:textId="77777777" w:rsidR="00981758" w:rsidRDefault="00981758" w:rsidP="00FD43B9">
            <w:pPr>
              <w:pStyle w:val="Tabletext1"/>
              <w:rPr>
                <w:snapToGrid w:val="0"/>
              </w:rPr>
            </w:pPr>
            <w:r>
              <w:rPr>
                <w:snapToGrid w:val="0"/>
              </w:rPr>
              <w:t>G</w:t>
            </w:r>
            <w:r w:rsidRPr="00D727F4">
              <w:rPr>
                <w:snapToGrid w:val="0"/>
              </w:rPr>
              <w:t>adobutrol</w:t>
            </w:r>
          </w:p>
        </w:tc>
        <w:tc>
          <w:tcPr>
            <w:tcW w:w="0" w:type="auto"/>
            <w:shd w:val="clear" w:color="auto" w:fill="auto"/>
          </w:tcPr>
          <w:p w14:paraId="424B4A4A" w14:textId="77777777" w:rsidR="00981758" w:rsidRPr="008A23B2" w:rsidRDefault="00DF2562" w:rsidP="00FD43B9">
            <w:pPr>
              <w:pStyle w:val="Tabletext1"/>
              <w:rPr>
                <w:snapToGrid w:val="0"/>
              </w:rPr>
            </w:pPr>
            <w:r>
              <w:rPr>
                <w:snapToGrid w:val="0"/>
              </w:rPr>
              <w:t>Prostatectomy</w:t>
            </w:r>
          </w:p>
        </w:tc>
      </w:tr>
      <w:tr w:rsidR="00DF2562" w:rsidRPr="008A23B2" w14:paraId="652BFD40" w14:textId="77777777" w:rsidTr="00A865DD">
        <w:trPr>
          <w:cantSplit/>
          <w:trHeight w:val="397"/>
        </w:trPr>
        <w:tc>
          <w:tcPr>
            <w:tcW w:w="1917" w:type="dxa"/>
            <w:shd w:val="clear" w:color="auto" w:fill="auto"/>
          </w:tcPr>
          <w:p w14:paraId="59CF4E27" w14:textId="77777777" w:rsidR="00981758" w:rsidRDefault="00652080" w:rsidP="00FD43B9">
            <w:pPr>
              <w:pStyle w:val="Tabletext1"/>
              <w:rPr>
                <w:snapToGrid w:val="0"/>
              </w:rPr>
            </w:pPr>
            <w:r>
              <w:rPr>
                <w:snapToGrid w:val="0"/>
              </w:rPr>
              <w:t>Flavell et al. (2014)</w:t>
            </w:r>
          </w:p>
          <w:p w14:paraId="00F61772" w14:textId="77777777" w:rsidR="00652080" w:rsidRDefault="00652080" w:rsidP="00FD43B9">
            <w:pPr>
              <w:pStyle w:val="Tabletext1"/>
              <w:rPr>
                <w:snapToGrid w:val="0"/>
              </w:rPr>
            </w:pPr>
            <w:r>
              <w:rPr>
                <w:snapToGrid w:val="0"/>
              </w:rPr>
              <w:t>USA</w:t>
            </w:r>
          </w:p>
          <w:p w14:paraId="7BEE2BC1" w14:textId="77777777" w:rsidR="00652080" w:rsidRPr="001B3E0A" w:rsidRDefault="00652080" w:rsidP="00FD43B9">
            <w:pPr>
              <w:pStyle w:val="Tabletext1"/>
              <w:rPr>
                <w:snapToGrid w:val="0"/>
              </w:rPr>
            </w:pPr>
            <w:r>
              <w:rPr>
                <w:snapToGrid w:val="0"/>
              </w:rPr>
              <w:t>Retrospective</w:t>
            </w:r>
          </w:p>
        </w:tc>
        <w:tc>
          <w:tcPr>
            <w:tcW w:w="1651" w:type="dxa"/>
            <w:shd w:val="clear" w:color="auto" w:fill="auto"/>
          </w:tcPr>
          <w:p w14:paraId="7B1185EB" w14:textId="6EFBCEFE" w:rsidR="001E0D09" w:rsidRPr="001B3E0A" w:rsidRDefault="00B01696" w:rsidP="00FD43B9">
            <w:pPr>
              <w:pStyle w:val="Tabletext1"/>
              <w:rPr>
                <w:snapToGrid w:val="0"/>
              </w:rPr>
            </w:pPr>
            <w:r>
              <w:rPr>
                <w:snapToGrid w:val="0"/>
              </w:rPr>
              <w:t>n</w:t>
            </w:r>
            <w:r w:rsidR="001E0D09" w:rsidRPr="001B3E0A">
              <w:rPr>
                <w:snapToGrid w:val="0"/>
              </w:rPr>
              <w:t>=64</w:t>
            </w:r>
          </w:p>
          <w:p w14:paraId="10892F9C" w14:textId="77777777" w:rsidR="00B01696" w:rsidRDefault="00981758" w:rsidP="00FD43B9">
            <w:pPr>
              <w:pStyle w:val="Tabletext1"/>
              <w:rPr>
                <w:snapToGrid w:val="0"/>
              </w:rPr>
            </w:pPr>
            <w:r w:rsidRPr="001B3E0A">
              <w:rPr>
                <w:snapToGrid w:val="0"/>
              </w:rPr>
              <w:t xml:space="preserve">median 60.7 </w:t>
            </w:r>
          </w:p>
          <w:p w14:paraId="6A4B8905" w14:textId="4BA62136" w:rsidR="00981758" w:rsidRPr="001B3E0A" w:rsidRDefault="00B01696" w:rsidP="00FD43B9">
            <w:pPr>
              <w:pStyle w:val="Tabletext1"/>
              <w:rPr>
                <w:snapToGrid w:val="0"/>
              </w:rPr>
            </w:pPr>
            <w:r>
              <w:rPr>
                <w:snapToGrid w:val="0"/>
              </w:rPr>
              <w:t>(</w:t>
            </w:r>
            <w:r w:rsidR="00981758" w:rsidRPr="001B3E0A">
              <w:rPr>
                <w:snapToGrid w:val="0"/>
              </w:rPr>
              <w:t>range 45.1-74.5</w:t>
            </w:r>
            <w:r>
              <w:rPr>
                <w:snapToGrid w:val="0"/>
              </w:rPr>
              <w:t>)</w:t>
            </w:r>
          </w:p>
        </w:tc>
        <w:tc>
          <w:tcPr>
            <w:tcW w:w="0" w:type="auto"/>
            <w:shd w:val="clear" w:color="auto" w:fill="auto"/>
          </w:tcPr>
          <w:p w14:paraId="6ED4805F" w14:textId="79E1814E" w:rsidR="007D0EC1" w:rsidRDefault="00215BBA" w:rsidP="00FD43B9">
            <w:pPr>
              <w:pStyle w:val="Tabletext1"/>
              <w:rPr>
                <w:snapToGrid w:val="0"/>
              </w:rPr>
            </w:pPr>
            <w:r>
              <w:rPr>
                <w:snapToGrid w:val="0"/>
              </w:rPr>
              <w:t>Gleason</w:t>
            </w:r>
            <w:r w:rsidR="007D0EC1">
              <w:rPr>
                <w:snapToGrid w:val="0"/>
              </w:rPr>
              <w:t>=6</w:t>
            </w:r>
          </w:p>
          <w:p w14:paraId="140AA183" w14:textId="77777777" w:rsidR="00B01696" w:rsidRDefault="00981758" w:rsidP="00FD43B9">
            <w:pPr>
              <w:pStyle w:val="Tabletext1"/>
              <w:rPr>
                <w:snapToGrid w:val="0"/>
              </w:rPr>
            </w:pPr>
            <w:r>
              <w:rPr>
                <w:snapToGrid w:val="0"/>
              </w:rPr>
              <w:t xml:space="preserve">Mean </w:t>
            </w:r>
            <w:r w:rsidR="007D36B1">
              <w:rPr>
                <w:snapToGrid w:val="0"/>
              </w:rPr>
              <w:t>4.7</w:t>
            </w:r>
            <w:r>
              <w:rPr>
                <w:snapToGrid w:val="0"/>
              </w:rPr>
              <w:t xml:space="preserve"> </w:t>
            </w:r>
          </w:p>
          <w:p w14:paraId="694DAA81" w14:textId="76E2ED43" w:rsidR="00981758" w:rsidRDefault="00981758" w:rsidP="00FD43B9">
            <w:pPr>
              <w:pStyle w:val="Tabletext1"/>
              <w:rPr>
                <w:snapToGrid w:val="0"/>
              </w:rPr>
            </w:pPr>
            <w:r>
              <w:rPr>
                <w:snapToGrid w:val="0"/>
              </w:rPr>
              <w:t xml:space="preserve">(range </w:t>
            </w:r>
            <w:r w:rsidR="007D36B1">
              <w:rPr>
                <w:snapToGrid w:val="0"/>
              </w:rPr>
              <w:t>0.6-9.7</w:t>
            </w:r>
            <w:r>
              <w:rPr>
                <w:snapToGrid w:val="0"/>
              </w:rPr>
              <w:t>)</w:t>
            </w:r>
          </w:p>
          <w:p w14:paraId="63930994" w14:textId="77777777" w:rsidR="00981758" w:rsidRPr="008A23B2" w:rsidRDefault="00981758" w:rsidP="00FD43B9">
            <w:pPr>
              <w:pStyle w:val="Tabletext1"/>
              <w:rPr>
                <w:snapToGrid w:val="0"/>
              </w:rPr>
            </w:pPr>
            <w:r>
              <w:rPr>
                <w:snapToGrid w:val="0"/>
              </w:rPr>
              <w:t>NR</w:t>
            </w:r>
          </w:p>
        </w:tc>
        <w:tc>
          <w:tcPr>
            <w:tcW w:w="0" w:type="auto"/>
          </w:tcPr>
          <w:p w14:paraId="1AE35021" w14:textId="77777777" w:rsidR="00981758" w:rsidRDefault="00344025" w:rsidP="00FD43B9">
            <w:pPr>
              <w:pStyle w:val="Tabletext1"/>
              <w:rPr>
                <w:snapToGrid w:val="0"/>
              </w:rPr>
            </w:pPr>
            <w:r>
              <w:rPr>
                <w:snapToGrid w:val="0"/>
              </w:rPr>
              <w:t>1.5 or 3.0</w:t>
            </w:r>
            <w:r w:rsidR="00981758">
              <w:rPr>
                <w:snapToGrid w:val="0"/>
              </w:rPr>
              <w:t>T</w:t>
            </w:r>
          </w:p>
          <w:p w14:paraId="1D85C1E8" w14:textId="77777777" w:rsidR="00981758" w:rsidRDefault="00981758" w:rsidP="00FD43B9">
            <w:pPr>
              <w:pStyle w:val="Tabletext1"/>
              <w:rPr>
                <w:snapToGrid w:val="0"/>
              </w:rPr>
            </w:pPr>
            <w:r>
              <w:rPr>
                <w:snapToGrid w:val="0"/>
              </w:rPr>
              <w:t>PPAC</w:t>
            </w:r>
            <w:r w:rsidR="00344025">
              <w:rPr>
                <w:snapToGrid w:val="0"/>
              </w:rPr>
              <w:t xml:space="preserve"> + ERC</w:t>
            </w:r>
          </w:p>
          <w:p w14:paraId="2F6C9270" w14:textId="77777777" w:rsidR="00981758" w:rsidRDefault="009A75C2" w:rsidP="00FD43B9">
            <w:pPr>
              <w:pStyle w:val="Tabletext1"/>
              <w:rPr>
                <w:snapToGrid w:val="0"/>
              </w:rPr>
            </w:pPr>
            <w:r>
              <w:rPr>
                <w:snapToGrid w:val="0"/>
              </w:rPr>
              <w:t>NA</w:t>
            </w:r>
          </w:p>
        </w:tc>
        <w:tc>
          <w:tcPr>
            <w:tcW w:w="0" w:type="auto"/>
            <w:shd w:val="clear" w:color="auto" w:fill="auto"/>
          </w:tcPr>
          <w:p w14:paraId="733A8C28" w14:textId="77777777" w:rsidR="00DF2562" w:rsidRDefault="00DF2562" w:rsidP="00FD43B9">
            <w:pPr>
              <w:pStyle w:val="Tabletext1"/>
              <w:rPr>
                <w:snapToGrid w:val="0"/>
              </w:rPr>
            </w:pPr>
            <w:r>
              <w:rPr>
                <w:snapToGrid w:val="0"/>
              </w:rPr>
              <w:t>TRUS + C-MRIGB</w:t>
            </w:r>
          </w:p>
          <w:p w14:paraId="281FC096" w14:textId="77777777" w:rsidR="00981758" w:rsidRPr="008A23B2" w:rsidRDefault="00DF2562" w:rsidP="00FD43B9">
            <w:pPr>
              <w:pStyle w:val="Tabletext1"/>
              <w:rPr>
                <w:snapToGrid w:val="0"/>
              </w:rPr>
            </w:pPr>
            <w:r>
              <w:rPr>
                <w:snapToGrid w:val="0"/>
              </w:rPr>
              <w:t>12-14 cores + targeted cores</w:t>
            </w:r>
          </w:p>
        </w:tc>
      </w:tr>
      <w:tr w:rsidR="00DF2562" w:rsidRPr="008A23B2" w14:paraId="0FF2D892" w14:textId="77777777" w:rsidTr="00A865DD">
        <w:trPr>
          <w:cantSplit/>
          <w:trHeight w:val="397"/>
        </w:trPr>
        <w:tc>
          <w:tcPr>
            <w:tcW w:w="1917" w:type="dxa"/>
            <w:shd w:val="clear" w:color="auto" w:fill="auto"/>
          </w:tcPr>
          <w:p w14:paraId="639F7A62" w14:textId="77777777" w:rsidR="00981758" w:rsidRPr="00291227" w:rsidRDefault="00652080" w:rsidP="00FD43B9">
            <w:pPr>
              <w:pStyle w:val="Tabletext1"/>
            </w:pPr>
            <w:r w:rsidRPr="00291227">
              <w:t>Porpiglia et al. (2015)</w:t>
            </w:r>
          </w:p>
          <w:p w14:paraId="7826DE49" w14:textId="77777777" w:rsidR="00652080" w:rsidRPr="00291227" w:rsidRDefault="00652080" w:rsidP="00FD43B9">
            <w:pPr>
              <w:pStyle w:val="Tabletext1"/>
            </w:pPr>
            <w:r w:rsidRPr="00291227">
              <w:t>Italy</w:t>
            </w:r>
          </w:p>
          <w:p w14:paraId="062A8AD0" w14:textId="77777777" w:rsidR="00652080" w:rsidRPr="00291227" w:rsidRDefault="00652080" w:rsidP="00FD43B9">
            <w:pPr>
              <w:pStyle w:val="Tabletext1"/>
            </w:pPr>
            <w:r w:rsidRPr="00291227">
              <w:t>Retrospective</w:t>
            </w:r>
          </w:p>
        </w:tc>
        <w:tc>
          <w:tcPr>
            <w:tcW w:w="1651" w:type="dxa"/>
            <w:shd w:val="clear" w:color="auto" w:fill="auto"/>
          </w:tcPr>
          <w:p w14:paraId="291BFD72" w14:textId="06B9F533" w:rsidR="001E0D09" w:rsidRPr="00291227" w:rsidRDefault="00B01696" w:rsidP="00FD43B9">
            <w:pPr>
              <w:pStyle w:val="Tabletext1"/>
            </w:pPr>
            <w:r>
              <w:t>n</w:t>
            </w:r>
            <w:r w:rsidR="001E0D09" w:rsidRPr="00291227">
              <w:t>=120</w:t>
            </w:r>
          </w:p>
          <w:p w14:paraId="29015249" w14:textId="77777777" w:rsidR="00B01696" w:rsidRDefault="001E0D09" w:rsidP="00FD43B9">
            <w:pPr>
              <w:pStyle w:val="Tabletext1"/>
            </w:pPr>
            <w:r w:rsidRPr="00291227">
              <w:t>m</w:t>
            </w:r>
            <w:r w:rsidR="00981758" w:rsidRPr="00291227">
              <w:t xml:space="preserve">edian 65.0 </w:t>
            </w:r>
          </w:p>
          <w:p w14:paraId="31D6B483" w14:textId="27004C0B" w:rsidR="00981758" w:rsidRPr="00291227" w:rsidRDefault="00981758" w:rsidP="00FD43B9">
            <w:pPr>
              <w:pStyle w:val="Tabletext1"/>
            </w:pPr>
            <w:r w:rsidRPr="00291227">
              <w:t>(range 57-70</w:t>
            </w:r>
            <w:r w:rsidR="00B01696">
              <w:t>)</w:t>
            </w:r>
            <w:r w:rsidRPr="00291227">
              <w:br/>
            </w:r>
          </w:p>
        </w:tc>
        <w:tc>
          <w:tcPr>
            <w:tcW w:w="0" w:type="auto"/>
            <w:shd w:val="clear" w:color="auto" w:fill="auto"/>
          </w:tcPr>
          <w:p w14:paraId="14D7E4FA" w14:textId="51720368" w:rsidR="007D0EC1" w:rsidRPr="00291227" w:rsidRDefault="00215BBA" w:rsidP="00FD43B9">
            <w:pPr>
              <w:pStyle w:val="Tabletext1"/>
            </w:pPr>
            <w:r w:rsidRPr="00291227">
              <w:t>Gleason</w:t>
            </w:r>
            <w:r w:rsidR="007D0EC1" w:rsidRPr="00291227">
              <w:t xml:space="preserve"> ≤6</w:t>
            </w:r>
          </w:p>
          <w:p w14:paraId="51D5FB8B" w14:textId="77777777" w:rsidR="00B01696" w:rsidRDefault="007D36B1" w:rsidP="00FD43B9">
            <w:pPr>
              <w:pStyle w:val="Tabletext1"/>
            </w:pPr>
            <w:r w:rsidRPr="00291227">
              <w:t>MRI+:Median 7.0</w:t>
            </w:r>
            <w:r w:rsidR="00981758" w:rsidRPr="00291227">
              <w:t xml:space="preserve"> </w:t>
            </w:r>
          </w:p>
          <w:p w14:paraId="39780710" w14:textId="191FF52A" w:rsidR="00981758" w:rsidRPr="00291227" w:rsidRDefault="00981758" w:rsidP="00FD43B9">
            <w:pPr>
              <w:pStyle w:val="Tabletext1"/>
            </w:pPr>
            <w:r w:rsidRPr="00291227">
              <w:t>(</w:t>
            </w:r>
            <w:r w:rsidR="007D36B1" w:rsidRPr="00291227">
              <w:t>IQR</w:t>
            </w:r>
            <w:r w:rsidRPr="00291227">
              <w:t xml:space="preserve"> </w:t>
            </w:r>
            <w:r w:rsidR="007D36B1" w:rsidRPr="00291227">
              <w:t>6.39-10.1</w:t>
            </w:r>
            <w:r w:rsidRPr="00291227">
              <w:t>)</w:t>
            </w:r>
          </w:p>
          <w:p w14:paraId="7A0D14C9" w14:textId="77777777" w:rsidR="00B01696" w:rsidRDefault="007D36B1" w:rsidP="00FD43B9">
            <w:pPr>
              <w:pStyle w:val="Tabletext1"/>
            </w:pPr>
            <w:r w:rsidRPr="00291227">
              <w:t xml:space="preserve">MRI-: median 5.75 </w:t>
            </w:r>
          </w:p>
          <w:p w14:paraId="4CB3CC26" w14:textId="62E35CA0" w:rsidR="00981758" w:rsidRPr="00291227" w:rsidRDefault="007D36B1" w:rsidP="00FD43B9">
            <w:pPr>
              <w:pStyle w:val="Tabletext1"/>
            </w:pPr>
            <w:r w:rsidRPr="00291227">
              <w:t>(IQR 4.88-9.22)</w:t>
            </w:r>
          </w:p>
          <w:p w14:paraId="47655ED6" w14:textId="77777777" w:rsidR="00B01696" w:rsidRDefault="007D36B1" w:rsidP="00FD43B9">
            <w:pPr>
              <w:pStyle w:val="Tabletext1"/>
            </w:pPr>
            <w:r w:rsidRPr="00291227">
              <w:t xml:space="preserve">MRI+: median 0.16 </w:t>
            </w:r>
          </w:p>
          <w:p w14:paraId="28ABB7C1" w14:textId="16F4031F" w:rsidR="007D36B1" w:rsidRPr="00291227" w:rsidRDefault="007D36B1" w:rsidP="00FD43B9">
            <w:pPr>
              <w:pStyle w:val="Tabletext1"/>
            </w:pPr>
            <w:r w:rsidRPr="00291227">
              <w:t>(IQR 0.15-0.24)</w:t>
            </w:r>
          </w:p>
          <w:p w14:paraId="2A288BC3" w14:textId="77777777" w:rsidR="00B01696" w:rsidRDefault="007D36B1" w:rsidP="00FD43B9">
            <w:pPr>
              <w:pStyle w:val="Tabletext1"/>
            </w:pPr>
            <w:r w:rsidRPr="00291227">
              <w:t xml:space="preserve">MRI-: median 0.13 </w:t>
            </w:r>
          </w:p>
          <w:p w14:paraId="5EB53ACE" w14:textId="708686F6" w:rsidR="007D36B1" w:rsidRPr="00291227" w:rsidRDefault="007D36B1" w:rsidP="00FD43B9">
            <w:pPr>
              <w:pStyle w:val="Tabletext1"/>
            </w:pPr>
            <w:r w:rsidRPr="00291227">
              <w:t>(IQR 0.11-0.21)</w:t>
            </w:r>
          </w:p>
        </w:tc>
        <w:tc>
          <w:tcPr>
            <w:tcW w:w="0" w:type="auto"/>
          </w:tcPr>
          <w:p w14:paraId="699DECEA" w14:textId="77777777" w:rsidR="00981758" w:rsidRPr="00291227" w:rsidRDefault="00344025" w:rsidP="00FD43B9">
            <w:pPr>
              <w:pStyle w:val="Tabletext1"/>
            </w:pPr>
            <w:r w:rsidRPr="00291227">
              <w:t>1.5</w:t>
            </w:r>
            <w:r w:rsidR="00981758" w:rsidRPr="00291227">
              <w:t>T</w:t>
            </w:r>
          </w:p>
          <w:p w14:paraId="6A96C56A" w14:textId="77777777" w:rsidR="00981758" w:rsidRPr="00291227" w:rsidRDefault="00344025" w:rsidP="00FD43B9">
            <w:pPr>
              <w:pStyle w:val="Tabletext1"/>
            </w:pPr>
            <w:r w:rsidRPr="00291227">
              <w:t>PPAC + ERC</w:t>
            </w:r>
          </w:p>
          <w:p w14:paraId="35206FBD" w14:textId="77777777" w:rsidR="00981758" w:rsidRPr="00291227" w:rsidRDefault="009A75C2" w:rsidP="00FD43B9">
            <w:pPr>
              <w:pStyle w:val="Tabletext1"/>
            </w:pPr>
            <w:r w:rsidRPr="00291227">
              <w:t>NR</w:t>
            </w:r>
          </w:p>
        </w:tc>
        <w:tc>
          <w:tcPr>
            <w:tcW w:w="0" w:type="auto"/>
            <w:shd w:val="clear" w:color="auto" w:fill="auto"/>
          </w:tcPr>
          <w:p w14:paraId="386B85A5" w14:textId="77777777" w:rsidR="00981758" w:rsidRPr="00291227" w:rsidRDefault="00DF2562" w:rsidP="00FD43B9">
            <w:pPr>
              <w:pStyle w:val="Tabletext1"/>
            </w:pPr>
            <w:r w:rsidRPr="00291227">
              <w:t>Prostatectomy</w:t>
            </w:r>
          </w:p>
        </w:tc>
      </w:tr>
      <w:tr w:rsidR="00DF2562" w:rsidRPr="008A23B2" w14:paraId="3D4F9D52" w14:textId="77777777" w:rsidTr="00A865DD">
        <w:trPr>
          <w:cantSplit/>
          <w:trHeight w:val="397"/>
        </w:trPr>
        <w:tc>
          <w:tcPr>
            <w:tcW w:w="1917" w:type="dxa"/>
            <w:shd w:val="clear" w:color="auto" w:fill="auto"/>
          </w:tcPr>
          <w:p w14:paraId="726B1368" w14:textId="77777777" w:rsidR="00981758" w:rsidRPr="00291227" w:rsidRDefault="00652080" w:rsidP="00FD43B9">
            <w:pPr>
              <w:pStyle w:val="Tabletext1"/>
            </w:pPr>
            <w:r w:rsidRPr="00291227">
              <w:t>Rebcal et al. 2016)</w:t>
            </w:r>
          </w:p>
          <w:p w14:paraId="10D469BB" w14:textId="77777777" w:rsidR="00652080" w:rsidRPr="00291227" w:rsidRDefault="00652080" w:rsidP="00FD43B9">
            <w:pPr>
              <w:pStyle w:val="Tabletext1"/>
            </w:pPr>
            <w:r w:rsidRPr="00291227">
              <w:t>USA</w:t>
            </w:r>
          </w:p>
          <w:p w14:paraId="3FE8E29B" w14:textId="77777777" w:rsidR="00652080" w:rsidRPr="00291227" w:rsidRDefault="00652080" w:rsidP="00FD43B9">
            <w:pPr>
              <w:pStyle w:val="Tabletext1"/>
            </w:pPr>
            <w:r w:rsidRPr="00291227">
              <w:t>Retrospective</w:t>
            </w:r>
          </w:p>
        </w:tc>
        <w:tc>
          <w:tcPr>
            <w:tcW w:w="1651" w:type="dxa"/>
            <w:shd w:val="clear" w:color="auto" w:fill="auto"/>
          </w:tcPr>
          <w:p w14:paraId="644A2C92" w14:textId="77777777" w:rsidR="001E0D09" w:rsidRPr="00291227" w:rsidRDefault="001E0D09" w:rsidP="00FD43B9">
            <w:pPr>
              <w:pStyle w:val="Tabletext1"/>
            </w:pPr>
            <w:r w:rsidRPr="00291227">
              <w:t>N = 206</w:t>
            </w:r>
          </w:p>
          <w:p w14:paraId="0F449E8F" w14:textId="77777777" w:rsidR="00B01696" w:rsidRDefault="00981758" w:rsidP="00FD43B9">
            <w:pPr>
              <w:pStyle w:val="Tabletext1"/>
            </w:pPr>
            <w:r w:rsidRPr="00291227">
              <w:t xml:space="preserve">median 63 </w:t>
            </w:r>
          </w:p>
          <w:p w14:paraId="0C9CDC32" w14:textId="56837C09" w:rsidR="00981758" w:rsidRPr="00291227" w:rsidRDefault="00981758" w:rsidP="00FD43B9">
            <w:pPr>
              <w:pStyle w:val="Tabletext1"/>
            </w:pPr>
            <w:r w:rsidRPr="00291227">
              <w:t>(IQR 57-68)</w:t>
            </w:r>
          </w:p>
        </w:tc>
        <w:tc>
          <w:tcPr>
            <w:tcW w:w="0" w:type="auto"/>
            <w:shd w:val="clear" w:color="auto" w:fill="auto"/>
          </w:tcPr>
          <w:p w14:paraId="78B82701" w14:textId="1DF99C94" w:rsidR="007D0EC1" w:rsidRPr="00291227" w:rsidRDefault="00215BBA" w:rsidP="00FD43B9">
            <w:pPr>
              <w:pStyle w:val="Tabletext1"/>
            </w:pPr>
            <w:r w:rsidRPr="00291227">
              <w:t>Gleason</w:t>
            </w:r>
            <w:r w:rsidR="007D0EC1" w:rsidRPr="00291227">
              <w:t xml:space="preserve"> ≤6</w:t>
            </w:r>
          </w:p>
          <w:p w14:paraId="73F48460" w14:textId="77777777" w:rsidR="00B01696" w:rsidRDefault="007D36B1" w:rsidP="00FD43B9">
            <w:pPr>
              <w:pStyle w:val="Tabletext1"/>
            </w:pPr>
            <w:r w:rsidRPr="00291227">
              <w:t xml:space="preserve">Median 5.2 </w:t>
            </w:r>
          </w:p>
          <w:p w14:paraId="4BBD3E15" w14:textId="06873E34" w:rsidR="00981758" w:rsidRPr="00291227" w:rsidRDefault="007D36B1" w:rsidP="00FD43B9">
            <w:pPr>
              <w:pStyle w:val="Tabletext1"/>
            </w:pPr>
            <w:r w:rsidRPr="00291227">
              <w:t>(IQR 3.8-7.4)</w:t>
            </w:r>
          </w:p>
          <w:p w14:paraId="0D3A45EE" w14:textId="77777777" w:rsidR="00B01696" w:rsidRDefault="007D36B1" w:rsidP="00FD43B9">
            <w:pPr>
              <w:pStyle w:val="Tabletext1"/>
            </w:pPr>
            <w:r w:rsidRPr="00291227">
              <w:t xml:space="preserve">Median 0.13 </w:t>
            </w:r>
          </w:p>
          <w:p w14:paraId="36039B0C" w14:textId="0F997B14" w:rsidR="00981758" w:rsidRPr="00291227" w:rsidRDefault="007D36B1" w:rsidP="00FD43B9">
            <w:pPr>
              <w:pStyle w:val="Tabletext1"/>
            </w:pPr>
            <w:r w:rsidRPr="00291227">
              <w:t>(IQR 0.08-0.19)</w:t>
            </w:r>
          </w:p>
        </w:tc>
        <w:tc>
          <w:tcPr>
            <w:tcW w:w="0" w:type="auto"/>
          </w:tcPr>
          <w:p w14:paraId="435FF905" w14:textId="77777777" w:rsidR="00981758" w:rsidRPr="00291227" w:rsidRDefault="00981758" w:rsidP="00FD43B9">
            <w:pPr>
              <w:pStyle w:val="Tabletext1"/>
            </w:pPr>
            <w:r w:rsidRPr="00291227">
              <w:t>1.5</w:t>
            </w:r>
            <w:r w:rsidR="00344025" w:rsidRPr="00291227">
              <w:t xml:space="preserve"> or 3.0</w:t>
            </w:r>
            <w:r w:rsidRPr="00291227">
              <w:t>T</w:t>
            </w:r>
          </w:p>
          <w:p w14:paraId="53E1109A" w14:textId="77E84439" w:rsidR="00981758" w:rsidRPr="00291227" w:rsidRDefault="00EE3851" w:rsidP="00FD43B9">
            <w:pPr>
              <w:pStyle w:val="Tabletext1"/>
            </w:pPr>
            <w:r>
              <w:t>PPAC +/- ERC</w:t>
            </w:r>
          </w:p>
          <w:p w14:paraId="7C46D156" w14:textId="77777777" w:rsidR="00981758" w:rsidRPr="00291227" w:rsidRDefault="00981758" w:rsidP="00FD43B9">
            <w:pPr>
              <w:pStyle w:val="Tabletext1"/>
            </w:pPr>
            <w:r w:rsidRPr="00291227">
              <w:t>NR</w:t>
            </w:r>
          </w:p>
        </w:tc>
        <w:tc>
          <w:tcPr>
            <w:tcW w:w="0" w:type="auto"/>
            <w:shd w:val="clear" w:color="auto" w:fill="auto"/>
          </w:tcPr>
          <w:p w14:paraId="43D9D7F0" w14:textId="77777777" w:rsidR="00DF2562" w:rsidRPr="00291227" w:rsidRDefault="00DF2562" w:rsidP="00FD43B9">
            <w:pPr>
              <w:pStyle w:val="Tabletext1"/>
            </w:pPr>
            <w:r w:rsidRPr="00291227">
              <w:t>TRUS + C-MRIGB</w:t>
            </w:r>
          </w:p>
          <w:p w14:paraId="173DEA3B" w14:textId="0BF88D8B" w:rsidR="00981758" w:rsidRPr="00291227" w:rsidRDefault="00DF2562" w:rsidP="00FD43B9">
            <w:pPr>
              <w:pStyle w:val="Tabletext1"/>
            </w:pPr>
            <w:r w:rsidRPr="00291227">
              <w:t xml:space="preserve">14 cores + targeted </w:t>
            </w:r>
            <w:r w:rsidR="00596642" w:rsidRPr="00291227">
              <w:t>cores</w:t>
            </w:r>
          </w:p>
        </w:tc>
      </w:tr>
    </w:tbl>
    <w:p w14:paraId="32531BFF" w14:textId="1D0592E8" w:rsidR="0021757E" w:rsidRDefault="00267381" w:rsidP="00B375F2">
      <w:pPr>
        <w:pStyle w:val="TableNotes"/>
      </w:pPr>
      <w:r w:rsidRPr="00267381">
        <w:rPr>
          <w:vertAlign w:val="superscript"/>
        </w:rPr>
        <w:t>a</w:t>
      </w:r>
      <w:r>
        <w:t>: O</w:t>
      </w:r>
      <w:r w:rsidR="00344025" w:rsidRPr="00267381">
        <w:t>nly</w:t>
      </w:r>
      <w:r w:rsidR="00344025">
        <w:t xml:space="preserve"> </w:t>
      </w:r>
      <w:r w:rsidR="008B1969">
        <w:t>patients</w:t>
      </w:r>
      <w:r w:rsidR="00344025">
        <w:t xml:space="preserve"> who </w:t>
      </w:r>
      <w:r w:rsidR="008B1969">
        <w:t>received</w:t>
      </w:r>
      <w:r w:rsidR="00344025">
        <w:t xml:space="preserve"> a 1.5T MRI were imaged using an endorectal coil</w:t>
      </w:r>
      <w:r w:rsidR="00AD722C">
        <w:t>.</w:t>
      </w:r>
    </w:p>
    <w:p w14:paraId="727F3A8E" w14:textId="3E9556DF" w:rsidR="00010A96" w:rsidRPr="00344025" w:rsidRDefault="00010A96" w:rsidP="00010A96">
      <w:pPr>
        <w:pStyle w:val="TableNotes"/>
      </w:pPr>
      <w:r>
        <w:t>PPAC = pelvic phased array coil, ERC = endorectal coil, MRI = magnetic resonance imaging, MRI+ = MRI positive, MRI- = MRI negative, MRIEQ = MRI equivocal, PSA = prostate specific antigen, TRUS = trans</w:t>
      </w:r>
      <w:r w:rsidR="006F3F56">
        <w:t>-</w:t>
      </w:r>
      <w:r>
        <w:t>rectal ultrasound, C-MRIGB = cognitive MRI guided biopsy, T = tesla, SD = standard deviati</w:t>
      </w:r>
      <w:r w:rsidR="00AD722C">
        <w:t>on, IQR = inter quartile range.</w:t>
      </w:r>
    </w:p>
    <w:p w14:paraId="3965CADF" w14:textId="3A9849D3" w:rsidR="00D81DD5" w:rsidRPr="00183E4D" w:rsidRDefault="0034466C" w:rsidP="0034466C">
      <w:pPr>
        <w:pStyle w:val="Heading2"/>
      </w:pPr>
      <w:bookmarkStart w:id="355" w:name="_Toc460513939"/>
      <w:r>
        <w:t>B6.5</w:t>
      </w:r>
      <w:r>
        <w:tab/>
      </w:r>
      <w:r>
        <w:tab/>
      </w:r>
      <w:r w:rsidR="00D81DD5" w:rsidRPr="00183E4D">
        <w:t>Outcome Measures and Analysis</w:t>
      </w:r>
      <w:r w:rsidR="008149DB">
        <w:t>: diagnostic accuracy (Population 2)</w:t>
      </w:r>
      <w:bookmarkEnd w:id="355"/>
    </w:p>
    <w:p w14:paraId="1124A08F" w14:textId="698DFDA4" w:rsidR="00D81DD5" w:rsidRDefault="00D81DD5" w:rsidP="00D81DD5">
      <w:r w:rsidRPr="00B44AF2">
        <w:t xml:space="preserve">To assess the diagnostic accuracy of the proposed test, studies were only included if they provided data that could be extracted into a classic 2 x 2 table, in which the results of the index test or the </w:t>
      </w:r>
      <w:r w:rsidRPr="00B44AF2">
        <w:lastRenderedPageBreak/>
        <w:t>comparator were cross-classified against the results of the reference</w:t>
      </w:r>
      <w:r>
        <w:t xml:space="preserve"> standard</w:t>
      </w:r>
      <w:r>
        <w:rPr>
          <w:rStyle w:val="FootnoteReference"/>
        </w:rPr>
        <w:footnoteReference w:id="5"/>
      </w:r>
      <w:r w:rsidRPr="00901DD6">
        <w:t>, and Bayes</w:t>
      </w:r>
      <w:r>
        <w:t>’</w:t>
      </w:r>
      <w:r w:rsidRPr="00901DD6">
        <w:t xml:space="preserve"> Theorem was applied</w:t>
      </w:r>
      <w:r w:rsidR="00F85F7F">
        <w:t xml:space="preserve"> (</w:t>
      </w:r>
      <w:r w:rsidR="00F85F7F">
        <w:fldChar w:fldCharType="begin"/>
      </w:r>
      <w:r w:rsidR="00F85F7F">
        <w:instrText xml:space="preserve"> REF _Ref457291978 \h </w:instrText>
      </w:r>
      <w:r w:rsidR="00F85F7F">
        <w:fldChar w:fldCharType="separate"/>
      </w:r>
      <w:r w:rsidR="0029649D" w:rsidRPr="005613FD">
        <w:t xml:space="preserve">Table </w:t>
      </w:r>
      <w:r w:rsidR="0029649D">
        <w:rPr>
          <w:noProof/>
        </w:rPr>
        <w:t>32</w:t>
      </w:r>
      <w:r w:rsidR="00F85F7F">
        <w:fldChar w:fldCharType="end"/>
      </w:r>
      <w:r w:rsidR="00F85F7F">
        <w:t>)</w:t>
      </w:r>
      <w:r w:rsidRPr="00901DD6">
        <w:t>:</w:t>
      </w:r>
    </w:p>
    <w:p w14:paraId="453055BB" w14:textId="70244AD1" w:rsidR="00D81DD5" w:rsidRPr="005613FD" w:rsidRDefault="00D81DD5" w:rsidP="00466B3D">
      <w:pPr>
        <w:pStyle w:val="Caption"/>
      </w:pPr>
      <w:bookmarkStart w:id="356" w:name="_Ref457291978"/>
      <w:bookmarkStart w:id="357" w:name="_Toc460514532"/>
      <w:r w:rsidRPr="005613FD">
        <w:t xml:space="preserve">Table </w:t>
      </w:r>
      <w:fldSimple w:instr=" SEQ Table \* ARABIC ">
        <w:r w:rsidR="0029649D">
          <w:rPr>
            <w:noProof/>
          </w:rPr>
          <w:t>32</w:t>
        </w:r>
      </w:fldSimple>
      <w:bookmarkEnd w:id="356"/>
      <w:r>
        <w:tab/>
      </w:r>
      <w:r w:rsidRPr="005613FD">
        <w:t>Diagnostic accuracy data extraction</w:t>
      </w:r>
      <w:bookmarkEnd w:id="357"/>
      <w:r w:rsidRPr="005613FD">
        <w:t xml:space="preserve"> </w:t>
      </w:r>
    </w:p>
    <w:tbl>
      <w:tblPr>
        <w:tblW w:w="9039" w:type="dxa"/>
        <w:tblLayout w:type="fixed"/>
        <w:tblLook w:val="0000" w:firstRow="0" w:lastRow="0" w:firstColumn="0" w:lastColumn="0" w:noHBand="0" w:noVBand="0"/>
      </w:tblPr>
      <w:tblGrid>
        <w:gridCol w:w="1526"/>
        <w:gridCol w:w="1134"/>
        <w:gridCol w:w="2268"/>
        <w:gridCol w:w="1984"/>
        <w:gridCol w:w="2127"/>
      </w:tblGrid>
      <w:tr w:rsidR="00D81DD5" w:rsidRPr="00637462" w14:paraId="3590CFA4" w14:textId="77777777" w:rsidTr="002706BF">
        <w:trPr>
          <w:cantSplit/>
          <w:trHeight w:val="177"/>
        </w:trPr>
        <w:tc>
          <w:tcPr>
            <w:tcW w:w="1526" w:type="dxa"/>
            <w:vAlign w:val="bottom"/>
          </w:tcPr>
          <w:p w14:paraId="6A55C138" w14:textId="77777777" w:rsidR="00D81DD5" w:rsidRPr="00637462" w:rsidRDefault="00D81DD5" w:rsidP="00A865DD">
            <w:pPr>
              <w:pStyle w:val="TableText0"/>
            </w:pPr>
            <w:r w:rsidRPr="00637462">
              <w:t>-</w:t>
            </w:r>
          </w:p>
        </w:tc>
        <w:tc>
          <w:tcPr>
            <w:tcW w:w="1134" w:type="dxa"/>
            <w:vAlign w:val="bottom"/>
          </w:tcPr>
          <w:p w14:paraId="76E27CD3" w14:textId="77777777" w:rsidR="00D81DD5" w:rsidRPr="00637462" w:rsidRDefault="00D81DD5" w:rsidP="00A865DD">
            <w:pPr>
              <w:pStyle w:val="TableText0"/>
            </w:pPr>
            <w:r w:rsidRPr="00637462">
              <w:t>-</w:t>
            </w:r>
          </w:p>
        </w:tc>
        <w:tc>
          <w:tcPr>
            <w:tcW w:w="2268" w:type="dxa"/>
            <w:vAlign w:val="bottom"/>
          </w:tcPr>
          <w:p w14:paraId="69DB91AD" w14:textId="77777777" w:rsidR="00D81DD5" w:rsidRPr="00637462" w:rsidRDefault="00D81DD5" w:rsidP="00A865DD">
            <w:pPr>
              <w:pStyle w:val="TableText0"/>
              <w:rPr>
                <w:b/>
              </w:rPr>
            </w:pPr>
            <w:r w:rsidRPr="00637462">
              <w:rPr>
                <w:b/>
              </w:rPr>
              <w:t>Reference standard</w:t>
            </w:r>
          </w:p>
        </w:tc>
        <w:tc>
          <w:tcPr>
            <w:tcW w:w="1984" w:type="dxa"/>
            <w:vAlign w:val="bottom"/>
          </w:tcPr>
          <w:p w14:paraId="277090C3" w14:textId="77777777" w:rsidR="00D81DD5" w:rsidRPr="00637462" w:rsidRDefault="00D81DD5" w:rsidP="00A865DD">
            <w:pPr>
              <w:pStyle w:val="TableText0"/>
              <w:rPr>
                <w:b/>
              </w:rPr>
            </w:pPr>
          </w:p>
        </w:tc>
        <w:tc>
          <w:tcPr>
            <w:tcW w:w="2127" w:type="dxa"/>
            <w:vAlign w:val="bottom"/>
          </w:tcPr>
          <w:p w14:paraId="246E466F" w14:textId="77777777" w:rsidR="00D81DD5" w:rsidRPr="00637462" w:rsidRDefault="00D81DD5" w:rsidP="00A865DD">
            <w:pPr>
              <w:pStyle w:val="TableText0"/>
            </w:pPr>
            <w:r w:rsidRPr="00637462">
              <w:t>-</w:t>
            </w:r>
          </w:p>
        </w:tc>
      </w:tr>
      <w:tr w:rsidR="00D81DD5" w:rsidRPr="00637462" w14:paraId="6EE93A73" w14:textId="77777777" w:rsidTr="002706BF">
        <w:trPr>
          <w:trHeight w:val="310"/>
        </w:trPr>
        <w:tc>
          <w:tcPr>
            <w:tcW w:w="1526" w:type="dxa"/>
            <w:vAlign w:val="center"/>
          </w:tcPr>
          <w:p w14:paraId="0F7A8CB7" w14:textId="77777777" w:rsidR="00D81DD5" w:rsidRPr="00637462" w:rsidRDefault="00D81DD5" w:rsidP="00A865DD">
            <w:pPr>
              <w:pStyle w:val="TableText0"/>
            </w:pPr>
            <w:r w:rsidRPr="00637462">
              <w:t>-</w:t>
            </w:r>
          </w:p>
        </w:tc>
        <w:tc>
          <w:tcPr>
            <w:tcW w:w="1134" w:type="dxa"/>
            <w:vAlign w:val="center"/>
          </w:tcPr>
          <w:p w14:paraId="6B74FC8E" w14:textId="77777777" w:rsidR="00D81DD5" w:rsidRPr="00637462" w:rsidRDefault="00D81DD5" w:rsidP="00A865DD">
            <w:pPr>
              <w:pStyle w:val="TableText0"/>
            </w:pPr>
            <w:r w:rsidRPr="00637462">
              <w:t>-</w:t>
            </w:r>
          </w:p>
        </w:tc>
        <w:tc>
          <w:tcPr>
            <w:tcW w:w="2268" w:type="dxa"/>
            <w:tcBorders>
              <w:bottom w:val="single" w:sz="4" w:space="0" w:color="auto"/>
            </w:tcBorders>
            <w:vAlign w:val="center"/>
          </w:tcPr>
          <w:p w14:paraId="0209B6A5" w14:textId="77777777" w:rsidR="00D81DD5" w:rsidRPr="00637462" w:rsidRDefault="00D81DD5" w:rsidP="00A865DD">
            <w:pPr>
              <w:pStyle w:val="TableText0"/>
            </w:pPr>
            <w:r w:rsidRPr="00637462">
              <w:rPr>
                <w:i/>
              </w:rPr>
              <w:t>Disease +</w:t>
            </w:r>
          </w:p>
        </w:tc>
        <w:tc>
          <w:tcPr>
            <w:tcW w:w="1984" w:type="dxa"/>
            <w:tcBorders>
              <w:bottom w:val="single" w:sz="4" w:space="0" w:color="auto"/>
            </w:tcBorders>
            <w:vAlign w:val="center"/>
          </w:tcPr>
          <w:p w14:paraId="49B09083" w14:textId="77777777" w:rsidR="00D81DD5" w:rsidRPr="00637462" w:rsidRDefault="00D81DD5" w:rsidP="00A865DD">
            <w:pPr>
              <w:pStyle w:val="TableText0"/>
            </w:pPr>
            <w:r w:rsidRPr="00637462">
              <w:rPr>
                <w:i/>
              </w:rPr>
              <w:t>Disease –</w:t>
            </w:r>
          </w:p>
        </w:tc>
        <w:tc>
          <w:tcPr>
            <w:tcW w:w="2127" w:type="dxa"/>
            <w:vAlign w:val="center"/>
          </w:tcPr>
          <w:p w14:paraId="15A4D0C1" w14:textId="77777777" w:rsidR="00D81DD5" w:rsidRPr="00637462" w:rsidRDefault="00D81DD5" w:rsidP="00A865DD">
            <w:pPr>
              <w:pStyle w:val="TableText0"/>
            </w:pPr>
            <w:r w:rsidRPr="00637462">
              <w:t>-</w:t>
            </w:r>
          </w:p>
        </w:tc>
      </w:tr>
      <w:tr w:rsidR="00D81DD5" w:rsidRPr="00637462" w14:paraId="1EA4DF8A" w14:textId="77777777" w:rsidTr="002706BF">
        <w:trPr>
          <w:cantSplit/>
          <w:trHeight w:val="449"/>
        </w:trPr>
        <w:tc>
          <w:tcPr>
            <w:tcW w:w="1526" w:type="dxa"/>
            <w:vAlign w:val="center"/>
          </w:tcPr>
          <w:p w14:paraId="047452C7" w14:textId="77777777" w:rsidR="00D81DD5" w:rsidRPr="00637462" w:rsidRDefault="00D81DD5" w:rsidP="00A865DD">
            <w:pPr>
              <w:pStyle w:val="TableText0"/>
              <w:rPr>
                <w:b/>
              </w:rPr>
            </w:pPr>
            <w:r w:rsidRPr="00637462">
              <w:rPr>
                <w:b/>
              </w:rPr>
              <w:t xml:space="preserve">Index test </w:t>
            </w:r>
          </w:p>
        </w:tc>
        <w:tc>
          <w:tcPr>
            <w:tcW w:w="1134" w:type="dxa"/>
            <w:tcBorders>
              <w:right w:val="single" w:sz="4" w:space="0" w:color="auto"/>
            </w:tcBorders>
            <w:vAlign w:val="center"/>
          </w:tcPr>
          <w:p w14:paraId="7D985FA6" w14:textId="77777777" w:rsidR="00D81DD5" w:rsidRPr="00637462" w:rsidRDefault="00D81DD5" w:rsidP="00A865DD">
            <w:pPr>
              <w:pStyle w:val="TableText0"/>
            </w:pPr>
            <w:r w:rsidRPr="00637462">
              <w:rPr>
                <w:i/>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599A6ED2" w14:textId="77777777" w:rsidR="00D81DD5" w:rsidRPr="00637462" w:rsidRDefault="00D81DD5" w:rsidP="00A865DD">
            <w:pPr>
              <w:pStyle w:val="TableText0"/>
            </w:pPr>
            <w:r w:rsidRPr="00637462">
              <w:t>true positive</w:t>
            </w:r>
          </w:p>
        </w:tc>
        <w:tc>
          <w:tcPr>
            <w:tcW w:w="1984" w:type="dxa"/>
            <w:tcBorders>
              <w:top w:val="single" w:sz="4" w:space="0" w:color="auto"/>
              <w:left w:val="single" w:sz="4" w:space="0" w:color="auto"/>
              <w:bottom w:val="single" w:sz="4" w:space="0" w:color="auto"/>
              <w:right w:val="single" w:sz="4" w:space="0" w:color="auto"/>
            </w:tcBorders>
            <w:vAlign w:val="center"/>
          </w:tcPr>
          <w:p w14:paraId="149A5086" w14:textId="77777777" w:rsidR="00D81DD5" w:rsidRPr="00637462" w:rsidRDefault="00D81DD5" w:rsidP="00A865DD">
            <w:pPr>
              <w:pStyle w:val="TableText0"/>
            </w:pPr>
            <w:r w:rsidRPr="00637462">
              <w:t>false positive</w:t>
            </w:r>
          </w:p>
        </w:tc>
        <w:tc>
          <w:tcPr>
            <w:tcW w:w="2127" w:type="dxa"/>
            <w:tcBorders>
              <w:left w:val="single" w:sz="4" w:space="0" w:color="auto"/>
              <w:right w:val="nil"/>
            </w:tcBorders>
            <w:vAlign w:val="center"/>
          </w:tcPr>
          <w:p w14:paraId="7F0FDD2C" w14:textId="77777777" w:rsidR="00D81DD5" w:rsidRPr="00637462" w:rsidRDefault="00D81DD5" w:rsidP="00A865DD">
            <w:pPr>
              <w:pStyle w:val="TableText0"/>
            </w:pPr>
            <w:r w:rsidRPr="00637462">
              <w:t>Total test positive</w:t>
            </w:r>
          </w:p>
        </w:tc>
      </w:tr>
      <w:tr w:rsidR="00D81DD5" w:rsidRPr="00637462" w14:paraId="1371C572" w14:textId="77777777" w:rsidTr="002706BF">
        <w:trPr>
          <w:cantSplit/>
          <w:trHeight w:val="426"/>
        </w:trPr>
        <w:tc>
          <w:tcPr>
            <w:tcW w:w="1526" w:type="dxa"/>
            <w:vAlign w:val="center"/>
          </w:tcPr>
          <w:p w14:paraId="36208308" w14:textId="77777777" w:rsidR="00D81DD5" w:rsidRPr="00637462" w:rsidRDefault="00D81DD5" w:rsidP="00A865DD">
            <w:pPr>
              <w:pStyle w:val="TableText0"/>
            </w:pPr>
            <w:r w:rsidRPr="00637462">
              <w:t xml:space="preserve">Or comparator </w:t>
            </w:r>
          </w:p>
        </w:tc>
        <w:tc>
          <w:tcPr>
            <w:tcW w:w="1134" w:type="dxa"/>
            <w:tcBorders>
              <w:right w:val="single" w:sz="4" w:space="0" w:color="auto"/>
            </w:tcBorders>
            <w:vAlign w:val="center"/>
          </w:tcPr>
          <w:p w14:paraId="184F91D7" w14:textId="77777777" w:rsidR="00D81DD5" w:rsidRPr="00637462" w:rsidRDefault="00D81DD5" w:rsidP="00A865DD">
            <w:pPr>
              <w:pStyle w:val="TableText0"/>
            </w:pPr>
            <w:r w:rsidRPr="00637462">
              <w:rPr>
                <w:i/>
              </w:rPr>
              <w:t>Test –</w:t>
            </w:r>
          </w:p>
        </w:tc>
        <w:tc>
          <w:tcPr>
            <w:tcW w:w="2268" w:type="dxa"/>
            <w:tcBorders>
              <w:top w:val="single" w:sz="4" w:space="0" w:color="auto"/>
              <w:left w:val="single" w:sz="4" w:space="0" w:color="auto"/>
              <w:bottom w:val="single" w:sz="4" w:space="0" w:color="auto"/>
              <w:right w:val="single" w:sz="4" w:space="0" w:color="auto"/>
            </w:tcBorders>
            <w:vAlign w:val="center"/>
          </w:tcPr>
          <w:p w14:paraId="3F9AA6F8" w14:textId="77777777" w:rsidR="00D81DD5" w:rsidRPr="00637462" w:rsidRDefault="00D81DD5" w:rsidP="00A865DD">
            <w:pPr>
              <w:pStyle w:val="TableText0"/>
            </w:pPr>
            <w:r w:rsidRPr="00637462">
              <w:t>false negative</w:t>
            </w:r>
          </w:p>
        </w:tc>
        <w:tc>
          <w:tcPr>
            <w:tcW w:w="1984" w:type="dxa"/>
            <w:tcBorders>
              <w:top w:val="single" w:sz="4" w:space="0" w:color="auto"/>
              <w:left w:val="single" w:sz="4" w:space="0" w:color="auto"/>
              <w:bottom w:val="single" w:sz="4" w:space="0" w:color="auto"/>
              <w:right w:val="single" w:sz="4" w:space="0" w:color="auto"/>
            </w:tcBorders>
            <w:vAlign w:val="center"/>
          </w:tcPr>
          <w:p w14:paraId="2B0444F9" w14:textId="77777777" w:rsidR="00D81DD5" w:rsidRPr="00637462" w:rsidRDefault="00D81DD5" w:rsidP="00A865DD">
            <w:pPr>
              <w:pStyle w:val="TableText0"/>
            </w:pPr>
            <w:r w:rsidRPr="00637462">
              <w:t>true negative</w:t>
            </w:r>
          </w:p>
        </w:tc>
        <w:tc>
          <w:tcPr>
            <w:tcW w:w="2127" w:type="dxa"/>
            <w:tcBorders>
              <w:left w:val="single" w:sz="4" w:space="0" w:color="auto"/>
              <w:right w:val="nil"/>
            </w:tcBorders>
            <w:vAlign w:val="center"/>
          </w:tcPr>
          <w:p w14:paraId="5DD6C5DE" w14:textId="77777777" w:rsidR="00D81DD5" w:rsidRPr="00637462" w:rsidRDefault="00D81DD5" w:rsidP="00A865DD">
            <w:pPr>
              <w:pStyle w:val="TableText0"/>
            </w:pPr>
            <w:r w:rsidRPr="00637462">
              <w:t>Total test negative</w:t>
            </w:r>
          </w:p>
        </w:tc>
      </w:tr>
      <w:tr w:rsidR="00D81DD5" w:rsidRPr="00637462" w14:paraId="1733A8B6" w14:textId="77777777" w:rsidTr="002706BF">
        <w:trPr>
          <w:trHeight w:val="149"/>
        </w:trPr>
        <w:tc>
          <w:tcPr>
            <w:tcW w:w="1526" w:type="dxa"/>
            <w:vAlign w:val="center"/>
          </w:tcPr>
          <w:p w14:paraId="0EB05A31" w14:textId="77777777" w:rsidR="00D81DD5" w:rsidRPr="00637462" w:rsidRDefault="00D81DD5" w:rsidP="00A865DD">
            <w:pPr>
              <w:pStyle w:val="TableText0"/>
            </w:pPr>
            <w:r w:rsidRPr="00637462">
              <w:t>-</w:t>
            </w:r>
          </w:p>
        </w:tc>
        <w:tc>
          <w:tcPr>
            <w:tcW w:w="1134" w:type="dxa"/>
            <w:vAlign w:val="center"/>
          </w:tcPr>
          <w:p w14:paraId="1E80D0FC" w14:textId="77777777" w:rsidR="00D81DD5" w:rsidRPr="00637462" w:rsidRDefault="00D81DD5" w:rsidP="00A865DD">
            <w:pPr>
              <w:pStyle w:val="TableText0"/>
            </w:pPr>
            <w:r w:rsidRPr="00637462">
              <w:t>-</w:t>
            </w:r>
          </w:p>
        </w:tc>
        <w:tc>
          <w:tcPr>
            <w:tcW w:w="2268" w:type="dxa"/>
            <w:tcBorders>
              <w:top w:val="single" w:sz="4" w:space="0" w:color="auto"/>
              <w:bottom w:val="nil"/>
            </w:tcBorders>
            <w:vAlign w:val="center"/>
          </w:tcPr>
          <w:p w14:paraId="4EDE1C74" w14:textId="77777777" w:rsidR="00D81DD5" w:rsidRPr="00637462" w:rsidRDefault="00D81DD5" w:rsidP="00A865DD">
            <w:pPr>
              <w:pStyle w:val="TableText0"/>
              <w:rPr>
                <w:highlight w:val="yellow"/>
              </w:rPr>
            </w:pPr>
            <w:r w:rsidRPr="00637462">
              <w:t xml:space="preserve">Total with </w:t>
            </w:r>
            <w:r>
              <w:t>disease</w:t>
            </w:r>
          </w:p>
        </w:tc>
        <w:tc>
          <w:tcPr>
            <w:tcW w:w="1984" w:type="dxa"/>
            <w:tcBorders>
              <w:top w:val="single" w:sz="4" w:space="0" w:color="auto"/>
              <w:bottom w:val="nil"/>
            </w:tcBorders>
            <w:vAlign w:val="center"/>
          </w:tcPr>
          <w:p w14:paraId="39F65DDD" w14:textId="77777777" w:rsidR="00D81DD5" w:rsidRPr="00637462" w:rsidRDefault="00D81DD5" w:rsidP="00A865DD">
            <w:pPr>
              <w:pStyle w:val="TableText0"/>
              <w:rPr>
                <w:highlight w:val="yellow"/>
              </w:rPr>
            </w:pPr>
            <w:r w:rsidRPr="00637462">
              <w:t xml:space="preserve">Total without </w:t>
            </w:r>
            <w:r>
              <w:t>disease</w:t>
            </w:r>
          </w:p>
        </w:tc>
        <w:tc>
          <w:tcPr>
            <w:tcW w:w="2127" w:type="dxa"/>
            <w:tcBorders>
              <w:bottom w:val="nil"/>
            </w:tcBorders>
            <w:vAlign w:val="center"/>
          </w:tcPr>
          <w:p w14:paraId="3B7BCB51" w14:textId="77777777" w:rsidR="00D81DD5" w:rsidRPr="00637462" w:rsidRDefault="00D81DD5" w:rsidP="00A865DD">
            <w:pPr>
              <w:pStyle w:val="TableText0"/>
            </w:pPr>
            <w:r w:rsidRPr="00637462">
              <w:t>-</w:t>
            </w:r>
          </w:p>
        </w:tc>
      </w:tr>
    </w:tbl>
    <w:p w14:paraId="33DC1021" w14:textId="77777777" w:rsidR="00D81DD5" w:rsidRPr="00B44AF2" w:rsidRDefault="00D81DD5" w:rsidP="00D81DD5"/>
    <w:p w14:paraId="1C639CCE" w14:textId="3B5735A1" w:rsidR="00EB28E5" w:rsidRDefault="00EB28E5" w:rsidP="00EB28E5">
      <w:r>
        <w:t xml:space="preserve">The primary outcome reported by all of the key studies, was the ability of mpMRI to detect any upgrade in cancer in patients eligible for AS for previously diagnosed </w:t>
      </w:r>
      <w:r w:rsidR="006818E1">
        <w:t>PCa</w:t>
      </w:r>
      <w:r>
        <w:t xml:space="preserve">. </w:t>
      </w:r>
    </w:p>
    <w:p w14:paraId="34834402" w14:textId="056237BF" w:rsidR="00EB28E5" w:rsidRDefault="00023843" w:rsidP="00EB28E5">
      <w:r>
        <w:t xml:space="preserve">Only studies that provided </w:t>
      </w:r>
      <w:r w:rsidR="00D311ED">
        <w:t>per-patient</w:t>
      </w:r>
      <w:r w:rsidR="00EB28E5">
        <w:t xml:space="preserve"> data were included in the meta-analysis as the decision whether to pe</w:t>
      </w:r>
      <w:r>
        <w:t xml:space="preserve">rform a biopsy is made on a </w:t>
      </w:r>
      <w:r w:rsidR="00D311ED">
        <w:t>per-patient</w:t>
      </w:r>
      <w:r w:rsidR="00EB28E5">
        <w:t xml:space="preserve"> basis in the clinical algorithm. No key study was excluded from the meta-analysis on this basis.</w:t>
      </w:r>
    </w:p>
    <w:p w14:paraId="2AD4CAE8" w14:textId="66BA13BD" w:rsidR="00EB28E5" w:rsidRDefault="00EB28E5" w:rsidP="00EB28E5">
      <w:r>
        <w:t xml:space="preserve">The bivariate model and hierarchical summary receiver operating characteristic (HSROC) analyses were conducted for Population 2. </w:t>
      </w:r>
      <w:r w:rsidRPr="0055577D">
        <w:t>The mixed modelling approach described by Reitsma et al. (2005) was</w:t>
      </w:r>
      <w:r>
        <w:t xml:space="preserve"> used to provide estimated summaries of sensitivity and specificity and the corresponding 95</w:t>
      </w:r>
      <w:r w:rsidR="00B65BFD">
        <w:t xml:space="preserve"> per cent</w:t>
      </w:r>
      <w:r>
        <w:t xml:space="preserve"> confidence ellipses</w:t>
      </w:r>
      <w:r w:rsidR="004F68DD">
        <w:t xml:space="preserve"> </w:t>
      </w:r>
      <w:r w:rsidR="008E0B00">
        <w:fldChar w:fldCharType="begin"/>
      </w:r>
      <w:r w:rsidR="008E0B00">
        <w:instrText xml:space="preserve"> ADDIN EN.CITE &lt;EndNote&gt;&lt;Cite&gt;&lt;Author&gt;Reitsma&lt;/Author&gt;&lt;Year&gt;2005&lt;/Year&gt;&lt;RecNum&gt;71&lt;/RecNum&gt;&lt;DisplayText&gt;(Reitsma et al. 2005)&lt;/DisplayText&gt;&lt;record&gt;&lt;rec-number&gt;71&lt;/rec-number&gt;&lt;foreign-keys&gt;&lt;key app="EN" db-id="2p9terxr22fx91epzebpfdwuzrwtw2a2ep2t" timestamp="1472684614"&gt;71&lt;/key&gt;&lt;/foreign-keys&gt;&lt;ref-type name="Journal Article"&gt;17&lt;/ref-type&gt;&lt;contributors&gt;&lt;authors&gt;&lt;author&gt;Reitsma, J. B.&lt;/author&gt;&lt;author&gt;Glas, A. S.&lt;/author&gt;&lt;author&gt;Rutjes, A. W.&lt;/author&gt;&lt;author&gt;Scholten, R. J.&lt;/author&gt;&lt;author&gt;Bossuyt, P. M.&lt;/author&gt;&lt;author&gt;Zwinderman, A. H.&lt;/author&gt;&lt;/authors&gt;&lt;/contributors&gt;&lt;auth-address&gt;Department of Clinical Epidemiology and Biostatistics, Academic Medical Center, University of Amsterdam, PO Box 22700, 1100 DE Amsterdam, The Netherlands. j.reitsma@amc.uva.nl&lt;/auth-address&gt;&lt;titles&gt;&lt;title&gt;Bivariate analysis of sensitivity and specificity produces informative summary measures in diagnostic reviews&lt;/title&gt;&lt;secondary-title&gt;J Clin Epidemiol&lt;/secondary-title&gt;&lt;alt-title&gt;Journal of clinical epidemiology&lt;/alt-title&gt;&lt;/titles&gt;&lt;periodical&gt;&lt;full-title&gt;J Clin Epidemiol&lt;/full-title&gt;&lt;/periodical&gt;&lt;pages&gt;982-90&lt;/pages&gt;&lt;volume&gt;58&lt;/volume&gt;&lt;number&gt;10&lt;/number&gt;&lt;edition&gt;2005/09/20&lt;/edition&gt;&lt;keywords&gt;&lt;keyword&gt;Data Interpretation, Statistical&lt;/keyword&gt;&lt;keyword&gt;*Diagnostic Techniques and Procedures&lt;/keyword&gt;&lt;keyword&gt;Humans&lt;/keyword&gt;&lt;keyword&gt;*Meta-Analysis as Topic&lt;/keyword&gt;&lt;keyword&gt;Outcome Assessment (Health Care)/methods&lt;/keyword&gt;&lt;keyword&gt;ROC Curve&lt;/keyword&gt;&lt;keyword&gt;Review Literature as Topic&lt;/keyword&gt;&lt;keyword&gt;Sensitivity and Specificity&lt;/keyword&gt;&lt;/keywords&gt;&lt;dates&gt;&lt;year&gt;2005&lt;/year&gt;&lt;pub-dates&gt;&lt;date&gt;Oct&lt;/date&gt;&lt;/pub-dates&gt;&lt;/dates&gt;&lt;isbn&gt;0895-4356 (Print)&amp;#xD;0895-4356&lt;/isbn&gt;&lt;accession-num&gt;16168343&lt;/accession-num&gt;&lt;urls&gt;&lt;/urls&gt;&lt;electronic-resource-num&gt;10.1016/j.jclinepi.2005.02.022&lt;/electronic-resource-num&gt;&lt;remote-database-provider&gt;NLM&lt;/remote-database-provider&gt;&lt;language&gt;eng&lt;/language&gt;&lt;/record&gt;&lt;/Cite&gt;&lt;/EndNote&gt;</w:instrText>
      </w:r>
      <w:r w:rsidR="008E0B00">
        <w:fldChar w:fldCharType="separate"/>
      </w:r>
      <w:r w:rsidR="008E0B00">
        <w:rPr>
          <w:noProof/>
        </w:rPr>
        <w:t>(</w:t>
      </w:r>
      <w:hyperlink w:anchor="_ENREF_125" w:tooltip="Reitsma, 2005 #71" w:history="1">
        <w:r w:rsidR="008E0B00">
          <w:rPr>
            <w:noProof/>
          </w:rPr>
          <w:t>Reitsma et al. 2005</w:t>
        </w:r>
      </w:hyperlink>
      <w:r w:rsidR="008E0B00">
        <w:rPr>
          <w:noProof/>
        </w:rPr>
        <w:t>)</w:t>
      </w:r>
      <w:r w:rsidR="008E0B00">
        <w:fldChar w:fldCharType="end"/>
      </w:r>
      <w:r>
        <w:t xml:space="preserve">. </w:t>
      </w:r>
      <w:r w:rsidRPr="00DD7E95">
        <w:t xml:space="preserve">The </w:t>
      </w:r>
      <w:r>
        <w:t>H</w:t>
      </w:r>
      <w:r w:rsidRPr="00DD7E95">
        <w:t>SROC cu</w:t>
      </w:r>
      <w:r w:rsidRPr="0055577D">
        <w:t xml:space="preserve">rve described by </w:t>
      </w:r>
      <w:r>
        <w:t>Rutter and Gatsonis</w:t>
      </w:r>
      <w:r w:rsidRPr="0055577D">
        <w:t xml:space="preserve"> </w:t>
      </w:r>
      <w:r>
        <w:t>was</w:t>
      </w:r>
      <w:r w:rsidRPr="0055577D">
        <w:t xml:space="preserve"> generated and the associated </w:t>
      </w:r>
      <w:r>
        <w:t>area under the curve (</w:t>
      </w:r>
      <w:r w:rsidRPr="0055577D">
        <w:t>AUC</w:t>
      </w:r>
      <w:r>
        <w:t>)</w:t>
      </w:r>
      <w:r w:rsidRPr="0055577D">
        <w:t xml:space="preserve"> was compared </w:t>
      </w:r>
      <w:r>
        <w:t>across</w:t>
      </w:r>
      <w:r w:rsidRPr="0055577D">
        <w:t xml:space="preserve"> imaging techniques</w:t>
      </w:r>
      <w:r w:rsidR="004F68DD">
        <w:t xml:space="preserve"> </w:t>
      </w:r>
      <w:r w:rsidR="008E0B00">
        <w:fldChar w:fldCharType="begin"/>
      </w:r>
      <w:r w:rsidR="008E0B00">
        <w:instrText xml:space="preserve"> ADDIN EN.CITE &lt;EndNote&gt;&lt;Cite&gt;&lt;Author&gt;Rutter&lt;/Author&gt;&lt;Year&gt;2001&lt;/Year&gt;&lt;RecNum&gt;72&lt;/RecNum&gt;&lt;DisplayText&gt;(Rutter and Gatsonis 2001)&lt;/DisplayText&gt;&lt;record&gt;&lt;rec-number&gt;72&lt;/rec-number&gt;&lt;foreign-keys&gt;&lt;key app="EN" db-id="2p9terxr22fx91epzebpfdwuzrwtw2a2ep2t" timestamp="1472684614"&gt;72&lt;/key&gt;&lt;/foreign-keys&gt;&lt;ref-type name="Journal Article"&gt;17&lt;/ref-type&gt;&lt;contributors&gt;&lt;authors&gt;&lt;author&gt;Rutter, Carolyn M&lt;/author&gt;&lt;author&gt;Gatsonis, Constantine A&lt;/author&gt;&lt;/authors&gt;&lt;/contributors&gt;&lt;titles&gt;&lt;title&gt;A hierarchical regression approach to meta‐analysis of diagnostic test accuracy evaluations&lt;/title&gt;&lt;secondary-title&gt;Stat Med&lt;/secondary-title&gt;&lt;/titles&gt;&lt;periodical&gt;&lt;full-title&gt;Stat Med&lt;/full-title&gt;&lt;/periodical&gt;&lt;pages&gt;2865-2884&lt;/pages&gt;&lt;volume&gt;20&lt;/volume&gt;&lt;number&gt;19&lt;/number&gt;&lt;dates&gt;&lt;year&gt;2001&lt;/year&gt;&lt;/dates&gt;&lt;isbn&gt;1097-0258&lt;/isbn&gt;&lt;urls&gt;&lt;/urls&gt;&lt;/record&gt;&lt;/Cite&gt;&lt;/EndNote&gt;</w:instrText>
      </w:r>
      <w:r w:rsidR="008E0B00">
        <w:fldChar w:fldCharType="separate"/>
      </w:r>
      <w:r w:rsidR="008E0B00">
        <w:rPr>
          <w:noProof/>
        </w:rPr>
        <w:t>(</w:t>
      </w:r>
      <w:hyperlink w:anchor="_ENREF_137" w:tooltip="Rutter, 2001 #72" w:history="1">
        <w:r w:rsidR="008E0B00">
          <w:rPr>
            <w:noProof/>
          </w:rPr>
          <w:t>Rutter and Gatsonis 2001</w:t>
        </w:r>
      </w:hyperlink>
      <w:r w:rsidR="008E0B00">
        <w:rPr>
          <w:noProof/>
        </w:rPr>
        <w:t>)</w:t>
      </w:r>
      <w:r w:rsidR="008E0B00">
        <w:fldChar w:fldCharType="end"/>
      </w:r>
      <w:r w:rsidRPr="0055577D">
        <w:t>.</w:t>
      </w:r>
      <w:r>
        <w:t xml:space="preserve"> Heterogeneity was estimated using visual inspection of the prediction interval. </w:t>
      </w:r>
    </w:p>
    <w:p w14:paraId="4078F961" w14:textId="39149599" w:rsidR="00EB28E5" w:rsidRDefault="00EB28E5" w:rsidP="00EB28E5">
      <w:r w:rsidRPr="00E95C28">
        <w:rPr>
          <w:i/>
        </w:rPr>
        <w:t>A priori</w:t>
      </w:r>
      <w:r w:rsidRPr="00124EF1">
        <w:t>,</w:t>
      </w:r>
      <w:r>
        <w:t xml:space="preserve"> it was determined that the type of reference standard would be investigated by subgroup analyses.</w:t>
      </w:r>
      <w:r w:rsidR="00FC61ED">
        <w:t xml:space="preserve"> No other subgroup analys</w:t>
      </w:r>
      <w:r w:rsidR="000630EB">
        <w:t>e</w:t>
      </w:r>
      <w:r w:rsidR="00FC61ED">
        <w:t>s were intended to be performed due to the small number of key studies identified for Population 2.</w:t>
      </w:r>
      <w:r>
        <w:t xml:space="preserve"> No </w:t>
      </w:r>
      <w:r w:rsidRPr="00160B25">
        <w:rPr>
          <w:i/>
        </w:rPr>
        <w:t>post-hoc</w:t>
      </w:r>
      <w:r>
        <w:t xml:space="preserve"> subgroup analyses were performed. </w:t>
      </w:r>
    </w:p>
    <w:p w14:paraId="7C03C292" w14:textId="530AB631" w:rsidR="0035769A" w:rsidRDefault="0035769A" w:rsidP="0035769A">
      <w:r>
        <w:t xml:space="preserve">Estimates of sensitivity and specificity were performed for the detection of any cancer upgrade as </w:t>
      </w:r>
      <w:r w:rsidRPr="00431A0C">
        <w:t xml:space="preserve">defined in </w:t>
      </w:r>
      <w:r w:rsidR="003A7523" w:rsidRPr="00431A0C">
        <w:fldChar w:fldCharType="begin"/>
      </w:r>
      <w:r w:rsidR="003A7523" w:rsidRPr="00431A0C">
        <w:instrText xml:space="preserve"> REF _Ref456615497 \h </w:instrText>
      </w:r>
      <w:r w:rsidR="00431A0C">
        <w:instrText xml:space="preserve"> \* MERGEFORMAT </w:instrText>
      </w:r>
      <w:r w:rsidR="003A7523" w:rsidRPr="00431A0C">
        <w:fldChar w:fldCharType="separate"/>
      </w:r>
      <w:r w:rsidR="0029649D" w:rsidRPr="00431A0C">
        <w:t xml:space="preserve">Table </w:t>
      </w:r>
      <w:r w:rsidR="0029649D">
        <w:rPr>
          <w:noProof/>
        </w:rPr>
        <w:t>33</w:t>
      </w:r>
      <w:r w:rsidR="003A7523" w:rsidRPr="00431A0C">
        <w:fldChar w:fldCharType="end"/>
      </w:r>
      <w:r w:rsidRPr="00431A0C">
        <w:t>.</w:t>
      </w:r>
    </w:p>
    <w:p w14:paraId="374C4E0E" w14:textId="0AB52603" w:rsidR="0035769A" w:rsidRDefault="0035769A" w:rsidP="0035769A">
      <w:r>
        <w:t xml:space="preserve">Meta-analyses were conducted in R i386 v 3.1.2 using the </w:t>
      </w:r>
      <w:r w:rsidDel="007E5BBD">
        <w:t>“mada”</w:t>
      </w:r>
      <w:r>
        <w:t xml:space="preserve"> package</w:t>
      </w:r>
      <w:r w:rsidR="004F68DD">
        <w:t xml:space="preserve"> </w:t>
      </w:r>
      <w:r w:rsidR="008E0B00">
        <w:fldChar w:fldCharType="begin"/>
      </w:r>
      <w:r w:rsidR="008E0B00">
        <w:instrText xml:space="preserve"> ADDIN EN.CITE &lt;EndNote&gt;&lt;Cite&gt;&lt;Author&gt;Doebler&lt;/Author&gt;&lt;Year&gt;2012&lt;/Year&gt;&lt;RecNum&gt;73&lt;/RecNum&gt;&lt;DisplayText&gt;(Doebler and Holling 2012)&lt;/DisplayText&gt;&lt;record&gt;&lt;rec-number&gt;73&lt;/rec-number&gt;&lt;foreign-keys&gt;&lt;key app="EN" db-id="2p9terxr22fx91epzebpfdwuzrwtw2a2ep2t" timestamp="1472684615"&gt;73&lt;/key&gt;&lt;/foreign-keys&gt;&lt;ref-type name="Web Page"&gt;12&lt;/ref-type&gt;&lt;contributors&gt;&lt;authors&gt;&lt;author&gt;Doebler, Philipp&lt;/author&gt;&lt;author&gt;Holling, Heinz&lt;/author&gt;&lt;/authors&gt;&lt;/contributors&gt;&lt;titles&gt;&lt;title&gt;Meta-Analysis of Diagnostic Accuracy with mada&lt;/title&gt;&lt;/titles&gt;&lt;volume&gt;2016&lt;/volume&gt;&lt;number&gt;1 September&lt;/number&gt;&lt;dates&gt;&lt;year&gt;2012&lt;/year&gt;&lt;/dates&gt;&lt;publisher&gt;CRAN&lt;/publisher&gt;&lt;urls&gt;&lt;related-urls&gt;&lt;url&gt;https://cran.r-project.org/web/packages/mada/vignettes/mada.pdf&lt;/url&gt;&lt;/related-urls&gt;&lt;/urls&gt;&lt;/record&gt;&lt;/Cite&gt;&lt;/EndNote&gt;</w:instrText>
      </w:r>
      <w:r w:rsidR="008E0B00">
        <w:fldChar w:fldCharType="separate"/>
      </w:r>
      <w:r w:rsidR="008E0B00">
        <w:rPr>
          <w:noProof/>
        </w:rPr>
        <w:t>(</w:t>
      </w:r>
      <w:hyperlink w:anchor="_ENREF_38" w:tooltip="Doebler, 2012 #73" w:history="1">
        <w:r w:rsidR="008E0B00">
          <w:rPr>
            <w:noProof/>
          </w:rPr>
          <w:t>Doebler and Holling 2012</w:t>
        </w:r>
      </w:hyperlink>
      <w:r w:rsidR="008E0B00">
        <w:rPr>
          <w:noProof/>
        </w:rPr>
        <w:t>)</w:t>
      </w:r>
      <w:r w:rsidR="008E0B00">
        <w:fldChar w:fldCharType="end"/>
      </w:r>
      <w:r w:rsidR="004F68DD">
        <w:t>.</w:t>
      </w:r>
      <w:r>
        <w:t xml:space="preserve"> Publication bias was not assessed due to the inherent difficulty in estimating publication bias for diagnostic studies and inaccura</w:t>
      </w:r>
      <w:r w:rsidR="004F68DD">
        <w:t xml:space="preserve">cy in interpretation of results </w:t>
      </w:r>
      <w:r w:rsidR="008E0B00">
        <w:fldChar w:fldCharType="begin"/>
      </w:r>
      <w:r w:rsidR="008E0B00">
        <w:instrText xml:space="preserve"> ADDIN EN.CITE &lt;EndNote&gt;&lt;Cite&gt;&lt;Author&gt;Macaskill&lt;/Author&gt;&lt;Year&gt;2010&lt;/Year&gt;&lt;RecNum&gt;74&lt;/RecNum&gt;&lt;DisplayText&gt;(Macaskill et al. 2010)&lt;/DisplayText&gt;&lt;record&gt;&lt;rec-number&gt;74&lt;/rec-number&gt;&lt;foreign-keys&gt;&lt;key app="EN" db-id="2p9terxr22fx91epzebpfdwuzrwtw2a2ep2t" timestamp="1472684615"&gt;74&lt;/key&gt;&lt;/foreign-keys&gt;&lt;ref-type name="Web Page"&gt;12&lt;/ref-type&gt;&lt;contributors&gt;&lt;authors&gt;&lt;author&gt;Macaskill, P.&lt;/author&gt;&lt;author&gt;Gatsonis, C.&lt;/author&gt;&lt;author&gt;Deeks, J.&lt;/author&gt;&lt;author&gt;Harbord, R.&lt;/author&gt;&lt;author&gt;Takwoingi, Y.&lt;/author&gt;&lt;/authors&gt;&lt;/contributors&gt;&lt;titles&gt;&lt;title&gt;Cochrane Handbook for Systematic Reviews of Diagnostic Test Accuracy: Chapter 10: Analysing and Presenting Results&lt;/title&gt;&lt;/titles&gt;&lt;volume&gt;2015&lt;/volume&gt;&lt;number&gt;1 October&lt;/number&gt;&lt;dates&gt;&lt;year&gt;2010&lt;/year&gt;&lt;/dates&gt;&lt;publisher&gt;The Cochrane Collaboration&lt;/publisher&gt;&lt;urls&gt;&lt;related-urls&gt;&lt;url&gt;http://srdta.cochrane.org/&lt;/url&gt;&lt;/related-urls&gt;&lt;/urls&gt;&lt;/record&gt;&lt;/Cite&gt;&lt;/EndNote&gt;</w:instrText>
      </w:r>
      <w:r w:rsidR="008E0B00">
        <w:fldChar w:fldCharType="separate"/>
      </w:r>
      <w:r w:rsidR="008E0B00">
        <w:rPr>
          <w:noProof/>
        </w:rPr>
        <w:t>(</w:t>
      </w:r>
      <w:hyperlink w:anchor="_ENREF_89" w:tooltip="Macaskill, 2010 #74" w:history="1">
        <w:r w:rsidR="008E0B00">
          <w:rPr>
            <w:noProof/>
          </w:rPr>
          <w:t>Macaskill et al. 2010</w:t>
        </w:r>
      </w:hyperlink>
      <w:r w:rsidR="008E0B00">
        <w:rPr>
          <w:noProof/>
        </w:rPr>
        <w:t>)</w:t>
      </w:r>
      <w:r w:rsidR="008E0B00">
        <w:fldChar w:fldCharType="end"/>
      </w:r>
      <w:r w:rsidR="004F68DD">
        <w:t xml:space="preserve">. </w:t>
      </w:r>
    </w:p>
    <w:p w14:paraId="055B4209" w14:textId="77777777" w:rsidR="00D81DD5" w:rsidRDefault="00D81DD5" w:rsidP="00D81DD5">
      <w:pPr>
        <w:rPr>
          <w:vanish/>
          <w:color w:val="C00000"/>
        </w:rPr>
      </w:pPr>
    </w:p>
    <w:p w14:paraId="190109AC" w14:textId="77777777" w:rsidR="00D81DD5" w:rsidRPr="00183E4D" w:rsidRDefault="00D81DD5" w:rsidP="00D81DD5">
      <w:pPr>
        <w:sectPr w:rsidR="00D81DD5" w:rsidRPr="00183E4D" w:rsidSect="007A49EE">
          <w:headerReference w:type="even" r:id="rId38"/>
          <w:headerReference w:type="default" r:id="rId39"/>
          <w:headerReference w:type="first" r:id="rId40"/>
          <w:type w:val="oddPage"/>
          <w:pgSz w:w="11906" w:h="16838"/>
          <w:pgMar w:top="1440" w:right="1440" w:bottom="1440" w:left="1440" w:header="720" w:footer="720" w:gutter="0"/>
          <w:paperSrc w:first="2" w:other="2"/>
          <w:cols w:space="720"/>
        </w:sectPr>
      </w:pPr>
    </w:p>
    <w:p w14:paraId="57DCBA04" w14:textId="085F24A2" w:rsidR="00D81DD5" w:rsidRDefault="0034466C" w:rsidP="000E2A18">
      <w:pPr>
        <w:pStyle w:val="Heading2"/>
        <w:ind w:left="1134" w:hanging="1134"/>
      </w:pPr>
      <w:bookmarkStart w:id="358" w:name="_Toc460513940"/>
      <w:r>
        <w:lastRenderedPageBreak/>
        <w:t>B6.6</w:t>
      </w:r>
      <w:r>
        <w:tab/>
      </w:r>
      <w:r w:rsidR="00D81DD5" w:rsidRPr="00183E4D">
        <w:t>Results of the Systematic Literature review</w:t>
      </w:r>
      <w:r w:rsidR="00B40008">
        <w:t>: diagnostic accuracy (Population 2)</w:t>
      </w:r>
      <w:bookmarkEnd w:id="358"/>
    </w:p>
    <w:p w14:paraId="49D8FD93" w14:textId="1BDFE457" w:rsidR="00D81DD5" w:rsidRDefault="00D81DD5" w:rsidP="00D81DD5">
      <w:pPr>
        <w:pStyle w:val="Heading3"/>
      </w:pPr>
      <w:bookmarkStart w:id="359" w:name="_Toc460513941"/>
      <w:r>
        <w:t xml:space="preserve">Is </w:t>
      </w:r>
      <w:r w:rsidR="009A220C">
        <w:t>mpMRI</w:t>
      </w:r>
      <w:r>
        <w:t xml:space="preserve"> accurate?</w:t>
      </w:r>
      <w:bookmarkEnd w:id="359"/>
    </w:p>
    <w:p w14:paraId="4BBDC631" w14:textId="393AF4B2" w:rsidR="005B46F5" w:rsidRDefault="005B46F5" w:rsidP="005B46F5">
      <w:pPr>
        <w:pStyle w:val="Summaryboxheading"/>
        <w:pBdr>
          <w:top w:val="single" w:sz="4" w:space="1" w:color="auto"/>
          <w:left w:val="single" w:sz="4" w:space="4" w:color="auto"/>
          <w:bottom w:val="single" w:sz="4" w:space="1" w:color="auto"/>
          <w:right w:val="single" w:sz="4" w:space="4" w:color="auto"/>
        </w:pBdr>
      </w:pPr>
      <w:r w:rsidRPr="00183E4D">
        <w:t xml:space="preserve">Summary – </w:t>
      </w:r>
      <w:r>
        <w:t>What is the diagnostic accuracy of mpMRI to detect upgrade cancer in patients on active surveillance?</w:t>
      </w:r>
    </w:p>
    <w:p w14:paraId="4A692868" w14:textId="5E6E877A" w:rsidR="005B46F5" w:rsidRDefault="005B46F5" w:rsidP="005B46F5">
      <w:pPr>
        <w:pStyle w:val="Summaryboxheading"/>
        <w:pBdr>
          <w:top w:val="single" w:sz="4" w:space="1" w:color="auto"/>
          <w:left w:val="single" w:sz="4" w:space="4" w:color="auto"/>
          <w:bottom w:val="single" w:sz="4" w:space="1" w:color="auto"/>
          <w:right w:val="single" w:sz="4" w:space="4" w:color="auto"/>
        </w:pBdr>
        <w:rPr>
          <w:b w:val="0"/>
        </w:rPr>
      </w:pPr>
      <w:r>
        <w:rPr>
          <w:b w:val="0"/>
        </w:rPr>
        <w:t>Six studies</w:t>
      </w:r>
      <w:r w:rsidR="00755326">
        <w:rPr>
          <w:b w:val="0"/>
        </w:rPr>
        <w:t>, including 820 patients,</w:t>
      </w:r>
      <w:r>
        <w:rPr>
          <w:b w:val="0"/>
        </w:rPr>
        <w:t xml:space="preserve"> were i</w:t>
      </w:r>
      <w:r w:rsidR="00023843">
        <w:rPr>
          <w:b w:val="0"/>
        </w:rPr>
        <w:t xml:space="preserve">dentified that reported a </w:t>
      </w:r>
      <w:r w:rsidR="00D311ED">
        <w:rPr>
          <w:b w:val="0"/>
        </w:rPr>
        <w:t>per-patient</w:t>
      </w:r>
      <w:r>
        <w:rPr>
          <w:b w:val="0"/>
        </w:rPr>
        <w:t xml:space="preserve"> analysis of the diagnostic accuracy of mpMRI</w:t>
      </w:r>
      <w:r w:rsidR="000324A3">
        <w:rPr>
          <w:b w:val="0"/>
        </w:rPr>
        <w:t xml:space="preserve"> to detect upgraded cancer</w:t>
      </w:r>
      <w:r>
        <w:rPr>
          <w:b w:val="0"/>
        </w:rPr>
        <w:t xml:space="preserve"> in patients on active surveillance programs. Pathology of samples obtained by biopsy was the reference standard in three studies, while three studies used pathology of prostatectomy specimens. There were no applicability issues identified between the included key studies and the proposed population in the Protocol. Only studies using </w:t>
      </w:r>
      <w:r w:rsidR="00286F45">
        <w:rPr>
          <w:b w:val="0"/>
        </w:rPr>
        <w:t>the same</w:t>
      </w:r>
      <w:r>
        <w:rPr>
          <w:b w:val="0"/>
        </w:rPr>
        <w:t xml:space="preserve"> threshold for PI-RADS scoring as that stated in the Protocol (≥ PI-RADS 4 for a positive result) were included in this analysis. </w:t>
      </w:r>
    </w:p>
    <w:p w14:paraId="3F3FF91F" w14:textId="54153D01" w:rsidR="005B46F5" w:rsidRPr="007A45BE" w:rsidRDefault="005B46F5" w:rsidP="005B46F5">
      <w:pPr>
        <w:pStyle w:val="Summaryboxheading"/>
        <w:pBdr>
          <w:top w:val="single" w:sz="4" w:space="1" w:color="auto"/>
          <w:left w:val="single" w:sz="4" w:space="4" w:color="auto"/>
          <w:bottom w:val="single" w:sz="4" w:space="1" w:color="auto"/>
          <w:right w:val="single" w:sz="4" w:space="4" w:color="auto"/>
        </w:pBdr>
        <w:rPr>
          <w:b w:val="0"/>
        </w:rPr>
      </w:pPr>
      <w:r w:rsidRPr="007A45BE">
        <w:rPr>
          <w:b w:val="0"/>
        </w:rPr>
        <w:t>For the detection of cancer</w:t>
      </w:r>
      <w:r w:rsidR="000324A3">
        <w:rPr>
          <w:b w:val="0"/>
        </w:rPr>
        <w:t xml:space="preserve"> upgrade</w:t>
      </w:r>
      <w:r w:rsidRPr="007A45BE">
        <w:rPr>
          <w:b w:val="0"/>
        </w:rPr>
        <w:t xml:space="preserve">, mpMRI has a sensitivity of </w:t>
      </w:r>
      <w:r w:rsidR="00B61EAB">
        <w:rPr>
          <w:b w:val="0"/>
        </w:rPr>
        <w:t>79.3% (95% CI [74.6, 83.3]) and a specificity of 55.1% (95% CI [50.4, 59.8</w:t>
      </w:r>
      <w:r w:rsidRPr="007A45BE">
        <w:rPr>
          <w:b w:val="0"/>
        </w:rPr>
        <w:t>])</w:t>
      </w:r>
      <w:r>
        <w:rPr>
          <w:b w:val="0"/>
        </w:rPr>
        <w:t xml:space="preserve"> – results from meta-analysis of </w:t>
      </w:r>
      <w:r w:rsidR="000324A3">
        <w:rPr>
          <w:b w:val="0"/>
        </w:rPr>
        <w:t>six</w:t>
      </w:r>
      <w:r>
        <w:rPr>
          <w:b w:val="0"/>
        </w:rPr>
        <w:t xml:space="preserve"> studies including </w:t>
      </w:r>
      <w:r w:rsidR="00B61EAB">
        <w:rPr>
          <w:b w:val="0"/>
        </w:rPr>
        <w:t>820</w:t>
      </w:r>
      <w:r>
        <w:rPr>
          <w:b w:val="0"/>
        </w:rPr>
        <w:t xml:space="preserve"> patients).</w:t>
      </w:r>
    </w:p>
    <w:p w14:paraId="35D37017" w14:textId="556E64EC" w:rsidR="00647C2A" w:rsidRDefault="000324A3" w:rsidP="005B46F5">
      <w:pPr>
        <w:pStyle w:val="Summaryboxheading"/>
        <w:pBdr>
          <w:top w:val="single" w:sz="4" w:space="1" w:color="auto"/>
          <w:left w:val="single" w:sz="4" w:space="4" w:color="auto"/>
          <w:bottom w:val="single" w:sz="4" w:space="1" w:color="auto"/>
          <w:right w:val="single" w:sz="4" w:space="4" w:color="auto"/>
        </w:pBdr>
        <w:rPr>
          <w:b w:val="0"/>
        </w:rPr>
      </w:pPr>
      <w:r w:rsidRPr="000324A3">
        <w:rPr>
          <w:b w:val="0"/>
        </w:rPr>
        <w:t xml:space="preserve">The narrow </w:t>
      </w:r>
      <w:r>
        <w:rPr>
          <w:b w:val="0"/>
        </w:rPr>
        <w:t xml:space="preserve">95% </w:t>
      </w:r>
      <w:r w:rsidRPr="000324A3">
        <w:rPr>
          <w:b w:val="0"/>
        </w:rPr>
        <w:t xml:space="preserve">confidence </w:t>
      </w:r>
      <w:r>
        <w:rPr>
          <w:b w:val="0"/>
        </w:rPr>
        <w:t>and prediction regions reflects the</w:t>
      </w:r>
      <w:r w:rsidRPr="000324A3">
        <w:rPr>
          <w:b w:val="0"/>
        </w:rPr>
        <w:t xml:space="preserve"> high level of certainty in the point estimate</w:t>
      </w:r>
      <w:r>
        <w:rPr>
          <w:b w:val="0"/>
        </w:rPr>
        <w:t xml:space="preserve"> and the </w:t>
      </w:r>
      <w:r w:rsidRPr="000324A3">
        <w:rPr>
          <w:b w:val="0"/>
        </w:rPr>
        <w:t>low level of heterogeneity present in the evidence base</w:t>
      </w:r>
      <w:r w:rsidR="003B759A">
        <w:rPr>
          <w:b w:val="0"/>
        </w:rPr>
        <w:t xml:space="preserve">. Subgroup analysis by type of reference standard did not </w:t>
      </w:r>
      <w:r w:rsidR="00B40008">
        <w:rPr>
          <w:b w:val="0"/>
        </w:rPr>
        <w:t xml:space="preserve">reveal </w:t>
      </w:r>
      <w:r w:rsidR="003B759A">
        <w:rPr>
          <w:b w:val="0"/>
        </w:rPr>
        <w:t>any statistical difference between studies using a biopsy reference standard and those using prostatectomy samples.</w:t>
      </w:r>
      <w:r w:rsidR="00647C2A">
        <w:rPr>
          <w:b w:val="0"/>
        </w:rPr>
        <w:t xml:space="preserve"> </w:t>
      </w:r>
    </w:p>
    <w:p w14:paraId="67CC26EB" w14:textId="17B0C1BC" w:rsidR="00D81DD5" w:rsidRPr="00431A0C" w:rsidRDefault="00647C2A" w:rsidP="00431A0C">
      <w:pPr>
        <w:pStyle w:val="Summaryboxheading"/>
        <w:pBdr>
          <w:top w:val="single" w:sz="4" w:space="1" w:color="auto"/>
          <w:left w:val="single" w:sz="4" w:space="4" w:color="auto"/>
          <w:bottom w:val="single" w:sz="4" w:space="1" w:color="auto"/>
          <w:right w:val="single" w:sz="4" w:space="4" w:color="auto"/>
        </w:pBdr>
        <w:rPr>
          <w:b w:val="0"/>
        </w:rPr>
      </w:pPr>
      <w:r>
        <w:rPr>
          <w:b w:val="0"/>
        </w:rPr>
        <w:t xml:space="preserve">It is therefore suggested that the diagnostic accuracy of mpMRI for detected upgraded cancer in men on active surveillance is inferior to TRUSGB or TPUSGB. </w:t>
      </w:r>
      <w:r w:rsidR="00D030A9">
        <w:rPr>
          <w:b w:val="0"/>
        </w:rPr>
        <w:t xml:space="preserve">The quality of the diagnostic accuracy outcomes was rated good using the GRADE tool reflecting the consistent nature of the </w:t>
      </w:r>
      <w:r>
        <w:rPr>
          <w:b w:val="0"/>
        </w:rPr>
        <w:t>evidence</w:t>
      </w:r>
      <w:r w:rsidR="00D030A9">
        <w:rPr>
          <w:b w:val="0"/>
        </w:rPr>
        <w:t xml:space="preserve"> base in this population. </w:t>
      </w:r>
    </w:p>
    <w:p w14:paraId="1DFE0414" w14:textId="2B49DD6E" w:rsidR="00D81DD5" w:rsidRPr="00466B3D" w:rsidRDefault="00D81DD5" w:rsidP="00466B3D">
      <w:pPr>
        <w:pStyle w:val="Caption"/>
      </w:pPr>
      <w:bookmarkStart w:id="360" w:name="_Ref456615497"/>
      <w:bookmarkStart w:id="361" w:name="_Toc460514533"/>
      <w:r w:rsidRPr="00431A0C">
        <w:lastRenderedPageBreak/>
        <w:t xml:space="preserve">Table </w:t>
      </w:r>
      <w:fldSimple w:instr=" SEQ Table \* ARABIC ">
        <w:r w:rsidR="0029649D">
          <w:rPr>
            <w:noProof/>
          </w:rPr>
          <w:t>33</w:t>
        </w:r>
      </w:fldSimple>
      <w:bookmarkEnd w:id="360"/>
      <w:r w:rsidRPr="00431A0C">
        <w:tab/>
      </w:r>
      <w:r w:rsidRPr="00466B3D">
        <w:t xml:space="preserve">Results of key accuracy trials comparing </w:t>
      </w:r>
      <w:r w:rsidR="00A12ECD" w:rsidRPr="00466B3D">
        <w:t>mpMRI</w:t>
      </w:r>
      <w:r w:rsidRPr="00466B3D">
        <w:t xml:space="preserve"> against </w:t>
      </w:r>
      <w:r w:rsidR="00A12ECD" w:rsidRPr="00466B3D">
        <w:t>biopsy</w:t>
      </w:r>
      <w:bookmarkEnd w:id="361"/>
      <w:r w:rsidRPr="00466B3D">
        <w:t xml:space="preserve"> </w:t>
      </w:r>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6 Results of the key patient-relevant outcome across the studies"/>
        <w:tblDescription w:val="This table provides a summary of the findings in each study for the key patient-relevant outcome. Results for the intervention and comparator arms of each study are provided, along with an indication of the absolute difference and relative difference in results between the study arms. If the results across studies are meta-analysed, the results are also given."/>
      </w:tblPr>
      <w:tblGrid>
        <w:gridCol w:w="2281"/>
        <w:gridCol w:w="2279"/>
        <w:gridCol w:w="2278"/>
        <w:gridCol w:w="2274"/>
      </w:tblGrid>
      <w:tr w:rsidR="00ED751B" w:rsidRPr="00A865DD" w14:paraId="228BD7F8" w14:textId="77777777" w:rsidTr="00A865DD">
        <w:trPr>
          <w:trHeight w:val="397"/>
        </w:trPr>
        <w:tc>
          <w:tcPr>
            <w:tcW w:w="1251" w:type="pct"/>
            <w:shd w:val="clear" w:color="auto" w:fill="auto"/>
          </w:tcPr>
          <w:p w14:paraId="34EF2CA9" w14:textId="77777777" w:rsidR="00ED751B" w:rsidRPr="00A865DD" w:rsidRDefault="00ED751B" w:rsidP="00F81059">
            <w:pPr>
              <w:pStyle w:val="Tableheading1"/>
              <w:keepNext/>
              <w:rPr>
                <w:snapToGrid w:val="0"/>
              </w:rPr>
            </w:pPr>
            <w:r w:rsidRPr="00A865DD">
              <w:rPr>
                <w:snapToGrid w:val="0"/>
              </w:rPr>
              <w:t>Study ID</w:t>
            </w:r>
          </w:p>
        </w:tc>
        <w:tc>
          <w:tcPr>
            <w:tcW w:w="1250" w:type="pct"/>
          </w:tcPr>
          <w:p w14:paraId="56912E7A" w14:textId="77777777" w:rsidR="00ED751B" w:rsidRPr="00A865DD" w:rsidRDefault="00ED751B" w:rsidP="00F81059">
            <w:pPr>
              <w:pStyle w:val="Tableheading1"/>
              <w:keepNext/>
              <w:rPr>
                <w:snapToGrid w:val="0"/>
              </w:rPr>
            </w:pPr>
            <w:r w:rsidRPr="00A865DD">
              <w:rPr>
                <w:snapToGrid w:val="0"/>
              </w:rPr>
              <w:t xml:space="preserve">Study characteristics </w:t>
            </w:r>
          </w:p>
        </w:tc>
        <w:tc>
          <w:tcPr>
            <w:tcW w:w="1250" w:type="pct"/>
          </w:tcPr>
          <w:p w14:paraId="1AB0EB6B" w14:textId="4BC08300" w:rsidR="00ED751B" w:rsidRPr="00A865DD" w:rsidRDefault="00ED751B" w:rsidP="00F81059">
            <w:pPr>
              <w:pStyle w:val="Tableheading1"/>
              <w:keepNext/>
              <w:rPr>
                <w:snapToGrid w:val="0"/>
              </w:rPr>
            </w:pPr>
            <w:r w:rsidRPr="00A865DD">
              <w:rPr>
                <w:snapToGrid w:val="0"/>
              </w:rPr>
              <w:t xml:space="preserve">Result </w:t>
            </w:r>
          </w:p>
        </w:tc>
        <w:tc>
          <w:tcPr>
            <w:tcW w:w="1248" w:type="pct"/>
          </w:tcPr>
          <w:p w14:paraId="10442D55" w14:textId="77777777" w:rsidR="00ED751B" w:rsidRPr="00A865DD" w:rsidRDefault="00ED751B" w:rsidP="00F81059">
            <w:pPr>
              <w:pStyle w:val="Tableheading1"/>
              <w:keepNext/>
              <w:rPr>
                <w:snapToGrid w:val="0"/>
              </w:rPr>
            </w:pPr>
            <w:r w:rsidRPr="00A865DD">
              <w:rPr>
                <w:snapToGrid w:val="0"/>
              </w:rPr>
              <w:t>Definition of upgraded cancer</w:t>
            </w:r>
          </w:p>
        </w:tc>
      </w:tr>
      <w:tr w:rsidR="00ED751B" w:rsidRPr="00183E4D" w14:paraId="231E4388" w14:textId="77777777" w:rsidTr="00A865DD">
        <w:trPr>
          <w:trHeight w:val="397"/>
        </w:trPr>
        <w:tc>
          <w:tcPr>
            <w:tcW w:w="1251" w:type="pct"/>
            <w:shd w:val="clear" w:color="auto" w:fill="auto"/>
          </w:tcPr>
          <w:p w14:paraId="69E90082" w14:textId="77777777" w:rsidR="00ED751B" w:rsidRDefault="00ED751B" w:rsidP="00F81059">
            <w:pPr>
              <w:pStyle w:val="Tabletext1"/>
              <w:keepNext/>
              <w:rPr>
                <w:snapToGrid w:val="0"/>
              </w:rPr>
            </w:pPr>
            <w:r>
              <w:rPr>
                <w:snapToGrid w:val="0"/>
              </w:rPr>
              <w:t>Abd-Alazeez et al. (2014)</w:t>
            </w:r>
          </w:p>
          <w:p w14:paraId="2AC57D01" w14:textId="77777777" w:rsidR="00ED751B" w:rsidRPr="001B3E0A" w:rsidRDefault="00731083" w:rsidP="00F81059">
            <w:pPr>
              <w:pStyle w:val="Tabletext1"/>
              <w:keepNext/>
              <w:rPr>
                <w:snapToGrid w:val="0"/>
              </w:rPr>
            </w:pPr>
            <w:r>
              <w:rPr>
                <w:snapToGrid w:val="0"/>
              </w:rPr>
              <w:t>UK</w:t>
            </w:r>
          </w:p>
        </w:tc>
        <w:tc>
          <w:tcPr>
            <w:tcW w:w="1250" w:type="pct"/>
          </w:tcPr>
          <w:p w14:paraId="755959EA" w14:textId="77777777" w:rsidR="00ED751B" w:rsidRDefault="00ED751B" w:rsidP="00F81059">
            <w:pPr>
              <w:pStyle w:val="Tabletext1"/>
              <w:keepNext/>
              <w:rPr>
                <w:snapToGrid w:val="0"/>
              </w:rPr>
            </w:pPr>
            <w:r>
              <w:rPr>
                <w:snapToGrid w:val="0"/>
              </w:rPr>
              <w:t>Prospective</w:t>
            </w:r>
          </w:p>
          <w:p w14:paraId="7FDB5BF1" w14:textId="77777777" w:rsidR="00ED751B" w:rsidRDefault="00ED751B" w:rsidP="00F81059">
            <w:pPr>
              <w:pStyle w:val="Tabletext1"/>
              <w:keepNext/>
              <w:rPr>
                <w:snapToGrid w:val="0"/>
              </w:rPr>
            </w:pPr>
            <w:r>
              <w:rPr>
                <w:snapToGrid w:val="0"/>
              </w:rPr>
              <w:t>No ERC</w:t>
            </w:r>
          </w:p>
        </w:tc>
        <w:tc>
          <w:tcPr>
            <w:tcW w:w="1250" w:type="pct"/>
          </w:tcPr>
          <w:p w14:paraId="1D632929" w14:textId="0C9DE01F" w:rsidR="00ED751B" w:rsidRDefault="00731083" w:rsidP="00F81059">
            <w:pPr>
              <w:pStyle w:val="Tabletext1"/>
              <w:keepNext/>
              <w:rPr>
                <w:snapToGrid w:val="0"/>
              </w:rPr>
            </w:pPr>
            <w:r>
              <w:rPr>
                <w:snapToGrid w:val="0"/>
              </w:rPr>
              <w:t>Sensitivity=77%</w:t>
            </w:r>
          </w:p>
          <w:p w14:paraId="002EC012" w14:textId="1856EDCB" w:rsidR="00ED751B" w:rsidRDefault="00ED751B" w:rsidP="00F81059">
            <w:pPr>
              <w:pStyle w:val="Tabletext1"/>
              <w:keepNext/>
              <w:rPr>
                <w:snapToGrid w:val="0"/>
              </w:rPr>
            </w:pPr>
            <w:r>
              <w:rPr>
                <w:snapToGrid w:val="0"/>
              </w:rPr>
              <w:t>Specificity=56%</w:t>
            </w:r>
          </w:p>
        </w:tc>
        <w:tc>
          <w:tcPr>
            <w:tcW w:w="1248" w:type="pct"/>
          </w:tcPr>
          <w:p w14:paraId="1C8B3288" w14:textId="59ED4B07" w:rsidR="00ED751B" w:rsidRDefault="001A6F8B" w:rsidP="00F81059">
            <w:pPr>
              <w:pStyle w:val="Tabletext1"/>
              <w:keepNext/>
              <w:rPr>
                <w:snapToGrid w:val="0"/>
              </w:rPr>
            </w:pPr>
            <w:r>
              <w:rPr>
                <w:snapToGrid w:val="0"/>
              </w:rPr>
              <w:t>Gleason ≥7</w:t>
            </w:r>
          </w:p>
        </w:tc>
      </w:tr>
      <w:tr w:rsidR="00ED751B" w:rsidRPr="00183E4D" w14:paraId="75F25941" w14:textId="77777777" w:rsidTr="00A865DD">
        <w:trPr>
          <w:trHeight w:val="397"/>
        </w:trPr>
        <w:tc>
          <w:tcPr>
            <w:tcW w:w="1251" w:type="pct"/>
            <w:shd w:val="clear" w:color="auto" w:fill="auto"/>
          </w:tcPr>
          <w:p w14:paraId="5B117C24" w14:textId="77777777" w:rsidR="00ED751B" w:rsidRDefault="00ED751B" w:rsidP="00F81059">
            <w:pPr>
              <w:pStyle w:val="Tabletext1"/>
              <w:keepNext/>
              <w:rPr>
                <w:snapToGrid w:val="0"/>
              </w:rPr>
            </w:pPr>
            <w:r w:rsidRPr="001B3E0A">
              <w:rPr>
                <w:snapToGrid w:val="0"/>
              </w:rPr>
              <w:t>Almeida et al. (2016)</w:t>
            </w:r>
          </w:p>
          <w:p w14:paraId="48D452B6" w14:textId="77777777" w:rsidR="00ED751B" w:rsidRPr="001B3E0A" w:rsidRDefault="00731083" w:rsidP="00F81059">
            <w:pPr>
              <w:pStyle w:val="Tabletext1"/>
              <w:keepNext/>
              <w:rPr>
                <w:snapToGrid w:val="0"/>
              </w:rPr>
            </w:pPr>
            <w:r>
              <w:rPr>
                <w:snapToGrid w:val="0"/>
              </w:rPr>
              <w:t>Italy</w:t>
            </w:r>
          </w:p>
        </w:tc>
        <w:tc>
          <w:tcPr>
            <w:tcW w:w="1250" w:type="pct"/>
          </w:tcPr>
          <w:p w14:paraId="1475DD99" w14:textId="77777777" w:rsidR="00ED751B" w:rsidRDefault="00ED751B" w:rsidP="00F81059">
            <w:pPr>
              <w:pStyle w:val="Tabletext1"/>
              <w:keepNext/>
              <w:rPr>
                <w:snapToGrid w:val="0"/>
              </w:rPr>
            </w:pPr>
            <w:r>
              <w:rPr>
                <w:snapToGrid w:val="0"/>
              </w:rPr>
              <w:t>Prospective</w:t>
            </w:r>
          </w:p>
          <w:p w14:paraId="08C2E305" w14:textId="77777777" w:rsidR="00ED751B" w:rsidRDefault="00ED751B" w:rsidP="00F81059">
            <w:pPr>
              <w:pStyle w:val="Tabletext1"/>
              <w:keepNext/>
              <w:rPr>
                <w:snapToGrid w:val="0"/>
              </w:rPr>
            </w:pPr>
            <w:r>
              <w:rPr>
                <w:snapToGrid w:val="0"/>
              </w:rPr>
              <w:t>No ERC</w:t>
            </w:r>
          </w:p>
        </w:tc>
        <w:tc>
          <w:tcPr>
            <w:tcW w:w="1250" w:type="pct"/>
          </w:tcPr>
          <w:p w14:paraId="378BDF47" w14:textId="4228992F" w:rsidR="00ED751B" w:rsidRDefault="00731083" w:rsidP="00F81059">
            <w:pPr>
              <w:pStyle w:val="Tabletext1"/>
              <w:keepNext/>
              <w:rPr>
                <w:snapToGrid w:val="0"/>
              </w:rPr>
            </w:pPr>
            <w:r>
              <w:rPr>
                <w:snapToGrid w:val="0"/>
              </w:rPr>
              <w:t>Sensitivity=76%</w:t>
            </w:r>
          </w:p>
          <w:p w14:paraId="0C0183EF" w14:textId="77F14DD9" w:rsidR="00ED751B" w:rsidRDefault="00ED751B" w:rsidP="00F81059">
            <w:pPr>
              <w:pStyle w:val="Tabletext1"/>
              <w:keepNext/>
              <w:rPr>
                <w:snapToGrid w:val="0"/>
              </w:rPr>
            </w:pPr>
            <w:r>
              <w:rPr>
                <w:snapToGrid w:val="0"/>
              </w:rPr>
              <w:t>Specificity=43%</w:t>
            </w:r>
          </w:p>
        </w:tc>
        <w:tc>
          <w:tcPr>
            <w:tcW w:w="1248" w:type="pct"/>
          </w:tcPr>
          <w:p w14:paraId="312F12D6" w14:textId="7F44774A" w:rsidR="00ED751B" w:rsidRDefault="001A6F8B" w:rsidP="00F81059">
            <w:pPr>
              <w:pStyle w:val="Tabletext1"/>
              <w:keepNext/>
              <w:rPr>
                <w:snapToGrid w:val="0"/>
              </w:rPr>
            </w:pPr>
            <w:r>
              <w:rPr>
                <w:snapToGrid w:val="0"/>
              </w:rPr>
              <w:t>Gleason ≥7</w:t>
            </w:r>
          </w:p>
        </w:tc>
      </w:tr>
      <w:tr w:rsidR="00ED751B" w:rsidRPr="00183E4D" w14:paraId="69C46275" w14:textId="77777777" w:rsidTr="00A865DD">
        <w:trPr>
          <w:trHeight w:val="397"/>
        </w:trPr>
        <w:tc>
          <w:tcPr>
            <w:tcW w:w="1251" w:type="pct"/>
            <w:shd w:val="clear" w:color="auto" w:fill="auto"/>
          </w:tcPr>
          <w:p w14:paraId="6D5717AF" w14:textId="77777777" w:rsidR="00ED751B" w:rsidRDefault="00ED751B" w:rsidP="00F81059">
            <w:pPr>
              <w:pStyle w:val="Tabletext1"/>
              <w:keepNext/>
              <w:rPr>
                <w:snapToGrid w:val="0"/>
              </w:rPr>
            </w:pPr>
            <w:r>
              <w:rPr>
                <w:snapToGrid w:val="0"/>
              </w:rPr>
              <w:t>de Cobelli et al. (2015)</w:t>
            </w:r>
          </w:p>
          <w:p w14:paraId="41348531" w14:textId="77777777" w:rsidR="00ED751B" w:rsidRPr="001B3E0A" w:rsidRDefault="00731083" w:rsidP="00F81059">
            <w:pPr>
              <w:pStyle w:val="Tabletext1"/>
              <w:keepNext/>
              <w:rPr>
                <w:snapToGrid w:val="0"/>
              </w:rPr>
            </w:pPr>
            <w:r>
              <w:rPr>
                <w:snapToGrid w:val="0"/>
              </w:rPr>
              <w:t>Italy</w:t>
            </w:r>
          </w:p>
        </w:tc>
        <w:tc>
          <w:tcPr>
            <w:tcW w:w="1250" w:type="pct"/>
          </w:tcPr>
          <w:p w14:paraId="16E682F1" w14:textId="77777777" w:rsidR="00ED751B" w:rsidRDefault="00ED751B" w:rsidP="00F81059">
            <w:pPr>
              <w:pStyle w:val="Tabletext1"/>
              <w:keepNext/>
              <w:rPr>
                <w:snapToGrid w:val="0"/>
              </w:rPr>
            </w:pPr>
            <w:r>
              <w:rPr>
                <w:snapToGrid w:val="0"/>
              </w:rPr>
              <w:t>Retrospective</w:t>
            </w:r>
          </w:p>
          <w:p w14:paraId="243A1EBC" w14:textId="77777777" w:rsidR="00ED751B" w:rsidRDefault="00ED751B" w:rsidP="00F81059">
            <w:pPr>
              <w:pStyle w:val="Tabletext1"/>
              <w:keepNext/>
              <w:rPr>
                <w:snapToGrid w:val="0"/>
              </w:rPr>
            </w:pPr>
            <w:r>
              <w:rPr>
                <w:snapToGrid w:val="0"/>
              </w:rPr>
              <w:t>ERC</w:t>
            </w:r>
          </w:p>
        </w:tc>
        <w:tc>
          <w:tcPr>
            <w:tcW w:w="1250" w:type="pct"/>
          </w:tcPr>
          <w:p w14:paraId="64B9DB33" w14:textId="44A0CCBA" w:rsidR="00ED751B" w:rsidRDefault="00731083" w:rsidP="00F81059">
            <w:pPr>
              <w:pStyle w:val="Tabletext1"/>
              <w:keepNext/>
              <w:rPr>
                <w:snapToGrid w:val="0"/>
              </w:rPr>
            </w:pPr>
            <w:r>
              <w:rPr>
                <w:snapToGrid w:val="0"/>
              </w:rPr>
              <w:t>Sensitivity=84%</w:t>
            </w:r>
          </w:p>
          <w:p w14:paraId="491B299D" w14:textId="67DAD14A" w:rsidR="00ED751B" w:rsidRDefault="00ED751B" w:rsidP="00F81059">
            <w:pPr>
              <w:pStyle w:val="Tabletext1"/>
              <w:keepNext/>
              <w:rPr>
                <w:snapToGrid w:val="0"/>
              </w:rPr>
            </w:pPr>
            <w:r>
              <w:rPr>
                <w:snapToGrid w:val="0"/>
              </w:rPr>
              <w:t>Specificity=52%</w:t>
            </w:r>
          </w:p>
        </w:tc>
        <w:tc>
          <w:tcPr>
            <w:tcW w:w="1248" w:type="pct"/>
          </w:tcPr>
          <w:p w14:paraId="32185011" w14:textId="509BE165" w:rsidR="00ED751B" w:rsidRDefault="001A6F8B" w:rsidP="00F81059">
            <w:pPr>
              <w:pStyle w:val="Tabletext1"/>
              <w:keepNext/>
              <w:rPr>
                <w:snapToGrid w:val="0"/>
              </w:rPr>
            </w:pPr>
            <w:r>
              <w:rPr>
                <w:snapToGrid w:val="0"/>
              </w:rPr>
              <w:t>Gleason ≥7</w:t>
            </w:r>
          </w:p>
        </w:tc>
      </w:tr>
      <w:tr w:rsidR="00ED751B" w:rsidRPr="00183E4D" w14:paraId="697873DA" w14:textId="77777777" w:rsidTr="00A865DD">
        <w:trPr>
          <w:trHeight w:val="397"/>
        </w:trPr>
        <w:tc>
          <w:tcPr>
            <w:tcW w:w="1251" w:type="pct"/>
            <w:shd w:val="clear" w:color="auto" w:fill="auto"/>
          </w:tcPr>
          <w:p w14:paraId="2E020AE1" w14:textId="77777777" w:rsidR="00ED751B" w:rsidRDefault="00ED751B" w:rsidP="00F81059">
            <w:pPr>
              <w:pStyle w:val="Tabletext1"/>
              <w:keepNext/>
              <w:rPr>
                <w:snapToGrid w:val="0"/>
              </w:rPr>
            </w:pPr>
            <w:r>
              <w:rPr>
                <w:snapToGrid w:val="0"/>
              </w:rPr>
              <w:t>Flavell et al. (2014)</w:t>
            </w:r>
          </w:p>
          <w:p w14:paraId="1F68348E" w14:textId="77777777" w:rsidR="00ED751B" w:rsidRPr="001B3E0A" w:rsidRDefault="00731083" w:rsidP="00F81059">
            <w:pPr>
              <w:pStyle w:val="Tabletext1"/>
              <w:keepNext/>
              <w:rPr>
                <w:snapToGrid w:val="0"/>
              </w:rPr>
            </w:pPr>
            <w:r>
              <w:rPr>
                <w:snapToGrid w:val="0"/>
              </w:rPr>
              <w:t>USA</w:t>
            </w:r>
          </w:p>
        </w:tc>
        <w:tc>
          <w:tcPr>
            <w:tcW w:w="1250" w:type="pct"/>
          </w:tcPr>
          <w:p w14:paraId="7BB4E4C1" w14:textId="77777777" w:rsidR="00ED751B" w:rsidRDefault="00ED751B" w:rsidP="00F81059">
            <w:pPr>
              <w:pStyle w:val="Tabletext1"/>
              <w:keepNext/>
              <w:rPr>
                <w:snapToGrid w:val="0"/>
              </w:rPr>
            </w:pPr>
            <w:r>
              <w:rPr>
                <w:snapToGrid w:val="0"/>
              </w:rPr>
              <w:t>Retrospective</w:t>
            </w:r>
          </w:p>
          <w:p w14:paraId="65B8B0A7" w14:textId="77777777" w:rsidR="00ED751B" w:rsidRDefault="00ED751B" w:rsidP="00F81059">
            <w:pPr>
              <w:pStyle w:val="Tabletext1"/>
              <w:keepNext/>
              <w:rPr>
                <w:snapToGrid w:val="0"/>
              </w:rPr>
            </w:pPr>
            <w:r>
              <w:rPr>
                <w:snapToGrid w:val="0"/>
              </w:rPr>
              <w:t>ERC</w:t>
            </w:r>
          </w:p>
        </w:tc>
        <w:tc>
          <w:tcPr>
            <w:tcW w:w="1250" w:type="pct"/>
          </w:tcPr>
          <w:p w14:paraId="795DF046" w14:textId="58687CC5" w:rsidR="00ED751B" w:rsidRDefault="00731083" w:rsidP="00F81059">
            <w:pPr>
              <w:pStyle w:val="Tabletext1"/>
              <w:keepNext/>
              <w:rPr>
                <w:snapToGrid w:val="0"/>
              </w:rPr>
            </w:pPr>
            <w:r>
              <w:rPr>
                <w:snapToGrid w:val="0"/>
              </w:rPr>
              <w:t>Sensitivity=79%</w:t>
            </w:r>
          </w:p>
          <w:p w14:paraId="23D7A611" w14:textId="5632FAD0" w:rsidR="00ED751B" w:rsidRDefault="00ED751B" w:rsidP="00F81059">
            <w:pPr>
              <w:pStyle w:val="Tabletext1"/>
              <w:keepNext/>
              <w:rPr>
                <w:snapToGrid w:val="0"/>
              </w:rPr>
            </w:pPr>
            <w:r>
              <w:rPr>
                <w:snapToGrid w:val="0"/>
              </w:rPr>
              <w:t>Specificity=58%</w:t>
            </w:r>
          </w:p>
        </w:tc>
        <w:tc>
          <w:tcPr>
            <w:tcW w:w="1248" w:type="pct"/>
          </w:tcPr>
          <w:p w14:paraId="230A9EBD" w14:textId="7CCCE3B0" w:rsidR="00ED751B" w:rsidRDefault="001A6F8B" w:rsidP="00F81059">
            <w:pPr>
              <w:pStyle w:val="Tabletext1"/>
              <w:keepNext/>
              <w:rPr>
                <w:snapToGrid w:val="0"/>
              </w:rPr>
            </w:pPr>
            <w:r>
              <w:rPr>
                <w:snapToGrid w:val="0"/>
              </w:rPr>
              <w:t>Gleason ≥7</w:t>
            </w:r>
          </w:p>
        </w:tc>
      </w:tr>
      <w:tr w:rsidR="00ED751B" w:rsidRPr="00183E4D" w14:paraId="008FC39E" w14:textId="77777777" w:rsidTr="00A865DD">
        <w:trPr>
          <w:trHeight w:val="397"/>
        </w:trPr>
        <w:tc>
          <w:tcPr>
            <w:tcW w:w="1251" w:type="pct"/>
            <w:shd w:val="clear" w:color="auto" w:fill="auto"/>
          </w:tcPr>
          <w:p w14:paraId="4D015F11" w14:textId="77777777" w:rsidR="00ED751B" w:rsidRDefault="00ED751B" w:rsidP="00F81059">
            <w:pPr>
              <w:pStyle w:val="Tabletext1"/>
              <w:keepNext/>
              <w:rPr>
                <w:snapToGrid w:val="0"/>
              </w:rPr>
            </w:pPr>
            <w:r>
              <w:rPr>
                <w:snapToGrid w:val="0"/>
              </w:rPr>
              <w:t>Porpiglia et al. (2015)</w:t>
            </w:r>
          </w:p>
          <w:p w14:paraId="48A8E618" w14:textId="77777777" w:rsidR="00ED751B" w:rsidRPr="001B3E0A" w:rsidRDefault="00731083" w:rsidP="00F81059">
            <w:pPr>
              <w:pStyle w:val="Tabletext1"/>
              <w:keepNext/>
              <w:rPr>
                <w:snapToGrid w:val="0"/>
              </w:rPr>
            </w:pPr>
            <w:r>
              <w:rPr>
                <w:snapToGrid w:val="0"/>
              </w:rPr>
              <w:t>Italy</w:t>
            </w:r>
          </w:p>
        </w:tc>
        <w:tc>
          <w:tcPr>
            <w:tcW w:w="1250" w:type="pct"/>
          </w:tcPr>
          <w:p w14:paraId="128FF52C" w14:textId="77777777" w:rsidR="00ED751B" w:rsidRDefault="00ED751B" w:rsidP="00F81059">
            <w:pPr>
              <w:pStyle w:val="Tabletext1"/>
              <w:keepNext/>
              <w:rPr>
                <w:snapToGrid w:val="0"/>
              </w:rPr>
            </w:pPr>
            <w:r>
              <w:rPr>
                <w:snapToGrid w:val="0"/>
              </w:rPr>
              <w:t>Retrospective</w:t>
            </w:r>
          </w:p>
          <w:p w14:paraId="37BD5348" w14:textId="77777777" w:rsidR="00ED751B" w:rsidRDefault="00ED751B" w:rsidP="00F81059">
            <w:pPr>
              <w:pStyle w:val="Tabletext1"/>
              <w:keepNext/>
              <w:rPr>
                <w:snapToGrid w:val="0"/>
              </w:rPr>
            </w:pPr>
            <w:r>
              <w:rPr>
                <w:snapToGrid w:val="0"/>
              </w:rPr>
              <w:t>ERC</w:t>
            </w:r>
          </w:p>
        </w:tc>
        <w:tc>
          <w:tcPr>
            <w:tcW w:w="1250" w:type="pct"/>
          </w:tcPr>
          <w:p w14:paraId="7530B0C4" w14:textId="6BA58DD0" w:rsidR="00ED751B" w:rsidRDefault="00731083" w:rsidP="00F81059">
            <w:pPr>
              <w:pStyle w:val="Tabletext1"/>
              <w:keepNext/>
              <w:rPr>
                <w:snapToGrid w:val="0"/>
              </w:rPr>
            </w:pPr>
            <w:r>
              <w:rPr>
                <w:snapToGrid w:val="0"/>
              </w:rPr>
              <w:t>Sensitivity=73%</w:t>
            </w:r>
          </w:p>
          <w:p w14:paraId="67FA5792" w14:textId="75A4934D" w:rsidR="00ED751B" w:rsidRDefault="00ED751B" w:rsidP="00F81059">
            <w:pPr>
              <w:pStyle w:val="Tabletext1"/>
              <w:keepNext/>
              <w:rPr>
                <w:snapToGrid w:val="0"/>
              </w:rPr>
            </w:pPr>
            <w:r>
              <w:rPr>
                <w:snapToGrid w:val="0"/>
              </w:rPr>
              <w:t>Specificity=62%</w:t>
            </w:r>
          </w:p>
        </w:tc>
        <w:tc>
          <w:tcPr>
            <w:tcW w:w="1248" w:type="pct"/>
          </w:tcPr>
          <w:p w14:paraId="09FE6C5C" w14:textId="15C1693F" w:rsidR="00ED751B" w:rsidRPr="001968FC" w:rsidRDefault="001A6F8B" w:rsidP="00F81059">
            <w:pPr>
              <w:pStyle w:val="Tabletext1"/>
              <w:keepNext/>
              <w:rPr>
                <w:snapToGrid w:val="0"/>
                <w:vertAlign w:val="subscript"/>
              </w:rPr>
            </w:pPr>
            <w:r>
              <w:rPr>
                <w:snapToGrid w:val="0"/>
              </w:rPr>
              <w:t xml:space="preserve">Gleason ≥7, </w:t>
            </w:r>
            <w:r w:rsidR="001968FC">
              <w:rPr>
                <w:snapToGrid w:val="0"/>
              </w:rPr>
              <w:t>extra capsular</w:t>
            </w:r>
            <w:r>
              <w:rPr>
                <w:snapToGrid w:val="0"/>
              </w:rPr>
              <w:t xml:space="preserve"> disease, index tumour</w:t>
            </w:r>
            <w:r w:rsidR="001968FC">
              <w:rPr>
                <w:snapToGrid w:val="0"/>
              </w:rPr>
              <w:t xml:space="preserve"> volume ≥1.3 cm</w:t>
            </w:r>
            <w:r w:rsidR="001968FC">
              <w:rPr>
                <w:snapToGrid w:val="0"/>
                <w:vertAlign w:val="superscript"/>
              </w:rPr>
              <w:t>3</w:t>
            </w:r>
            <w:r w:rsidR="001968FC">
              <w:rPr>
                <w:snapToGrid w:val="0"/>
              </w:rPr>
              <w:t xml:space="preserve"> or total tumour volume ≥2.5 cm</w:t>
            </w:r>
            <w:r w:rsidR="001968FC" w:rsidRPr="00267381">
              <w:rPr>
                <w:snapToGrid w:val="0"/>
                <w:vertAlign w:val="superscript"/>
              </w:rPr>
              <w:t>3</w:t>
            </w:r>
          </w:p>
        </w:tc>
      </w:tr>
      <w:tr w:rsidR="00ED751B" w:rsidRPr="00183E4D" w14:paraId="3D8CDB5B" w14:textId="77777777" w:rsidTr="00A865DD">
        <w:trPr>
          <w:trHeight w:val="397"/>
        </w:trPr>
        <w:tc>
          <w:tcPr>
            <w:tcW w:w="1251" w:type="pct"/>
            <w:shd w:val="clear" w:color="auto" w:fill="auto"/>
          </w:tcPr>
          <w:p w14:paraId="26502EBC" w14:textId="77777777" w:rsidR="00ED751B" w:rsidRDefault="00ED751B" w:rsidP="00F81059">
            <w:pPr>
              <w:pStyle w:val="Tabletext1"/>
              <w:keepNext/>
              <w:rPr>
                <w:snapToGrid w:val="0"/>
              </w:rPr>
            </w:pPr>
            <w:r>
              <w:rPr>
                <w:snapToGrid w:val="0"/>
              </w:rPr>
              <w:t>Rebcal et al. 2016)</w:t>
            </w:r>
          </w:p>
          <w:p w14:paraId="6D1DADD3" w14:textId="77777777" w:rsidR="00ED751B" w:rsidRPr="001B3E0A" w:rsidRDefault="00731083" w:rsidP="00F81059">
            <w:pPr>
              <w:pStyle w:val="Tabletext1"/>
              <w:keepNext/>
              <w:rPr>
                <w:snapToGrid w:val="0"/>
              </w:rPr>
            </w:pPr>
            <w:r>
              <w:rPr>
                <w:snapToGrid w:val="0"/>
              </w:rPr>
              <w:t>USA</w:t>
            </w:r>
          </w:p>
        </w:tc>
        <w:tc>
          <w:tcPr>
            <w:tcW w:w="1250" w:type="pct"/>
          </w:tcPr>
          <w:p w14:paraId="26A26097" w14:textId="77777777" w:rsidR="00ED751B" w:rsidRDefault="00ED751B" w:rsidP="00F81059">
            <w:pPr>
              <w:pStyle w:val="Tabletext1"/>
              <w:keepNext/>
              <w:rPr>
                <w:snapToGrid w:val="0"/>
              </w:rPr>
            </w:pPr>
            <w:r>
              <w:rPr>
                <w:snapToGrid w:val="0"/>
              </w:rPr>
              <w:t>Retrospective</w:t>
            </w:r>
          </w:p>
          <w:p w14:paraId="3E605680" w14:textId="77777777" w:rsidR="00ED751B" w:rsidRDefault="00ED751B" w:rsidP="00F81059">
            <w:pPr>
              <w:pStyle w:val="Tabletext1"/>
              <w:keepNext/>
              <w:rPr>
                <w:snapToGrid w:val="0"/>
              </w:rPr>
            </w:pPr>
            <w:r>
              <w:rPr>
                <w:snapToGrid w:val="0"/>
              </w:rPr>
              <w:t>ERC</w:t>
            </w:r>
          </w:p>
        </w:tc>
        <w:tc>
          <w:tcPr>
            <w:tcW w:w="1250" w:type="pct"/>
          </w:tcPr>
          <w:p w14:paraId="10E33795" w14:textId="7484A7EF" w:rsidR="00ED751B" w:rsidRDefault="00731083" w:rsidP="00F81059">
            <w:pPr>
              <w:pStyle w:val="Tabletext1"/>
              <w:keepNext/>
              <w:rPr>
                <w:snapToGrid w:val="0"/>
              </w:rPr>
            </w:pPr>
            <w:r>
              <w:rPr>
                <w:snapToGrid w:val="0"/>
              </w:rPr>
              <w:t>Sensitivity=82%</w:t>
            </w:r>
          </w:p>
          <w:p w14:paraId="77D802C0" w14:textId="3D2B4258" w:rsidR="00ED751B" w:rsidRDefault="00ED751B" w:rsidP="00F81059">
            <w:pPr>
              <w:pStyle w:val="Tabletext1"/>
              <w:keepNext/>
              <w:rPr>
                <w:snapToGrid w:val="0"/>
              </w:rPr>
            </w:pPr>
            <w:r>
              <w:rPr>
                <w:snapToGrid w:val="0"/>
              </w:rPr>
              <w:t>Specificity=57%</w:t>
            </w:r>
          </w:p>
        </w:tc>
        <w:tc>
          <w:tcPr>
            <w:tcW w:w="1248" w:type="pct"/>
          </w:tcPr>
          <w:p w14:paraId="34EE85B9" w14:textId="3F9D0994" w:rsidR="00ED751B" w:rsidRDefault="00F23FE2" w:rsidP="00F81059">
            <w:pPr>
              <w:pStyle w:val="Tabletext1"/>
              <w:keepNext/>
              <w:rPr>
                <w:snapToGrid w:val="0"/>
              </w:rPr>
            </w:pPr>
            <w:r>
              <w:rPr>
                <w:snapToGrid w:val="0"/>
              </w:rPr>
              <w:t>Gleason ≥7</w:t>
            </w:r>
          </w:p>
        </w:tc>
      </w:tr>
    </w:tbl>
    <w:p w14:paraId="5FC80108" w14:textId="697F984E" w:rsidR="00D81DD5" w:rsidRDefault="00124EF1" w:rsidP="00C84C1F">
      <w:pPr>
        <w:pStyle w:val="TableNotes"/>
      </w:pPr>
      <w:r>
        <w:t>ERC = endorectal coil</w:t>
      </w:r>
      <w:r w:rsidR="00703B1C">
        <w:t>.</w:t>
      </w:r>
    </w:p>
    <w:p w14:paraId="16DC7AFB" w14:textId="11796896" w:rsidR="00D81DD5" w:rsidRPr="00466B3D" w:rsidRDefault="00D81DD5" w:rsidP="00A865DD">
      <w:pPr>
        <w:pStyle w:val="Caption"/>
        <w:ind w:left="1134" w:hanging="1134"/>
      </w:pPr>
      <w:bookmarkStart w:id="362" w:name="_Ref457292029"/>
      <w:bookmarkStart w:id="363" w:name="_Toc460514534"/>
      <w:r w:rsidRPr="003764C0">
        <w:t xml:space="preserve">Table </w:t>
      </w:r>
      <w:fldSimple w:instr=" SEQ Table \* ARABIC ">
        <w:r w:rsidR="0029649D">
          <w:rPr>
            <w:noProof/>
          </w:rPr>
          <w:t>34</w:t>
        </w:r>
      </w:fldSimple>
      <w:bookmarkEnd w:id="362"/>
      <w:r w:rsidRPr="003764C0">
        <w:tab/>
        <w:t xml:space="preserve">Summary of findings for the accuracy of </w:t>
      </w:r>
      <w:r w:rsidR="00921376" w:rsidRPr="00466B3D">
        <w:t>mpMRI</w:t>
      </w:r>
      <w:r w:rsidRPr="00466B3D">
        <w:t xml:space="preserve">, relative to </w:t>
      </w:r>
      <w:r w:rsidR="00921376" w:rsidRPr="00466B3D">
        <w:t>TRUSGB or TPUSGB for the detection of upgrade</w:t>
      </w:r>
      <w:r w:rsidR="00E74DDE" w:rsidRPr="00466B3D">
        <w:t>d</w:t>
      </w:r>
      <w:r w:rsidR="00921376" w:rsidRPr="00466B3D">
        <w:t xml:space="preserve"> cancer in patients on active surveillance </w:t>
      </w:r>
      <w:r w:rsidR="00430240" w:rsidRPr="00466B3D">
        <w:t>programs (</w:t>
      </w:r>
      <w:r w:rsidRPr="00466B3D">
        <w:t>assumed pre-</w:t>
      </w:r>
      <w:r w:rsidR="00F5339F" w:rsidRPr="00466B3D">
        <w:t>test probability of</w:t>
      </w:r>
      <w:r w:rsidRPr="00466B3D">
        <w:t xml:space="preserve"> </w:t>
      </w:r>
      <w:r w:rsidR="00430240" w:rsidRPr="00466B3D">
        <w:t>30</w:t>
      </w:r>
      <w:r w:rsidRPr="00466B3D">
        <w:t>%</w:t>
      </w:r>
      <w:r w:rsidR="00430240" w:rsidRPr="00466B3D">
        <w:t>)</w:t>
      </w:r>
      <w:bookmarkEnd w:id="363"/>
      <w:r w:rsidRPr="00466B3D">
        <w:t xml:space="preserve"> </w:t>
      </w:r>
    </w:p>
    <w:tbl>
      <w:tblPr>
        <w:tblStyle w:val="TableGrid"/>
        <w:tblW w:w="9112" w:type="dxa"/>
        <w:tblInd w:w="130" w:type="dxa"/>
        <w:tblCellMar>
          <w:left w:w="28" w:type="dxa"/>
          <w:right w:w="28" w:type="dxa"/>
        </w:tblCellMar>
        <w:tblLook w:val="04A0" w:firstRow="1" w:lastRow="0" w:firstColumn="1" w:lastColumn="0" w:noHBand="0" w:noVBand="1"/>
        <w:tblDescription w:val="Summary of findings table"/>
      </w:tblPr>
      <w:tblGrid>
        <w:gridCol w:w="1727"/>
        <w:gridCol w:w="2382"/>
        <w:gridCol w:w="2293"/>
        <w:gridCol w:w="2710"/>
      </w:tblGrid>
      <w:tr w:rsidR="005B68CA" w:rsidRPr="00A865DD" w14:paraId="4F761448" w14:textId="77777777" w:rsidTr="00A865DD">
        <w:trPr>
          <w:trHeight w:val="397"/>
          <w:tblHeader/>
        </w:trPr>
        <w:tc>
          <w:tcPr>
            <w:tcW w:w="948" w:type="pct"/>
          </w:tcPr>
          <w:p w14:paraId="2366B851" w14:textId="77777777" w:rsidR="005B68CA" w:rsidRPr="00A865DD" w:rsidRDefault="005B68CA" w:rsidP="00F81059">
            <w:pPr>
              <w:pStyle w:val="Tableheading1"/>
            </w:pPr>
            <w:r w:rsidRPr="00A865DD">
              <w:t>Outcomes</w:t>
            </w:r>
          </w:p>
        </w:tc>
        <w:tc>
          <w:tcPr>
            <w:tcW w:w="1307" w:type="pct"/>
          </w:tcPr>
          <w:p w14:paraId="0E1592F8" w14:textId="77777777" w:rsidR="005B68CA" w:rsidRPr="00A865DD" w:rsidRDefault="005B68CA" w:rsidP="00F81059">
            <w:pPr>
              <w:pStyle w:val="Tableheading1"/>
              <w:rPr>
                <w:snapToGrid w:val="0"/>
              </w:rPr>
            </w:pPr>
            <w:r w:rsidRPr="00A865DD">
              <w:rPr>
                <w:snapToGrid w:val="0"/>
              </w:rPr>
              <w:t>Intervention</w:t>
            </w:r>
          </w:p>
          <w:p w14:paraId="6CB3FB7F" w14:textId="77777777" w:rsidR="005B68CA" w:rsidRPr="00A865DD" w:rsidRDefault="005B68CA" w:rsidP="00F81059">
            <w:pPr>
              <w:pStyle w:val="Tableheading1"/>
            </w:pPr>
            <w:r w:rsidRPr="00A865DD">
              <w:rPr>
                <w:snapToGrid w:val="0"/>
              </w:rPr>
              <w:t>[95%CI]</w:t>
            </w:r>
          </w:p>
        </w:tc>
        <w:tc>
          <w:tcPr>
            <w:tcW w:w="1258" w:type="pct"/>
          </w:tcPr>
          <w:p w14:paraId="253C2764" w14:textId="2A5F7460" w:rsidR="005B68CA" w:rsidRPr="00A865DD" w:rsidRDefault="005B68CA" w:rsidP="00F81059">
            <w:pPr>
              <w:pStyle w:val="Tableheading1"/>
            </w:pPr>
            <w:r w:rsidRPr="00A865DD">
              <w:t>Quality of evidence</w:t>
            </w:r>
            <w:r w:rsidR="00CF2DC1" w:rsidRPr="00A865DD">
              <w:rPr>
                <w:vertAlign w:val="superscript"/>
              </w:rPr>
              <w:t>a</w:t>
            </w:r>
          </w:p>
        </w:tc>
        <w:tc>
          <w:tcPr>
            <w:tcW w:w="1487" w:type="pct"/>
          </w:tcPr>
          <w:p w14:paraId="0FBFE30D" w14:textId="18C3BAC9" w:rsidR="005B68CA" w:rsidRPr="00A865DD" w:rsidRDefault="005B68CA" w:rsidP="00F81059">
            <w:pPr>
              <w:pStyle w:val="Tableheading1"/>
            </w:pPr>
            <w:r w:rsidRPr="00A865DD">
              <w:t>Importance</w:t>
            </w:r>
          </w:p>
        </w:tc>
      </w:tr>
      <w:tr w:rsidR="005B68CA" w:rsidRPr="00962C47" w14:paraId="426DAC6C" w14:textId="77777777" w:rsidTr="00A865DD">
        <w:trPr>
          <w:trHeight w:val="397"/>
        </w:trPr>
        <w:tc>
          <w:tcPr>
            <w:tcW w:w="948" w:type="pct"/>
          </w:tcPr>
          <w:p w14:paraId="4CA3559F" w14:textId="77777777" w:rsidR="00935713" w:rsidRDefault="005B68CA" w:rsidP="00F81059">
            <w:pPr>
              <w:pStyle w:val="Tabletext1"/>
            </w:pPr>
            <w:r w:rsidRPr="00B375F2">
              <w:t>Sensitivity</w:t>
            </w:r>
            <w:r w:rsidR="00BD1C7D">
              <w:t xml:space="preserve"> % </w:t>
            </w:r>
          </w:p>
          <w:p w14:paraId="7FF4EE96" w14:textId="31189A24" w:rsidR="005B68CA" w:rsidRPr="00B375F2" w:rsidRDefault="00BD1C7D" w:rsidP="00F81059">
            <w:pPr>
              <w:pStyle w:val="Tabletext1"/>
            </w:pPr>
            <w:r>
              <w:t>[95% CI]</w:t>
            </w:r>
          </w:p>
        </w:tc>
        <w:tc>
          <w:tcPr>
            <w:tcW w:w="1307" w:type="pct"/>
          </w:tcPr>
          <w:p w14:paraId="16DB5D9F" w14:textId="79AE0939" w:rsidR="005B68CA" w:rsidRPr="00B375F2" w:rsidRDefault="005B68CA" w:rsidP="00F81059">
            <w:pPr>
              <w:pStyle w:val="Tabletext1"/>
            </w:pPr>
            <w:r w:rsidRPr="00962C47">
              <w:t>79.3 [74.6, 83.3]</w:t>
            </w:r>
          </w:p>
        </w:tc>
        <w:tc>
          <w:tcPr>
            <w:tcW w:w="1258" w:type="pct"/>
          </w:tcPr>
          <w:p w14:paraId="2BD70B02" w14:textId="5E4762F7" w:rsidR="005B68CA" w:rsidRPr="00B375F2" w:rsidRDefault="00291227" w:rsidP="00F81059">
            <w:pPr>
              <w:pStyle w:val="Tabletext1"/>
              <w:rPr>
                <w:rFonts w:cs="Arial"/>
                <w:vertAlign w:val="superscript"/>
              </w:rPr>
            </w:pPr>
            <w:r w:rsidRPr="00962C47">
              <w:rPr>
                <w:rFonts w:ascii="Cambria Math" w:hAnsi="Cambria Math" w:cs="Cambria Math"/>
                <w:color w:val="00B050"/>
              </w:rPr>
              <w:t>⨁⨁⨁⨁</w:t>
            </w:r>
            <w:r w:rsidR="00597DD1" w:rsidRPr="00B375F2">
              <w:rPr>
                <w:rFonts w:cs="Arial"/>
              </w:rPr>
              <w:br/>
              <w:t>HIGH</w:t>
            </w:r>
            <w:r w:rsidR="00597DD1" w:rsidRPr="00B375F2">
              <w:rPr>
                <w:rFonts w:cs="Arial"/>
                <w:vertAlign w:val="superscript"/>
              </w:rPr>
              <w:t>1</w:t>
            </w:r>
          </w:p>
        </w:tc>
        <w:tc>
          <w:tcPr>
            <w:tcW w:w="1487" w:type="pct"/>
          </w:tcPr>
          <w:p w14:paraId="73CE0A4A" w14:textId="5DFE893C" w:rsidR="005B68CA" w:rsidRPr="00B375F2" w:rsidRDefault="00DE442A" w:rsidP="00F81059">
            <w:pPr>
              <w:pStyle w:val="Tabletext1"/>
            </w:pPr>
            <w:r w:rsidRPr="00B375F2">
              <w:t>Critical</w:t>
            </w:r>
          </w:p>
        </w:tc>
      </w:tr>
      <w:tr w:rsidR="005B68CA" w:rsidRPr="00962C47" w14:paraId="22DE7E84" w14:textId="77777777" w:rsidTr="00A865DD">
        <w:trPr>
          <w:trHeight w:val="397"/>
        </w:trPr>
        <w:tc>
          <w:tcPr>
            <w:tcW w:w="948" w:type="pct"/>
          </w:tcPr>
          <w:p w14:paraId="17DE27B4" w14:textId="77777777" w:rsidR="00935713" w:rsidRDefault="005B68CA" w:rsidP="00F81059">
            <w:pPr>
              <w:pStyle w:val="Tabletext1"/>
            </w:pPr>
            <w:r w:rsidRPr="00B375F2">
              <w:t>Specificity</w:t>
            </w:r>
            <w:r w:rsidR="00BD1C7D">
              <w:t xml:space="preserve"> % </w:t>
            </w:r>
          </w:p>
          <w:p w14:paraId="047C88AD" w14:textId="40A5E8F3" w:rsidR="005B68CA" w:rsidRPr="00B375F2" w:rsidRDefault="00BD1C7D" w:rsidP="00F81059">
            <w:pPr>
              <w:pStyle w:val="Tabletext1"/>
            </w:pPr>
            <w:r>
              <w:t>[95% CI]</w:t>
            </w:r>
          </w:p>
        </w:tc>
        <w:tc>
          <w:tcPr>
            <w:tcW w:w="1307" w:type="pct"/>
          </w:tcPr>
          <w:p w14:paraId="1F38EA8C" w14:textId="24A4BB88" w:rsidR="005B68CA" w:rsidRPr="00B375F2" w:rsidRDefault="005B68CA" w:rsidP="00F81059">
            <w:pPr>
              <w:pStyle w:val="Tabletext1"/>
            </w:pPr>
            <w:r w:rsidRPr="00B375F2">
              <w:t>55.1 [50.4, 59.8]</w:t>
            </w:r>
          </w:p>
        </w:tc>
        <w:tc>
          <w:tcPr>
            <w:tcW w:w="1258" w:type="pct"/>
          </w:tcPr>
          <w:p w14:paraId="158FF9ED" w14:textId="2F6ACB2D" w:rsidR="005B68CA" w:rsidRPr="00B375F2" w:rsidRDefault="00291227" w:rsidP="00F81059">
            <w:pPr>
              <w:pStyle w:val="Tabletext1"/>
              <w:rPr>
                <w:rFonts w:cs="Arial"/>
              </w:rPr>
            </w:pPr>
            <w:r w:rsidRPr="00962C47">
              <w:rPr>
                <w:rFonts w:ascii="Cambria Math" w:hAnsi="Cambria Math" w:cs="Cambria Math"/>
                <w:color w:val="00B050"/>
              </w:rPr>
              <w:t>⨁⨁⨁⨁</w:t>
            </w:r>
            <w:r w:rsidR="00597DD1" w:rsidRPr="00B375F2">
              <w:rPr>
                <w:rFonts w:cs="Arial"/>
              </w:rPr>
              <w:br/>
              <w:t>HIGH</w:t>
            </w:r>
            <w:r w:rsidR="00597DD1" w:rsidRPr="00B375F2">
              <w:rPr>
                <w:rFonts w:cs="Arial"/>
                <w:vertAlign w:val="superscript"/>
              </w:rPr>
              <w:t>1</w:t>
            </w:r>
          </w:p>
        </w:tc>
        <w:tc>
          <w:tcPr>
            <w:tcW w:w="1487" w:type="pct"/>
          </w:tcPr>
          <w:p w14:paraId="4F73A71A" w14:textId="39DD5676" w:rsidR="005B68CA" w:rsidRPr="00B375F2" w:rsidRDefault="00DE442A" w:rsidP="00F81059">
            <w:pPr>
              <w:pStyle w:val="Tabletext1"/>
            </w:pPr>
            <w:r w:rsidRPr="00B375F2">
              <w:t>Critical</w:t>
            </w:r>
          </w:p>
        </w:tc>
      </w:tr>
      <w:tr w:rsidR="00DE442A" w:rsidRPr="00962C47" w14:paraId="293F2690" w14:textId="77777777" w:rsidTr="00A865DD">
        <w:trPr>
          <w:trHeight w:val="397"/>
        </w:trPr>
        <w:tc>
          <w:tcPr>
            <w:tcW w:w="948" w:type="pct"/>
          </w:tcPr>
          <w:p w14:paraId="37E693D6" w14:textId="77777777" w:rsidR="00935713" w:rsidRDefault="00DE442A" w:rsidP="00F81059">
            <w:pPr>
              <w:pStyle w:val="Tabletext1"/>
            </w:pPr>
            <w:r w:rsidRPr="00962C47">
              <w:t>PPV</w:t>
            </w:r>
            <w:r w:rsidR="00BD1C7D">
              <w:t xml:space="preserve"> % </w:t>
            </w:r>
          </w:p>
          <w:p w14:paraId="284B9828" w14:textId="23C23F40" w:rsidR="00DE442A" w:rsidRPr="00B375F2" w:rsidRDefault="00BD1C7D" w:rsidP="00F81059">
            <w:pPr>
              <w:pStyle w:val="Tabletext1"/>
            </w:pPr>
            <w:r>
              <w:t>[95% CI]</w:t>
            </w:r>
          </w:p>
        </w:tc>
        <w:tc>
          <w:tcPr>
            <w:tcW w:w="1307" w:type="pct"/>
          </w:tcPr>
          <w:p w14:paraId="7718ED4D" w14:textId="5EBB1291" w:rsidR="00DE442A" w:rsidRPr="00B375F2" w:rsidRDefault="00DE442A" w:rsidP="00F81059">
            <w:pPr>
              <w:pStyle w:val="Tabletext1"/>
            </w:pPr>
            <w:r w:rsidRPr="00962C47">
              <w:t>59.4 [53.5, 65.0]</w:t>
            </w:r>
          </w:p>
        </w:tc>
        <w:tc>
          <w:tcPr>
            <w:tcW w:w="1258" w:type="pct"/>
          </w:tcPr>
          <w:p w14:paraId="12549AB6" w14:textId="25B6985B" w:rsidR="00DE442A" w:rsidRPr="00B375F2" w:rsidRDefault="00291227" w:rsidP="00F81059">
            <w:pPr>
              <w:pStyle w:val="Tabletext1"/>
              <w:rPr>
                <w:rStyle w:val="quality-sign"/>
                <w:rFonts w:cs="Cambria Math"/>
              </w:rPr>
            </w:pPr>
            <w:r w:rsidRPr="00962C47">
              <w:rPr>
                <w:rFonts w:ascii="Cambria Math" w:hAnsi="Cambria Math" w:cs="Cambria Math"/>
                <w:color w:val="00B050"/>
              </w:rPr>
              <w:t>⨁⨁⨁⨁</w:t>
            </w:r>
            <w:r w:rsidR="00DE442A" w:rsidRPr="00B375F2">
              <w:rPr>
                <w:rFonts w:cs="Arial"/>
              </w:rPr>
              <w:br/>
              <w:t>HIGH</w:t>
            </w:r>
            <w:r w:rsidR="00DE442A" w:rsidRPr="00B375F2">
              <w:rPr>
                <w:rFonts w:cs="Arial"/>
                <w:vertAlign w:val="superscript"/>
              </w:rPr>
              <w:t>1</w:t>
            </w:r>
          </w:p>
        </w:tc>
        <w:tc>
          <w:tcPr>
            <w:tcW w:w="1487" w:type="pct"/>
          </w:tcPr>
          <w:p w14:paraId="52BFF5A2" w14:textId="241600A2" w:rsidR="00DE442A" w:rsidRPr="00B375F2" w:rsidRDefault="00DE442A" w:rsidP="00F81059">
            <w:pPr>
              <w:pStyle w:val="Tabletext1"/>
            </w:pPr>
            <w:r w:rsidRPr="00B375F2">
              <w:t>Important</w:t>
            </w:r>
          </w:p>
        </w:tc>
      </w:tr>
      <w:tr w:rsidR="00DE442A" w:rsidRPr="00962C47" w14:paraId="104DEF5F" w14:textId="77777777" w:rsidTr="00A865DD">
        <w:trPr>
          <w:trHeight w:val="397"/>
        </w:trPr>
        <w:tc>
          <w:tcPr>
            <w:tcW w:w="948" w:type="pct"/>
          </w:tcPr>
          <w:p w14:paraId="6E01512A" w14:textId="77777777" w:rsidR="00935713" w:rsidRDefault="00DE442A" w:rsidP="00F81059">
            <w:pPr>
              <w:pStyle w:val="Tabletext1"/>
            </w:pPr>
            <w:r w:rsidRPr="00962C47">
              <w:t>NPV</w:t>
            </w:r>
            <w:r w:rsidR="00BD1C7D">
              <w:t xml:space="preserve"> % </w:t>
            </w:r>
          </w:p>
          <w:p w14:paraId="73ACA13D" w14:textId="4393AD12" w:rsidR="00DE442A" w:rsidRPr="00B375F2" w:rsidRDefault="00BD1C7D" w:rsidP="00F81059">
            <w:pPr>
              <w:pStyle w:val="Tabletext1"/>
            </w:pPr>
            <w:r>
              <w:t>[95% CI]</w:t>
            </w:r>
          </w:p>
        </w:tc>
        <w:tc>
          <w:tcPr>
            <w:tcW w:w="1307" w:type="pct"/>
          </w:tcPr>
          <w:p w14:paraId="40B287E3" w14:textId="49C42D6D" w:rsidR="00DE442A" w:rsidRPr="00B375F2" w:rsidRDefault="00DE442A" w:rsidP="00F81059">
            <w:pPr>
              <w:pStyle w:val="Tabletext1"/>
            </w:pPr>
            <w:r w:rsidRPr="00962C47">
              <w:t>76.2 [70.1, 81.4]</w:t>
            </w:r>
          </w:p>
        </w:tc>
        <w:tc>
          <w:tcPr>
            <w:tcW w:w="1258" w:type="pct"/>
          </w:tcPr>
          <w:p w14:paraId="1C13EA81" w14:textId="0DEBC77F" w:rsidR="00DE442A" w:rsidRPr="00B375F2" w:rsidRDefault="00291227" w:rsidP="00F81059">
            <w:pPr>
              <w:pStyle w:val="Tabletext1"/>
              <w:rPr>
                <w:rStyle w:val="quality-sign"/>
                <w:rFonts w:cs="Cambria Math"/>
              </w:rPr>
            </w:pPr>
            <w:r w:rsidRPr="00962C47">
              <w:rPr>
                <w:rFonts w:ascii="Cambria Math" w:hAnsi="Cambria Math" w:cs="Cambria Math"/>
                <w:color w:val="00B050"/>
              </w:rPr>
              <w:t>⨁⨁⨁⨁</w:t>
            </w:r>
            <w:r w:rsidR="00DE442A" w:rsidRPr="00B375F2">
              <w:rPr>
                <w:rFonts w:cs="Arial"/>
              </w:rPr>
              <w:br/>
              <w:t>HIGH</w:t>
            </w:r>
            <w:r w:rsidR="00DE442A" w:rsidRPr="00B375F2">
              <w:rPr>
                <w:rFonts w:cs="Arial"/>
                <w:vertAlign w:val="superscript"/>
              </w:rPr>
              <w:t>1</w:t>
            </w:r>
          </w:p>
        </w:tc>
        <w:tc>
          <w:tcPr>
            <w:tcW w:w="1487" w:type="pct"/>
          </w:tcPr>
          <w:p w14:paraId="431824F0" w14:textId="3DEC25C0" w:rsidR="00DE442A" w:rsidRPr="00B375F2" w:rsidRDefault="00291227" w:rsidP="00F81059">
            <w:pPr>
              <w:pStyle w:val="Tabletext1"/>
            </w:pPr>
            <w:r w:rsidRPr="00B375F2">
              <w:t>Important</w:t>
            </w:r>
          </w:p>
        </w:tc>
      </w:tr>
    </w:tbl>
    <w:p w14:paraId="16D29415" w14:textId="22BD7335" w:rsidR="00597DD1" w:rsidRDefault="00A865DD" w:rsidP="000F7D32">
      <w:pPr>
        <w:pStyle w:val="TableNotes"/>
      </w:pPr>
      <w:r>
        <w:rPr>
          <w:vertAlign w:val="superscript"/>
        </w:rPr>
        <w:t>a</w:t>
      </w:r>
      <w:r w:rsidRPr="00A865DD">
        <w:t>:</w:t>
      </w:r>
      <w:r w:rsidR="00D81DD5" w:rsidRPr="00E10B76">
        <w:t>GRADE Working Group grades of evidence</w:t>
      </w:r>
      <w:r w:rsidR="00D81DD5">
        <w:t xml:space="preserve"> </w:t>
      </w:r>
      <w:r w:rsidR="008E0B00">
        <w:fldChar w:fldCharType="begin"/>
      </w:r>
      <w:r w:rsidR="008E0B00">
        <w:instrText xml:space="preserve"> ADDIN EN.CITE &lt;EndNote&gt;&lt;Cite&gt;&lt;Author&gt;Guyatt&lt;/Author&gt;&lt;Year&gt;2013&lt;/Year&gt;&lt;RecNum&gt;166&lt;/RecNum&gt;&lt;DisplayText&gt;(Guyatt et al. 2013)&lt;/DisplayText&gt;&lt;record&gt;&lt;rec-number&gt;166&lt;/rec-number&gt;&lt;foreign-keys&gt;&lt;key app="EN" db-id="xzzrstesqpaavfe0te5p2zssvee5ervas2vt" timestamp="1469161165"&gt;166&lt;/key&gt;&lt;/foreign-keys&gt;&lt;ref-type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Epidemiol&lt;/full-title&gt;&lt;abbr-1&gt;Journal of clinical epidemiology&lt;/abbr-1&gt;&lt;/periodical&gt;&lt;pages&gt;151-157&lt;/pages&gt;&lt;volume&gt;66&lt;/volume&gt;&lt;number&gt;2&lt;/number&gt;&lt;dates&gt;&lt;year&gt;2013&lt;/year&gt;&lt;/dates&gt;&lt;urls&gt;&lt;/urls&gt;&lt;/record&gt;&lt;/Cite&gt;&lt;/EndNote&gt;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00B375F2">
        <w:t>.</w:t>
      </w:r>
      <w:r w:rsidR="00D81DD5" w:rsidRPr="00E10B76">
        <w:br/>
      </w:r>
      <w:r w:rsidR="00D81DD5" w:rsidRPr="00D4733A">
        <w:rPr>
          <w:rFonts w:ascii="Cambria Math" w:hAnsi="Cambria Math"/>
          <w:color w:val="00B050"/>
        </w:rPr>
        <w:t>⨁⨁⨁⨁</w:t>
      </w:r>
      <w:r w:rsidR="00D81DD5">
        <w:rPr>
          <w:rFonts w:ascii="Cambria Math" w:hAnsi="Cambria Math"/>
          <w:color w:val="00B050"/>
        </w:rPr>
        <w:t xml:space="preserve"> </w:t>
      </w:r>
      <w:r w:rsidR="00D81DD5" w:rsidRPr="00E10B76">
        <w:rPr>
          <w:b/>
          <w:bCs/>
        </w:rPr>
        <w:t>High quality:</w:t>
      </w:r>
      <w:r w:rsidR="00D81DD5" w:rsidRPr="00E10B76">
        <w:t xml:space="preserve"> </w:t>
      </w:r>
      <w:r w:rsidR="00D81DD5">
        <w:t>We are very confident that the true effect lies close to that of the estimate of effect.</w:t>
      </w:r>
      <w:r w:rsidR="00D81DD5" w:rsidRPr="00E10B76">
        <w:t xml:space="preserve"> </w:t>
      </w:r>
      <w:r w:rsidR="00D81DD5" w:rsidRPr="00E10B76">
        <w:br/>
      </w:r>
      <w:r w:rsidR="00D81DD5" w:rsidRPr="00D4733A">
        <w:rPr>
          <w:rFonts w:ascii="Cambria Math" w:hAnsi="Cambria Math"/>
          <w:color w:val="00B050"/>
        </w:rPr>
        <w:t>⨁⨁⨁</w:t>
      </w:r>
      <w:r w:rsidR="00D81DD5" w:rsidRPr="00D4733A">
        <w:rPr>
          <w:rFonts w:ascii="Cambria Math" w:hAnsi="Cambria Math" w:cs="Cambria Math"/>
          <w:color w:val="C00000"/>
        </w:rPr>
        <w:t>⨀</w:t>
      </w:r>
      <w:r w:rsidR="00D81DD5">
        <w:rPr>
          <w:rFonts w:ascii="Cambria Math" w:hAnsi="Cambria Math" w:cs="Cambria Math"/>
          <w:color w:val="C00000"/>
        </w:rPr>
        <w:t xml:space="preserve"> </w:t>
      </w:r>
      <w:r w:rsidR="00D81DD5" w:rsidRPr="00E10B76">
        <w:rPr>
          <w:b/>
          <w:bCs/>
        </w:rPr>
        <w:t>Moderate quality:</w:t>
      </w:r>
      <w:r w:rsidR="00D81DD5" w:rsidRPr="00E10B76">
        <w:t xml:space="preserve"> </w:t>
      </w:r>
      <w:r w:rsidR="00D81DD5">
        <w:t xml:space="preserve">We are moderately confident in the effect estimate: The true effect is likely to be close to the estimate of the effect, but there is a possibility that it is substantially different. </w:t>
      </w:r>
      <w:r w:rsidR="00D81DD5" w:rsidRPr="00E10B76">
        <w:br/>
      </w:r>
      <w:r w:rsidR="00D81DD5">
        <w:rPr>
          <w:rFonts w:ascii="Cambria Math" w:hAnsi="Cambria Math"/>
          <w:color w:val="00B050"/>
        </w:rPr>
        <w:t>⨁⨁</w:t>
      </w:r>
      <w:r w:rsidR="00D81DD5" w:rsidRPr="00D4733A">
        <w:rPr>
          <w:rFonts w:ascii="Cambria Math" w:hAnsi="Cambria Math" w:cs="Cambria Math"/>
          <w:color w:val="C00000"/>
        </w:rPr>
        <w:t>⨀⨀</w:t>
      </w:r>
      <w:r w:rsidR="00D81DD5">
        <w:rPr>
          <w:rFonts w:ascii="Cambria Math" w:hAnsi="Cambria Math" w:cs="Cambria Math"/>
          <w:color w:val="C00000"/>
        </w:rPr>
        <w:t xml:space="preserve"> </w:t>
      </w:r>
      <w:r w:rsidR="00D81DD5" w:rsidRPr="00E10B76">
        <w:rPr>
          <w:b/>
          <w:bCs/>
        </w:rPr>
        <w:t>Low quality:</w:t>
      </w:r>
      <w:r w:rsidR="00D81DD5" w:rsidRPr="00E10B76">
        <w:t xml:space="preserve"> </w:t>
      </w:r>
      <w:r w:rsidR="00D81DD5">
        <w:t>Our confidence in the effect estimate is limited: The true effect may be substantially different from the estimate of the effect.</w:t>
      </w:r>
      <w:r w:rsidR="00D81DD5" w:rsidRPr="00E10B76">
        <w:br/>
      </w:r>
      <w:r w:rsidR="00D81DD5">
        <w:rPr>
          <w:rFonts w:ascii="Cambria Math" w:hAnsi="Cambria Math"/>
          <w:color w:val="00B050"/>
        </w:rPr>
        <w:t>⨁</w:t>
      </w:r>
      <w:r w:rsidR="00D81DD5" w:rsidRPr="00D4733A">
        <w:rPr>
          <w:rFonts w:ascii="Cambria Math" w:hAnsi="Cambria Math" w:cs="Cambria Math"/>
          <w:color w:val="C00000"/>
        </w:rPr>
        <w:t>⨀⨀⨀</w:t>
      </w:r>
      <w:r w:rsidR="00D81DD5">
        <w:rPr>
          <w:rFonts w:ascii="Cambria Math" w:hAnsi="Cambria Math" w:cs="Cambria Math"/>
          <w:color w:val="C00000"/>
        </w:rPr>
        <w:t xml:space="preserve"> </w:t>
      </w:r>
      <w:r w:rsidR="00D81DD5" w:rsidRPr="00E10B76">
        <w:rPr>
          <w:b/>
          <w:bCs/>
        </w:rPr>
        <w:t>Very low quality:</w:t>
      </w:r>
      <w:r w:rsidR="00D81DD5" w:rsidRPr="00E10B76">
        <w:t xml:space="preserve"> </w:t>
      </w:r>
      <w:r w:rsidR="00D81DD5">
        <w:t>We have very little confidence in the effect estimate: The true effect is likely to be substantially different from the estimate of effect.</w:t>
      </w:r>
      <w:r w:rsidR="00597DD1">
        <w:br/>
      </w:r>
      <w:r>
        <w:rPr>
          <w:vertAlign w:val="superscript"/>
        </w:rPr>
        <w:t>1</w:t>
      </w:r>
      <w:r w:rsidRPr="00A865DD">
        <w:t>:</w:t>
      </w:r>
      <w:r>
        <w:t xml:space="preserve"> </w:t>
      </w:r>
      <w:r w:rsidR="00597DD1" w:rsidRPr="00597DD1">
        <w:t>While the confidence intervals indicated a high level of precision, the relatively moderate number of studies and the moderate median population size may warrant downgrade</w:t>
      </w:r>
      <w:r w:rsidR="00597DD1">
        <w:t xml:space="preserve"> in imprecision</w:t>
      </w:r>
      <w:r w:rsidR="00B375F2">
        <w:t>.</w:t>
      </w:r>
      <w:r w:rsidR="00267381">
        <w:br/>
        <w:t>CI = confidence interval, PPV = positive predictive value, NPV = negative predictive value.</w:t>
      </w:r>
    </w:p>
    <w:p w14:paraId="1BFF54BE" w14:textId="289BB517" w:rsidR="00CF2DC1" w:rsidRDefault="00CF2DC1" w:rsidP="00CF2DC1">
      <w:r>
        <w:t>For the detection of upgraded cancer in men enrolled in or eligible for AS programs, mpMRI was estimated to have a sensitivity of 79.3</w:t>
      </w:r>
      <w:r w:rsidR="004355EC">
        <w:t xml:space="preserve"> per cent</w:t>
      </w:r>
      <w:r>
        <w:t xml:space="preserve"> (95% CI [74.6, 83.3]) and a specificity of 55.1</w:t>
      </w:r>
      <w:r w:rsidR="004355EC">
        <w:t xml:space="preserve"> per cent</w:t>
      </w:r>
      <w:r>
        <w:t xml:space="preserve"> </w:t>
      </w:r>
      <w:r>
        <w:lastRenderedPageBreak/>
        <w:t>(95% CI [50.4, 59.8]). The HSROC curve and summary estimate with 95</w:t>
      </w:r>
      <w:r w:rsidR="004355EC">
        <w:t xml:space="preserve"> per cent</w:t>
      </w:r>
      <w:r>
        <w:t xml:space="preserve"> confidence region and 95</w:t>
      </w:r>
      <w:r w:rsidR="004355EC">
        <w:t xml:space="preserve"> per cent</w:t>
      </w:r>
      <w:r>
        <w:t xml:space="preserve"> prediction region is provided in</w:t>
      </w:r>
      <w:r w:rsidR="004355EC">
        <w:t xml:space="preserve"> </w:t>
      </w:r>
      <w:r w:rsidR="004355EC">
        <w:fldChar w:fldCharType="begin"/>
      </w:r>
      <w:r w:rsidR="004355EC">
        <w:instrText xml:space="preserve"> REF _Ref458781873 \h </w:instrText>
      </w:r>
      <w:r w:rsidR="004355EC">
        <w:fldChar w:fldCharType="separate"/>
      </w:r>
      <w:r w:rsidR="0029649D">
        <w:t xml:space="preserve">Figure </w:t>
      </w:r>
      <w:r w:rsidR="0029649D">
        <w:rPr>
          <w:noProof/>
        </w:rPr>
        <w:t>11</w:t>
      </w:r>
      <w:r w:rsidR="004355EC">
        <w:fldChar w:fldCharType="end"/>
      </w:r>
      <w:r>
        <w:t>.</w:t>
      </w:r>
    </w:p>
    <w:p w14:paraId="61698DBE" w14:textId="3E7C8406" w:rsidR="00D95258" w:rsidRDefault="00EA6EAF" w:rsidP="00A167C0">
      <w:pPr>
        <w:pStyle w:val="Caption"/>
      </w:pPr>
      <w:bookmarkStart w:id="364" w:name="_Ref458781873"/>
      <w:bookmarkStart w:id="365" w:name="_Toc460514618"/>
      <w:r>
        <w:t xml:space="preserve">Figure </w:t>
      </w:r>
      <w:fldSimple w:instr=" SEQ Figure \* ARABIC ">
        <w:r w:rsidR="0029649D">
          <w:rPr>
            <w:noProof/>
          </w:rPr>
          <w:t>11</w:t>
        </w:r>
      </w:fldSimple>
      <w:bookmarkEnd w:id="364"/>
      <w:r>
        <w:tab/>
        <w:t>HSROC curve and bivariate model results for the diagn</w:t>
      </w:r>
      <w:r w:rsidR="008073A2">
        <w:t>osis of any cancer by mpMRI in P</w:t>
      </w:r>
      <w:r>
        <w:t>opulation 2.</w:t>
      </w:r>
      <w:bookmarkEnd w:id="365"/>
    </w:p>
    <w:p w14:paraId="296FA869" w14:textId="77777777" w:rsidR="00EA6EAF" w:rsidRDefault="00EA6EAF" w:rsidP="00D95258">
      <w:r>
        <w:rPr>
          <w:noProof/>
        </w:rPr>
        <w:drawing>
          <wp:inline distT="0" distB="0" distL="0" distR="0" wp14:anchorId="31D019C2" wp14:editId="0330AEA3">
            <wp:extent cx="4966335" cy="4796481"/>
            <wp:effectExtent l="0" t="0" r="5715" b="4445"/>
            <wp:docPr id="6" name="Picture 6" descr="HSROC curve and bivariate model results for the diagnosis of any cancer by mpMRI in population 2." title="HSROC curve and bivariate model results for the diagnosis of any cancer by mpMRI in popul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ERNIP-S data\DHA\DHA CA 1397 mpMRI prostate\meta-analysis\forest plots\pop2_pirads4_hsroc.tif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9751" cy="4799780"/>
                    </a:xfrm>
                    <a:prstGeom prst="rect">
                      <a:avLst/>
                    </a:prstGeom>
                    <a:noFill/>
                    <a:ln>
                      <a:noFill/>
                    </a:ln>
                  </pic:spPr>
                </pic:pic>
              </a:graphicData>
            </a:graphic>
          </wp:inline>
        </w:drawing>
      </w:r>
    </w:p>
    <w:p w14:paraId="3B9C9DAF" w14:textId="550DA1BF" w:rsidR="00D81DD5" w:rsidRDefault="00EA6EAF" w:rsidP="00D81DD5">
      <w:r>
        <w:t xml:space="preserve">The narrow confidence region reflects a high level of certainty in the </w:t>
      </w:r>
      <w:r w:rsidR="004B6984">
        <w:t>point estimate</w:t>
      </w:r>
      <w:r>
        <w:t>.</w:t>
      </w:r>
      <w:r w:rsidR="0085254A">
        <w:t xml:space="preserve"> </w:t>
      </w:r>
      <w:r>
        <w:t xml:space="preserve">The prediction region almost overlaying the confidence region reflects the low level of heterogeneity present in the </w:t>
      </w:r>
      <w:r w:rsidR="004B6984">
        <w:t>evidence</w:t>
      </w:r>
      <w:r>
        <w:t xml:space="preserve"> base</w:t>
      </w:r>
      <w:r w:rsidR="004B6984">
        <w:t xml:space="preserve"> and reflects that future studies in this population will report results consistent with the results of this meta-analysis.</w:t>
      </w:r>
      <w:r>
        <w:t xml:space="preserve"> </w:t>
      </w:r>
    </w:p>
    <w:p w14:paraId="025A1EBD" w14:textId="40BD04D2" w:rsidR="00A34CB2" w:rsidRDefault="00DD5BE4" w:rsidP="00D81DD5">
      <w:r>
        <w:t xml:space="preserve">Subgroup analysis was undertaken to explore the impact </w:t>
      </w:r>
      <w:r w:rsidR="006B1078">
        <w:t>of using</w:t>
      </w:r>
      <w:r>
        <w:t xml:space="preserve"> a</w:t>
      </w:r>
      <w:r w:rsidR="006B1078">
        <w:t xml:space="preserve"> ‘perfect’</w:t>
      </w:r>
      <w:r>
        <w:t xml:space="preserve"> reference standard </w:t>
      </w:r>
      <w:r w:rsidR="006B1078">
        <w:t>(</w:t>
      </w:r>
      <w:r>
        <w:t>prostatectomy</w:t>
      </w:r>
      <w:r w:rsidR="006B1078">
        <w:t>)</w:t>
      </w:r>
      <w:r>
        <w:t xml:space="preserve"> </w:t>
      </w:r>
      <w:r w:rsidR="006B1078">
        <w:t>compared to an imperfect reference standard (biopsy)</w:t>
      </w:r>
      <w:r w:rsidR="00A34CB2">
        <w:t xml:space="preserve"> (</w:t>
      </w:r>
      <w:r w:rsidR="00A34CB2">
        <w:fldChar w:fldCharType="begin"/>
      </w:r>
      <w:r w:rsidR="00A34CB2">
        <w:instrText xml:space="preserve"> REF _Ref456354111 \h </w:instrText>
      </w:r>
      <w:r w:rsidR="00A34CB2">
        <w:fldChar w:fldCharType="separate"/>
      </w:r>
      <w:r w:rsidR="0029649D">
        <w:t xml:space="preserve">Table </w:t>
      </w:r>
      <w:r w:rsidR="0029649D">
        <w:rPr>
          <w:noProof/>
        </w:rPr>
        <w:t>35</w:t>
      </w:r>
      <w:r w:rsidR="00A34CB2">
        <w:fldChar w:fldCharType="end"/>
      </w:r>
      <w:r w:rsidR="00F85F7F">
        <w:t>).</w:t>
      </w:r>
      <w:r w:rsidR="00A727F6">
        <w:t xml:space="preserve"> No statistical difference was found between the two groups. The inclusion of studies using prostatectomy as a reference standard did not change the outcomes of the meta-analysis; therefore, the overall results were used to inform this Assessment.</w:t>
      </w:r>
    </w:p>
    <w:p w14:paraId="5659FC2B" w14:textId="1C6882EA" w:rsidR="00DD5BE4" w:rsidRDefault="00A34CB2" w:rsidP="0035578C">
      <w:pPr>
        <w:pStyle w:val="Caption"/>
      </w:pPr>
      <w:bookmarkStart w:id="366" w:name="_Ref456354111"/>
      <w:bookmarkStart w:id="367" w:name="_Toc460514535"/>
      <w:r>
        <w:lastRenderedPageBreak/>
        <w:t xml:space="preserve">Table </w:t>
      </w:r>
      <w:fldSimple w:instr=" SEQ Table \* ARABIC ">
        <w:r w:rsidR="0029649D">
          <w:rPr>
            <w:noProof/>
          </w:rPr>
          <w:t>35</w:t>
        </w:r>
      </w:fldSimple>
      <w:bookmarkEnd w:id="366"/>
      <w:r>
        <w:tab/>
        <w:t>Subgroup analysis for the use of mpMRI to monitor patients in Population 2</w:t>
      </w:r>
      <w:bookmarkEnd w:id="367"/>
    </w:p>
    <w:tbl>
      <w:tblPr>
        <w:tblStyle w:val="TableGrid"/>
        <w:tblW w:w="9112" w:type="dxa"/>
        <w:tblInd w:w="130" w:type="dxa"/>
        <w:tblCellMar>
          <w:left w:w="28" w:type="dxa"/>
          <w:right w:w="28" w:type="dxa"/>
        </w:tblCellMar>
        <w:tblLook w:val="04A0" w:firstRow="1" w:lastRow="0" w:firstColumn="1" w:lastColumn="0" w:noHBand="0" w:noVBand="1"/>
        <w:tblDescription w:val="Subgroup analysis for the use of mpMRI to monitor patients in Population 2"/>
      </w:tblPr>
      <w:tblGrid>
        <w:gridCol w:w="2373"/>
        <w:gridCol w:w="1797"/>
        <w:gridCol w:w="2254"/>
        <w:gridCol w:w="2688"/>
      </w:tblGrid>
      <w:tr w:rsidR="006B1078" w:rsidRPr="006428B1" w14:paraId="12E16F14" w14:textId="77777777" w:rsidTr="006428B1">
        <w:trPr>
          <w:trHeight w:val="397"/>
          <w:tblHeader/>
        </w:trPr>
        <w:tc>
          <w:tcPr>
            <w:tcW w:w="1302" w:type="pct"/>
          </w:tcPr>
          <w:p w14:paraId="552BF0B6" w14:textId="77777777" w:rsidR="006B1078" w:rsidRPr="006428B1" w:rsidRDefault="006B1078" w:rsidP="002B3829">
            <w:pPr>
              <w:pStyle w:val="Tableheading1"/>
              <w:keepNext/>
            </w:pPr>
            <w:r w:rsidRPr="006428B1">
              <w:t>Subgroup</w:t>
            </w:r>
          </w:p>
        </w:tc>
        <w:tc>
          <w:tcPr>
            <w:tcW w:w="986" w:type="pct"/>
          </w:tcPr>
          <w:p w14:paraId="5080B3F9" w14:textId="28356178" w:rsidR="006B1078" w:rsidRPr="006428B1" w:rsidRDefault="00C803CD" w:rsidP="002B3829">
            <w:pPr>
              <w:pStyle w:val="Tableheading1"/>
              <w:keepNext/>
            </w:pPr>
            <w:r w:rsidRPr="006428B1">
              <w:t>Patients/studies</w:t>
            </w:r>
          </w:p>
        </w:tc>
        <w:tc>
          <w:tcPr>
            <w:tcW w:w="1237" w:type="pct"/>
          </w:tcPr>
          <w:p w14:paraId="748531AB" w14:textId="3C624764" w:rsidR="006B1078" w:rsidRPr="006428B1" w:rsidRDefault="006B1078" w:rsidP="002B3829">
            <w:pPr>
              <w:pStyle w:val="Tableheading1"/>
              <w:keepNext/>
            </w:pPr>
            <w:r w:rsidRPr="006428B1">
              <w:t>Sensitivity</w:t>
            </w:r>
            <w:r w:rsidR="00FB18F0" w:rsidRPr="006428B1">
              <w:t xml:space="preserve"> (%) </w:t>
            </w:r>
            <w:r w:rsidR="00272ACF" w:rsidRPr="006428B1">
              <w:t>[95% CI]</w:t>
            </w:r>
          </w:p>
        </w:tc>
        <w:tc>
          <w:tcPr>
            <w:tcW w:w="1475" w:type="pct"/>
          </w:tcPr>
          <w:p w14:paraId="34CF61A3" w14:textId="6BE4BCAE" w:rsidR="006B1078" w:rsidRPr="006428B1" w:rsidRDefault="005B4B1E" w:rsidP="002B3829">
            <w:pPr>
              <w:pStyle w:val="Tableheading1"/>
              <w:keepNext/>
            </w:pPr>
            <w:r w:rsidRPr="006428B1">
              <w:t>Specificity</w:t>
            </w:r>
            <w:r w:rsidR="00FB18F0" w:rsidRPr="006428B1">
              <w:t xml:space="preserve"> (%)</w:t>
            </w:r>
            <w:r w:rsidR="00FD5BE0" w:rsidRPr="006428B1">
              <w:t xml:space="preserve"> </w:t>
            </w:r>
            <w:r w:rsidR="00272ACF" w:rsidRPr="006428B1">
              <w:t>[95% CI]</w:t>
            </w:r>
          </w:p>
        </w:tc>
      </w:tr>
      <w:tr w:rsidR="00C66C50" w:rsidRPr="0035578C" w14:paraId="030EBA0F" w14:textId="77777777" w:rsidTr="006428B1">
        <w:trPr>
          <w:trHeight w:val="397"/>
        </w:trPr>
        <w:tc>
          <w:tcPr>
            <w:tcW w:w="1302" w:type="pct"/>
          </w:tcPr>
          <w:p w14:paraId="6D6F02F7" w14:textId="77777777" w:rsidR="00C66C50" w:rsidRPr="0035578C" w:rsidRDefault="00C66C50" w:rsidP="002B3829">
            <w:pPr>
              <w:pStyle w:val="Tabletext1"/>
              <w:keepNext/>
            </w:pPr>
            <w:r w:rsidRPr="0035578C">
              <w:t>All studies</w:t>
            </w:r>
          </w:p>
        </w:tc>
        <w:tc>
          <w:tcPr>
            <w:tcW w:w="986" w:type="pct"/>
          </w:tcPr>
          <w:p w14:paraId="7204DDF2" w14:textId="77777777" w:rsidR="00B61EAB" w:rsidRDefault="00B61EAB" w:rsidP="002B3829">
            <w:pPr>
              <w:pStyle w:val="Tabletext1"/>
              <w:keepNext/>
            </w:pPr>
            <w:r w:rsidRPr="0035578C">
              <w:t>820</w:t>
            </w:r>
            <w:r w:rsidR="000116CA">
              <w:t xml:space="preserve"> patients</w:t>
            </w:r>
          </w:p>
          <w:p w14:paraId="56D1C07B" w14:textId="48B17FD6" w:rsidR="000116CA" w:rsidRPr="0035578C" w:rsidRDefault="000116CA" w:rsidP="002B3829">
            <w:pPr>
              <w:pStyle w:val="Tabletext1"/>
              <w:keepNext/>
            </w:pPr>
            <w:r>
              <w:t>(6 studies)</w:t>
            </w:r>
            <w:r w:rsidR="006428B1">
              <w:t>.</w:t>
            </w:r>
          </w:p>
        </w:tc>
        <w:tc>
          <w:tcPr>
            <w:tcW w:w="1237" w:type="pct"/>
          </w:tcPr>
          <w:p w14:paraId="47D2072C" w14:textId="7D456C9C" w:rsidR="00C66C50" w:rsidRPr="0035578C" w:rsidRDefault="00272ACF" w:rsidP="002B3829">
            <w:pPr>
              <w:pStyle w:val="Tabletext1"/>
              <w:keepNext/>
            </w:pPr>
            <w:r>
              <w:t>79.3</w:t>
            </w:r>
            <w:r w:rsidR="00C66C50" w:rsidRPr="0035578C">
              <w:t xml:space="preserve"> [</w:t>
            </w:r>
            <w:r>
              <w:t>74.6, 83.3</w:t>
            </w:r>
            <w:r w:rsidR="00C66C50" w:rsidRPr="0035578C">
              <w:t>]</w:t>
            </w:r>
          </w:p>
        </w:tc>
        <w:tc>
          <w:tcPr>
            <w:tcW w:w="1475" w:type="pct"/>
          </w:tcPr>
          <w:p w14:paraId="5F6A10AE" w14:textId="0B762B0F" w:rsidR="00C66C50" w:rsidRPr="0035578C" w:rsidRDefault="005B4B1E" w:rsidP="002B3829">
            <w:pPr>
              <w:pStyle w:val="Tabletext1"/>
              <w:keepNext/>
            </w:pPr>
            <w:r w:rsidRPr="0035578C">
              <w:t>55.1 [50.4</w:t>
            </w:r>
            <w:r w:rsidR="00272ACF">
              <w:t>,</w:t>
            </w:r>
            <w:r w:rsidRPr="0035578C">
              <w:t xml:space="preserve"> 59.8]</w:t>
            </w:r>
          </w:p>
        </w:tc>
      </w:tr>
      <w:tr w:rsidR="006B1078" w:rsidRPr="0035578C" w14:paraId="3F230E37" w14:textId="77777777" w:rsidTr="006428B1">
        <w:trPr>
          <w:trHeight w:val="397"/>
        </w:trPr>
        <w:tc>
          <w:tcPr>
            <w:tcW w:w="1302" w:type="pct"/>
          </w:tcPr>
          <w:p w14:paraId="67047291" w14:textId="3FC393B6" w:rsidR="006B1078" w:rsidRPr="0035578C" w:rsidRDefault="006B1078" w:rsidP="002B3829">
            <w:pPr>
              <w:pStyle w:val="Tabletext1"/>
              <w:keepNext/>
            </w:pPr>
            <w:r w:rsidRPr="0035578C">
              <w:t>Prostatectomy ref</w:t>
            </w:r>
            <w:r w:rsidR="00A23605">
              <w:t>erence</w:t>
            </w:r>
            <w:r w:rsidRPr="0035578C">
              <w:t xml:space="preserve"> st</w:t>
            </w:r>
            <w:r w:rsidR="00272ACF">
              <w:t>andard</w:t>
            </w:r>
          </w:p>
        </w:tc>
        <w:tc>
          <w:tcPr>
            <w:tcW w:w="986" w:type="pct"/>
          </w:tcPr>
          <w:p w14:paraId="0D26C5AE" w14:textId="77777777" w:rsidR="00B61EAB" w:rsidRDefault="00B61EAB" w:rsidP="002B3829">
            <w:pPr>
              <w:pStyle w:val="Tabletext1"/>
              <w:keepNext/>
            </w:pPr>
            <w:r w:rsidRPr="0035578C">
              <w:t>413</w:t>
            </w:r>
            <w:r w:rsidR="000116CA">
              <w:t xml:space="preserve"> patients</w:t>
            </w:r>
          </w:p>
          <w:p w14:paraId="30AC0975" w14:textId="5C821732" w:rsidR="000116CA" w:rsidRPr="0035578C" w:rsidRDefault="000116CA" w:rsidP="002B3829">
            <w:pPr>
              <w:pStyle w:val="Tabletext1"/>
              <w:keepNext/>
            </w:pPr>
            <w:r>
              <w:t>(3 studies)</w:t>
            </w:r>
            <w:r w:rsidR="006428B1">
              <w:t>.</w:t>
            </w:r>
          </w:p>
        </w:tc>
        <w:tc>
          <w:tcPr>
            <w:tcW w:w="1237" w:type="pct"/>
          </w:tcPr>
          <w:p w14:paraId="52F3A3BF" w14:textId="7C38E9F0" w:rsidR="006B1078" w:rsidRPr="0035578C" w:rsidRDefault="00FB18F0" w:rsidP="002B3829">
            <w:pPr>
              <w:pStyle w:val="Tabletext1"/>
              <w:keepNext/>
            </w:pPr>
            <w:r>
              <w:t>79.0</w:t>
            </w:r>
            <w:r w:rsidR="00272ACF">
              <w:t xml:space="preserve"> [70.4, 85.6] </w:t>
            </w:r>
          </w:p>
        </w:tc>
        <w:tc>
          <w:tcPr>
            <w:tcW w:w="1475" w:type="pct"/>
          </w:tcPr>
          <w:p w14:paraId="67DDB2D9" w14:textId="2E7383F7" w:rsidR="006B1078" w:rsidRPr="0035578C" w:rsidRDefault="005B4B1E" w:rsidP="002B3829">
            <w:pPr>
              <w:pStyle w:val="Tabletext1"/>
              <w:keepNext/>
            </w:pPr>
            <w:r w:rsidRPr="0035578C">
              <w:t>53.7 [ 44.9, 62.2</w:t>
            </w:r>
            <w:r w:rsidR="00C66C50" w:rsidRPr="0035578C">
              <w:t>]</w:t>
            </w:r>
          </w:p>
        </w:tc>
      </w:tr>
      <w:tr w:rsidR="006B1078" w:rsidRPr="0035578C" w14:paraId="09A66310" w14:textId="77777777" w:rsidTr="006428B1">
        <w:trPr>
          <w:trHeight w:val="397"/>
        </w:trPr>
        <w:tc>
          <w:tcPr>
            <w:tcW w:w="1302" w:type="pct"/>
          </w:tcPr>
          <w:p w14:paraId="3EE53696" w14:textId="237A68EC" w:rsidR="006B1078" w:rsidRPr="0035578C" w:rsidRDefault="006B1078" w:rsidP="002B3829">
            <w:pPr>
              <w:pStyle w:val="Tabletext1"/>
              <w:keepNext/>
            </w:pPr>
            <w:r w:rsidRPr="0035578C">
              <w:t>Biopsy ref</w:t>
            </w:r>
            <w:r w:rsidR="00A23605">
              <w:t>erence</w:t>
            </w:r>
            <w:r w:rsidRPr="0035578C">
              <w:t xml:space="preserve"> st</w:t>
            </w:r>
            <w:r w:rsidR="00272ACF">
              <w:t>andard</w:t>
            </w:r>
          </w:p>
        </w:tc>
        <w:tc>
          <w:tcPr>
            <w:tcW w:w="986" w:type="pct"/>
          </w:tcPr>
          <w:p w14:paraId="6D193BF5" w14:textId="77777777" w:rsidR="00B61EAB" w:rsidRDefault="00B61EAB" w:rsidP="002B3829">
            <w:pPr>
              <w:pStyle w:val="Tabletext1"/>
              <w:keepNext/>
            </w:pPr>
            <w:r w:rsidRPr="0035578C">
              <w:t>407</w:t>
            </w:r>
            <w:r w:rsidR="000116CA">
              <w:t xml:space="preserve"> patients</w:t>
            </w:r>
          </w:p>
          <w:p w14:paraId="7A6BF3D4" w14:textId="7C713DE4" w:rsidR="000116CA" w:rsidRPr="0035578C" w:rsidRDefault="006F16DC" w:rsidP="002B3829">
            <w:pPr>
              <w:pStyle w:val="Tabletext1"/>
              <w:keepNext/>
            </w:pPr>
            <w:r>
              <w:t xml:space="preserve"> </w:t>
            </w:r>
            <w:r w:rsidR="000116CA">
              <w:t>(</w:t>
            </w:r>
            <w:r>
              <w:t xml:space="preserve">3 </w:t>
            </w:r>
            <w:r w:rsidR="000116CA">
              <w:t>studies)</w:t>
            </w:r>
            <w:r w:rsidR="006428B1">
              <w:t>.</w:t>
            </w:r>
          </w:p>
        </w:tc>
        <w:tc>
          <w:tcPr>
            <w:tcW w:w="1237" w:type="pct"/>
          </w:tcPr>
          <w:p w14:paraId="1A75F5F8" w14:textId="05C78C87" w:rsidR="006B1078" w:rsidRPr="0035578C" w:rsidRDefault="00272ACF" w:rsidP="002B3829">
            <w:pPr>
              <w:pStyle w:val="Tabletext1"/>
              <w:keepNext/>
            </w:pPr>
            <w:r>
              <w:t>79.6 [72.7, 85.0]</w:t>
            </w:r>
            <w:r w:rsidR="00321E71">
              <w:br/>
            </w:r>
            <w:r w:rsidR="00C66C50" w:rsidRPr="0035578C">
              <w:t>0.796 [0.727, 0.850]</w:t>
            </w:r>
          </w:p>
        </w:tc>
        <w:tc>
          <w:tcPr>
            <w:tcW w:w="1475" w:type="pct"/>
          </w:tcPr>
          <w:p w14:paraId="3A69D893" w14:textId="5E0432E7" w:rsidR="006B1078" w:rsidRPr="0035578C" w:rsidRDefault="00272ACF" w:rsidP="002B3829">
            <w:pPr>
              <w:pStyle w:val="Tabletext1"/>
              <w:keepNext/>
            </w:pPr>
            <w:r>
              <w:t>56.7</w:t>
            </w:r>
            <w:r w:rsidR="00C66C50" w:rsidRPr="0035578C">
              <w:t xml:space="preserve"> [</w:t>
            </w:r>
            <w:r w:rsidR="005B4B1E" w:rsidRPr="0035578C">
              <w:t>50.3, 62.8</w:t>
            </w:r>
            <w:r w:rsidR="00C66C50" w:rsidRPr="0035578C">
              <w:t>]</w:t>
            </w:r>
          </w:p>
        </w:tc>
      </w:tr>
    </w:tbl>
    <w:p w14:paraId="729D943A" w14:textId="2C40B34A" w:rsidR="00D81DD5" w:rsidRDefault="008B6BDB" w:rsidP="008B6BDB">
      <w:pPr>
        <w:pStyle w:val="TableNotes"/>
      </w:pPr>
      <w:r>
        <w:t>CI = confidence interval</w:t>
      </w:r>
      <w:r w:rsidR="00AD722C">
        <w:t>.</w:t>
      </w:r>
    </w:p>
    <w:p w14:paraId="224C7460" w14:textId="2C80B230" w:rsidR="00D81DD5" w:rsidRDefault="0034466C" w:rsidP="0034466C">
      <w:pPr>
        <w:pStyle w:val="Heading2"/>
      </w:pPr>
      <w:bookmarkStart w:id="368" w:name="_Toc460513942"/>
      <w:r>
        <w:t>B6.7</w:t>
      </w:r>
      <w:r>
        <w:tab/>
      </w:r>
      <w:r>
        <w:tab/>
      </w:r>
      <w:r w:rsidR="00D81DD5">
        <w:t>Extended assessment of reliability evidence</w:t>
      </w:r>
      <w:r w:rsidR="00627416">
        <w:t xml:space="preserve"> </w:t>
      </w:r>
      <w:r w:rsidR="005E6CCA">
        <w:t>(population 2)</w:t>
      </w:r>
      <w:bookmarkEnd w:id="368"/>
    </w:p>
    <w:p w14:paraId="68613804" w14:textId="5C5F6940" w:rsidR="003D5FBF" w:rsidRDefault="00627416" w:rsidP="00D81DD5">
      <w:pPr>
        <w:rPr>
          <w:szCs w:val="24"/>
        </w:rPr>
      </w:pPr>
      <w:r>
        <w:rPr>
          <w:szCs w:val="24"/>
        </w:rPr>
        <w:t>A</w:t>
      </w:r>
      <w:r w:rsidR="00A167C0">
        <w:rPr>
          <w:szCs w:val="24"/>
        </w:rPr>
        <w:t>n</w:t>
      </w:r>
      <w:r>
        <w:rPr>
          <w:szCs w:val="24"/>
        </w:rPr>
        <w:t xml:space="preserve"> assessment of the reliabilit</w:t>
      </w:r>
      <w:r w:rsidR="002E09E9">
        <w:rPr>
          <w:szCs w:val="24"/>
        </w:rPr>
        <w:t>y of mp</w:t>
      </w:r>
      <w:r>
        <w:rPr>
          <w:szCs w:val="24"/>
        </w:rPr>
        <w:t>MRI using PI-RADS can be found in Subsection B3.7 of this report.</w:t>
      </w:r>
      <w:r w:rsidRPr="00627416">
        <w:rPr>
          <w:szCs w:val="24"/>
        </w:rPr>
        <w:t xml:space="preserve"> </w:t>
      </w:r>
      <w:r>
        <w:rPr>
          <w:szCs w:val="24"/>
        </w:rPr>
        <w:t xml:space="preserve">No key study for Population 2 reported any </w:t>
      </w:r>
      <w:r w:rsidR="001477CA">
        <w:rPr>
          <w:szCs w:val="24"/>
        </w:rPr>
        <w:t>additional</w:t>
      </w:r>
      <w:r>
        <w:rPr>
          <w:szCs w:val="24"/>
        </w:rPr>
        <w:t xml:space="preserve"> inter-reader agreement data than that reported in B3.7.</w:t>
      </w:r>
    </w:p>
    <w:p w14:paraId="74AEDD6C" w14:textId="1779F67A" w:rsidR="00AE2ECD" w:rsidRDefault="00AE2ECD" w:rsidP="0034466C">
      <w:pPr>
        <w:pStyle w:val="Heading2"/>
      </w:pPr>
      <w:bookmarkStart w:id="369" w:name="_Toc460513943"/>
      <w:r>
        <w:t>B6.8</w:t>
      </w:r>
      <w:r>
        <w:tab/>
      </w:r>
      <w:r>
        <w:tab/>
        <w:t>Assessment of clinical utility</w:t>
      </w:r>
      <w:r w:rsidR="005E6CCA">
        <w:t xml:space="preserve"> (Population 2)</w:t>
      </w:r>
      <w:bookmarkEnd w:id="369"/>
    </w:p>
    <w:p w14:paraId="169FE4BC" w14:textId="77777777" w:rsidR="00A64DEA" w:rsidRDefault="00A64DEA" w:rsidP="00A64DEA">
      <w:pPr>
        <w:pStyle w:val="Summaryboxheading"/>
        <w:pBdr>
          <w:top w:val="single" w:sz="4" w:space="1" w:color="auto"/>
          <w:left w:val="single" w:sz="4" w:space="4" w:color="auto"/>
          <w:bottom w:val="single" w:sz="4" w:space="1" w:color="auto"/>
          <w:right w:val="single" w:sz="4" w:space="4" w:color="auto"/>
        </w:pBdr>
      </w:pPr>
      <w:r w:rsidRPr="00183E4D">
        <w:t xml:space="preserve">Summary – </w:t>
      </w:r>
      <w:r>
        <w:t>Does imaging with mpMRI improve health outcomes for men suspected of having prostate cancer?</w:t>
      </w:r>
    </w:p>
    <w:p w14:paraId="0F16AFE1" w14:textId="288CD8F5" w:rsidR="00A64DEA" w:rsidRPr="00A946B1" w:rsidRDefault="00A64DEA" w:rsidP="00A64DEA">
      <w:pPr>
        <w:pStyle w:val="Summaryboxheading"/>
        <w:pBdr>
          <w:top w:val="single" w:sz="4" w:space="1" w:color="auto"/>
          <w:left w:val="single" w:sz="4" w:space="4" w:color="auto"/>
          <w:bottom w:val="single" w:sz="4" w:space="1" w:color="auto"/>
          <w:right w:val="single" w:sz="4" w:space="4" w:color="auto"/>
        </w:pBdr>
      </w:pPr>
      <w:r w:rsidRPr="00C2765D">
        <w:t>Low</w:t>
      </w:r>
      <w:r w:rsidR="00F77EB1">
        <w:t>-</w:t>
      </w:r>
      <w:r w:rsidR="00A23605">
        <w:t>concern</w:t>
      </w:r>
      <w:r w:rsidR="00A23605" w:rsidRPr="00C2765D">
        <w:t xml:space="preserve"> </w:t>
      </w:r>
      <w:r w:rsidRPr="00C2765D">
        <w:t>patients</w:t>
      </w:r>
      <w:r w:rsidR="00D150E1">
        <w:t xml:space="preserve">: </w:t>
      </w:r>
      <w:r w:rsidR="00D150E1" w:rsidRPr="00D150E1">
        <w:rPr>
          <w:b w:val="0"/>
        </w:rPr>
        <w:t>advice from the Applicant is that 30-35% of patients will have their disease upgraded while on active surveillance.</w:t>
      </w:r>
    </w:p>
    <w:p w14:paraId="74660B53" w14:textId="3B041ECC" w:rsidR="00A64DEA" w:rsidRPr="00C2765D" w:rsidRDefault="00E7473C" w:rsidP="00A64DEA">
      <w:pPr>
        <w:pStyle w:val="Summaryboxheading"/>
        <w:pBdr>
          <w:top w:val="single" w:sz="4" w:space="1" w:color="auto"/>
          <w:left w:val="single" w:sz="4" w:space="4" w:color="auto"/>
          <w:bottom w:val="single" w:sz="4" w:space="1" w:color="auto"/>
          <w:right w:val="single" w:sz="4" w:space="4" w:color="auto"/>
        </w:pBdr>
        <w:rPr>
          <w:b w:val="0"/>
        </w:rPr>
      </w:pPr>
      <w:r>
        <w:rPr>
          <w:b w:val="0"/>
        </w:rPr>
        <w:t>mpMRI</w:t>
      </w:r>
      <w:r w:rsidR="00A64DEA" w:rsidRPr="00C2765D">
        <w:rPr>
          <w:b w:val="0"/>
        </w:rPr>
        <w:t xml:space="preserve"> True positive</w:t>
      </w:r>
      <w:r w:rsidR="00A64DEA">
        <w:rPr>
          <w:b w:val="0"/>
        </w:rPr>
        <w:t>:</w:t>
      </w:r>
      <w:r w:rsidR="00A64DEA" w:rsidRPr="00C2765D">
        <w:rPr>
          <w:b w:val="0"/>
        </w:rPr>
        <w:t xml:space="preserve"> </w:t>
      </w:r>
      <w:r w:rsidR="00A64DEA">
        <w:rPr>
          <w:b w:val="0"/>
        </w:rPr>
        <w:t>No evidence that patients with a true positive will experience any change in management or change to health outcomes was identified.</w:t>
      </w:r>
    </w:p>
    <w:p w14:paraId="09CD5F06" w14:textId="2EB083A6" w:rsidR="00A64DEA" w:rsidRDefault="00E7473C" w:rsidP="00A64DEA">
      <w:pPr>
        <w:pStyle w:val="Summaryboxheading"/>
        <w:pBdr>
          <w:top w:val="single" w:sz="4" w:space="1" w:color="auto"/>
          <w:left w:val="single" w:sz="4" w:space="4" w:color="auto"/>
          <w:bottom w:val="single" w:sz="4" w:space="1" w:color="auto"/>
          <w:right w:val="single" w:sz="4" w:space="4" w:color="auto"/>
        </w:pBdr>
        <w:rPr>
          <w:b w:val="0"/>
        </w:rPr>
      </w:pPr>
      <w:r>
        <w:rPr>
          <w:b w:val="0"/>
        </w:rPr>
        <w:t>mpMRI</w:t>
      </w:r>
      <w:r w:rsidR="00A64DEA">
        <w:rPr>
          <w:b w:val="0"/>
        </w:rPr>
        <w:t xml:space="preserve"> False positive: No evidence that patients with a false positive will experience any change in management or change to health outcomes was identified.</w:t>
      </w:r>
    </w:p>
    <w:p w14:paraId="26C32400" w14:textId="454C85A9" w:rsidR="00A64DEA" w:rsidRPr="00C2765D" w:rsidRDefault="00E7473C" w:rsidP="00A64DEA">
      <w:pPr>
        <w:pStyle w:val="Summaryboxheading"/>
        <w:pBdr>
          <w:top w:val="single" w:sz="4" w:space="1" w:color="auto"/>
          <w:left w:val="single" w:sz="4" w:space="4" w:color="auto"/>
          <w:bottom w:val="single" w:sz="4" w:space="1" w:color="auto"/>
          <w:right w:val="single" w:sz="4" w:space="4" w:color="auto"/>
        </w:pBdr>
        <w:rPr>
          <w:b w:val="0"/>
        </w:rPr>
      </w:pPr>
      <w:r>
        <w:rPr>
          <w:b w:val="0"/>
        </w:rPr>
        <w:t>mpMRI</w:t>
      </w:r>
      <w:r w:rsidR="00A64DEA" w:rsidRPr="00C2765D">
        <w:rPr>
          <w:b w:val="0"/>
        </w:rPr>
        <w:t xml:space="preserve"> True </w:t>
      </w:r>
      <w:r w:rsidR="00A64DEA">
        <w:rPr>
          <w:b w:val="0"/>
        </w:rPr>
        <w:t xml:space="preserve">negative: </w:t>
      </w:r>
      <w:r w:rsidR="00A64DEA" w:rsidRPr="00C2765D">
        <w:rPr>
          <w:b w:val="0"/>
        </w:rPr>
        <w:t xml:space="preserve">These patients will avoid having a biopsy and therefore avoid the adverse events associated with biopsy. The adverse events are discussed in Subsection B7. </w:t>
      </w:r>
    </w:p>
    <w:p w14:paraId="2748DE08" w14:textId="4A942E0F" w:rsidR="00A64DEA" w:rsidRDefault="00E7473C" w:rsidP="00A64DEA">
      <w:pPr>
        <w:pStyle w:val="Summaryboxheading"/>
        <w:pBdr>
          <w:top w:val="single" w:sz="4" w:space="1" w:color="auto"/>
          <w:left w:val="single" w:sz="4" w:space="4" w:color="auto"/>
          <w:bottom w:val="single" w:sz="4" w:space="1" w:color="auto"/>
          <w:right w:val="single" w:sz="4" w:space="4" w:color="auto"/>
        </w:pBdr>
        <w:rPr>
          <w:b w:val="0"/>
        </w:rPr>
      </w:pPr>
      <w:r>
        <w:rPr>
          <w:b w:val="0"/>
        </w:rPr>
        <w:t>mpMRI</w:t>
      </w:r>
      <w:r w:rsidR="00A64DEA" w:rsidRPr="00C2765D">
        <w:rPr>
          <w:b w:val="0"/>
        </w:rPr>
        <w:t xml:space="preserve"> False negative</w:t>
      </w:r>
      <w:r w:rsidR="00A64DEA">
        <w:rPr>
          <w:b w:val="0"/>
        </w:rPr>
        <w:t>:</w:t>
      </w:r>
      <w:r w:rsidR="00A64DEA" w:rsidRPr="00C2765D">
        <w:rPr>
          <w:b w:val="0"/>
        </w:rPr>
        <w:t xml:space="preserve"> </w:t>
      </w:r>
      <w:r w:rsidR="00A64DEA">
        <w:rPr>
          <w:b w:val="0"/>
        </w:rPr>
        <w:t>limited evidence from a single study with a moderate risk of bias suggests delayed treatment following upgrade of disease is not associated with increased rates of positive surgical margins.</w:t>
      </w:r>
    </w:p>
    <w:p w14:paraId="480EBEC1" w14:textId="714E99F9" w:rsidR="00A64DEA" w:rsidRDefault="00A64DEA" w:rsidP="00A64DEA">
      <w:pPr>
        <w:pStyle w:val="Summaryboxheading"/>
        <w:pBdr>
          <w:top w:val="single" w:sz="4" w:space="1" w:color="auto"/>
          <w:left w:val="single" w:sz="4" w:space="4" w:color="auto"/>
          <w:bottom w:val="single" w:sz="4" w:space="1" w:color="auto"/>
          <w:right w:val="single" w:sz="4" w:space="4" w:color="auto"/>
        </w:pBdr>
        <w:rPr>
          <w:b w:val="0"/>
        </w:rPr>
      </w:pPr>
      <w:r w:rsidRPr="005711F8">
        <w:t xml:space="preserve">High </w:t>
      </w:r>
      <w:r w:rsidR="00A23605">
        <w:t>concern</w:t>
      </w:r>
      <w:r w:rsidR="00A23605" w:rsidRPr="005711F8">
        <w:t xml:space="preserve"> </w:t>
      </w:r>
      <w:r w:rsidRPr="005711F8">
        <w:t>patients</w:t>
      </w:r>
      <w:r w:rsidR="00F77EB1">
        <w:t xml:space="preserve">: </w:t>
      </w:r>
      <w:r w:rsidR="00F77EB1">
        <w:rPr>
          <w:b w:val="0"/>
        </w:rPr>
        <w:t>a</w:t>
      </w:r>
      <w:r>
        <w:rPr>
          <w:b w:val="0"/>
        </w:rPr>
        <w:t>ll high</w:t>
      </w:r>
      <w:r w:rsidR="00696025">
        <w:rPr>
          <w:b w:val="0"/>
        </w:rPr>
        <w:t>-</w:t>
      </w:r>
      <w:r w:rsidR="00A23605">
        <w:rPr>
          <w:b w:val="0"/>
        </w:rPr>
        <w:t xml:space="preserve">concern </w:t>
      </w:r>
      <w:r>
        <w:rPr>
          <w:b w:val="0"/>
        </w:rPr>
        <w:t>patients will undergo a biopsy. No evidence that patients who undergo a biopsy of any type will experience any change in management or change to health outcomes was identified.</w:t>
      </w:r>
    </w:p>
    <w:p w14:paraId="00E83713" w14:textId="2F2B1827" w:rsidR="003552B0" w:rsidRPr="003552B0" w:rsidRDefault="003552B0" w:rsidP="00A64DEA">
      <w:pPr>
        <w:pStyle w:val="Summaryboxheading"/>
        <w:pBdr>
          <w:top w:val="single" w:sz="4" w:space="1" w:color="auto"/>
          <w:left w:val="single" w:sz="4" w:space="4" w:color="auto"/>
          <w:bottom w:val="single" w:sz="4" w:space="1" w:color="auto"/>
          <w:right w:val="single" w:sz="4" w:space="4" w:color="auto"/>
        </w:pBdr>
        <w:rPr>
          <w:b w:val="0"/>
        </w:rPr>
      </w:pPr>
      <w:r w:rsidRPr="003552B0">
        <w:t>Summary</w:t>
      </w:r>
      <w:r>
        <w:t xml:space="preserve">: </w:t>
      </w:r>
      <w:r>
        <w:rPr>
          <w:b w:val="0"/>
        </w:rPr>
        <w:t>there is only limited, low quality evidence to support any comparison between mpMRI and TRUSGB/TPUSGB with regards to any change in patient outcomes that would be associated with the introduction of mpMRI in this population.</w:t>
      </w:r>
    </w:p>
    <w:p w14:paraId="07BE204D" w14:textId="20EE3294" w:rsidR="005C404F" w:rsidRDefault="005C404F" w:rsidP="005C404F">
      <w:r>
        <w:lastRenderedPageBreak/>
        <w:t xml:space="preserve">For men with a low-risk tumour who experience a disease progression while on </w:t>
      </w:r>
      <w:r w:rsidR="004E17B9">
        <w:t>AS</w:t>
      </w:r>
      <w:r>
        <w:t xml:space="preserve"> treatment decisions are made on the basis of biopsy results. Under the proposed management algorithms, mpMRI results will be used to decide if patients should receive a biopsy. For men with suspected </w:t>
      </w:r>
      <w:r w:rsidR="006818E1">
        <w:t>PCa</w:t>
      </w:r>
      <w:r>
        <w:t>, a PI-RADS score</w:t>
      </w:r>
      <w:r w:rsidR="00460D57">
        <w:t xml:space="preserve"> ≤3</w:t>
      </w:r>
      <w:r>
        <w:t xml:space="preserve"> will result in low-</w:t>
      </w:r>
      <w:r w:rsidR="00A23605">
        <w:t xml:space="preserve">concern </w:t>
      </w:r>
      <w:r>
        <w:t xml:space="preserve">patients avoiding a biopsy; the therapeutic effect of this biopsy avoidance is discussed in </w:t>
      </w:r>
      <w:r w:rsidR="0042364C">
        <w:t>Subs</w:t>
      </w:r>
      <w:r>
        <w:t>ection B5.2. High</w:t>
      </w:r>
      <w:r w:rsidR="00F625D7">
        <w:t>-</w:t>
      </w:r>
      <w:r w:rsidR="00A23605">
        <w:t xml:space="preserve">concern </w:t>
      </w:r>
      <w:r>
        <w:t>men with a PI-RADS score</w:t>
      </w:r>
      <w:r w:rsidR="00460D57">
        <w:t xml:space="preserve"> ≤3</w:t>
      </w:r>
      <w:r>
        <w:t xml:space="preserve"> will receive a systematic biopsy under current and proposed management algorithms.</w:t>
      </w:r>
    </w:p>
    <w:p w14:paraId="23E9DD60" w14:textId="10216CE5" w:rsidR="005C404F" w:rsidRDefault="005C404F" w:rsidP="005C404F">
      <w:r>
        <w:t xml:space="preserve">Patients who receive a PI-RADS score of </w:t>
      </w:r>
      <w:r w:rsidR="00F77EB1">
        <w:t xml:space="preserve">4 </w:t>
      </w:r>
      <w:r>
        <w:t xml:space="preserve">or </w:t>
      </w:r>
      <w:r w:rsidR="00F77EB1">
        <w:t xml:space="preserve">5 </w:t>
      </w:r>
      <w:r>
        <w:t xml:space="preserve">will have a change in the type of biopsy they receive (change from TRUSGB or TPUSGB to MRIGB). Any change in management associated with this change in biopsy is the subject of Application </w:t>
      </w:r>
      <w:r w:rsidR="00462D15">
        <w:t xml:space="preserve">CA </w:t>
      </w:r>
      <w:r>
        <w:t xml:space="preserve">1424. The Assessment Group for Application </w:t>
      </w:r>
      <w:r w:rsidR="00462D15">
        <w:t xml:space="preserve">CA </w:t>
      </w:r>
      <w:r>
        <w:t xml:space="preserve">1424 has advised that no studies investigating the change in management associated with US </w:t>
      </w:r>
      <w:r w:rsidR="006C03BC">
        <w:t>versus</w:t>
      </w:r>
      <w:r>
        <w:t xml:space="preserve"> MRI guided biopsies was identified. In addition, the Assessment group for </w:t>
      </w:r>
      <w:r w:rsidR="00462D15">
        <w:t xml:space="preserve">CA </w:t>
      </w:r>
      <w:r>
        <w:t>1424 has advised that no peer-reviewed literature has been identified investigating safety differences between biopsy guidance techniques. Similarly, our own searches into the safety of prostate biopsy (Subsection B7) have not identified any literature on this topic. There is no evidence that safety o</w:t>
      </w:r>
      <w:r w:rsidR="0029690D">
        <w:t>utcomes are different for trans</w:t>
      </w:r>
      <w:r w:rsidR="006F3F56">
        <w:t>-</w:t>
      </w:r>
      <w:r>
        <w:t xml:space="preserve">rectal biopsy performed under US or MRI guidance. </w:t>
      </w:r>
    </w:p>
    <w:p w14:paraId="5DDE7694" w14:textId="26A249C6" w:rsidR="005C404F" w:rsidRPr="005C404F" w:rsidRDefault="005C404F" w:rsidP="005C404F">
      <w:r>
        <w:t xml:space="preserve">As described in Subsection B5.1, results from Schoots et al. </w:t>
      </w:r>
      <w:r w:rsidR="00107D38">
        <w:t>(20</w:t>
      </w:r>
      <w:r w:rsidR="00156084">
        <w:t>1</w:t>
      </w:r>
      <w:r w:rsidR="00107D38">
        <w:t>5)</w:t>
      </w:r>
      <w:r w:rsidR="00156084">
        <w:t xml:space="preserve"> </w:t>
      </w:r>
      <w:r>
        <w:t>show no difference in accuracy associated with biopsy type; therefore, there is unlikely to be any difference in management for patients receiving a biopsy.</w:t>
      </w:r>
    </w:p>
    <w:p w14:paraId="1B0C3613" w14:textId="1B5DA103" w:rsidR="00BA2099" w:rsidRPr="003E60B1" w:rsidRDefault="00F625D7" w:rsidP="00BA2099">
      <w:r>
        <w:rPr>
          <w:b/>
        </w:rPr>
        <w:t>Low</w:t>
      </w:r>
      <w:r w:rsidR="00F77EB1">
        <w:rPr>
          <w:b/>
        </w:rPr>
        <w:t>-</w:t>
      </w:r>
      <w:r w:rsidR="00A23605">
        <w:rPr>
          <w:b/>
        </w:rPr>
        <w:t>concern</w:t>
      </w:r>
      <w:r w:rsidR="00A23605" w:rsidRPr="001A584C">
        <w:rPr>
          <w:b/>
        </w:rPr>
        <w:t xml:space="preserve"> </w:t>
      </w:r>
      <w:r w:rsidR="00BA2099">
        <w:rPr>
          <w:b/>
        </w:rPr>
        <w:t>patients</w:t>
      </w:r>
      <w:r w:rsidR="00BA2099" w:rsidRPr="001A584C">
        <w:rPr>
          <w:b/>
        </w:rPr>
        <w:t>:</w:t>
      </w:r>
      <w:r w:rsidR="00BA2099">
        <w:rPr>
          <w:b/>
        </w:rPr>
        <w:t xml:space="preserve"> </w:t>
      </w:r>
      <w:r w:rsidR="00BA2099">
        <w:t xml:space="preserve">advice from the Applicant is that </w:t>
      </w:r>
      <w:r w:rsidR="00A23605">
        <w:t xml:space="preserve">between </w:t>
      </w:r>
      <w:r w:rsidR="008052C6">
        <w:t>30</w:t>
      </w:r>
      <w:r w:rsidR="00A23605">
        <w:t xml:space="preserve"> and </w:t>
      </w:r>
      <w:r w:rsidR="008052C6">
        <w:t>35</w:t>
      </w:r>
      <w:r w:rsidR="00A23605">
        <w:t xml:space="preserve"> per cent</w:t>
      </w:r>
      <w:r w:rsidR="00BA2099">
        <w:t xml:space="preserve"> of patients will have </w:t>
      </w:r>
      <w:r w:rsidR="008052C6">
        <w:t xml:space="preserve">their disease upgraded while on </w:t>
      </w:r>
      <w:r w:rsidR="004E17B9">
        <w:t>AS</w:t>
      </w:r>
      <w:r w:rsidR="008052C6">
        <w:t>.</w:t>
      </w:r>
    </w:p>
    <w:p w14:paraId="3E8328BB" w14:textId="18E16C12" w:rsidR="00BA2099" w:rsidRDefault="001703EA" w:rsidP="00BA2099">
      <w:r>
        <w:rPr>
          <w:i/>
        </w:rPr>
        <w:t>mpMRI</w:t>
      </w:r>
      <w:r w:rsidR="00BA2099" w:rsidRPr="00C87127">
        <w:rPr>
          <w:i/>
        </w:rPr>
        <w:t xml:space="preserve"> True positive</w:t>
      </w:r>
      <w:r w:rsidR="00BA2099">
        <w:t xml:space="preserve">: These patients have </w:t>
      </w:r>
      <w:r w:rsidR="001327C8">
        <w:t>PCa</w:t>
      </w:r>
      <w:r w:rsidR="00BA2099">
        <w:t xml:space="preserve"> and will receive a biopsy to guide the treatment decision under current management these patients will receive a TRUSG or TPUSGB. Under the proposed algorithm these patients will receive MRIGB. </w:t>
      </w:r>
      <w:r w:rsidR="005C404F">
        <w:t>U</w:t>
      </w:r>
      <w:r w:rsidR="00BA2099">
        <w:t>sing the approach recommended by Merlin and Leman</w:t>
      </w:r>
      <w:r w:rsidR="00C87127">
        <w:t xml:space="preserve"> </w:t>
      </w:r>
      <w:r w:rsidR="008E0B00">
        <w:fldChar w:fldCharType="begin">
          <w:fldData xml:space="preserve">PEVuZE5vdGU+PENpdGU+PEF1dGhvcj5NZXJsaW48L0F1dGhvcj48WWVhcj4yMDEzPC9ZZWFyPjxS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</w:fldData>
        </w:fldChar>
      </w:r>
      <w:r w:rsidR="008E0B00">
        <w:instrText xml:space="preserve"> ADDIN EN.CITE </w:instrText>
      </w:r>
      <w:r w:rsidR="008E0B00">
        <w:fldChar w:fldCharType="begin">
          <w:fldData xml:space="preserve">PEVuZE5vdGU+PENpdGU+PEF1dGhvcj5NZXJsaW48L0F1dGhvcj48WWVhcj4yMDEzPC9ZZWFyPjxS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93" w:tooltip="Merlin, 2013 #76" w:history="1">
        <w:r w:rsidR="008E0B00">
          <w:rPr>
            <w:noProof/>
          </w:rPr>
          <w:t>Merlin et al. 2013</w:t>
        </w:r>
      </w:hyperlink>
      <w:r w:rsidR="008E0B00">
        <w:rPr>
          <w:noProof/>
        </w:rPr>
        <w:t>)</w:t>
      </w:r>
      <w:r w:rsidR="008E0B00">
        <w:fldChar w:fldCharType="end"/>
      </w:r>
      <w:r w:rsidR="00BA2099">
        <w:t xml:space="preserve">, no investigation of therapeutic effectiveness has been undertaken for these patients as treatment for these men is unlikely to change under the proposed algorithm owing to the equivalent accuracy of the various biopsy types. Current treatment option for patients following biopsy may include </w:t>
      </w:r>
      <w:r w:rsidR="00D138AF">
        <w:t xml:space="preserve">further </w:t>
      </w:r>
      <w:r w:rsidR="004E17B9">
        <w:t>AS</w:t>
      </w:r>
      <w:r w:rsidR="00BA2099">
        <w:t xml:space="preserve">, radical prostatectomy, radiation therapy, androgen deprivation therapy, brachytherapy, high intensity focused US and/or chemotherapy </w:t>
      </w:r>
      <w:r w:rsidR="008E0B00">
        <w:fldChar w:fldCharType="begin"/>
      </w:r>
      <w:r w:rsidR="008E0B00">
        <w:instrText xml:space="preserve"> ADDIN EN.CITE &lt;EndNote&gt;&lt;Cite&gt;&lt;Author&gt;Evans&lt;/Author&gt;&lt;Year&gt;2013&lt;/Year&gt;&lt;RecNum&gt;77&lt;/RecNum&gt;&lt;DisplayText&gt;(Evans et al. 2013)&lt;/DisplayText&gt;&lt;record&gt;&lt;rec-number&gt;77&lt;/rec-number&gt;&lt;foreign-keys&gt;&lt;key app="EN" db-id="2p9terxr22fx91epzebpfdwuzrwtw2a2ep2t" timestamp="1472684616"&gt;77&lt;/key&gt;&lt;/foreign-keys&gt;&lt;ref-type name="Journal Article"&gt;17&lt;/ref-type&gt;&lt;contributors&gt;&lt;authors&gt;&lt;author&gt;Evans, Sue M&lt;/author&gt;&lt;author&gt;Millar, Jeremy L&lt;/author&gt;&lt;author&gt;Davis, Ian D&lt;/author&gt;&lt;author&gt;Murphy, Declan G&lt;/author&gt;&lt;author&gt;Bolton, Damien M&lt;/author&gt;&lt;author&gt;Giles, Graham G&lt;/author&gt;&lt;author&gt;Frydenberg, Mark&lt;/author&gt;&lt;author&gt;Andrianopoulos, Nick&lt;/author&gt;&lt;author&gt;Wood, Julie M&lt;/author&gt;&lt;author&gt;Frauman, Albert G&lt;/author&gt;&lt;/authors&gt;&lt;/contributors&gt;&lt;titles&gt;&lt;title&gt;Patterns of care for men diagnosed with prostate cancer in Victoria from 2008 to 2011&lt;/title&gt;&lt;secondary-title&gt;Med J Aust&lt;/secondary-title&gt;&lt;/titles&gt;&lt;periodical&gt;&lt;full-title&gt;Med J Aust&lt;/full-title&gt;&lt;/periodical&gt;&lt;pages&gt;540-545&lt;/pages&gt;&lt;volume&gt;198&lt;/volume&gt;&lt;number&gt;10&lt;/number&gt;&lt;dates&gt;&lt;year&gt;2013&lt;/year&gt;&lt;/dates&gt;&lt;urls&gt;&lt;/urls&gt;&lt;/record&gt;&lt;/Cite&gt;&lt;/EndNote&gt;</w:instrText>
      </w:r>
      <w:r w:rsidR="008E0B00">
        <w:fldChar w:fldCharType="separate"/>
      </w:r>
      <w:r w:rsidR="008E0B00">
        <w:rPr>
          <w:noProof/>
        </w:rPr>
        <w:t>(</w:t>
      </w:r>
      <w:hyperlink w:anchor="_ENREF_46" w:tooltip="Evans, 2013 #77" w:history="1">
        <w:r w:rsidR="008E0B00">
          <w:rPr>
            <w:noProof/>
          </w:rPr>
          <w:t>Evans et al. 2013</w:t>
        </w:r>
      </w:hyperlink>
      <w:r w:rsidR="008E0B00">
        <w:rPr>
          <w:noProof/>
        </w:rPr>
        <w:t>)</w:t>
      </w:r>
      <w:r w:rsidR="008E0B00">
        <w:fldChar w:fldCharType="end"/>
      </w:r>
      <w:r w:rsidR="00C87127">
        <w:t>.</w:t>
      </w:r>
    </w:p>
    <w:p w14:paraId="48BE5FC1" w14:textId="7501391E" w:rsidR="00BA2099" w:rsidRDefault="00E7473C" w:rsidP="00BA2099">
      <w:r>
        <w:rPr>
          <w:i/>
        </w:rPr>
        <w:t>mpMRI</w:t>
      </w:r>
      <w:r w:rsidR="00BA2099" w:rsidRPr="00EC54B4">
        <w:rPr>
          <w:i/>
        </w:rPr>
        <w:t xml:space="preserve"> False positive</w:t>
      </w:r>
      <w:r w:rsidR="00410EE4">
        <w:t>: T</w:t>
      </w:r>
      <w:r w:rsidR="00BA2099">
        <w:t xml:space="preserve">hese patients do not have </w:t>
      </w:r>
      <w:r w:rsidR="001327C8">
        <w:t>PCa</w:t>
      </w:r>
      <w:r w:rsidR="00BA2099">
        <w:t xml:space="preserve"> but have been incorrectly identified as by mpMRI. Under current management these patients will receive a TRUSGB or TPUSGB. Under the proposed management these patients will receive MRIGB. It is expected that biopsy of any type will correct the misdiagnosis by mpMRI and these patients will not receive unnecessary treatment. </w:t>
      </w:r>
    </w:p>
    <w:p w14:paraId="4A6C5670" w14:textId="1A795FD3" w:rsidR="00BA2099" w:rsidRDefault="00E7473C" w:rsidP="00BA2099">
      <w:r>
        <w:rPr>
          <w:i/>
        </w:rPr>
        <w:t>mpMRI</w:t>
      </w:r>
      <w:r w:rsidR="00BA2099" w:rsidRPr="00C11E2A">
        <w:rPr>
          <w:i/>
        </w:rPr>
        <w:t xml:space="preserve"> True negative</w:t>
      </w:r>
      <w:r w:rsidR="00410EE4">
        <w:t xml:space="preserve">: </w:t>
      </w:r>
      <w:r w:rsidR="00BA2099">
        <w:t xml:space="preserve">These patients do not have </w:t>
      </w:r>
      <w:r w:rsidR="001327C8">
        <w:t>PCa</w:t>
      </w:r>
      <w:r w:rsidR="00BA2099">
        <w:t xml:space="preserve"> and have been accurately diagnosed by mpMRI. These patients will avoid having a biopsy and therefore avoid the adverse events associated with biopsy. The adverse events are discussed in Subsection B7. </w:t>
      </w:r>
    </w:p>
    <w:p w14:paraId="393CF309" w14:textId="60D1B680" w:rsidR="00BA2099" w:rsidRDefault="00E7473C" w:rsidP="00BA2099">
      <w:r>
        <w:rPr>
          <w:i/>
        </w:rPr>
        <w:lastRenderedPageBreak/>
        <w:t>mpMRI</w:t>
      </w:r>
      <w:r w:rsidR="00BA2099" w:rsidRPr="00C11E2A">
        <w:rPr>
          <w:i/>
        </w:rPr>
        <w:t xml:space="preserve"> </w:t>
      </w:r>
      <w:r w:rsidR="00BA2099">
        <w:rPr>
          <w:i/>
        </w:rPr>
        <w:t>False</w:t>
      </w:r>
      <w:r w:rsidR="00BA2099" w:rsidRPr="00C11E2A">
        <w:rPr>
          <w:i/>
        </w:rPr>
        <w:t xml:space="preserve"> negative</w:t>
      </w:r>
      <w:r w:rsidR="00410EE4">
        <w:t xml:space="preserve">: </w:t>
      </w:r>
      <w:r w:rsidR="00BA2099">
        <w:t xml:space="preserve">These patients have </w:t>
      </w:r>
      <w:r w:rsidR="001327C8">
        <w:t>PCa</w:t>
      </w:r>
      <w:r w:rsidR="00BA2099">
        <w:t xml:space="preserve"> but have been incorrectly diagnosed as cancer free by mpMRI. These patients will avoid the adverse events associated with biopsy as described in Subsection B7. However, the patients will be subject to a delay in the diagnosis of their disease. According to the clinical algorithm for the proposed service, these patients will be re-evaluated </w:t>
      </w:r>
      <w:r w:rsidR="003B5DCB">
        <w:t>with a PSA test (three to four months) and with a DRE (six to twelve months) a</w:t>
      </w:r>
      <w:r w:rsidR="00737973">
        <w:t>fter the negative mpMRI. Results from these follow-ups wi</w:t>
      </w:r>
      <w:r w:rsidR="00287C1A">
        <w:t>ll</w:t>
      </w:r>
      <w:r w:rsidR="00737973">
        <w:t xml:space="preserve"> determine whether an additional mpMRI scan is require</w:t>
      </w:r>
      <w:r w:rsidR="00287C1A">
        <w:t>d</w:t>
      </w:r>
      <w:r w:rsidR="00737973">
        <w:t xml:space="preserve">, otherwise, </w:t>
      </w:r>
      <w:r w:rsidR="00DF2CD6">
        <w:t>patients</w:t>
      </w:r>
      <w:r w:rsidR="00737973">
        <w:t xml:space="preserve"> receive a scan every three years. </w:t>
      </w:r>
      <w:r w:rsidR="00BA2099">
        <w:t xml:space="preserve">The impact of delayed treatment for this group of patients has been investigated in a systematic literature review (described below). </w:t>
      </w:r>
    </w:p>
    <w:p w14:paraId="2DD3EED7" w14:textId="5F02CCE3" w:rsidR="008A2494" w:rsidRPr="001A584C" w:rsidRDefault="00BA2099" w:rsidP="008A2494">
      <w:pPr>
        <w:rPr>
          <w:b/>
        </w:rPr>
      </w:pPr>
      <w:r>
        <w:rPr>
          <w:b/>
        </w:rPr>
        <w:t>High</w:t>
      </w:r>
      <w:r w:rsidR="00F77EB1">
        <w:rPr>
          <w:b/>
        </w:rPr>
        <w:t>-</w:t>
      </w:r>
      <w:r w:rsidR="004D3DAC">
        <w:rPr>
          <w:b/>
        </w:rPr>
        <w:t>concern</w:t>
      </w:r>
      <w:r w:rsidR="004D3DAC" w:rsidRPr="001A584C">
        <w:rPr>
          <w:b/>
        </w:rPr>
        <w:t xml:space="preserve"> </w:t>
      </w:r>
      <w:r>
        <w:rPr>
          <w:b/>
        </w:rPr>
        <w:t>patients</w:t>
      </w:r>
      <w:r w:rsidRPr="001A584C">
        <w:rPr>
          <w:b/>
        </w:rPr>
        <w:t>:</w:t>
      </w:r>
      <w:r w:rsidRPr="00F94B84">
        <w:t xml:space="preserve"> </w:t>
      </w:r>
      <w:r>
        <w:t>As all high</w:t>
      </w:r>
      <w:r w:rsidR="00F77EB1">
        <w:t>-</w:t>
      </w:r>
      <w:r w:rsidR="00A9704F">
        <w:t xml:space="preserve">concern </w:t>
      </w:r>
      <w:r>
        <w:t>patients will receive a biopsy, regardless of the results of the mpMRI, no change in management and no change</w:t>
      </w:r>
      <w:r w:rsidR="009228AB">
        <w:t>s</w:t>
      </w:r>
      <w:r>
        <w:t xml:space="preserve"> to therapeutic effectiveness </w:t>
      </w:r>
      <w:r w:rsidR="009228AB">
        <w:t xml:space="preserve">are </w:t>
      </w:r>
      <w:r>
        <w:t xml:space="preserve">expected for this population. </w:t>
      </w:r>
      <w:r w:rsidR="008A2494">
        <w:t xml:space="preserve">The basis for this is </w:t>
      </w:r>
      <w:r w:rsidR="004D3DAC">
        <w:t xml:space="preserve">the same as was discussed for high-concern </w:t>
      </w:r>
      <w:r w:rsidR="00F77EB1">
        <w:t>patients</w:t>
      </w:r>
      <w:r w:rsidR="004D3DAC">
        <w:t xml:space="preserve"> in Population 1</w:t>
      </w:r>
      <w:r w:rsidR="00703B1C">
        <w:t xml:space="preserve"> </w:t>
      </w:r>
      <w:r w:rsidR="004D3DAC">
        <w:t>(S</w:t>
      </w:r>
      <w:r w:rsidR="00454474">
        <w:t>ubs</w:t>
      </w:r>
      <w:r w:rsidR="004D3DAC">
        <w:t>ection B5)</w:t>
      </w:r>
      <w:r w:rsidR="008A2494">
        <w:t>.</w:t>
      </w:r>
    </w:p>
    <w:p w14:paraId="2BF86EA6" w14:textId="77777777" w:rsidR="00BA2099" w:rsidRDefault="00BA2099" w:rsidP="00BA2099">
      <w:r>
        <w:t>No studies were identified that measured the change in management in Population 2.</w:t>
      </w:r>
    </w:p>
    <w:p w14:paraId="27CEBDB6" w14:textId="3A16F576" w:rsidR="00E51D2B" w:rsidRDefault="00E51D2B" w:rsidP="00BA2099">
      <w:r>
        <w:t xml:space="preserve">The impact of delayed </w:t>
      </w:r>
      <w:r w:rsidR="00BF0D47">
        <w:t>treatment</w:t>
      </w:r>
      <w:r>
        <w:t xml:space="preserve"> in low-</w:t>
      </w:r>
      <w:r w:rsidR="00A9704F">
        <w:t xml:space="preserve">concern </w:t>
      </w:r>
      <w:r>
        <w:t>patients with a false negative mpMRI result was assessed in a systematic literature review. The details of this review are described in Subsection B5.2.1.</w:t>
      </w:r>
    </w:p>
    <w:p w14:paraId="52685A1E" w14:textId="3B1088C1" w:rsidR="00E51D2B" w:rsidRDefault="00E51D2B" w:rsidP="00BA2099">
      <w:r>
        <w:t>One study was identified that assessed the impact of a delay between cancer upstaging and treatment</w:t>
      </w:r>
      <w:r w:rsidR="00C87127">
        <w:t xml:space="preserve"> </w:t>
      </w:r>
      <w:r w:rsidR="008E0B00">
        <w:fldChar w:fldCharType="begin">
          <w:fldData xml:space="preserve">PEVuZE5vdGU+PENpdGU+PEF1dGhvcj5IdXNzZWluPC9BdXRob3I+PFllYXI+MjAxNTwvWWVhcj48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</w:fldData>
        </w:fldChar>
      </w:r>
      <w:r w:rsidR="008E0B00">
        <w:instrText xml:space="preserve"> ADDIN EN.CITE </w:instrText>
      </w:r>
      <w:r w:rsidR="008E0B00">
        <w:fldChar w:fldCharType="begin">
          <w:fldData xml:space="preserve">PEVuZE5vdGU+PENpdGU+PEF1dGhvcj5IdXNzZWluPC9BdXRob3I+PFllYXI+MjAxNTwvWWVhcj48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</w:fldData>
        </w:fldChar>
      </w:r>
      <w:r w:rsidR="008E0B00">
        <w:instrText xml:space="preserve"> ADDIN EN.CITE.DATA </w:instrText>
      </w:r>
      <w:r w:rsidR="008E0B00">
        <w:fldChar w:fldCharType="end"/>
      </w:r>
      <w:r w:rsidR="008E0B00">
        <w:fldChar w:fldCharType="separate"/>
      </w:r>
      <w:r w:rsidR="008E0B00">
        <w:rPr>
          <w:noProof/>
        </w:rPr>
        <w:t>(</w:t>
      </w:r>
      <w:hyperlink w:anchor="_ENREF_66" w:tooltip="Hussein, 2015 #99" w:history="1">
        <w:r w:rsidR="008E0B00">
          <w:rPr>
            <w:noProof/>
          </w:rPr>
          <w:t>Hussein et al. 2015</w:t>
        </w:r>
      </w:hyperlink>
      <w:r w:rsidR="008E0B00">
        <w:rPr>
          <w:noProof/>
        </w:rPr>
        <w:t>)</w:t>
      </w:r>
      <w:r w:rsidR="008E0B00">
        <w:fldChar w:fldCharType="end"/>
      </w:r>
      <w:r>
        <w:t xml:space="preserve">. </w:t>
      </w:r>
    </w:p>
    <w:p w14:paraId="52311A92" w14:textId="1E80035B" w:rsidR="00BA2099" w:rsidRDefault="00E51D2B" w:rsidP="00BA2099">
      <w:r>
        <w:t>Hussein et al. (2015) included 219 men who were upgrade</w:t>
      </w:r>
      <w:r w:rsidR="00460D57">
        <w:t>d</w:t>
      </w:r>
      <w:r>
        <w:t xml:space="preserve"> from Gleason 6 to Gleason ≥ 7. The median time between upgrading and treatment was 28 months (IQR 16-52) and the median length of follow-up was 59 months (IQR 37-89). A delay before treatment was not associated </w:t>
      </w:r>
      <w:r w:rsidR="0050107A">
        <w:t>with</w:t>
      </w:r>
      <w:r>
        <w:t xml:space="preserve"> an increase in the proportion of </w:t>
      </w:r>
      <w:r w:rsidR="00BF0D47">
        <w:t>patients</w:t>
      </w:r>
      <w:r>
        <w:t xml:space="preserve"> with positive surgical margins (OR 1.01 (95% CI [0.97, 1.05], </w:t>
      </w:r>
      <w:r>
        <w:rPr>
          <w:i/>
        </w:rPr>
        <w:t>p</w:t>
      </w:r>
      <w:r>
        <w:t xml:space="preserve"> = </w:t>
      </w:r>
      <w:r w:rsidR="00080C78">
        <w:t>0.62)</w:t>
      </w:r>
      <w:r>
        <w:t xml:space="preserve">. </w:t>
      </w:r>
    </w:p>
    <w:p w14:paraId="5DCA6492" w14:textId="447867C9" w:rsidR="00D81DD5" w:rsidRDefault="00007DB8" w:rsidP="0034466C">
      <w:pPr>
        <w:pStyle w:val="Heading2"/>
      </w:pPr>
      <w:bookmarkStart w:id="370" w:name="_Toc460513944"/>
      <w:r>
        <w:t>B6.9</w:t>
      </w:r>
      <w:r w:rsidR="0034466C">
        <w:tab/>
      </w:r>
      <w:r w:rsidR="0034466C">
        <w:tab/>
      </w:r>
      <w:r w:rsidR="00D81DD5">
        <w:t xml:space="preserve">Interpretation of evidence on </w:t>
      </w:r>
      <w:r w:rsidR="0034466C">
        <w:t>monitoring</w:t>
      </w:r>
      <w:r w:rsidR="008109FF">
        <w:t xml:space="preserve"> (Population 2)</w:t>
      </w:r>
      <w:bookmarkEnd w:id="370"/>
    </w:p>
    <w:p w14:paraId="5F994973" w14:textId="0DD57911" w:rsidR="00F81A95" w:rsidRDefault="00F81A95" w:rsidP="00F81A95">
      <w:r>
        <w:t>Six studies were</w:t>
      </w:r>
      <w:r w:rsidR="00023843">
        <w:t xml:space="preserve"> identified that reported a </w:t>
      </w:r>
      <w:r w:rsidR="00D311ED">
        <w:t>per-patient</w:t>
      </w:r>
      <w:r>
        <w:t xml:space="preserve"> analysis of the diagnostic accuracy of mpMRI to detect upgraded cancer in patients on </w:t>
      </w:r>
      <w:r w:rsidR="004E17B9">
        <w:t>AS</w:t>
      </w:r>
      <w:r>
        <w:t xml:space="preserve"> programs. Pathology of samples obtained by biopsy was the reference standard in three studies, while three studies used pathology of prostatectomy specimens. There were no applicability issues identified between the included key studies and the proposed population in the Protocol. </w:t>
      </w:r>
    </w:p>
    <w:p w14:paraId="40EF2E4C" w14:textId="51D5D4A9" w:rsidR="00C87127" w:rsidRDefault="00C87127" w:rsidP="00F81A95">
      <w:r w:rsidRPr="00C87127">
        <w:t>For the detection of cancer upgrade, mpMRI has a sensitivity of 79.3</w:t>
      </w:r>
      <w:r w:rsidR="00585864">
        <w:t xml:space="preserve"> per cent</w:t>
      </w:r>
      <w:r w:rsidRPr="00C87127">
        <w:t xml:space="preserve"> (95% CI [74.6, 83.3]) and a specificity of 55.1</w:t>
      </w:r>
      <w:r w:rsidR="00585864">
        <w:t xml:space="preserve"> per cent</w:t>
      </w:r>
      <w:r w:rsidRPr="00C87127">
        <w:t xml:space="preserve"> (95% CI [50.4, 59.8]) – results from meta-analysis of six studies including 820 patients.</w:t>
      </w:r>
    </w:p>
    <w:p w14:paraId="1EABA2D9" w14:textId="134C33EF" w:rsidR="00F81A95" w:rsidRDefault="00F81A95" w:rsidP="00F81A95">
      <w:r>
        <w:lastRenderedPageBreak/>
        <w:t>The narrow 95</w:t>
      </w:r>
      <w:r w:rsidR="00A51688">
        <w:t xml:space="preserve"> per cent</w:t>
      </w:r>
      <w:r>
        <w:t xml:space="preserve"> confidence and prediction regions reflects the high level of certainty in the point estimate and the low level of heterogeneity present in the evidence base. Subgroup analysis by type of reference standard did not find any statistical difference between studies using a biopsy reference standard and those using prostatectomy samples.</w:t>
      </w:r>
    </w:p>
    <w:p w14:paraId="4403EF30" w14:textId="186B85B2" w:rsidR="007C289D" w:rsidRDefault="007C289D" w:rsidP="00F81A95">
      <w:r>
        <w:t xml:space="preserve">No study reported any data on the reliability of mpMRI </w:t>
      </w:r>
      <w:r w:rsidR="00301BB7">
        <w:t xml:space="preserve">for monitoring </w:t>
      </w:r>
      <w:r>
        <w:t xml:space="preserve">patients on </w:t>
      </w:r>
      <w:r w:rsidR="004E17B9">
        <w:t>AS</w:t>
      </w:r>
      <w:r>
        <w:t xml:space="preserve">. </w:t>
      </w:r>
    </w:p>
    <w:p w14:paraId="7C7A63F0" w14:textId="1DD38F7A" w:rsidR="007C289D" w:rsidRDefault="007C289D" w:rsidP="00F81A95">
      <w:r>
        <w:t>The only change in management associated with the introduction of mpMRI for Population 2 is the avoidance of biopsy by low-</w:t>
      </w:r>
      <w:r w:rsidR="00301BB7">
        <w:t xml:space="preserve">concern </w:t>
      </w:r>
      <w:r>
        <w:t xml:space="preserve">patients who have a negative mpMRI result. Patients for whom this is a true negative will avoid the adverse events of biopsy. Patients for whom this is a false negative will avoid the adverse events of biopsy at the expense of delayed treatment. A single study with moderate risk of bias found delayed treatment was not associated with increased rates of positive surgical margins; however, more research is required to confirm this result and to look at other outcomes, for example </w:t>
      </w:r>
      <w:r w:rsidR="00552AB4">
        <w:t xml:space="preserve">patient </w:t>
      </w:r>
      <w:r>
        <w:t>survival</w:t>
      </w:r>
      <w:r w:rsidR="00552AB4">
        <w:t xml:space="preserve"> and other clinically relevant measures such as</w:t>
      </w:r>
      <w:r>
        <w:t xml:space="preserve"> rates of metastatic disease, extra-capsular extension and lymph node involvement. </w:t>
      </w:r>
    </w:p>
    <w:p w14:paraId="0C13C760" w14:textId="4FCA17CA" w:rsidR="00F81A95" w:rsidRPr="00956075" w:rsidRDefault="00F77EB1" w:rsidP="00F81A95">
      <w:r>
        <w:t>D</w:t>
      </w:r>
      <w:r w:rsidR="002676C1">
        <w:t>espite the inferior diagnostic accuracy of mpMRI compared to TRUSGB</w:t>
      </w:r>
      <w:r>
        <w:t xml:space="preserve"> or </w:t>
      </w:r>
      <w:r w:rsidR="002676C1">
        <w:t>TPUSGB</w:t>
      </w:r>
      <w:r>
        <w:t xml:space="preserve"> the</w:t>
      </w:r>
      <w:r w:rsidR="002676C1">
        <w:t xml:space="preserve"> limited evidence suggests that any delay in treatment will not impact patients overall outcomes. Therefore a conservative approach has been taken and </w:t>
      </w:r>
      <w:r w:rsidR="00F81A95">
        <w:t xml:space="preserve">mpMRI is considered non-inferior </w:t>
      </w:r>
      <w:r w:rsidR="002676C1">
        <w:t>compared to current management for patients in</w:t>
      </w:r>
      <w:r w:rsidR="00CE51E6">
        <w:t xml:space="preserve"> Population 2</w:t>
      </w:r>
      <w:r w:rsidR="00F81A95">
        <w:t>.</w:t>
      </w:r>
    </w:p>
    <w:p w14:paraId="4E6EB979" w14:textId="77777777" w:rsidR="006563F3" w:rsidRDefault="006563F3" w:rsidP="006563F3">
      <w:pPr>
        <w:pStyle w:val="Heading1"/>
        <w:tabs>
          <w:tab w:val="left" w:pos="1134"/>
        </w:tabs>
      </w:pPr>
      <w:bookmarkStart w:id="371" w:name="_Toc460513945"/>
      <w:r>
        <w:lastRenderedPageBreak/>
        <w:t>B7</w:t>
      </w:r>
      <w:r>
        <w:tab/>
        <w:t>Extended assessment of comparative harms</w:t>
      </w:r>
      <w:bookmarkEnd w:id="371"/>
    </w:p>
    <w:p w14:paraId="67BA44B9" w14:textId="32F0123F" w:rsidR="002706BF" w:rsidRPr="00336350" w:rsidRDefault="002706BF" w:rsidP="008C1C59">
      <w:pPr>
        <w:pStyle w:val="Heading2"/>
      </w:pPr>
      <w:bookmarkStart w:id="372" w:name="_Toc460513946"/>
      <w:r>
        <w:t xml:space="preserve">B7.1 </w:t>
      </w:r>
      <w:r w:rsidR="00447139">
        <w:t>Safety of</w:t>
      </w:r>
      <w:r w:rsidRPr="00336350">
        <w:t xml:space="preserve"> mpMRI</w:t>
      </w:r>
      <w:bookmarkEnd w:id="372"/>
    </w:p>
    <w:p w14:paraId="6FEB495E" w14:textId="71D2EEC9" w:rsidR="002706BF" w:rsidRDefault="00301BB7" w:rsidP="002706BF">
      <w:r>
        <w:t>None</w:t>
      </w:r>
      <w:r w:rsidR="002706BF">
        <w:t xml:space="preserve"> of the diagnostic accuracy studies reported on safety outcomes associated with mpMRI. While MRI is considered safe for most patients, there are some potential adverse events associated with the use of magnetic fields and contrast agents which are </w:t>
      </w:r>
      <w:r w:rsidR="002706BF" w:rsidRPr="00EB18FC">
        <w:t>outlined in this section.</w:t>
      </w:r>
      <w:r w:rsidR="00926F72">
        <w:t xml:space="preserve"> </w:t>
      </w:r>
      <w:r w:rsidR="00926F72" w:rsidRPr="00B375F2">
        <w:t>The following presents safety information for MRI when used in the general population</w:t>
      </w:r>
      <w:r w:rsidR="00926F72" w:rsidRPr="00301BB7">
        <w:t>.</w:t>
      </w:r>
    </w:p>
    <w:p w14:paraId="306A8506" w14:textId="77777777" w:rsidR="002706BF" w:rsidRPr="00EB18FC" w:rsidRDefault="002706BF" w:rsidP="00B375F2">
      <w:pPr>
        <w:pStyle w:val="Heading3"/>
      </w:pPr>
      <w:bookmarkStart w:id="373" w:name="_Toc460513947"/>
      <w:r w:rsidRPr="00EB18FC">
        <w:t>The static magnetic field</w:t>
      </w:r>
      <w:bookmarkEnd w:id="373"/>
    </w:p>
    <w:p w14:paraId="017E03FC" w14:textId="5CA9D74F" w:rsidR="002706BF" w:rsidRPr="00EB18FC" w:rsidRDefault="002706BF" w:rsidP="002706BF">
      <w:r w:rsidRPr="00EB18FC">
        <w:t>Safety issues to consider with strong static fields are interaction with implantable medical devices, fringe fields, biological effects, attractive force causing projectile hazards, and in</w:t>
      </w:r>
      <w:r>
        <w:t>teraction with other equipment</w:t>
      </w:r>
      <w:r w:rsidR="00E3435D">
        <w:t xml:space="preserve"> </w:t>
      </w:r>
      <w:r w:rsidR="008E0B00">
        <w:fldChar w:fldCharType="begin"/>
      </w:r>
      <w:r w:rsidR="008E0B00">
        <w:instrText xml:space="preserve"> ADDIN EN.CITE &lt;EndNote&gt;&lt;Cite&gt;&lt;Author&gt;Schenck&lt;/Author&gt;&lt;Year&gt;2001&lt;/Year&gt;&lt;RecNum&gt;23&lt;/RecNum&gt;&lt;DisplayText&gt;(Schenck 2001a; Schenck 2001b)&lt;/DisplayText&gt;&lt;record&gt;&lt;rec-number&gt;23&lt;/rec-number&gt;&lt;foreign-keys&gt;&lt;key app="EN" db-id="2p9terxr22fx91epzebpfdwuzrwtw2a2ep2t" timestamp="1472684602"&gt;23&lt;/key&gt;&lt;/foreign-keys&gt;&lt;ref-type name="Book Section"&gt;5&lt;/ref-type&gt;&lt;contributors&gt;&lt;authors&gt;&lt;author&gt;Schenck, J.F.&lt;/author&gt;&lt;/authors&gt;&lt;secondary-authors&gt;&lt;author&gt;Raton, B.&lt;/author&gt;&lt;/secondary-authors&gt;&lt;/contributors&gt;&lt;titles&gt;&lt;title&gt;Health effects and safety of static magnetic fields. &lt;/title&gt;&lt;secondary-title&gt;Magnetic resonance procedures: health effects and safety.&lt;/secondary-title&gt;&lt;/titles&gt;&lt;dates&gt;&lt;year&gt;2001&lt;/year&gt;&lt;/dates&gt;&lt;publisher&gt;CRC Press&lt;/publisher&gt;&lt;urls&gt;&lt;/urls&gt;&lt;access-date&gt;24 April 2015&lt;/access-date&gt;&lt;/record&gt;&lt;/Cite&gt;&lt;Cite&gt;&lt;Author&gt;Schenck&lt;/Author&gt;&lt;Year&gt;2001&lt;/Year&gt;&lt;RecNum&gt;17&lt;/RecNum&gt;&lt;record&gt;&lt;rec-number&gt;17&lt;/rec-number&gt;&lt;foreign-keys&gt;&lt;key app="EN" db-id="xzzrstesqpaavfe0te5p2zssvee5ervas2vt" timestamp="1467166100"&gt;17&lt;/key&gt;&lt;/foreign-keys&gt;&lt;ref-type name="Journal Article"&gt;17&lt;/ref-type&gt;&lt;contributors&gt;&lt;authors&gt;&lt;author&gt;Schenck, J.F.&lt;/author&gt;&lt;/authors&gt;&lt;/contributors&gt;&lt;titles&gt;&lt;title&gt;Health effects and safety of static magnetic fields. In: Shellock FG, ed. Magnetic resonance procedures: health effects and safety. Boca Raton, FL: CRC Press, 2001; pp. 1-30.&lt;/title&gt;&lt;/titles&gt;&lt;dates&gt;&lt;year&gt;2001&lt;/year&gt;&lt;/dates&gt;&lt;urls&gt;&lt;/urls&gt;&lt;access-date&gt;24 April 2015&lt;/access-date&gt;&lt;/record&gt;&lt;/Cite&gt;&lt;/EndNote&gt;</w:instrText>
      </w:r>
      <w:r w:rsidR="008E0B00">
        <w:fldChar w:fldCharType="separate"/>
      </w:r>
      <w:r w:rsidR="008E0B00">
        <w:rPr>
          <w:noProof/>
        </w:rPr>
        <w:t>(</w:t>
      </w:r>
      <w:hyperlink w:anchor="_ENREF_142" w:tooltip="Schenck, 2001 #23" w:history="1">
        <w:r w:rsidR="008E0B00">
          <w:rPr>
            <w:noProof/>
          </w:rPr>
          <w:t>Schenck 2001a</w:t>
        </w:r>
      </w:hyperlink>
      <w:r w:rsidR="008E0B00">
        <w:rPr>
          <w:noProof/>
        </w:rPr>
        <w:t xml:space="preserve">; </w:t>
      </w:r>
      <w:hyperlink w:anchor="_ENREF_143" w:tooltip="Schenck, 2001 #17" w:history="1">
        <w:r w:rsidR="008E0B00">
          <w:rPr>
            <w:noProof/>
          </w:rPr>
          <w:t>Schenck 2001b</w:t>
        </w:r>
      </w:hyperlink>
      <w:r w:rsidR="008E0B00">
        <w:rPr>
          <w:noProof/>
        </w:rPr>
        <w:t>)</w:t>
      </w:r>
      <w:r w:rsidR="008E0B00">
        <w:fldChar w:fldCharType="end"/>
      </w:r>
      <w:r w:rsidRPr="00EB18FC">
        <w:t>.</w:t>
      </w:r>
    </w:p>
    <w:p w14:paraId="5A6B94FD" w14:textId="77777777" w:rsidR="002706BF" w:rsidRPr="00EB18FC" w:rsidRDefault="002706BF" w:rsidP="002706BF">
      <w:r w:rsidRPr="00EB18FC">
        <w:t>The strong magnetic field can affect implantable medical devices in exposed people. Any ferromagnetic component of an implantable device may experience both an attractive and a torque force. Implantable medical devices can be pacemakers, prostheses, clips, stents and neuro-stimulators. It is important to check the MRI compatibility of an implantable medical device.</w:t>
      </w:r>
    </w:p>
    <w:p w14:paraId="6C3FA1D3" w14:textId="0E2F8034" w:rsidR="002706BF" w:rsidRPr="00EB18FC" w:rsidRDefault="002706BF" w:rsidP="002706BF">
      <w:r>
        <w:t>A</w:t>
      </w:r>
      <w:r w:rsidRPr="00EB18FC">
        <w:t xml:space="preserve">cute cardiac effects have been occasionally observed in relation to short-term exposure to static magnetic fields </w:t>
      </w:r>
      <w:r w:rsidR="00E3435D">
        <w:t>above</w:t>
      </w:r>
      <w:r>
        <w:t xml:space="preserve"> 8T </w:t>
      </w:r>
      <w:r w:rsidR="008E0B00">
        <w:fldChar w:fldCharType="begin"/>
      </w:r>
      <w:r w:rsidR="008E0B00">
        <w:instrText xml:space="preserve"> ADDIN EN.CITE &lt;EndNote&gt;&lt;Cite&gt;&lt;Author&gt;World Health Organization&lt;/Author&gt;&lt;Year&gt;2006&lt;/Year&gt;&lt;RecNum&gt;100&lt;/RecNum&gt;&lt;DisplayText&gt;(World Health Organization 2006)&lt;/DisplayText&gt;&lt;record&gt;&lt;rec-number&gt;100&lt;/rec-number&gt;&lt;foreign-keys&gt;&lt;key app="EN" db-id="2p9terxr22fx91epzebpfdwuzrwtw2a2ep2t" timestamp="1472684623"&gt;100&lt;/key&gt;&lt;/foreign-keys&gt;&lt;ref-type name="Report"&gt;27&lt;/ref-type&gt;&lt;contributors&gt;&lt;authors&gt;&lt;author&gt;World Health Organization,&lt;/author&gt;&lt;/authors&gt;&lt;/contributors&gt;&lt;titles&gt;&lt;title&gt;Environmental Health Criteria 232. Static Fields.&lt;/title&gt;&lt;secondary-title&gt;ISBN 92 4 157232 9.&lt;/secondary-title&gt;&lt;/titles&gt;&lt;dates&gt;&lt;year&gt;2006&lt;/year&gt;&lt;/dates&gt;&lt;urls&gt;&lt;/urls&gt;&lt;access-date&gt;24 April 2015&lt;/access-date&gt;&lt;/record&gt;&lt;/Cite&gt;&lt;/EndNote&gt;</w:instrText>
      </w:r>
      <w:r w:rsidR="008E0B00">
        <w:fldChar w:fldCharType="separate"/>
      </w:r>
      <w:r w:rsidR="008E0B00">
        <w:rPr>
          <w:noProof/>
        </w:rPr>
        <w:t>(</w:t>
      </w:r>
      <w:hyperlink w:anchor="_ENREF_181" w:tooltip="World Health Organization, 2006 #100" w:history="1">
        <w:r w:rsidR="008E0B00">
          <w:rPr>
            <w:noProof/>
          </w:rPr>
          <w:t>World Health Organization 2006</w:t>
        </w:r>
      </w:hyperlink>
      <w:r w:rsidR="008E0B00">
        <w:rPr>
          <w:noProof/>
        </w:rPr>
        <w:t>)</w:t>
      </w:r>
      <w:r w:rsidR="008E0B00">
        <w:fldChar w:fldCharType="end"/>
      </w:r>
      <w:r w:rsidRPr="00EB18FC">
        <w:t>. However, acute exposure to</w:t>
      </w:r>
      <w:r w:rsidR="00E3435D">
        <w:t xml:space="preserve"> static magnetic fields up to 8</w:t>
      </w:r>
      <w:r w:rsidRPr="00EB18FC">
        <w:t>T is unlikely to hav</w:t>
      </w:r>
      <w:r>
        <w:t>e any adverse effect on health</w:t>
      </w:r>
      <w:r w:rsidR="00E3435D">
        <w:t xml:space="preserve"> </w:t>
      </w:r>
      <w:r w:rsidR="008E0B00">
        <w:fldChar w:fldCharType="begin"/>
      </w:r>
      <w:r w:rsidR="008E0B00">
        <w:instrText xml:space="preserve"> ADDIN EN.CITE &lt;EndNote&gt;&lt;Cite&gt;&lt;Author&gt;ICNIRP&lt;/Author&gt;&lt;Year&gt;2004&lt;/Year&gt;&lt;RecNum&gt;101&lt;/RecNum&gt;&lt;DisplayText&gt;(ICNIRP 2004; National Radiological Protection Board 1991)&lt;/DisplayText&gt;&lt;record&gt;&lt;rec-number&gt;101&lt;/rec-number&gt;&lt;foreign-keys&gt;&lt;key app="EN" db-id="2p9terxr22fx91epzebpfdwuzrwtw2a2ep2t" timestamp="1472684623"&gt;101&lt;/key&gt;&lt;/foreign-keys&gt;&lt;ref-type name="Journal Article"&gt;17&lt;/ref-type&gt;&lt;contributors&gt;&lt;authors&gt;&lt;author&gt;ICNIRP,&lt;/author&gt;&lt;/authors&gt;&lt;/contributors&gt;&lt;titles&gt;&lt;title&gt;International Commission on Non-Ionising Radiation (ICNIRP), Medical Magnetic Resonance (MR) Procedures: protection of patients. &lt;/title&gt;&lt;secondary-title&gt;Health Physics&lt;/secondary-title&gt;&lt;/titles&gt;&lt;periodical&gt;&lt;full-title&gt;Health Physics&lt;/full-title&gt;&lt;/periodical&gt;&lt;pages&gt;197-216&lt;/pages&gt;&lt;volume&gt;87&lt;/volume&gt;&lt;number&gt;2&lt;/number&gt;&lt;dates&gt;&lt;year&gt;2004&lt;/year&gt;&lt;pub-dates&gt;&lt;date&gt;August&lt;/date&gt;&lt;/pub-dates&gt;&lt;/dates&gt;&lt;urls&gt;&lt;related-urls&gt;&lt;url&gt;http://www.icnirp.de/documents/MR2004.pdf&lt;/url&gt;&lt;/related-urls&gt;&lt;/urls&gt;&lt;/record&gt;&lt;/Cite&gt;&lt;Cite&gt;&lt;Author&gt;National Radiological Protection Board&lt;/Author&gt;&lt;Year&gt;1991&lt;/Year&gt;&lt;RecNum&gt;102&lt;/RecNum&gt;&lt;record&gt;&lt;rec-number&gt;102&lt;/rec-number&gt;&lt;foreign-keys&gt;&lt;key app="EN" db-id="2p9terxr22fx91epzebpfdwuzrwtw2a2ep2t" timestamp="1472684623"&gt;102&lt;/key&gt;&lt;/foreign-keys&gt;&lt;ref-type name="Web Page"&gt;12&lt;/ref-type&gt;&lt;contributors&gt;&lt;authors&gt;&lt;author&gt;National Radiological Protection Board,&lt;/author&gt;&lt;/authors&gt;&lt;/contributors&gt;&lt;titles&gt;&lt;title&gt;Principles for the protection of patients and volunteers during clinical magnetic resonance diagnostic procedures. Documents of the NRPB 2(1) 1991. ISBN 0859513394.&lt;/title&gt;&lt;/titles&gt;&lt;number&gt;24 April 2015&lt;/number&gt;&lt;dates&gt;&lt;year&gt;1991&lt;/year&gt;&lt;/dates&gt;&lt;urls&gt;&lt;related-urls&gt;&lt;url&gt;http://www.hpa.org.uk/radiation/publications/documents_of_nrpb/abstracts/absd2-1.htm&lt;/url&gt;&lt;/related-urls&gt;&lt;/urls&gt;&lt;/record&gt;&lt;/Cite&gt;&lt;/EndNote&gt;</w:instrText>
      </w:r>
      <w:r w:rsidR="008E0B00">
        <w:fldChar w:fldCharType="separate"/>
      </w:r>
      <w:r w:rsidR="008E0B00">
        <w:rPr>
          <w:noProof/>
        </w:rPr>
        <w:t>(</w:t>
      </w:r>
      <w:hyperlink w:anchor="_ENREF_69" w:tooltip="ICNIRP, 2004 #101" w:history="1">
        <w:r w:rsidR="008E0B00">
          <w:rPr>
            <w:noProof/>
          </w:rPr>
          <w:t>ICNIRP 2004</w:t>
        </w:r>
      </w:hyperlink>
      <w:r w:rsidR="008E0B00">
        <w:rPr>
          <w:noProof/>
        </w:rPr>
        <w:t xml:space="preserve">; </w:t>
      </w:r>
      <w:hyperlink w:anchor="_ENREF_101" w:tooltip="National Radiological Protection Board, 1991 #102" w:history="1">
        <w:r w:rsidR="008E0B00">
          <w:rPr>
            <w:noProof/>
          </w:rPr>
          <w:t>National Radiological Protection Board 1991</w:t>
        </w:r>
      </w:hyperlink>
      <w:r w:rsidR="008E0B00">
        <w:rPr>
          <w:noProof/>
        </w:rPr>
        <w:t>)</w:t>
      </w:r>
      <w:r w:rsidR="008E0B00">
        <w:fldChar w:fldCharType="end"/>
      </w:r>
      <w:r w:rsidRPr="00EB18FC">
        <w:t xml:space="preserve">. </w:t>
      </w:r>
    </w:p>
    <w:p w14:paraId="603000E1" w14:textId="77777777" w:rsidR="002706BF" w:rsidRPr="00EB18FC" w:rsidRDefault="002706BF" w:rsidP="00B375F2">
      <w:pPr>
        <w:pStyle w:val="Heading3"/>
      </w:pPr>
      <w:bookmarkStart w:id="374" w:name="_Toc460513948"/>
      <w:r w:rsidRPr="00EB18FC">
        <w:t>Time-varying magnetic field</w:t>
      </w:r>
      <w:bookmarkEnd w:id="374"/>
    </w:p>
    <w:p w14:paraId="2C9EA0DD" w14:textId="66E218D2" w:rsidR="002706BF" w:rsidRPr="00EB18FC" w:rsidRDefault="002706BF" w:rsidP="002706BF">
      <w:r w:rsidRPr="00EB18FC">
        <w:t>In MR</w:t>
      </w:r>
      <w:r w:rsidR="003A5E12">
        <w:t>I</w:t>
      </w:r>
      <w:r w:rsidRPr="00EB18FC">
        <w:t xml:space="preserve">, three orthogonal magnetic field gradients are switched on and off to select the region of diagnostic interest and to spatially encode the </w:t>
      </w:r>
      <w:r w:rsidR="004B2310">
        <w:t>MRI</w:t>
      </w:r>
      <w:r w:rsidRPr="00EB18FC">
        <w:t xml:space="preserve"> signals. The faster the sequence, the greater the rate of change of the gradient fields used and the current density induced in the tissue. The safety concerns with the time-varying magnetic field gradients are biological effects, including peripheral nerve stimulation, muscle stimulation</w:t>
      </w:r>
      <w:r w:rsidR="00624E11">
        <w:t xml:space="preserve"> </w:t>
      </w:r>
      <w:r w:rsidR="008E0B00">
        <w:fldChar w:fldCharType="begin"/>
      </w:r>
      <w:r w:rsidR="008E0B00">
        <w:instrText xml:space="preserve"> ADDIN EN.CITE &lt;EndNote&gt;&lt;Cite&gt;&lt;Author&gt;Kangarlu A&lt;/Author&gt;&lt;Year&gt;2000&lt;/Year&gt;&lt;RecNum&gt;103&lt;/RecNum&gt;&lt;DisplayText&gt;(Kangarlu A and Robitaille PML 2000)&lt;/DisplayText&gt;&lt;record&gt;&lt;rec-number&gt;103&lt;/rec-number&gt;&lt;foreign-keys&gt;&lt;key app="EN" db-id="2p9terxr22fx91epzebpfdwuzrwtw2a2ep2t" timestamp="1472684623"&gt;103&lt;/key&gt;&lt;/foreign-keys&gt;&lt;ref-type name="Journal Article"&gt;17&lt;/ref-type&gt;&lt;contributors&gt;&lt;authors&gt;&lt;author&gt;Kangarlu A,&lt;/author&gt;&lt;author&gt;Robitaille PML,&lt;/author&gt;&lt;/authors&gt;&lt;/contributors&gt;&lt;titles&gt;&lt;title&gt;Biological effects and health implications in magnetic resonance imaging&lt;/title&gt;&lt;secondary-title&gt;Concept Magnetic Res&lt;/secondary-title&gt;&lt;/titles&gt;&lt;periodical&gt;&lt;full-title&gt;Concept Magnetic Res&lt;/full-title&gt;&lt;/periodical&gt;&lt;pages&gt;321-359&lt;/pages&gt;&lt;volume&gt;12&lt;/volume&gt;&lt;number&gt;5&lt;/number&gt;&lt;dates&gt;&lt;year&gt;2000&lt;/year&gt;&lt;/dates&gt;&lt;urls&gt;&lt;/urls&gt;&lt;/record&gt;&lt;/Cite&gt;&lt;/EndNote&gt;</w:instrText>
      </w:r>
      <w:r w:rsidR="008E0B00">
        <w:fldChar w:fldCharType="separate"/>
      </w:r>
      <w:r w:rsidR="008E0B00">
        <w:rPr>
          <w:noProof/>
        </w:rPr>
        <w:t>(</w:t>
      </w:r>
      <w:hyperlink w:anchor="_ENREF_73" w:tooltip="Kangarlu A, 2000 #103" w:history="1">
        <w:r w:rsidR="008E0B00">
          <w:rPr>
            <w:noProof/>
          </w:rPr>
          <w:t>Kangarlu A and Robitaille PML 2000</w:t>
        </w:r>
      </w:hyperlink>
      <w:r w:rsidR="008E0B00">
        <w:rPr>
          <w:noProof/>
        </w:rPr>
        <w:t>)</w:t>
      </w:r>
      <w:r w:rsidR="008E0B00">
        <w:fldChar w:fldCharType="end"/>
      </w:r>
      <w:r w:rsidRPr="00EB18FC">
        <w:t xml:space="preserve"> and acoustic noise </w:t>
      </w:r>
      <w:r w:rsidR="008E0B00">
        <w:fldChar w:fldCharType="begin"/>
      </w:r>
      <w:r w:rsidR="008E0B00">
        <w:instrText xml:space="preserve"> ADDIN EN.CITE &lt;EndNote&gt;&lt;Cite&gt;&lt;Author&gt;Price DL&lt;/Author&gt;&lt;Year&gt;2001&lt;/Year&gt;&lt;RecNum&gt;104&lt;/RecNum&gt;&lt;DisplayText&gt;(Price DL et al. 2001; RANZCR 2007)&lt;/DisplayText&gt;&lt;record&gt;&lt;rec-number&gt;104&lt;/rec-number&gt;&lt;foreign-keys&gt;&lt;key app="EN" db-id="2p9terxr22fx91epzebpfdwuzrwtw2a2ep2t" timestamp="1472684623"&gt;104&lt;/key&gt;&lt;/foreign-keys&gt;&lt;ref-type name="Journal Article"&gt;17&lt;/ref-type&gt;&lt;contributors&gt;&lt;authors&gt;&lt;author&gt;Price DL,&lt;/author&gt;&lt;author&gt;De Wilde JP,&lt;/author&gt;&lt;author&gt;Papadaki AM,&lt;/author&gt;&lt;/authors&gt;&lt;/contributors&gt;&lt;titles&gt;&lt;title&gt;Investigation of Acoustic Noise on 15 MRI scanners from 0.2 T to 3 T.&lt;/title&gt;&lt;secondary-title&gt;J Magn Res Im&lt;/secondary-title&gt;&lt;/titles&gt;&lt;periodical&gt;&lt;full-title&gt;J Magn Res Im&lt;/full-title&gt;&lt;/periodical&gt;&lt;pages&gt;288-293&lt;/pages&gt;&lt;volume&gt;13&lt;/volume&gt;&lt;number&gt;2&lt;/number&gt;&lt;dates&gt;&lt;year&gt;2001&lt;/year&gt;&lt;/dates&gt;&lt;urls&gt;&lt;/urls&gt;&lt;/record&gt;&lt;/Cite&gt;&lt;Cite&gt;&lt;Author&gt;RANZCR&lt;/Author&gt;&lt;Year&gt;2007&lt;/Year&gt;&lt;RecNum&gt;105&lt;/RecNum&gt;&lt;record&gt;&lt;rec-number&gt;105&lt;/rec-number&gt;&lt;foreign-keys&gt;&lt;key app="EN" db-id="2p9terxr22fx91epzebpfdwuzrwtw2a2ep2t" timestamp="1472684624"&gt;105&lt;/key&gt;&lt;/foreign-keys&gt;&lt;ref-type name="Report"&gt;27&lt;/ref-type&gt;&lt;contributors&gt;&lt;authors&gt;&lt;author&gt;RANZCR&lt;/author&gt;&lt;/authors&gt;&lt;/contributors&gt;&lt;titles&gt;&lt;title&gt;RANZCR MRI Safety Guidelines&lt;/title&gt;&lt;/titles&gt;&lt;dates&gt;&lt;year&gt;2007&lt;/year&gt;&lt;/dates&gt;&lt;pub-location&gt;Sydney, Australia&lt;/pub-location&gt;&lt;publisher&gt;Royal Australia New Zealand College of Radiologists&lt;/publisher&gt;&lt;urls&gt;&lt;/urls&gt;&lt;access-date&gt;19 February 2015&lt;/access-date&gt;&lt;/record&gt;&lt;/Cite&gt;&lt;/EndNote&gt;</w:instrText>
      </w:r>
      <w:r w:rsidR="008E0B00">
        <w:fldChar w:fldCharType="separate"/>
      </w:r>
      <w:r w:rsidR="008E0B00">
        <w:rPr>
          <w:noProof/>
        </w:rPr>
        <w:t>(</w:t>
      </w:r>
      <w:hyperlink w:anchor="_ENREF_118" w:tooltip="Price DL, 2001 #104" w:history="1">
        <w:r w:rsidR="008E0B00">
          <w:rPr>
            <w:noProof/>
          </w:rPr>
          <w:t>Price DL et al. 2001</w:t>
        </w:r>
      </w:hyperlink>
      <w:r w:rsidR="008E0B00">
        <w:rPr>
          <w:noProof/>
        </w:rPr>
        <w:t xml:space="preserve">; </w:t>
      </w:r>
      <w:hyperlink w:anchor="_ENREF_121" w:tooltip="RANZCR, 2007 #105" w:history="1">
        <w:r w:rsidR="008E0B00">
          <w:rPr>
            <w:noProof/>
          </w:rPr>
          <w:t>RANZCR 2007</w:t>
        </w:r>
      </w:hyperlink>
      <w:r w:rsidR="008E0B00">
        <w:rPr>
          <w:noProof/>
        </w:rPr>
        <w:t>)</w:t>
      </w:r>
      <w:r w:rsidR="008E0B00">
        <w:fldChar w:fldCharType="end"/>
      </w:r>
      <w:r w:rsidRPr="00EB18FC">
        <w:t>. In most cases any discomfort can be managed.</w:t>
      </w:r>
    </w:p>
    <w:p w14:paraId="5C8E120E" w14:textId="16FF834A" w:rsidR="002706BF" w:rsidRPr="00EB18FC" w:rsidRDefault="002706BF" w:rsidP="00B375F2">
      <w:pPr>
        <w:pStyle w:val="Heading3"/>
      </w:pPr>
      <w:bookmarkStart w:id="375" w:name="_Toc460513949"/>
      <w:r w:rsidRPr="00EB18FC">
        <w:t>Radiofrequency magnetic fields</w:t>
      </w:r>
      <w:bookmarkEnd w:id="375"/>
      <w:r w:rsidRPr="00EB18FC">
        <w:t xml:space="preserve"> </w:t>
      </w:r>
    </w:p>
    <w:p w14:paraId="51577FC6" w14:textId="5BE3FF6A" w:rsidR="002706BF" w:rsidRPr="00EB18FC" w:rsidRDefault="002706BF" w:rsidP="002706BF">
      <w:r w:rsidRPr="00EB18FC">
        <w:t xml:space="preserve">The main safety issues for radiofrequency (RF) fields used in </w:t>
      </w:r>
      <w:r w:rsidR="004B2310">
        <w:t>MRI</w:t>
      </w:r>
      <w:r w:rsidRPr="00EB18FC">
        <w:t xml:space="preserve"> are thermal heating leading to heat stress induced current burns and contact burns. </w:t>
      </w:r>
    </w:p>
    <w:p w14:paraId="24CD9CDB" w14:textId="29BDF9F9" w:rsidR="002706BF" w:rsidRPr="00EB18FC" w:rsidRDefault="002706BF" w:rsidP="002706BF">
      <w:r w:rsidRPr="00926F72">
        <w:t>Heat stress is of particular concern for some patients, such as those suffering from hypertension</w:t>
      </w:r>
      <w:r w:rsidR="00B35639">
        <w:t xml:space="preserve"> </w:t>
      </w:r>
      <w:r w:rsidRPr="00EB18FC">
        <w:t>or those on drugs su</w:t>
      </w:r>
      <w:r w:rsidR="00B375F2">
        <w:t>ch as diuretics or vasodilators</w:t>
      </w:r>
      <w:r w:rsidRPr="00EB18FC">
        <w:t xml:space="preserve">. Cardiovascular strain is an issue resulting from </w:t>
      </w:r>
      <w:r w:rsidRPr="00EB18FC">
        <w:lastRenderedPageBreak/>
        <w:t>thermoregulatory responses to body temperatures raised over a short period of time by more than 0.5°C in vulnerable people</w:t>
      </w:r>
      <w:r w:rsidR="006512FA">
        <w:t xml:space="preserve"> </w:t>
      </w:r>
      <w:r w:rsidR="008E0B00">
        <w:fldChar w:fldCharType="begin"/>
      </w:r>
      <w:r w:rsidR="008E0B00">
        <w:instrText xml:space="preserve"> ADDIN EN.CITE &lt;EndNote&gt;&lt;Cite&gt;&lt;Author&gt;Shellock FG&lt;/Author&gt;&lt;Year&gt;2001&lt;/Year&gt;&lt;RecNum&gt;18&lt;/RecNum&gt;&lt;DisplayText&gt;(Shellock FG 2001)&lt;/DisplayText&gt;&lt;record&gt;&lt;rec-number&gt;18&lt;/rec-number&gt;&lt;foreign-keys&gt;&lt;key app="EN" db-id="xzzrstesqpaavfe0te5p2zssvee5ervas2vt" timestamp="1467166100"&gt;18&lt;/key&gt;&lt;/foreign-keys&gt;&lt;ref-type name="Book"&gt;6&lt;/ref-type&gt;&lt;contributors&gt;&lt;authors&gt;&lt;author&gt;Shellock FG,&lt;/author&gt;&lt;/authors&gt;&lt;/contributors&gt;&lt;titles&gt;&lt;title&gt;Magnetic resonance procedures: health effects and safety&lt;/title&gt;&lt;/titles&gt;&lt;section&gt;1-30&lt;/section&gt;&lt;dates&gt;&lt;year&gt;2001&lt;/year&gt;&lt;/dates&gt;&lt;pub-location&gt;Boca Raton Florida&lt;/pub-location&gt;&lt;publisher&gt;CRC Press&lt;/publisher&gt;&lt;isbn&gt;ISBN 0849308747&lt;/isbn&gt;&lt;urls&gt;&lt;/urls&gt;&lt;/record&gt;&lt;/Cite&gt;&lt;/EndNote&gt;</w:instrText>
      </w:r>
      <w:r w:rsidR="008E0B00">
        <w:fldChar w:fldCharType="separate"/>
      </w:r>
      <w:r w:rsidR="008E0B00">
        <w:rPr>
          <w:noProof/>
        </w:rPr>
        <w:t>(</w:t>
      </w:r>
      <w:hyperlink w:anchor="_ENREF_146" w:tooltip="Shellock FG, 2001 #18" w:history="1">
        <w:r w:rsidR="008E0B00">
          <w:rPr>
            <w:noProof/>
          </w:rPr>
          <w:t>Shellock FG 2001</w:t>
        </w:r>
      </w:hyperlink>
      <w:r w:rsidR="008E0B00">
        <w:rPr>
          <w:noProof/>
        </w:rPr>
        <w:t>)</w:t>
      </w:r>
      <w:r w:rsidR="008E0B00">
        <w:fldChar w:fldCharType="end"/>
      </w:r>
      <w:r w:rsidRPr="00EB18FC">
        <w:t xml:space="preserve">. </w:t>
      </w:r>
    </w:p>
    <w:p w14:paraId="7F0753CC" w14:textId="77777777" w:rsidR="002706BF" w:rsidRPr="00EB18FC" w:rsidRDefault="002706BF" w:rsidP="008A5654">
      <w:pPr>
        <w:pStyle w:val="Heading3"/>
      </w:pPr>
      <w:bookmarkStart w:id="376" w:name="_Toc460513950"/>
      <w:r w:rsidRPr="00EB18FC">
        <w:t>Other considerations</w:t>
      </w:r>
      <w:bookmarkEnd w:id="376"/>
    </w:p>
    <w:p w14:paraId="5726BBEF" w14:textId="18EF2F02" w:rsidR="002706BF" w:rsidRPr="00EB18FC" w:rsidRDefault="002706BF" w:rsidP="002706BF">
      <w:r w:rsidRPr="00EB18FC">
        <w:t>Claustrophobia can inhibit some patients from undergoing MRI scans. Sedation and general anaesthetic are possible solutions for these patients, as well as non-pharmaceutical management which may include education</w:t>
      </w:r>
      <w:r w:rsidR="00712097">
        <w:t xml:space="preserve"> or</w:t>
      </w:r>
      <w:r w:rsidR="00712097" w:rsidRPr="00EB18FC">
        <w:t xml:space="preserve"> </w:t>
      </w:r>
      <w:r w:rsidRPr="00EB18FC">
        <w:t>continuous verbal contact with patient</w:t>
      </w:r>
      <w:r w:rsidR="006512FA">
        <w:t xml:space="preserve"> </w:t>
      </w:r>
      <w:r w:rsidR="008E0B00">
        <w:fldChar w:fldCharType="begin"/>
      </w:r>
      <w:r w:rsidR="008E0B00">
        <w:instrText xml:space="preserve"> ADDIN EN.CITE &lt;EndNote&gt;&lt;Cite&gt;&lt;Author&gt;Thorpe&lt;/Author&gt;&lt;Year&gt;2008&lt;/Year&gt;&lt;RecNum&gt;25&lt;/RecNum&gt;&lt;DisplayText&gt;(Thorpe et al. 2008)&lt;/DisplayText&gt;&lt;record&gt;&lt;rec-number&gt;25&lt;/rec-number&gt;&lt;foreign-keys&gt;&lt;key app="EN" db-id="2p9terxr22fx91epzebpfdwuzrwtw2a2ep2t" timestamp="1472684602"&gt;25&lt;/key&gt;&lt;/foreign-keys&gt;&lt;ref-type name="Journal Article"&gt;17&lt;/ref-type&gt;&lt;contributors&gt;&lt;authors&gt;&lt;author&gt;Thorpe, S.&lt;/author&gt;&lt;author&gt;Salkovskis, P. M.&lt;/author&gt;&lt;author&gt;Dittner, A.&lt;/author&gt;&lt;/authors&gt;&lt;/contributors&gt;&lt;auth-address&gt;University of Surrey, Psychology, Guildford, GU2 7XH Surrey, UK. s.thorpe@surrey.ac.uk&lt;/auth-address&gt;&lt;titles&gt;&lt;title&gt;Claustrophobia in MRI: the role of cognitions&lt;/title&gt;&lt;secondary-title&gt;Magn Reson Imaging&lt;/secondary-title&gt;&lt;alt-title&gt;Magnetic resonance imaging&lt;/alt-title&gt;&lt;/titles&gt;&lt;periodical&gt;&lt;full-title&gt;Magn Reson Imaging&lt;/full-title&gt;&lt;abbr-1&gt;Magnetic resonance imaging&lt;/abbr-1&gt;&lt;/periodical&gt;&lt;alt-periodical&gt;&lt;full-title&gt;Magn Reson Imaging&lt;/full-title&gt;&lt;abbr-1&gt;Magnetic resonance imaging&lt;/abbr-1&gt;&lt;/alt-periodical&gt;&lt;pages&gt;1081-8&lt;/pages&gt;&lt;volume&gt;26&lt;/volume&gt;&lt;number&gt;8&lt;/number&gt;&lt;edition&gt;2008/06/06&lt;/edition&gt;&lt;keywords&gt;&lt;keyword&gt;Adolescent&lt;/keyword&gt;&lt;keyword&gt;Adult&lt;/keyword&gt;&lt;keyword&gt;Aged&lt;/keyword&gt;&lt;keyword&gt;Aged, 80 and over&lt;/keyword&gt;&lt;keyword&gt;Anxiety/diagnosis/*etiology/*psychology&lt;/keyword&gt;&lt;keyword&gt;*Cognition&lt;/keyword&gt;&lt;keyword&gt;Female&lt;/keyword&gt;&lt;keyword&gt;Humans&lt;/keyword&gt;&lt;keyword&gt;Magnetic Resonance Imaging/*adverse effects/*psychology&lt;/keyword&gt;&lt;keyword&gt;Male&lt;/keyword&gt;&lt;keyword&gt;Middle Aged&lt;/keyword&gt;&lt;keyword&gt;Phobic Disorders/diagnosis/*etiology/*psychology&lt;/keyword&gt;&lt;keyword&gt;Psychometrics/methods&lt;/keyword&gt;&lt;keyword&gt;Surveys and Questionnaires&lt;/keyword&gt;&lt;keyword&gt;Young Adult&lt;/keyword&gt;&lt;/keywords&gt;&lt;dates&gt;&lt;year&gt;2008&lt;/year&gt;&lt;pub-dates&gt;&lt;date&gt;Oct&lt;/date&gt;&lt;/pub-dates&gt;&lt;/dates&gt;&lt;isbn&gt;0730-725X (Print)&amp;#xD;0730-725x&lt;/isbn&gt;&lt;accession-num&gt;18524527&lt;/accession-num&gt;&lt;urls&gt;&lt;/urls&gt;&lt;electronic-resource-num&gt;10.1016/j.mri.2008.01.022&lt;/electronic-resource-num&gt;&lt;remote-database-provider&gt;NLM&lt;/remote-database-provider&gt;&lt;language&gt;eng&lt;/language&gt;&lt;/record&gt;&lt;/Cite&gt;&lt;/EndNote&gt;</w:instrText>
      </w:r>
      <w:r w:rsidR="008E0B00">
        <w:fldChar w:fldCharType="separate"/>
      </w:r>
      <w:r w:rsidR="008E0B00">
        <w:rPr>
          <w:noProof/>
        </w:rPr>
        <w:t>(</w:t>
      </w:r>
      <w:hyperlink w:anchor="_ENREF_163" w:tooltip="Thorpe, 2008 #25" w:history="1">
        <w:r w:rsidR="008E0B00">
          <w:rPr>
            <w:noProof/>
          </w:rPr>
          <w:t>Thorpe et al. 2008</w:t>
        </w:r>
      </w:hyperlink>
      <w:r w:rsidR="008E0B00">
        <w:rPr>
          <w:noProof/>
        </w:rPr>
        <w:t>)</w:t>
      </w:r>
      <w:r w:rsidR="008E0B00">
        <w:fldChar w:fldCharType="end"/>
      </w:r>
      <w:r w:rsidRPr="00EB18FC">
        <w:t xml:space="preserve">. </w:t>
      </w:r>
    </w:p>
    <w:p w14:paraId="04049F5D" w14:textId="1D05A88B" w:rsidR="002706BF" w:rsidRPr="00EB18FC" w:rsidRDefault="002706BF" w:rsidP="002706BF">
      <w:r w:rsidRPr="00EB18FC">
        <w:t>Other patients at increased risk of harm from MRI are those with a previous reaction to gadolinium chelate</w:t>
      </w:r>
      <w:r>
        <w:t xml:space="preserve"> (discussed below)</w:t>
      </w:r>
      <w:r w:rsidRPr="00EB18FC">
        <w:t>, other allergies, asthma, and patients with end-stage renal failure</w:t>
      </w:r>
      <w:r w:rsidR="006512FA">
        <w:t xml:space="preserve"> </w:t>
      </w:r>
      <w:r w:rsidR="008E0B00">
        <w:fldChar w:fldCharType="begin"/>
      </w:r>
      <w:r w:rsidR="008E0B00">
        <w:instrText xml:space="preserve"> ADDIN EN.CITE &lt;EndNote&gt;&lt;Cite&gt;&lt;Author&gt;ICNIRP&lt;/Author&gt;&lt;Year&gt;2004&lt;/Year&gt;&lt;RecNum&gt;101&lt;/RecNum&gt;&lt;DisplayText&gt;(ICNIRP 2004)&lt;/DisplayText&gt;&lt;record&gt;&lt;rec-number&gt;101&lt;/rec-number&gt;&lt;foreign-keys&gt;&lt;key app="EN" db-id="2p9terxr22fx91epzebpfdwuzrwtw2a2ep2t" timestamp="1472684623"&gt;101&lt;/key&gt;&lt;/foreign-keys&gt;&lt;ref-type name="Journal Article"&gt;17&lt;/ref-type&gt;&lt;contributors&gt;&lt;authors&gt;&lt;author&gt;ICNIRP,&lt;/author&gt;&lt;/authors&gt;&lt;/contributors&gt;&lt;titles&gt;&lt;title&gt;International Commission on Non-Ionising Radiation (ICNIRP), Medical Magnetic Resonance (MR) Procedures: protection of patients. &lt;/title&gt;&lt;secondary-title&gt;Health Physics&lt;/secondary-title&gt;&lt;/titles&gt;&lt;periodical&gt;&lt;full-title&gt;Health Physics&lt;/full-title&gt;&lt;/periodical&gt;&lt;pages&gt;197-216&lt;/pages&gt;&lt;volume&gt;87&lt;/volume&gt;&lt;number&gt;2&lt;/number&gt;&lt;dates&gt;&lt;year&gt;2004&lt;/year&gt;&lt;pub-dates&gt;&lt;date&gt;August&lt;/date&gt;&lt;/pub-dates&gt;&lt;/dates&gt;&lt;urls&gt;&lt;related-urls&gt;&lt;url&gt;http://www.icnirp.de/documents/MR2004.pdf&lt;/url&gt;&lt;/related-urls&gt;&lt;/urls&gt;&lt;/record&gt;&lt;/Cite&gt;&lt;/EndNote&gt;</w:instrText>
      </w:r>
      <w:r w:rsidR="008E0B00">
        <w:fldChar w:fldCharType="separate"/>
      </w:r>
      <w:r w:rsidR="008E0B00">
        <w:rPr>
          <w:noProof/>
        </w:rPr>
        <w:t>(</w:t>
      </w:r>
      <w:hyperlink w:anchor="_ENREF_69" w:tooltip="ICNIRP, 2004 #101" w:history="1">
        <w:r w:rsidR="008E0B00">
          <w:rPr>
            <w:noProof/>
          </w:rPr>
          <w:t>ICNIRP 2004</w:t>
        </w:r>
      </w:hyperlink>
      <w:r w:rsidR="008E0B00">
        <w:rPr>
          <w:noProof/>
        </w:rPr>
        <w:t>)</w:t>
      </w:r>
      <w:r w:rsidR="008E0B00">
        <w:fldChar w:fldCharType="end"/>
      </w:r>
      <w:r w:rsidRPr="00EB18FC">
        <w:t>.</w:t>
      </w:r>
      <w:r>
        <w:t xml:space="preserve"> These patients may be imaged without the use of contrast agent or an alternative form of imaging such as CT or X-ray may be used.</w:t>
      </w:r>
    </w:p>
    <w:p w14:paraId="4062569A" w14:textId="77777777" w:rsidR="002706BF" w:rsidRDefault="002706BF" w:rsidP="008A5654">
      <w:pPr>
        <w:pStyle w:val="Heading3"/>
      </w:pPr>
      <w:bookmarkStart w:id="377" w:name="_Toc460513951"/>
      <w:r>
        <w:t>S</w:t>
      </w:r>
      <w:r w:rsidRPr="00E96697">
        <w:t>afety of g</w:t>
      </w:r>
      <w:r>
        <w:t>adolinium-based contrast agents</w:t>
      </w:r>
      <w:bookmarkEnd w:id="377"/>
    </w:p>
    <w:p w14:paraId="42EF1D89" w14:textId="237795F2" w:rsidR="000F4C0D" w:rsidRDefault="00712097" w:rsidP="002706BF">
      <w:pPr>
        <w:rPr>
          <w:highlight w:val="yellow"/>
        </w:rPr>
      </w:pPr>
      <w:r>
        <w:t>mp</w:t>
      </w:r>
      <w:r w:rsidR="002706BF">
        <w:t xml:space="preserve">MRI currently involves a sequence of </w:t>
      </w:r>
      <w:r w:rsidR="002706BF">
        <w:rPr>
          <w:lang w:val="en"/>
        </w:rPr>
        <w:t xml:space="preserve">contrast-enhanced imaging, requiring a </w:t>
      </w:r>
      <w:r w:rsidR="002706BF" w:rsidRPr="00E96697">
        <w:t>compound for contrast enhancement</w:t>
      </w:r>
      <w:r w:rsidR="002706BF">
        <w:rPr>
          <w:lang w:val="en"/>
        </w:rPr>
        <w:t>.</w:t>
      </w:r>
      <w:r w:rsidR="002706BF" w:rsidRPr="00E96697">
        <w:t xml:space="preserve"> </w:t>
      </w:r>
      <w:r w:rsidR="002706BF">
        <w:t xml:space="preserve">The </w:t>
      </w:r>
      <w:r w:rsidR="002706BF" w:rsidRPr="00E96697">
        <w:t xml:space="preserve">most commonly used </w:t>
      </w:r>
      <w:r w:rsidR="002706BF">
        <w:t xml:space="preserve">contrast agents </w:t>
      </w:r>
      <w:r w:rsidR="002706BF" w:rsidRPr="00E96697">
        <w:t xml:space="preserve">are </w:t>
      </w:r>
      <w:hyperlink r:id="rId42" w:tooltip="Gadolinium" w:history="1">
        <w:r w:rsidR="002706BF" w:rsidRPr="00E96697">
          <w:t>gadolinium</w:t>
        </w:r>
      </w:hyperlink>
      <w:r w:rsidR="002706BF" w:rsidRPr="00E96697">
        <w:t>-based.</w:t>
      </w:r>
      <w:r w:rsidR="002706BF">
        <w:t xml:space="preserve"> </w:t>
      </w:r>
      <w:r w:rsidR="003E6D7D">
        <w:t>Eleven studies reported on the safety of gadolinium contrast agents</w:t>
      </w:r>
      <w:r w:rsidR="008E0B00">
        <w:fldChar w:fldCharType="begin">
          <w:fldData xml:space="preserve">PEVuZE5vdGU+PENpdGU+PEF1dGhvcj5CbHVlbWtlPC9BdXRob3I+PFllYXI+MjAwNTwvWWVhcj48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bG9neTwvYWJici0xPjwvYWx0LXBlcmlvZGljYWw+PHBhZ2VzPjQ1Mi02MTwvcGFnZXM+PHZvbHVt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==
</w:fldData>
        </w:fldChar>
      </w:r>
      <w:r w:rsidR="008E0B00">
        <w:instrText xml:space="preserve"> ADDIN EN.CITE </w:instrText>
      </w:r>
      <w:r w:rsidR="008E0B00">
        <w:fldChar w:fldCharType="begin">
          <w:fldData xml:space="preserve">PEVuZE5vdGU+PENpdGU+PEF1dGhvcj5CbHVlbWtlPC9BdXRob3I+PFllYXI+MjAwNTwvWWVhcj48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==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18" w:tooltip="Bluemke, 2005 #26" w:history="1">
        <w:r w:rsidR="008E0B00">
          <w:rPr>
            <w:noProof/>
          </w:rPr>
          <w:t>Bluemke et al. 2005</w:t>
        </w:r>
      </w:hyperlink>
      <w:r w:rsidR="008E0B00">
        <w:rPr>
          <w:noProof/>
        </w:rPr>
        <w:t xml:space="preserve">; </w:t>
      </w:r>
      <w:hyperlink w:anchor="_ENREF_32" w:tooltip="Davenport, 2014 #106" w:history="1">
        <w:r w:rsidR="008E0B00">
          <w:rPr>
            <w:noProof/>
          </w:rPr>
          <w:t>Davenport et al. 2014</w:t>
        </w:r>
      </w:hyperlink>
      <w:r w:rsidR="008E0B00">
        <w:rPr>
          <w:noProof/>
        </w:rPr>
        <w:t xml:space="preserve">; </w:t>
      </w:r>
      <w:hyperlink w:anchor="_ENREF_33" w:tooltip="Davenport, 2013 #107" w:history="1">
        <w:r w:rsidR="008E0B00">
          <w:rPr>
            <w:noProof/>
          </w:rPr>
          <w:t>Davenport et al. 2013</w:t>
        </w:r>
      </w:hyperlink>
      <w:r w:rsidR="008E0B00">
        <w:rPr>
          <w:noProof/>
        </w:rPr>
        <w:t xml:space="preserve">; </w:t>
      </w:r>
      <w:hyperlink w:anchor="_ENREF_44" w:tooltip="Endrikat, 2015 #108" w:history="1">
        <w:r w:rsidR="008E0B00">
          <w:rPr>
            <w:noProof/>
          </w:rPr>
          <w:t>Endrikat et al. 2015</w:t>
        </w:r>
      </w:hyperlink>
      <w:r w:rsidR="008E0B00">
        <w:rPr>
          <w:noProof/>
        </w:rPr>
        <w:t xml:space="preserve">; </w:t>
      </w:r>
      <w:hyperlink w:anchor="_ENREF_56" w:tooltip="Gschwend, 2011 #109" w:history="1">
        <w:r w:rsidR="008E0B00">
          <w:rPr>
            <w:noProof/>
          </w:rPr>
          <w:t>Gschwend et al. 2011</w:t>
        </w:r>
      </w:hyperlink>
      <w:r w:rsidR="008E0B00">
        <w:rPr>
          <w:noProof/>
        </w:rPr>
        <w:t xml:space="preserve">; </w:t>
      </w:r>
      <w:hyperlink w:anchor="_ENREF_59" w:tooltip="Hamm, 1995 #110" w:history="1">
        <w:r w:rsidR="008E0B00">
          <w:rPr>
            <w:noProof/>
          </w:rPr>
          <w:t>Hamm et al. 1995</w:t>
        </w:r>
      </w:hyperlink>
      <w:r w:rsidR="008E0B00">
        <w:rPr>
          <w:noProof/>
        </w:rPr>
        <w:t xml:space="preserve">; </w:t>
      </w:r>
      <w:hyperlink w:anchor="_ENREF_65" w:tooltip="Huppertz, 2004 #111" w:history="1">
        <w:r w:rsidR="008E0B00">
          <w:rPr>
            <w:noProof/>
          </w:rPr>
          <w:t>Huppertz et al. 2004</w:t>
        </w:r>
      </w:hyperlink>
      <w:r w:rsidR="008E0B00">
        <w:rPr>
          <w:noProof/>
        </w:rPr>
        <w:t xml:space="preserve">; </w:t>
      </w:r>
      <w:hyperlink w:anchor="_ENREF_68" w:tooltip="Ichikawa, 2010 #112" w:history="1">
        <w:r w:rsidR="008E0B00">
          <w:rPr>
            <w:noProof/>
          </w:rPr>
          <w:t>Ichikawa et al. 2010</w:t>
        </w:r>
      </w:hyperlink>
      <w:r w:rsidR="008E0B00">
        <w:rPr>
          <w:noProof/>
        </w:rPr>
        <w:t xml:space="preserve">; </w:t>
      </w:r>
      <w:hyperlink w:anchor="_ENREF_119" w:tooltip="Raman, 2010 #113" w:history="1">
        <w:r w:rsidR="008E0B00">
          <w:rPr>
            <w:noProof/>
          </w:rPr>
          <w:t>Raman et al. 2010</w:t>
        </w:r>
      </w:hyperlink>
      <w:r w:rsidR="008E0B00">
        <w:rPr>
          <w:noProof/>
        </w:rPr>
        <w:t xml:space="preserve">; </w:t>
      </w:r>
      <w:hyperlink w:anchor="_ENREF_124" w:tooltip="Reimer, 1996 #114" w:history="1">
        <w:r w:rsidR="008E0B00">
          <w:rPr>
            <w:noProof/>
          </w:rPr>
          <w:t>Reimer et al. 1996</w:t>
        </w:r>
      </w:hyperlink>
      <w:r w:rsidR="008E0B00">
        <w:rPr>
          <w:noProof/>
        </w:rPr>
        <w:t xml:space="preserve">; </w:t>
      </w:r>
      <w:hyperlink w:anchor="_ENREF_185" w:tooltip="Zeng, 2013 #115" w:history="1">
        <w:r w:rsidR="008E0B00">
          <w:rPr>
            <w:noProof/>
          </w:rPr>
          <w:t>Zeng et al. 2013</w:t>
        </w:r>
      </w:hyperlink>
      <w:r w:rsidR="008E0B00">
        <w:rPr>
          <w:noProof/>
        </w:rPr>
        <w:t>)</w:t>
      </w:r>
      <w:r w:rsidR="008E0B00">
        <w:fldChar w:fldCharType="end"/>
      </w:r>
      <w:r w:rsidR="003E6D7D">
        <w:t xml:space="preserve">. </w:t>
      </w:r>
      <w:r w:rsidR="002706BF">
        <w:t>The m</w:t>
      </w:r>
      <w:r w:rsidR="002706BF" w:rsidRPr="009403D2">
        <w:t xml:space="preserve">ost </w:t>
      </w:r>
      <w:r w:rsidR="000F4C0D" w:rsidRPr="00A946B1">
        <w:t>frequent</w:t>
      </w:r>
      <w:r w:rsidR="000F4C0D" w:rsidRPr="007B5E99">
        <w:t xml:space="preserve"> </w:t>
      </w:r>
      <w:r w:rsidR="002706BF" w:rsidRPr="007B5E99">
        <w:t>adverse events resulting from the use of gadolinium-based contrast agents</w:t>
      </w:r>
      <w:r w:rsidR="000F4C0D" w:rsidRPr="00A946B1">
        <w:t xml:space="preserve"> </w:t>
      </w:r>
      <w:r w:rsidR="002706BF" w:rsidRPr="007B5E99">
        <w:t>include</w:t>
      </w:r>
      <w:r w:rsidR="000F4C0D" w:rsidRPr="00A946B1">
        <w:t>:</w:t>
      </w:r>
    </w:p>
    <w:p w14:paraId="59EE40A9" w14:textId="02207065" w:rsidR="003E2ED7" w:rsidRDefault="00267381" w:rsidP="00A3402C">
      <w:pPr>
        <w:pStyle w:val="ListParagraph"/>
        <w:numPr>
          <w:ilvl w:val="0"/>
          <w:numId w:val="47"/>
        </w:numPr>
      </w:pPr>
      <w:r>
        <w:t>dyspnoea (11%)</w:t>
      </w:r>
    </w:p>
    <w:p w14:paraId="7BA30AB2" w14:textId="318490F5" w:rsidR="003E2ED7" w:rsidRDefault="00267381" w:rsidP="00A3402C">
      <w:pPr>
        <w:pStyle w:val="ListParagraph"/>
        <w:numPr>
          <w:ilvl w:val="0"/>
          <w:numId w:val="47"/>
        </w:numPr>
      </w:pPr>
      <w:r>
        <w:t>nausea (1%)</w:t>
      </w:r>
    </w:p>
    <w:p w14:paraId="130C7B8E" w14:textId="45B9DEAC" w:rsidR="003E2ED7" w:rsidRDefault="002706BF" w:rsidP="00A3402C">
      <w:pPr>
        <w:pStyle w:val="ListParagraph"/>
        <w:numPr>
          <w:ilvl w:val="0"/>
          <w:numId w:val="47"/>
        </w:numPr>
      </w:pPr>
      <w:r w:rsidRPr="003E2ED7">
        <w:t>headache (1%)</w:t>
      </w:r>
    </w:p>
    <w:p w14:paraId="516334E7" w14:textId="222AC84B" w:rsidR="003E2ED7" w:rsidRDefault="002706BF" w:rsidP="00A3402C">
      <w:pPr>
        <w:pStyle w:val="ListParagraph"/>
        <w:numPr>
          <w:ilvl w:val="0"/>
          <w:numId w:val="47"/>
        </w:numPr>
      </w:pPr>
      <w:r w:rsidRPr="003E2ED7">
        <w:t>injection site pain/reaction</w:t>
      </w:r>
      <w:r w:rsidR="00267381">
        <w:t>/bruise (1%)</w:t>
      </w:r>
    </w:p>
    <w:p w14:paraId="56867E62" w14:textId="24A52142" w:rsidR="003E2ED7" w:rsidRDefault="00267381" w:rsidP="00A3402C">
      <w:pPr>
        <w:pStyle w:val="ListParagraph"/>
        <w:numPr>
          <w:ilvl w:val="0"/>
          <w:numId w:val="47"/>
        </w:numPr>
      </w:pPr>
      <w:r>
        <w:t>taste perversion (1%)</w:t>
      </w:r>
    </w:p>
    <w:p w14:paraId="16770366" w14:textId="1B1733EF" w:rsidR="003E2ED7" w:rsidRDefault="00267381" w:rsidP="00A3402C">
      <w:pPr>
        <w:pStyle w:val="ListParagraph"/>
        <w:numPr>
          <w:ilvl w:val="0"/>
          <w:numId w:val="47"/>
        </w:numPr>
      </w:pPr>
      <w:r>
        <w:t>flushing (0.7%)</w:t>
      </w:r>
    </w:p>
    <w:p w14:paraId="0C5FA7C7" w14:textId="269527F3" w:rsidR="003E2ED7" w:rsidRDefault="00267381" w:rsidP="00A3402C">
      <w:pPr>
        <w:pStyle w:val="ListParagraph"/>
        <w:numPr>
          <w:ilvl w:val="0"/>
          <w:numId w:val="47"/>
        </w:numPr>
      </w:pPr>
      <w:r>
        <w:t>olfactory dysfunction (0.7%)</w:t>
      </w:r>
    </w:p>
    <w:p w14:paraId="33488D24" w14:textId="4D436B97" w:rsidR="003E2ED7" w:rsidRDefault="00267381" w:rsidP="00A3402C">
      <w:pPr>
        <w:pStyle w:val="ListParagraph"/>
        <w:numPr>
          <w:ilvl w:val="0"/>
          <w:numId w:val="47"/>
        </w:numPr>
      </w:pPr>
      <w:r>
        <w:t>back pain (0.6%)</w:t>
      </w:r>
    </w:p>
    <w:p w14:paraId="72581537" w14:textId="7E0F6A9C" w:rsidR="003E2ED7" w:rsidRDefault="00267381" w:rsidP="00A3402C">
      <w:pPr>
        <w:pStyle w:val="ListParagraph"/>
        <w:numPr>
          <w:ilvl w:val="0"/>
          <w:numId w:val="47"/>
        </w:numPr>
      </w:pPr>
      <w:r>
        <w:t>dizziness (0.5%)</w:t>
      </w:r>
    </w:p>
    <w:p w14:paraId="3CD80E16" w14:textId="50DEA7A7" w:rsidR="003E2ED7" w:rsidRDefault="00267381" w:rsidP="00A3402C">
      <w:pPr>
        <w:pStyle w:val="ListParagraph"/>
        <w:numPr>
          <w:ilvl w:val="0"/>
          <w:numId w:val="47"/>
        </w:numPr>
      </w:pPr>
      <w:r>
        <w:t>vasodilation (0.5%)</w:t>
      </w:r>
    </w:p>
    <w:p w14:paraId="10DA1C89" w14:textId="097B1788" w:rsidR="003E2ED7" w:rsidRDefault="002706BF" w:rsidP="00A3402C">
      <w:pPr>
        <w:pStyle w:val="ListParagraph"/>
        <w:numPr>
          <w:ilvl w:val="0"/>
          <w:numId w:val="47"/>
        </w:numPr>
      </w:pPr>
      <w:r w:rsidRPr="003E2ED7">
        <w:t>rash (0.4%)</w:t>
      </w:r>
      <w:r w:rsidR="00703B1C">
        <w:t>.</w:t>
      </w:r>
    </w:p>
    <w:p w14:paraId="17A1250B" w14:textId="4EA76653" w:rsidR="002706BF" w:rsidRDefault="002706BF" w:rsidP="00A946B1">
      <w:pPr>
        <w:ind w:left="53"/>
      </w:pPr>
      <w:r>
        <w:t>Other adverse event</w:t>
      </w:r>
      <w:r w:rsidRPr="009403D2">
        <w:t xml:space="preserve">s </w:t>
      </w:r>
      <w:r>
        <w:t>occurring less than 0.1 per cent</w:t>
      </w:r>
      <w:r w:rsidRPr="009403D2">
        <w:t xml:space="preserve"> </w:t>
      </w:r>
      <w:r w:rsidR="00712097">
        <w:t>of patients were an</w:t>
      </w:r>
      <w:r>
        <w:t xml:space="preserve"> </w:t>
      </w:r>
      <w:r w:rsidRPr="009403D2">
        <w:t>increase in blood pressure, blood component change, diarrhoea</w:t>
      </w:r>
      <w:r>
        <w:t>, dry mouth, bundle branch block, sweating, palpitation, injection site bruise, akathisia, paraesthesia, hypotension and anaemia. All of the adverse event</w:t>
      </w:r>
      <w:r w:rsidRPr="009403D2">
        <w:t xml:space="preserve">s </w:t>
      </w:r>
      <w:r>
        <w:t>a</w:t>
      </w:r>
      <w:r w:rsidRPr="009403D2">
        <w:t>re</w:t>
      </w:r>
      <w:r>
        <w:t xml:space="preserve"> expected to be transient, and only one of the contrast-related adverse events is considered potentially serious (dyspnoea). The rate of severe respiratory motion artefact related to dyspnoea</w:t>
      </w:r>
      <w:r w:rsidRPr="002809EC">
        <w:t xml:space="preserve"> was significantly correlated </w:t>
      </w:r>
      <w:r>
        <w:t xml:space="preserve">in the literature </w:t>
      </w:r>
      <w:r w:rsidRPr="002809EC">
        <w:t xml:space="preserve">to a </w:t>
      </w:r>
      <w:r>
        <w:t>high (20 ml)</w:t>
      </w:r>
      <w:r w:rsidRPr="002809EC">
        <w:t xml:space="preserve"> dose of gadoxetic acid, which is more than would reasonably be used</w:t>
      </w:r>
      <w:r>
        <w:t xml:space="preserve"> (10 ml)</w:t>
      </w:r>
      <w:r w:rsidR="002E5748">
        <w:t xml:space="preserve"> </w:t>
      </w:r>
      <w:r w:rsidR="008E0B00">
        <w:fldChar w:fldCharType="begin"/>
      </w:r>
      <w:r w:rsidR="008E0B00">
        <w:instrText xml:space="preserve"> ADDIN EN.CITE &lt;EndNote&gt;&lt;Cite&gt;&lt;Author&gt;Davenport&lt;/Author&gt;&lt;Year&gt;2014&lt;/Year&gt;&lt;RecNum&gt;106&lt;/RecNum&gt;&lt;DisplayText&gt;(Davenport et al. 2014)&lt;/DisplayText&gt;&lt;record&gt;&lt;rec-number&gt;106&lt;/rec-number&gt;&lt;foreign-keys&gt;&lt;key app="EN" db-id="2p9terxr22fx91epzebpfdwuzrwtw2a2ep2t" timestamp="1472684624"&gt;106&lt;/key&gt;&lt;/foreign-keys&gt;&lt;ref-type name="Journal Article"&gt;17&lt;/ref-type&gt;&lt;contributors&gt;&lt;authors&gt;&lt;author&gt;Davenport, M.S.&lt;/author&gt;&lt;author&gt;Bashir, M.R.&lt;/author&gt;&lt;author&gt;Pietyga JA,&lt;/author&gt;&lt;author&gt;Weber JT,&lt;/author&gt;&lt;author&gt;Khalatbari S&lt;/author&gt;&lt;author&gt;Hussain HK,&lt;/author&gt;&lt;/authors&gt;&lt;/contributors&gt;&lt;titles&gt;&lt;title&gt;Dose-toxicity relationship of gadoxetate disodium and transient sever respiratory motion artifact&lt;/title&gt;&lt;secondary-title&gt;Am J Roentgenol&lt;/secondary-title&gt;&lt;/titles&gt;&lt;periodical&gt;&lt;full-title&gt;Am J Roentgenol&lt;/full-title&gt;&lt;/periodical&gt;&lt;pages&gt;796-802&lt;/pages&gt;&lt;volume&gt;203&lt;/volume&gt;&lt;dates&gt;&lt;year&gt;2014&lt;/year&gt;&lt;/dates&gt;&lt;urls&gt;&lt;/urls&gt;&lt;/record&gt;&lt;/Cite&gt;&lt;/EndNote&gt;</w:instrText>
      </w:r>
      <w:r w:rsidR="008E0B00">
        <w:fldChar w:fldCharType="separate"/>
      </w:r>
      <w:r w:rsidR="008E0B00">
        <w:rPr>
          <w:noProof/>
        </w:rPr>
        <w:t>(</w:t>
      </w:r>
      <w:hyperlink w:anchor="_ENREF_32" w:tooltip="Davenport, 2014 #106" w:history="1">
        <w:r w:rsidR="008E0B00">
          <w:rPr>
            <w:noProof/>
          </w:rPr>
          <w:t>Davenport et al. 2014</w:t>
        </w:r>
      </w:hyperlink>
      <w:r w:rsidR="008E0B00">
        <w:rPr>
          <w:noProof/>
        </w:rPr>
        <w:t>)</w:t>
      </w:r>
      <w:r w:rsidR="008E0B00">
        <w:fldChar w:fldCharType="end"/>
      </w:r>
      <w:r>
        <w:t>.</w:t>
      </w:r>
    </w:p>
    <w:p w14:paraId="1C16DB55" w14:textId="77777777" w:rsidR="002706BF" w:rsidRDefault="002706BF" w:rsidP="002706BF">
      <w:pPr>
        <w:rPr>
          <w:rFonts w:ascii="Arial" w:hAnsi="Arial" w:cs="Arial"/>
          <w:b/>
        </w:rPr>
      </w:pPr>
      <w:r>
        <w:lastRenderedPageBreak/>
        <w:t>Overall, it appears gadolinium-based contrast agents for MRI are generally safe to use in most patients</w:t>
      </w:r>
      <w:r w:rsidRPr="00292494">
        <w:t>.</w:t>
      </w:r>
    </w:p>
    <w:p w14:paraId="33E91888" w14:textId="77777777" w:rsidR="002706BF" w:rsidRPr="009A79E8" w:rsidRDefault="002706BF" w:rsidP="008A5654">
      <w:pPr>
        <w:pStyle w:val="Heading3"/>
      </w:pPr>
      <w:bookmarkStart w:id="378" w:name="_Toc460513952"/>
      <w:r w:rsidRPr="009A79E8">
        <w:t>Summary</w:t>
      </w:r>
      <w:bookmarkEnd w:id="378"/>
    </w:p>
    <w:p w14:paraId="105EEC48" w14:textId="03676659" w:rsidR="002706BF" w:rsidRPr="00E96697" w:rsidRDefault="002706BF" w:rsidP="002706BF">
      <w:r>
        <w:t>The most relevant safety issues associated with MRI are the risks associated with internal ferromagnetic objects, and heat stress (particularly in patients with hypertension</w:t>
      </w:r>
      <w:r w:rsidR="002E1515">
        <w:t xml:space="preserve"> </w:t>
      </w:r>
      <w:r w:rsidR="00712097">
        <w:t>or</w:t>
      </w:r>
      <w:r w:rsidRPr="00951F6F">
        <w:t xml:space="preserve"> </w:t>
      </w:r>
      <w:r>
        <w:t>taking</w:t>
      </w:r>
      <w:r w:rsidRPr="00951F6F">
        <w:t xml:space="preserve"> diuretics or vasodilators</w:t>
      </w:r>
      <w:r>
        <w:t>). There is a potential risk of contact burns if patient positioning is inappropriate. Additionally, claustrophobia may prevent some patients from undergoing MRI scans. There are limited adverse events associated with gadolinium-based contrast agents. While it is recognised that there are also potential risks associated with the use of strong magnetic fields, these are unlikely to occur and are associated with higher field strengths</w:t>
      </w:r>
      <w:r w:rsidRPr="00B14436">
        <w:t xml:space="preserve"> </w:t>
      </w:r>
      <w:r>
        <w:t xml:space="preserve">than those used in clinical practice. MRI is an established technique and is considered safe for almost all patients. </w:t>
      </w:r>
    </w:p>
    <w:p w14:paraId="249B3596" w14:textId="32C48020" w:rsidR="002706BF" w:rsidRDefault="008C1C59" w:rsidP="008C1C59">
      <w:pPr>
        <w:pStyle w:val="Heading2"/>
      </w:pPr>
      <w:bookmarkStart w:id="379" w:name="_Toc460513953"/>
      <w:r>
        <w:t>B7.2</w:t>
      </w:r>
      <w:r w:rsidR="00C70ACB">
        <w:tab/>
      </w:r>
      <w:r w:rsidR="00C70ACB">
        <w:tab/>
      </w:r>
      <w:r w:rsidR="002706BF" w:rsidRPr="00336350">
        <w:t>Safety of comparator test – Biopsy</w:t>
      </w:r>
      <w:bookmarkEnd w:id="379"/>
    </w:p>
    <w:p w14:paraId="71639481" w14:textId="22EB5317" w:rsidR="002706BF" w:rsidRDefault="002706BF" w:rsidP="002706BF">
      <w:r w:rsidRPr="007614CF">
        <w:t>A</w:t>
      </w:r>
      <w:r>
        <w:t xml:space="preserve"> systematic search was conducted on safety issues related to prostate biopsy. The search criteria included primary studies or systematic reviews reporting the safety of </w:t>
      </w:r>
      <w:r w:rsidR="00010606">
        <w:t>TRUSGB</w:t>
      </w:r>
      <w:r>
        <w:t xml:space="preserve"> or </w:t>
      </w:r>
      <w:r w:rsidR="00010606">
        <w:t>TPUSGB</w:t>
      </w:r>
      <w:r>
        <w:t xml:space="preserve">. </w:t>
      </w:r>
      <w:r w:rsidR="00205D93">
        <w:t>The</w:t>
      </w:r>
      <w:r w:rsidRPr="00183E4D">
        <w:t xml:space="preserve"> PRISMA flowchart </w:t>
      </w:r>
      <w:r w:rsidR="00205D93">
        <w:t>in</w:t>
      </w:r>
      <w:r w:rsidR="00FD5BE0">
        <w:t xml:space="preserve"> </w:t>
      </w:r>
      <w:r w:rsidR="000C5503">
        <w:fldChar w:fldCharType="begin"/>
      </w:r>
      <w:r w:rsidR="000C5503">
        <w:instrText xml:space="preserve"> REF _Ref456860083 \h </w:instrText>
      </w:r>
      <w:r w:rsidR="000C5503">
        <w:fldChar w:fldCharType="separate"/>
      </w:r>
      <w:r w:rsidR="0029649D">
        <w:t xml:space="preserve">Figure </w:t>
      </w:r>
      <w:r w:rsidR="0029649D">
        <w:rPr>
          <w:noProof/>
        </w:rPr>
        <w:t>12</w:t>
      </w:r>
      <w:r w:rsidR="000C5503">
        <w:fldChar w:fldCharType="end"/>
      </w:r>
      <w:r w:rsidR="00205D93">
        <w:t xml:space="preserve"> </w:t>
      </w:r>
      <w:r w:rsidRPr="00183E4D">
        <w:t>provides a graphic depiction of the results of the literature search.</w:t>
      </w:r>
    </w:p>
    <w:p w14:paraId="4AF400FF" w14:textId="06B0D4BF" w:rsidR="00296467" w:rsidRDefault="00296467" w:rsidP="00466B3D">
      <w:pPr>
        <w:pStyle w:val="Caption"/>
      </w:pPr>
      <w:bookmarkStart w:id="380" w:name="_Ref456860083"/>
      <w:bookmarkStart w:id="381" w:name="_Toc460514619"/>
      <w:r>
        <w:lastRenderedPageBreak/>
        <w:t xml:space="preserve">Figure </w:t>
      </w:r>
      <w:fldSimple w:instr=" SEQ Figure \* ARABIC ">
        <w:r w:rsidR="0029649D">
          <w:rPr>
            <w:noProof/>
          </w:rPr>
          <w:t>12</w:t>
        </w:r>
      </w:fldSimple>
      <w:bookmarkEnd w:id="380"/>
      <w:r>
        <w:tab/>
        <w:t>Study selection process for</w:t>
      </w:r>
      <w:r w:rsidR="0050495B">
        <w:t xml:space="preserve"> studies assessing the safety of biopsy</w:t>
      </w:r>
      <w:bookmarkEnd w:id="381"/>
    </w:p>
    <w:p w14:paraId="43331CD6" w14:textId="77777777" w:rsidR="00A709B8" w:rsidRDefault="00E07DFD" w:rsidP="00D9029A">
      <w:pPr>
        <w:keepNext/>
      </w:pPr>
      <w:r>
        <w:object w:dxaOrig="7226" w:dyaOrig="8483" w14:anchorId="148B3C43">
          <v:shape id="_x0000_i1027" type="#_x0000_t75" alt="Study selection process for studies assessing the safety of biopsy" style="width:295.5pt;height:345.95pt" o:ole="">
            <v:imagedata r:id="rId43" o:title=""/>
          </v:shape>
          <o:OLEObject Type="Embed" ProgID="Visio.Drawing.11" ShapeID="_x0000_i1027" DrawAspect="Content" ObjectID="_1583222909" r:id="rId44"/>
        </w:object>
      </w:r>
    </w:p>
    <w:p w14:paraId="144510FA" w14:textId="1AE6096C" w:rsidR="002706BF" w:rsidRDefault="002706BF" w:rsidP="00A709B8">
      <w:pPr>
        <w:pStyle w:val="TableNotes"/>
      </w:pPr>
      <w:r>
        <w:t>*Loeb et al. (2013)</w:t>
      </w:r>
      <w:r w:rsidRPr="00417443">
        <w:t xml:space="preserve"> evidence for both </w:t>
      </w:r>
      <w:r>
        <w:t>groups</w:t>
      </w:r>
    </w:p>
    <w:p w14:paraId="52DD4056" w14:textId="376DE6FB" w:rsidR="00084106" w:rsidRDefault="00C11370" w:rsidP="008C1C59">
      <w:pPr>
        <w:pStyle w:val="Heading2"/>
      </w:pPr>
      <w:bookmarkStart w:id="382" w:name="_Toc460513954"/>
      <w:r>
        <w:t>B7.</w:t>
      </w:r>
      <w:r w:rsidR="008C1C59">
        <w:t>2.1</w:t>
      </w:r>
      <w:r>
        <w:tab/>
      </w:r>
      <w:r>
        <w:tab/>
      </w:r>
      <w:r w:rsidR="00084106">
        <w:t>Risk of Bias</w:t>
      </w:r>
      <w:r w:rsidR="00441E71">
        <w:t>: safety of comparators</w:t>
      </w:r>
      <w:bookmarkEnd w:id="382"/>
    </w:p>
    <w:p w14:paraId="0FB96E3B" w14:textId="60D7BC79" w:rsidR="00510532" w:rsidRDefault="00510532" w:rsidP="00510532">
      <w:r>
        <w:t>The risk of bias in all studies used in the safety section was assessed using an appropriate tool for each study type.</w:t>
      </w:r>
    </w:p>
    <w:p w14:paraId="4F665223" w14:textId="2369DCF0" w:rsidR="00510532" w:rsidRPr="00510532" w:rsidRDefault="00510532" w:rsidP="00510532">
      <w:pPr>
        <w:rPr>
          <w:b/>
        </w:rPr>
      </w:pPr>
      <w:r w:rsidRPr="00510532">
        <w:rPr>
          <w:b/>
        </w:rPr>
        <w:t>Systematic review</w:t>
      </w:r>
    </w:p>
    <w:p w14:paraId="79CAB1B1" w14:textId="361B785F" w:rsidR="00510532" w:rsidRPr="00457031" w:rsidRDefault="00510532" w:rsidP="00510532">
      <w:pPr>
        <w:rPr>
          <w:b/>
        </w:rPr>
      </w:pPr>
      <w:r>
        <w:t>The two included reviews</w:t>
      </w:r>
      <w:r w:rsidR="009834C9">
        <w:t xml:space="preserve"> </w:t>
      </w:r>
      <w:r w:rsidR="008E0B00">
        <w:fldChar w:fldCharType="begin">
          <w:fldData xml:space="preserve">PEVuZE5vdGU+PENpdGU+PEF1dGhvcj5DaGFuZzwvQXV0aG9yPjxZZWFyPjIwMTM8L1llYXI+PFJl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</w:fldData>
        </w:fldChar>
      </w:r>
      <w:r w:rsidR="008E0B00">
        <w:instrText xml:space="preserve"> ADDIN EN.CITE </w:instrText>
      </w:r>
      <w:r w:rsidR="008E0B00">
        <w:fldChar w:fldCharType="begin">
          <w:fldData xml:space="preserve">PEVuZE5vdGU+PENpdGU+PEF1dGhvcj5DaGFuZzwvQXV0aG9yPjxZZWFyPjIwMTM8L1llYXI+PFJl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28" w:tooltip="Chang, 2013 #116" w:history="1">
        <w:r w:rsidR="008E0B00">
          <w:rPr>
            <w:noProof/>
          </w:rPr>
          <w:t>Chang et al. 2013</w:t>
        </w:r>
      </w:hyperlink>
      <w:r w:rsidR="008E0B00">
        <w:rPr>
          <w:noProof/>
        </w:rPr>
        <w:t xml:space="preserve">; </w:t>
      </w:r>
      <w:hyperlink w:anchor="_ENREF_87" w:tooltip="Loeb, 2013 #117" w:history="1">
        <w:r w:rsidR="008E0B00">
          <w:rPr>
            <w:noProof/>
          </w:rPr>
          <w:t>Loeb et al. 2013</w:t>
        </w:r>
      </w:hyperlink>
      <w:r w:rsidR="008E0B00">
        <w:rPr>
          <w:noProof/>
        </w:rPr>
        <w:t>)</w:t>
      </w:r>
      <w:r w:rsidR="008E0B00">
        <w:fldChar w:fldCharType="end"/>
      </w:r>
      <w:r>
        <w:t xml:space="preserve"> were appraised u</w:t>
      </w:r>
      <w:r w:rsidR="00113789">
        <w:t xml:space="preserve">sing the AMSTAR tool </w:t>
      </w:r>
      <w:r w:rsidR="008E0B00">
        <w:fldChar w:fldCharType="begin"/>
      </w:r>
      <w:r w:rsidR="008E0B00">
        <w:instrText xml:space="preserve"> ADDIN EN.CITE &lt;EndNote&gt;&lt;Cite&gt;&lt;Author&gt;Shea&lt;/Author&gt;&lt;Year&gt;2007&lt;/Year&gt;&lt;RecNum&gt;30&lt;/RecNum&gt;&lt;DisplayText&gt;(Shea et al. 2007)&lt;/DisplayText&gt;&lt;record&gt;&lt;rec-number&gt;30&lt;/rec-number&gt;&lt;foreign-keys&gt;&lt;key app="EN" db-id="2p9terxr22fx91epzebpfdwuzrwtw2a2ep2t" timestamp="1472684603"&gt;30&lt;/key&gt;&lt;/foreign-keys&gt;&lt;ref-type name="Journal Article"&gt;17&lt;/ref-type&gt;&lt;contributors&gt;&lt;authors&gt;&lt;author&gt;Shea, B. J.&lt;/author&gt;&lt;author&gt;Grimshaw, J. M.&lt;/author&gt;&lt;author&gt;Wells, G. A.&lt;/author&gt;&lt;author&gt;Boers, M.&lt;/author&gt;&lt;author&gt;Andersson, N.&lt;/author&gt;&lt;author&gt;Hamel, C.&lt;/author&gt;&lt;author&gt;Porter, A. C.&lt;/author&gt;&lt;author&gt;Tugwell, P.&lt;/author&gt;&lt;author&gt;Moher, D.&lt;/author&gt;&lt;author&gt;Bouter, L. M.&lt;/author&gt;&lt;/authors&gt;&lt;/contributors&gt;&lt;auth-address&gt;EMGO Institute, VU University Medical Center, Amsterdam, The Netherlands. bshea@ciet.org&lt;/auth-address&gt;&lt;titles&gt;&lt;title&gt;Development of AMSTAR: a measurement tool to assess the methodological quality of systematic reviews&lt;/title&gt;&lt;secondary-title&gt;BMC Med Res Methodol&lt;/secondary-title&gt;&lt;alt-title&gt;BMC medical research methodology&lt;/alt-title&gt;&lt;/titles&gt;&lt;periodical&gt;&lt;full-title&gt;BMC Med Res Methodol&lt;/full-title&gt;&lt;abbr-1&gt;BMC medical research methodology&lt;/abbr-1&gt;&lt;/periodical&gt;&lt;alt-periodical&gt;&lt;full-title&gt;BMC Med Res Methodol&lt;/full-title&gt;&lt;abbr-1&gt;BMC medical research methodology&lt;/abbr-1&gt;&lt;/alt-periodical&gt;&lt;pages&gt;10&lt;/pages&gt;&lt;volume&gt;7&lt;/volume&gt;&lt;edition&gt;2007/02/17&lt;/edition&gt;&lt;keywords&gt;&lt;keyword&gt;Bias (Epidemiology)&lt;/keyword&gt;&lt;keyword&gt;Factor Analysis, Statistical&lt;/keyword&gt;&lt;keyword&gt;Humans&lt;/keyword&gt;&lt;keyword&gt;Quality Control&lt;/keyword&gt;&lt;keyword&gt;*Reference Standards&lt;/keyword&gt;&lt;keyword&gt;Reproducibility of Results&lt;/keyword&gt;&lt;keyword&gt;*Review Literature as Topic&lt;/keyword&gt;&lt;keyword&gt;Surveys and Questionnaires&lt;/keyword&gt;&lt;/keywords&gt;&lt;dates&gt;&lt;year&gt;2007&lt;/year&gt;&lt;/dates&gt;&lt;isbn&gt;1471-2288&lt;/isbn&gt;&lt;accession-num&gt;17302989&lt;/accession-num&gt;&lt;urls&gt;&lt;/urls&gt;&lt;custom2&gt;Pmc1810543&lt;/custom2&gt;&lt;electronic-resource-num&gt;10.1186/1471-2288-7-10&lt;/electronic-resource-num&gt;&lt;remote-database-provider&gt;NLM&lt;/remote-database-provider&gt;&lt;language&gt;eng&lt;/language&gt;&lt;/record&gt;&lt;/Cite&gt;&lt;/EndNote&gt;</w:instrText>
      </w:r>
      <w:r w:rsidR="008E0B00">
        <w:fldChar w:fldCharType="separate"/>
      </w:r>
      <w:r w:rsidR="008E0B00">
        <w:rPr>
          <w:noProof/>
        </w:rPr>
        <w:t>(</w:t>
      </w:r>
      <w:hyperlink w:anchor="_ENREF_145" w:tooltip="Shea, 2007 #30" w:history="1">
        <w:r w:rsidR="008E0B00">
          <w:rPr>
            <w:noProof/>
          </w:rPr>
          <w:t>Shea et al. 2007</w:t>
        </w:r>
      </w:hyperlink>
      <w:r w:rsidR="008E0B00">
        <w:rPr>
          <w:noProof/>
        </w:rPr>
        <w:t>)</w:t>
      </w:r>
      <w:r w:rsidR="008E0B00">
        <w:fldChar w:fldCharType="end"/>
      </w:r>
      <w:r w:rsidR="00113789">
        <w:t xml:space="preserve"> (</w:t>
      </w:r>
      <w:r w:rsidR="00113789">
        <w:fldChar w:fldCharType="begin"/>
      </w:r>
      <w:r w:rsidR="00113789">
        <w:instrText xml:space="preserve"> REF _Ref456769456 \h </w:instrText>
      </w:r>
      <w:r w:rsidR="00113789">
        <w:fldChar w:fldCharType="separate"/>
      </w:r>
      <w:r w:rsidR="0029649D">
        <w:t xml:space="preserve">Table </w:t>
      </w:r>
      <w:r w:rsidR="0029649D">
        <w:rPr>
          <w:noProof/>
        </w:rPr>
        <w:t>86</w:t>
      </w:r>
      <w:r w:rsidR="00113789">
        <w:fldChar w:fldCharType="end"/>
      </w:r>
      <w:r w:rsidR="00113789">
        <w:t>, Appendix F)</w:t>
      </w:r>
      <w:r>
        <w:t>. Chang et al</w:t>
      </w:r>
      <w:r w:rsidR="00F85971">
        <w:t>.</w:t>
      </w:r>
      <w:r w:rsidR="009834C9">
        <w:t xml:space="preserve"> (2013)</w:t>
      </w:r>
      <w:r>
        <w:t xml:space="preserve"> did not report any methods and so was considered a narrative review. Loeb et al. </w:t>
      </w:r>
      <w:r w:rsidR="009834C9">
        <w:t>(2013)</w:t>
      </w:r>
      <w:r>
        <w:t xml:space="preserve"> was appraised as a systematic review. An </w:t>
      </w:r>
      <w:r w:rsidRPr="00E95C28">
        <w:rPr>
          <w:i/>
        </w:rPr>
        <w:t>a priori</w:t>
      </w:r>
      <w:r>
        <w:t xml:space="preserve"> design was provided and a comprehensive literature search conducted. It is unclear how many researche</w:t>
      </w:r>
      <w:r w:rsidR="00ED0043">
        <w:t>r</w:t>
      </w:r>
      <w:r>
        <w:t xml:space="preserve">s selected and extracted the studies. The characteristics of included studies were provided; however, the quality assessment of studies was not documented. Studies were reported narratively which is appropriate for a quantitative systematic review, it is unclear whether the quality of the studies was used in formulating conclusions. Both studies were considered </w:t>
      </w:r>
      <w:r w:rsidR="0075051B">
        <w:t>to be of</w:t>
      </w:r>
      <w:r>
        <w:t xml:space="preserve"> moderate risk of bias.</w:t>
      </w:r>
    </w:p>
    <w:p w14:paraId="2F4D9CF5" w14:textId="4F8B3E91" w:rsidR="00510532" w:rsidRPr="00510532" w:rsidRDefault="00510532" w:rsidP="00510532">
      <w:pPr>
        <w:rPr>
          <w:b/>
        </w:rPr>
      </w:pPr>
      <w:r w:rsidRPr="00510532">
        <w:rPr>
          <w:b/>
        </w:rPr>
        <w:lastRenderedPageBreak/>
        <w:t>Randomised controlled trial</w:t>
      </w:r>
    </w:p>
    <w:p w14:paraId="1A34ED3C" w14:textId="04E4AE3B" w:rsidR="00510532" w:rsidRPr="000E2A18" w:rsidRDefault="00510532" w:rsidP="000E2A18">
      <w:pPr>
        <w:pStyle w:val="TableNotes"/>
      </w:pPr>
      <w:r w:rsidRPr="000E2A18">
        <w:rPr>
          <w:rFonts w:ascii="Calibri" w:hAnsi="Calibri"/>
          <w:sz w:val="22"/>
        </w:rPr>
        <w:t xml:space="preserve">The </w:t>
      </w:r>
      <w:r w:rsidR="00113789" w:rsidRPr="000E2A18">
        <w:rPr>
          <w:rFonts w:ascii="Calibri" w:hAnsi="Calibri"/>
          <w:sz w:val="22"/>
        </w:rPr>
        <w:t>single</w:t>
      </w:r>
      <w:r w:rsidRPr="000E2A18">
        <w:rPr>
          <w:rFonts w:ascii="Calibri" w:hAnsi="Calibri"/>
          <w:sz w:val="22"/>
        </w:rPr>
        <w:t xml:space="preserve"> included RCT was appraised using the Cochrane Collaboration's tool for assessing risk of bias in randomised trials</w:t>
      </w:r>
      <w:r w:rsidR="00113789" w:rsidRPr="000E2A18">
        <w:rPr>
          <w:rFonts w:ascii="Calibri" w:hAnsi="Calibri"/>
          <w:sz w:val="22"/>
        </w:rPr>
        <w:t xml:space="preserve"> </w:t>
      </w:r>
      <w:r w:rsidR="008E0B00">
        <w:rPr>
          <w:rFonts w:ascii="Calibri" w:hAnsi="Calibri"/>
          <w:sz w:val="22"/>
        </w:rPr>
        <w:fldChar w:fldCharType="begin"/>
      </w:r>
      <w:r w:rsidR="008E0B00">
        <w:rPr>
          <w:rFonts w:ascii="Calibri" w:hAnsi="Calibri"/>
          <w:sz w:val="22"/>
        </w:rPr>
        <w:instrText xml:space="preserve"> ADDIN EN.CITE &lt;EndNote&gt;&lt;Cite&gt;&lt;Author&gt;Higgins&lt;/Author&gt;&lt;Year&gt;2011&lt;/Year&gt;&lt;RecNum&gt;118&lt;/RecNum&gt;&lt;DisplayText&gt;(Higgins et al. 2011)&lt;/DisplayText&gt;&lt;record&gt;&lt;rec-number&gt;118&lt;/rec-number&gt;&lt;foreign-keys&gt;&lt;key app="EN" db-id="2p9terxr22fx91epzebpfdwuzrwtw2a2ep2t" timestamp="1472684627"&gt;118&lt;/key&gt;&lt;/foreign-keys&gt;&lt;ref-type name="Journal Article"&gt;17&lt;/ref-type&gt;&lt;contributors&gt;&lt;authors&gt;&lt;author&gt;Higgins, J. P.&lt;/author&gt;&lt;author&gt;Altman, D. G.&lt;/author&gt;&lt;author&gt;Gotzsche, P. C.&lt;/author&gt;&lt;author&gt;Juni, P.&lt;/author&gt;&lt;author&gt;Moher, D.&lt;/author&gt;&lt;author&gt;Oxman, A. D.&lt;/author&gt;&lt;author&gt;Savovic, J.&lt;/author&gt;&lt;author&gt;Schulz, K. F.&lt;/author&gt;&lt;author&gt;Weeks, L.&lt;/author&gt;&lt;author&gt;Sterne, J. A.&lt;/author&gt;&lt;/authors&gt;&lt;/contributors&gt;&lt;auth-address&gt;MRC Biostatistics Unit, Institute of Public Health, Cambridge CB2 0SR, UK. julian.higgins@mrc-bsu.cam.ac.uk&lt;/auth-address&gt;&lt;titles&gt;&lt;title&gt;The Cochrane Collaboration&amp;apos;s tool for assessing risk of bias in randomised trials&lt;/title&gt;&lt;secondary-title&gt;BMJ&lt;/secondary-title&gt;&lt;alt-title&gt;BMJ (Clinical research ed.)&lt;/alt-title&gt;&lt;/titles&gt;&lt;periodical&gt;&lt;full-title&gt;Bmj&lt;/full-title&gt;&lt;/periodical&gt;&lt;pages&gt;000-000&lt;/pages&gt;&lt;volume&gt;343&lt;/volume&gt;&lt;edition&gt;2011/10/20&lt;/edition&gt;&lt;keywords&gt;&lt;keyword&gt;Bias (Epidemiology)&lt;/keyword&gt;&lt;keyword&gt;Humans&lt;/keyword&gt;&lt;keyword&gt;Randomized Controlled Trials as Topic/*standards&lt;/keyword&gt;&lt;keyword&gt;Research Design&lt;/keyword&gt;&lt;keyword&gt;Risk Assessment&lt;/keyword&gt;&lt;/keywords&gt;&lt;dates&gt;&lt;year&gt;2011&lt;/year&gt;&lt;/dates&gt;&lt;isbn&gt;0959-535x&lt;/isbn&gt;&lt;accession-num&gt;22008217&lt;/accession-num&gt;&lt;urls&gt;&lt;/urls&gt;&lt;custom2&gt;Pmc3196245&lt;/custom2&gt;&lt;electronic-resource-num&gt;10.1136/bmj.d5928&lt;/electronic-resource-num&gt;&lt;remote-database-provider&gt;NLM&lt;/remote-database-provider&gt;&lt;language&gt;eng&lt;/language&gt;&lt;/record&gt;&lt;/Cite&gt;&lt;/EndNote&gt;</w:instrText>
      </w:r>
      <w:r w:rsidR="008E0B00">
        <w:rPr>
          <w:rFonts w:ascii="Calibri" w:hAnsi="Calibri"/>
          <w:sz w:val="22"/>
        </w:rPr>
        <w:fldChar w:fldCharType="separate"/>
      </w:r>
      <w:r w:rsidR="008E0B00">
        <w:rPr>
          <w:rFonts w:ascii="Calibri" w:hAnsi="Calibri"/>
          <w:noProof/>
          <w:sz w:val="22"/>
        </w:rPr>
        <w:t>(</w:t>
      </w:r>
      <w:hyperlink w:anchor="_ENREF_63" w:tooltip="Higgins, 2011 #118" w:history="1">
        <w:r w:rsidR="008E0B00">
          <w:rPr>
            <w:rFonts w:ascii="Calibri" w:hAnsi="Calibri"/>
            <w:noProof/>
            <w:sz w:val="22"/>
          </w:rPr>
          <w:t>Higgins et al. 2011</w:t>
        </w:r>
      </w:hyperlink>
      <w:r w:rsidR="008E0B00">
        <w:rPr>
          <w:rFonts w:ascii="Calibri" w:hAnsi="Calibri"/>
          <w:noProof/>
          <w:sz w:val="22"/>
        </w:rPr>
        <w:t>)</w:t>
      </w:r>
      <w:r w:rsidR="008E0B00">
        <w:rPr>
          <w:rFonts w:ascii="Calibri" w:hAnsi="Calibri"/>
          <w:sz w:val="22"/>
        </w:rPr>
        <w:fldChar w:fldCharType="end"/>
      </w:r>
      <w:r w:rsidRPr="000E2A18">
        <w:rPr>
          <w:rFonts w:ascii="Calibri" w:hAnsi="Calibri"/>
          <w:sz w:val="22"/>
        </w:rPr>
        <w:t xml:space="preserve">. The method of randomization was not described with simply the word ‘random’ used. The study was reported as ‘single blind’, implying investigators, but not the study </w:t>
      </w:r>
      <w:r w:rsidR="00CE60C4" w:rsidRPr="000E2A18">
        <w:rPr>
          <w:rFonts w:ascii="Calibri" w:hAnsi="Calibri"/>
          <w:sz w:val="22"/>
        </w:rPr>
        <w:t>patients</w:t>
      </w:r>
      <w:r w:rsidRPr="000E2A18">
        <w:rPr>
          <w:rFonts w:ascii="Calibri" w:hAnsi="Calibri"/>
          <w:sz w:val="22"/>
        </w:rPr>
        <w:t xml:space="preserve">, knew which treatment was allocated. The blinding status of outcome assessors </w:t>
      </w:r>
      <w:r w:rsidR="00790313" w:rsidRPr="000E2A18">
        <w:rPr>
          <w:rFonts w:ascii="Calibri" w:hAnsi="Calibri"/>
          <w:sz w:val="22"/>
        </w:rPr>
        <w:t>was not reported</w:t>
      </w:r>
      <w:r w:rsidRPr="000E2A18">
        <w:rPr>
          <w:rFonts w:ascii="Calibri" w:hAnsi="Calibri"/>
          <w:sz w:val="22"/>
        </w:rPr>
        <w:t>. Despite this, the article did provide adequate information about the study and the reporting issues were not considered to impact th</w:t>
      </w:r>
      <w:r w:rsidR="00790313" w:rsidRPr="000E2A18">
        <w:rPr>
          <w:rFonts w:ascii="Calibri" w:hAnsi="Calibri"/>
          <w:sz w:val="22"/>
        </w:rPr>
        <w:t>is</w:t>
      </w:r>
      <w:r w:rsidRPr="000E2A18">
        <w:rPr>
          <w:rFonts w:ascii="Calibri" w:hAnsi="Calibri"/>
          <w:sz w:val="22"/>
        </w:rPr>
        <w:t xml:space="preserve"> assessment</w:t>
      </w:r>
      <w:r w:rsidR="000E2A18">
        <w:rPr>
          <w:rFonts w:ascii="Calibri" w:hAnsi="Calibri"/>
          <w:sz w:val="22"/>
        </w:rPr>
        <w:t xml:space="preserve"> (</w:t>
      </w:r>
      <w:r w:rsidR="000E2A18" w:rsidRPr="000E2A18">
        <w:rPr>
          <w:rFonts w:ascii="Calibri" w:hAnsi="Calibri"/>
          <w:sz w:val="22"/>
        </w:rPr>
        <w:fldChar w:fldCharType="begin"/>
      </w:r>
      <w:r w:rsidR="000E2A18" w:rsidRPr="000E2A18">
        <w:rPr>
          <w:rFonts w:ascii="Calibri" w:hAnsi="Calibri"/>
          <w:sz w:val="22"/>
        </w:rPr>
        <w:instrText xml:space="preserve"> REF _Ref460243495 \h  \* MERGEFORMAT </w:instrText>
      </w:r>
      <w:r w:rsidR="000E2A18" w:rsidRPr="000E2A18">
        <w:rPr>
          <w:rFonts w:ascii="Calibri" w:hAnsi="Calibri"/>
          <w:sz w:val="22"/>
        </w:rPr>
      </w:r>
      <w:r w:rsidR="000E2A18" w:rsidRPr="000E2A18">
        <w:rPr>
          <w:rFonts w:ascii="Calibri" w:hAnsi="Calibri"/>
          <w:sz w:val="22"/>
        </w:rPr>
        <w:fldChar w:fldCharType="separate"/>
      </w:r>
      <w:r w:rsidR="0029649D" w:rsidRPr="0029649D">
        <w:rPr>
          <w:rFonts w:ascii="Calibri" w:hAnsi="Calibri"/>
          <w:sz w:val="22"/>
        </w:rPr>
        <w:t>Table 87</w:t>
      </w:r>
      <w:r w:rsidR="000E2A18" w:rsidRPr="000E2A18">
        <w:rPr>
          <w:rFonts w:ascii="Calibri" w:hAnsi="Calibri"/>
          <w:sz w:val="22"/>
        </w:rPr>
        <w:fldChar w:fldCharType="end"/>
      </w:r>
      <w:r w:rsidR="000E2A18">
        <w:rPr>
          <w:rFonts w:ascii="Calibri" w:hAnsi="Calibri"/>
          <w:sz w:val="22"/>
        </w:rPr>
        <w:t xml:space="preserve">, </w:t>
      </w:r>
      <w:r w:rsidR="00BB6BEE" w:rsidRPr="000E2A18">
        <w:rPr>
          <w:rFonts w:ascii="Calibri" w:hAnsi="Calibri"/>
          <w:sz w:val="22"/>
        </w:rPr>
        <w:t>Appendix F)</w:t>
      </w:r>
      <w:r w:rsidRPr="000E2A18">
        <w:rPr>
          <w:rFonts w:ascii="Calibri" w:hAnsi="Calibri"/>
          <w:sz w:val="22"/>
        </w:rPr>
        <w:t>.</w:t>
      </w:r>
    </w:p>
    <w:p w14:paraId="34C4844A" w14:textId="2BEC192B" w:rsidR="00510532" w:rsidRPr="00510532" w:rsidRDefault="00510532" w:rsidP="00510532">
      <w:pPr>
        <w:rPr>
          <w:b/>
        </w:rPr>
      </w:pPr>
      <w:r w:rsidRPr="00510532">
        <w:rPr>
          <w:b/>
        </w:rPr>
        <w:t>Comparative studies</w:t>
      </w:r>
    </w:p>
    <w:p w14:paraId="2EF81185" w14:textId="20A54DCC" w:rsidR="006F256C" w:rsidRDefault="00510532" w:rsidP="00510532">
      <w:r>
        <w:t xml:space="preserve">Eight comparative studies which did not reach the standard of RCT were appraised using the </w:t>
      </w:r>
      <w:r w:rsidRPr="00457031">
        <w:t xml:space="preserve">Downs and Black checklist </w:t>
      </w:r>
      <w:r w:rsidR="00D6212C">
        <w:t xml:space="preserve">for non-randomized studies </w:t>
      </w:r>
      <w:r w:rsidR="008E0B00">
        <w:fldChar w:fldCharType="begin"/>
      </w:r>
      <w:r w:rsidR="008E0B00">
        <w:instrText xml:space="preserve"> ADDIN EN.CITE &lt;EndNote&gt;&lt;Cite&gt;&lt;Author&gt;Downs&lt;/Author&gt;&lt;Year&gt;1998&lt;/Year&gt;&lt;RecNum&gt;79&lt;/RecNum&gt;&lt;DisplayText&gt;(Downs and Black 1998)&lt;/DisplayText&gt;&lt;record&gt;&lt;rec-number&gt;79&lt;/rec-number&gt;&lt;foreign-keys&gt;&lt;key app="EN" db-id="2p9terxr22fx91epzebpfdwuzrwtw2a2ep2t" timestamp="1472684616"&gt;79&lt;/key&gt;&lt;/foreign-keys&gt;&lt;ref-type name="Journal Article"&gt;17&lt;/ref-type&gt;&lt;contributors&gt;&lt;authors&gt;&lt;author&gt;Downs, Sara H&lt;/author&gt;&lt;author&gt;Black, Nick&lt;/author&gt;&lt;/authors&gt;&lt;/contributors&gt;&lt;titles&gt;&lt;title&gt;The feasibility of creating a checklist for the assessment of the methodological quality both of randomised and non-randomised studies of health care interventions&lt;/title&gt;&lt;secondary-title&gt;J Epidemiol Community Health&lt;/secondary-title&gt;&lt;/titles&gt;&lt;periodical&gt;&lt;full-title&gt;J Epidemiol Community Health&lt;/full-title&gt;&lt;/periodical&gt;&lt;pages&gt;377-384&lt;/pages&gt;&lt;volume&gt;52&lt;/volume&gt;&lt;number&gt;6&lt;/number&gt;&lt;dates&gt;&lt;year&gt;1998&lt;/year&gt;&lt;/dates&gt;&lt;isbn&gt;1470-2738&lt;/isbn&gt;&lt;urls&gt;&lt;/urls&gt;&lt;/record&gt;&lt;/Cite&gt;&lt;/EndNote&gt;</w:instrText>
      </w:r>
      <w:r w:rsidR="008E0B00">
        <w:fldChar w:fldCharType="separate"/>
      </w:r>
      <w:r w:rsidR="008E0B00">
        <w:rPr>
          <w:noProof/>
        </w:rPr>
        <w:t>(</w:t>
      </w:r>
      <w:hyperlink w:anchor="_ENREF_42" w:tooltip="Downs, 1998 #79" w:history="1">
        <w:r w:rsidR="008E0B00">
          <w:rPr>
            <w:noProof/>
          </w:rPr>
          <w:t>Downs and Black 1998</w:t>
        </w:r>
      </w:hyperlink>
      <w:r w:rsidR="008E0B00">
        <w:rPr>
          <w:noProof/>
        </w:rPr>
        <w:t>)</w:t>
      </w:r>
      <w:r w:rsidR="008E0B00">
        <w:fldChar w:fldCharType="end"/>
      </w:r>
      <w:r>
        <w:t xml:space="preserve">. </w:t>
      </w:r>
      <w:r w:rsidR="00BE4065">
        <w:t>Most studies failed to describe</w:t>
      </w:r>
      <w:r>
        <w:t xml:space="preserve"> </w:t>
      </w:r>
      <w:r w:rsidR="00CE60C4">
        <w:t>patients</w:t>
      </w:r>
      <w:r>
        <w:t xml:space="preserve"> lost to follow-up; </w:t>
      </w:r>
      <w:r w:rsidR="00BE4065">
        <w:t>did not report</w:t>
      </w:r>
      <w:r>
        <w:t xml:space="preserve"> on “data dredging”’ and </w:t>
      </w:r>
      <w:r w:rsidR="00BE4065">
        <w:t xml:space="preserve">failed </w:t>
      </w:r>
      <w:r>
        <w:t xml:space="preserve">to conceal treatment allocation. Study subjects were </w:t>
      </w:r>
      <w:r w:rsidR="00BE4065">
        <w:t xml:space="preserve">assigned </w:t>
      </w:r>
      <w:r>
        <w:t>to intervention g</w:t>
      </w:r>
      <w:r w:rsidR="00D6212C">
        <w:t xml:space="preserve">roups in one study </w:t>
      </w:r>
      <w:r w:rsidR="008E0B00">
        <w:fldChar w:fldCharType="begin">
          <w:fldData xml:space="preserve">PEVuZE5vdGU+PENpdGU+PEF1dGhvcj5NYXJpbm88L0F1dGhvcj48WWVhcj4yMDE1PC9ZZWFyPjxS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</w:fldData>
        </w:fldChar>
      </w:r>
      <w:r w:rsidR="008E0B00">
        <w:instrText xml:space="preserve"> ADDIN EN.CITE </w:instrText>
      </w:r>
      <w:r w:rsidR="008E0B00">
        <w:fldChar w:fldCharType="begin">
          <w:fldData xml:space="preserve">PEVuZE5vdGU+PENpdGU+PEF1dGhvcj5NYXJpbm88L0F1dGhvcj48WWVhcj4yMDE1PC9ZZWFyPjxS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</w:fldData>
        </w:fldChar>
      </w:r>
      <w:r w:rsidR="008E0B00">
        <w:instrText xml:space="preserve"> ADDIN EN.CITE.DATA </w:instrText>
      </w:r>
      <w:r w:rsidR="008E0B00">
        <w:fldChar w:fldCharType="end"/>
      </w:r>
      <w:r w:rsidR="008E0B00">
        <w:fldChar w:fldCharType="separate"/>
      </w:r>
      <w:r w:rsidR="008E0B00">
        <w:rPr>
          <w:noProof/>
        </w:rPr>
        <w:t>(</w:t>
      </w:r>
      <w:hyperlink w:anchor="_ENREF_92" w:tooltip="Marino, 2015 #119" w:history="1">
        <w:r w:rsidR="008E0B00">
          <w:rPr>
            <w:noProof/>
          </w:rPr>
          <w:t>Marino et al. 2015</w:t>
        </w:r>
      </w:hyperlink>
      <w:r w:rsidR="008E0B00">
        <w:rPr>
          <w:noProof/>
        </w:rPr>
        <w:t>)</w:t>
      </w:r>
      <w:r w:rsidR="008E0B00">
        <w:fldChar w:fldCharType="end"/>
      </w:r>
      <w:r>
        <w:t xml:space="preserve">, in the other studies groups were decided by what treatment patients had received. Although the database studies had a powerful number of </w:t>
      </w:r>
      <w:r w:rsidR="00CE60C4">
        <w:t>patients</w:t>
      </w:r>
      <w:r>
        <w:t xml:space="preserve">, no studies calculated the number of </w:t>
      </w:r>
      <w:r w:rsidR="00CE60C4">
        <w:t>patients</w:t>
      </w:r>
      <w:r>
        <w:t xml:space="preserve"> </w:t>
      </w:r>
      <w:r w:rsidRPr="0020716A">
        <w:rPr>
          <w:i/>
        </w:rPr>
        <w:t>a priori</w:t>
      </w:r>
      <w:r>
        <w:t xml:space="preserve"> to allow for effect size. For all but one study, in which patients were taking aspirin for heart disease</w:t>
      </w:r>
      <w:r w:rsidR="00AA0D7D">
        <w:t xml:space="preserve"> </w:t>
      </w:r>
      <w:r w:rsidR="008E0B00">
        <w:fldChar w:fldCharType="begin">
          <w:fldData xml:space="preserve">PEVuZE5vdGU+PENpdGU+PEF1dGhvcj5LYXJpb3RpczwvQXV0aG9yPjxZZWFyPjIwMTA8L1llYXI+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==
</w:fldData>
        </w:fldChar>
      </w:r>
      <w:r w:rsidR="008E0B00">
        <w:instrText xml:space="preserve"> ADDIN EN.CITE </w:instrText>
      </w:r>
      <w:r w:rsidR="008E0B00">
        <w:fldChar w:fldCharType="begin">
          <w:fldData xml:space="preserve">PEVuZE5vdGU+PENpdGU+PEF1dGhvcj5LYXJpb3RpczwvQXV0aG9yPjxZZWFyPjIwMTA8L1llYXI+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==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75" w:tooltip="Kariotis, 2010 #120" w:history="1">
        <w:r w:rsidR="008E0B00">
          <w:rPr>
            <w:noProof/>
          </w:rPr>
          <w:t>Kariotis et al. 2010</w:t>
        </w:r>
      </w:hyperlink>
      <w:r w:rsidR="008E0B00">
        <w:rPr>
          <w:noProof/>
        </w:rPr>
        <w:t>)</w:t>
      </w:r>
      <w:r w:rsidR="008E0B00">
        <w:fldChar w:fldCharType="end"/>
      </w:r>
      <w:r>
        <w:t xml:space="preserve">, it appears </w:t>
      </w:r>
      <w:r w:rsidR="00CE60C4">
        <w:t>patients</w:t>
      </w:r>
      <w:r>
        <w:t xml:space="preserve"> represent the population from which they were recruited. It cannot be known if those who did not consent were different from those who did, as it is unclear if any men asked did not consent to participate. The studies were considered to </w:t>
      </w:r>
      <w:r w:rsidR="00BE4065">
        <w:t>be at</w:t>
      </w:r>
      <w:r>
        <w:t xml:space="preserve"> moderate risk of bias </w:t>
      </w:r>
      <w:r w:rsidR="00EE6B9E">
        <w:t>(</w:t>
      </w:r>
      <w:r w:rsidR="00EE6B9E">
        <w:fldChar w:fldCharType="begin"/>
      </w:r>
      <w:r w:rsidR="00EE6B9E">
        <w:instrText xml:space="preserve"> REF _Ref456769754 \h </w:instrText>
      </w:r>
      <w:r w:rsidR="00EE6B9E">
        <w:fldChar w:fldCharType="separate"/>
      </w:r>
      <w:r w:rsidR="0029649D">
        <w:t xml:space="preserve">Table </w:t>
      </w:r>
      <w:r w:rsidR="0029649D">
        <w:rPr>
          <w:noProof/>
        </w:rPr>
        <w:t>88</w:t>
      </w:r>
      <w:r w:rsidR="00EE6B9E">
        <w:fldChar w:fldCharType="end"/>
      </w:r>
      <w:r w:rsidR="00EE6B9E">
        <w:t>, Appendix F)</w:t>
      </w:r>
      <w:r w:rsidR="004E7A29">
        <w:t>.</w:t>
      </w:r>
    </w:p>
    <w:p w14:paraId="1B8E4DF5" w14:textId="7DC4F9CC" w:rsidR="00510532" w:rsidRPr="00510532" w:rsidRDefault="00510532" w:rsidP="00FF20B7">
      <w:pPr>
        <w:keepNext/>
        <w:rPr>
          <w:b/>
        </w:rPr>
      </w:pPr>
      <w:r w:rsidRPr="00510532">
        <w:rPr>
          <w:b/>
        </w:rPr>
        <w:t>Case series</w:t>
      </w:r>
    </w:p>
    <w:p w14:paraId="66942442" w14:textId="6BCB3A68" w:rsidR="00510532" w:rsidRPr="00050167" w:rsidRDefault="00510532" w:rsidP="00050167">
      <w:r w:rsidRPr="00457031">
        <w:t xml:space="preserve">Ten case series were appraised using a modified version of the </w:t>
      </w:r>
      <w:r w:rsidR="00AC10F5">
        <w:t>Downs and Black tool</w:t>
      </w:r>
      <w:r w:rsidR="00050167">
        <w:t xml:space="preserve"> </w:t>
      </w:r>
      <w:r w:rsidR="008E0B00">
        <w:fldChar w:fldCharType="begin"/>
      </w:r>
      <w:r w:rsidR="008E0B00">
        <w:instrText xml:space="preserve"> ADDIN EN.CITE &lt;EndNote&gt;&lt;Cite&gt;&lt;Author&gt;Moga C&lt;/Author&gt;&lt;Year&gt;2012&lt;/Year&gt;&lt;RecNum&gt;121&lt;/RecNum&gt;&lt;DisplayText&gt;(Moga C et al. 2012)&lt;/DisplayText&gt;&lt;record&gt;&lt;rec-number&gt;121&lt;/rec-number&gt;&lt;foreign-keys&gt;&lt;key app="EN" db-id="2p9terxr22fx91epzebpfdwuzrwtw2a2ep2t" timestamp="1472684628"&gt;121&lt;/key&gt;&lt;/foreign-keys&gt;&lt;ref-type name="Web Page"&gt;12&lt;/ref-type&gt;&lt;contributors&gt;&lt;authors&gt;&lt;author&gt;Moga C,&lt;/author&gt;&lt;author&gt;Guo B,&lt;/author&gt;&lt;author&gt;Schopflocher D,&lt;/author&gt;&lt;author&gt;Harstall C.&lt;/author&gt;&lt;/authors&gt;&lt;/contributors&gt;&lt;titles&gt;&lt;title&gt;Development of a quality appraisal tool for case series studies using a modified Delphi technique&lt;/title&gt;&lt;/titles&gt;&lt;dates&gt;&lt;year&gt;2012&lt;/year&gt;&lt;/dates&gt;&lt;publisher&gt;Institute of Health Economics&lt;/publisher&gt;&lt;urls&gt;&lt;related-urls&gt;&lt;url&gt;http://www.ihe.ca/publications/library/2012-publications/development-of-a-quality-appraisal-tool-for-case-series-studies-using-a-modified-delphi-technique/ &lt;/url&gt;&lt;/related-urls&gt;&lt;/urls&gt;&lt;/record&gt;&lt;/Cite&gt;&lt;/EndNote&gt;</w:instrText>
      </w:r>
      <w:r w:rsidR="008E0B00">
        <w:fldChar w:fldCharType="separate"/>
      </w:r>
      <w:r w:rsidR="008E0B00">
        <w:rPr>
          <w:noProof/>
        </w:rPr>
        <w:t>(</w:t>
      </w:r>
      <w:hyperlink w:anchor="_ENREF_94" w:tooltip="Moga C, 2012 #121" w:history="1">
        <w:r w:rsidR="008E0B00">
          <w:rPr>
            <w:noProof/>
          </w:rPr>
          <w:t>Moga C et al. 2012</w:t>
        </w:r>
      </w:hyperlink>
      <w:r w:rsidR="008E0B00">
        <w:rPr>
          <w:noProof/>
        </w:rPr>
        <w:t>)</w:t>
      </w:r>
      <w:r w:rsidR="008E0B00">
        <w:fldChar w:fldCharType="end"/>
      </w:r>
      <w:r w:rsidRPr="00050167">
        <w:t>. Half of the studies collected patient data in multiple centres. Less than half of</w:t>
      </w:r>
      <w:r w:rsidRPr="00457031">
        <w:t xml:space="preserve"> the studies provided estimates of random variability in the data analysis of relevant outcomes</w:t>
      </w:r>
      <w:r w:rsidRPr="00050167">
        <w:t xml:space="preserve">. Three studies used self-report measures and six used clinical measures. </w:t>
      </w:r>
      <w:r w:rsidR="00CE60C4" w:rsidRPr="00050167">
        <w:t>Patients</w:t>
      </w:r>
      <w:r w:rsidRPr="00050167">
        <w:t xml:space="preserve"> were reported to be recruited consecutively in one study. Loss to follow</w:t>
      </w:r>
      <w:r w:rsidR="004E7A29" w:rsidRPr="00050167">
        <w:t>-</w:t>
      </w:r>
      <w:r w:rsidRPr="00050167">
        <w:t>up was reported in one study. No study measured outcomes before and after the intervention as this was not applicable in the case of post-biopsy complications. Across the studies competing interest and source of support were not consistently reported.</w:t>
      </w:r>
    </w:p>
    <w:p w14:paraId="4693FBE7" w14:textId="650C8B4C" w:rsidR="002706BF" w:rsidRDefault="00C11370" w:rsidP="00C11370">
      <w:pPr>
        <w:pStyle w:val="Heading2"/>
      </w:pPr>
      <w:bookmarkStart w:id="383" w:name="_Toc460513955"/>
      <w:r>
        <w:t>B7.</w:t>
      </w:r>
      <w:r w:rsidR="008C1C59">
        <w:t>3</w:t>
      </w:r>
      <w:r>
        <w:tab/>
      </w:r>
      <w:r>
        <w:tab/>
      </w:r>
      <w:r w:rsidR="008C1C59">
        <w:t xml:space="preserve">Harms associated with </w:t>
      </w:r>
      <w:r w:rsidR="002706BF">
        <w:t>Trans</w:t>
      </w:r>
      <w:r w:rsidR="006F3F56">
        <w:t>-</w:t>
      </w:r>
      <w:r w:rsidR="002706BF">
        <w:t>rectal Biopsy</w:t>
      </w:r>
      <w:bookmarkEnd w:id="383"/>
    </w:p>
    <w:p w14:paraId="5B762556" w14:textId="42E31D9D" w:rsidR="00921376" w:rsidRDefault="002706BF" w:rsidP="002706BF">
      <w:r>
        <w:t>The evidence base for trans</w:t>
      </w:r>
      <w:r w:rsidR="006F3F56">
        <w:t>-</w:t>
      </w:r>
      <w:r>
        <w:t xml:space="preserve">rectal prostate biopsy consists of nine case series (Level IV studies), six comparative studies with controls (Level III-2), one comparative study with historical control (Level III-3), two randomised controlled trials and one systematic review. </w:t>
      </w:r>
      <w:r w:rsidR="00921376">
        <w:t xml:space="preserve">A summary of findings is presented in </w:t>
      </w:r>
      <w:r w:rsidR="00F5254C">
        <w:fldChar w:fldCharType="begin"/>
      </w:r>
      <w:r w:rsidR="00F5254C">
        <w:instrText xml:space="preserve"> REF _Ref456775067 \h </w:instrText>
      </w:r>
      <w:r w:rsidR="00F5254C">
        <w:fldChar w:fldCharType="separate"/>
      </w:r>
      <w:r w:rsidR="0029649D">
        <w:t xml:space="preserve">Table </w:t>
      </w:r>
      <w:r w:rsidR="0029649D">
        <w:rPr>
          <w:noProof/>
        </w:rPr>
        <w:t>36</w:t>
      </w:r>
      <w:r w:rsidR="00F5254C">
        <w:fldChar w:fldCharType="end"/>
      </w:r>
      <w:r w:rsidR="00F5254C">
        <w:t>.</w:t>
      </w:r>
      <w:r w:rsidR="000C5503">
        <w:t xml:space="preserve"> Full results are presented in </w:t>
      </w:r>
      <w:r w:rsidR="000C5503">
        <w:fldChar w:fldCharType="begin"/>
      </w:r>
      <w:r w:rsidR="000C5503">
        <w:instrText xml:space="preserve"> REF _Ref456628256 \h </w:instrText>
      </w:r>
      <w:r w:rsidR="000C5503">
        <w:fldChar w:fldCharType="separate"/>
      </w:r>
      <w:r w:rsidR="0029649D">
        <w:t xml:space="preserve">Table </w:t>
      </w:r>
      <w:r w:rsidR="0029649D">
        <w:rPr>
          <w:noProof/>
        </w:rPr>
        <w:t>94</w:t>
      </w:r>
      <w:r w:rsidR="000C5503">
        <w:fldChar w:fldCharType="end"/>
      </w:r>
      <w:r w:rsidR="00F33D82">
        <w:t xml:space="preserve"> (Appendix H</w:t>
      </w:r>
      <w:r w:rsidR="000C5503">
        <w:t>).</w:t>
      </w:r>
      <w:r w:rsidR="001A7C31">
        <w:t xml:space="preserve"> No meta-analysis was </w:t>
      </w:r>
      <w:r w:rsidR="001A7C31">
        <w:lastRenderedPageBreak/>
        <w:t>undertaken due to heterogeneity between studies in study designs and in reporting of adverse events. Results are described narratively by study size with large (</w:t>
      </w:r>
      <w:r w:rsidR="005F38B9">
        <w:rPr>
          <w:rFonts w:cs="Calibri"/>
        </w:rPr>
        <w:t>greater than</w:t>
      </w:r>
      <w:r w:rsidR="005F38B9">
        <w:t xml:space="preserve"> </w:t>
      </w:r>
      <w:r w:rsidR="001A7C31">
        <w:t xml:space="preserve">5,000 </w:t>
      </w:r>
      <w:r w:rsidR="00CE60C4">
        <w:t>patients</w:t>
      </w:r>
      <w:r w:rsidR="001A7C31">
        <w:t xml:space="preserve">) studies considered key evidence and moderate (1,000-5,000 </w:t>
      </w:r>
      <w:r w:rsidR="00CE60C4">
        <w:t>patients</w:t>
      </w:r>
      <w:r w:rsidR="001A7C31">
        <w:t>) and smaller sized (</w:t>
      </w:r>
      <w:r w:rsidR="005F38B9">
        <w:rPr>
          <w:rFonts w:cs="Calibri"/>
        </w:rPr>
        <w:t>greater than</w:t>
      </w:r>
      <w:r w:rsidR="005F38B9">
        <w:t xml:space="preserve"> </w:t>
      </w:r>
      <w:r w:rsidR="001A7C31">
        <w:t xml:space="preserve">1,000 </w:t>
      </w:r>
      <w:r w:rsidR="00CE60C4">
        <w:t>patients</w:t>
      </w:r>
      <w:r w:rsidR="001A7C31">
        <w:t>) studies summarised aggregately.</w:t>
      </w:r>
    </w:p>
    <w:p w14:paraId="6E00D9F5" w14:textId="62A464AB" w:rsidR="00921376" w:rsidRPr="00466B3D" w:rsidRDefault="00921376" w:rsidP="00466B3D">
      <w:pPr>
        <w:pStyle w:val="Caption"/>
      </w:pPr>
      <w:bookmarkStart w:id="384" w:name="_Ref456775067"/>
      <w:bookmarkStart w:id="385" w:name="_Toc460514536"/>
      <w:r>
        <w:lastRenderedPageBreak/>
        <w:t xml:space="preserve">Table </w:t>
      </w:r>
      <w:fldSimple w:instr=" SEQ Table \* ARABIC ">
        <w:r w:rsidR="0029649D">
          <w:rPr>
            <w:noProof/>
          </w:rPr>
          <w:t>36</w:t>
        </w:r>
      </w:fldSimple>
      <w:bookmarkEnd w:id="384"/>
      <w:r>
        <w:tab/>
        <w:t>Summary of findings for the safety of trans</w:t>
      </w:r>
      <w:r w:rsidR="006F3F56">
        <w:t>-</w:t>
      </w:r>
      <w:r>
        <w:t xml:space="preserve">rectal </w:t>
      </w:r>
      <w:r w:rsidR="00F5254C">
        <w:t>and trans</w:t>
      </w:r>
      <w:r w:rsidR="006F3F56">
        <w:t>-</w:t>
      </w:r>
      <w:r w:rsidR="00F5254C">
        <w:t xml:space="preserve">perineal </w:t>
      </w:r>
      <w:r>
        <w:t>prostate biopsy</w:t>
      </w:r>
      <w:bookmarkEnd w:id="385"/>
      <w:r w:rsidRPr="00466B3D">
        <w:t xml:space="preserve"> </w:t>
      </w:r>
    </w:p>
    <w:tbl>
      <w:tblPr>
        <w:tblStyle w:val="TableGrid"/>
        <w:tblW w:w="9112" w:type="dxa"/>
        <w:tblCellMar>
          <w:left w:w="28" w:type="dxa"/>
          <w:right w:w="28" w:type="dxa"/>
        </w:tblCellMar>
        <w:tblLook w:val="04A0" w:firstRow="1" w:lastRow="0" w:firstColumn="1" w:lastColumn="0" w:noHBand="0" w:noVBand="1"/>
        <w:tblDescription w:val="Summary of findings table"/>
      </w:tblPr>
      <w:tblGrid>
        <w:gridCol w:w="1368"/>
        <w:gridCol w:w="1890"/>
        <w:gridCol w:w="1888"/>
        <w:gridCol w:w="1817"/>
        <w:gridCol w:w="2149"/>
      </w:tblGrid>
      <w:tr w:rsidR="00E30929" w:rsidRPr="006428B1" w14:paraId="6C2918C1" w14:textId="77777777" w:rsidTr="006428B1">
        <w:trPr>
          <w:trHeight w:val="397"/>
          <w:tblHeader/>
        </w:trPr>
        <w:tc>
          <w:tcPr>
            <w:tcW w:w="751" w:type="pct"/>
          </w:tcPr>
          <w:p w14:paraId="7B62CE71" w14:textId="77777777" w:rsidR="00E30929" w:rsidRPr="006428B1" w:rsidRDefault="00E30929" w:rsidP="006428B1">
            <w:pPr>
              <w:pStyle w:val="TableText0"/>
              <w:rPr>
                <w:b/>
              </w:rPr>
            </w:pPr>
            <w:r w:rsidRPr="006428B1">
              <w:rPr>
                <w:b/>
              </w:rPr>
              <w:t>Outcomes</w:t>
            </w:r>
          </w:p>
        </w:tc>
        <w:tc>
          <w:tcPr>
            <w:tcW w:w="1037" w:type="pct"/>
          </w:tcPr>
          <w:p w14:paraId="1896BE83" w14:textId="686FB43C" w:rsidR="00E30929" w:rsidRPr="006428B1" w:rsidRDefault="00625AF2" w:rsidP="006428B1">
            <w:pPr>
              <w:pStyle w:val="TableText0"/>
              <w:rPr>
                <w:b/>
              </w:rPr>
            </w:pPr>
            <w:r w:rsidRPr="006428B1">
              <w:rPr>
                <w:b/>
              </w:rPr>
              <w:t>Patients/Studies</w:t>
            </w:r>
          </w:p>
        </w:tc>
        <w:tc>
          <w:tcPr>
            <w:tcW w:w="1036" w:type="pct"/>
          </w:tcPr>
          <w:p w14:paraId="6A176BFF" w14:textId="77777777" w:rsidR="00E30929" w:rsidRPr="006428B1" w:rsidRDefault="00E30929" w:rsidP="006428B1">
            <w:pPr>
              <w:pStyle w:val="TableText0"/>
              <w:rPr>
                <w:b/>
              </w:rPr>
            </w:pPr>
            <w:r w:rsidRPr="006428B1">
              <w:rPr>
                <w:b/>
              </w:rPr>
              <w:t>Impact</w:t>
            </w:r>
          </w:p>
        </w:tc>
        <w:tc>
          <w:tcPr>
            <w:tcW w:w="997" w:type="pct"/>
          </w:tcPr>
          <w:p w14:paraId="1F970F9F" w14:textId="4EECE09F" w:rsidR="00E30929" w:rsidRPr="006428B1" w:rsidRDefault="00E30929" w:rsidP="006428B1">
            <w:pPr>
              <w:pStyle w:val="TableText0"/>
              <w:rPr>
                <w:b/>
              </w:rPr>
            </w:pPr>
            <w:r w:rsidRPr="006428B1">
              <w:rPr>
                <w:b/>
              </w:rPr>
              <w:t>Quality of evidence</w:t>
            </w:r>
            <w:r w:rsidR="00ED0043" w:rsidRPr="006428B1">
              <w:rPr>
                <w:vertAlign w:val="superscript"/>
              </w:rPr>
              <w:t>a</w:t>
            </w:r>
          </w:p>
        </w:tc>
        <w:tc>
          <w:tcPr>
            <w:tcW w:w="1179" w:type="pct"/>
          </w:tcPr>
          <w:p w14:paraId="013F1584" w14:textId="77777777" w:rsidR="00E30929" w:rsidRPr="006428B1" w:rsidRDefault="00E30929" w:rsidP="006428B1">
            <w:pPr>
              <w:pStyle w:val="TableText0"/>
              <w:rPr>
                <w:b/>
              </w:rPr>
            </w:pPr>
            <w:r w:rsidRPr="006428B1">
              <w:rPr>
                <w:b/>
              </w:rPr>
              <w:t>Importance</w:t>
            </w:r>
          </w:p>
        </w:tc>
      </w:tr>
      <w:tr w:rsidR="00E30929" w:rsidRPr="00E70C2E" w14:paraId="2BD42F41" w14:textId="77777777" w:rsidTr="006428B1">
        <w:trPr>
          <w:trHeight w:val="397"/>
        </w:trPr>
        <w:tc>
          <w:tcPr>
            <w:tcW w:w="751" w:type="pct"/>
          </w:tcPr>
          <w:p w14:paraId="7FA79FF8" w14:textId="664B0CAA" w:rsidR="00E30929" w:rsidRPr="00E70C2E" w:rsidRDefault="00E30929" w:rsidP="006428B1">
            <w:pPr>
              <w:pStyle w:val="TableText0"/>
              <w:jc w:val="left"/>
            </w:pPr>
            <w:r w:rsidRPr="00E70C2E">
              <w:rPr>
                <w:rStyle w:val="label"/>
              </w:rPr>
              <w:t xml:space="preserve">Major </w:t>
            </w:r>
            <w:r w:rsidR="00A20B9A">
              <w:rPr>
                <w:rStyle w:val="label"/>
              </w:rPr>
              <w:t>i</w:t>
            </w:r>
            <w:r w:rsidRPr="00E70C2E">
              <w:rPr>
                <w:rStyle w:val="label"/>
              </w:rPr>
              <w:t>nfection follow</w:t>
            </w:r>
            <w:r w:rsidR="00221CFF">
              <w:rPr>
                <w:rStyle w:val="label"/>
              </w:rPr>
              <w:t>-</w:t>
            </w:r>
            <w:r w:rsidRPr="00E70C2E">
              <w:rPr>
                <w:rStyle w:val="label"/>
              </w:rPr>
              <w:t>up median 1 month</w:t>
            </w:r>
            <w:r w:rsidR="00221CFF">
              <w:t>.</w:t>
            </w:r>
          </w:p>
        </w:tc>
        <w:tc>
          <w:tcPr>
            <w:tcW w:w="1037" w:type="pct"/>
          </w:tcPr>
          <w:p w14:paraId="2F4A0F9E" w14:textId="7BCD94CB" w:rsidR="00C34CB9" w:rsidRDefault="00E30929" w:rsidP="006428B1">
            <w:pPr>
              <w:pStyle w:val="TableText0"/>
            </w:pPr>
            <w:r w:rsidRPr="00E70C2E">
              <w:t xml:space="preserve">45,492 </w:t>
            </w:r>
            <w:r w:rsidR="0039385F">
              <w:t>patients</w:t>
            </w:r>
            <w:r w:rsidR="00C34CB9" w:rsidRPr="00E70C2E">
              <w:t xml:space="preserve"> </w:t>
            </w:r>
          </w:p>
          <w:p w14:paraId="07F72C1B" w14:textId="5082924A" w:rsidR="00E30929" w:rsidRPr="00E70C2E" w:rsidRDefault="00C34CB9" w:rsidP="006428B1">
            <w:pPr>
              <w:pStyle w:val="TableText0"/>
            </w:pPr>
            <w:r>
              <w:t>(</w:t>
            </w:r>
            <w:r w:rsidRPr="00E70C2E">
              <w:t>8 studies</w:t>
            </w:r>
            <w:r>
              <w:t>)</w:t>
            </w:r>
            <w:r w:rsidR="006428B1">
              <w:t>.</w:t>
            </w:r>
          </w:p>
        </w:tc>
        <w:tc>
          <w:tcPr>
            <w:tcW w:w="1036" w:type="pct"/>
          </w:tcPr>
          <w:p w14:paraId="3063B691" w14:textId="14ABBBB9" w:rsidR="00E30929" w:rsidRPr="00E70C2E" w:rsidRDefault="00E30929" w:rsidP="006428B1">
            <w:pPr>
              <w:pStyle w:val="TableText0"/>
            </w:pPr>
            <w:r w:rsidRPr="00E70C2E">
              <w:t>Major infection ranged from 0.2 per cent to 2.4 per cent in the trans</w:t>
            </w:r>
            <w:r w:rsidR="006F3F56">
              <w:t>-</w:t>
            </w:r>
            <w:r w:rsidRPr="00E70C2E">
              <w:t>rectal biopsy studies. There was no major infection reported in the trans</w:t>
            </w:r>
            <w:r w:rsidR="006F3F56">
              <w:t>-</w:t>
            </w:r>
            <w:r w:rsidRPr="00E70C2E">
              <w:t xml:space="preserve">perineal biopsy studies. </w:t>
            </w:r>
          </w:p>
        </w:tc>
        <w:tc>
          <w:tcPr>
            <w:tcW w:w="997" w:type="pct"/>
          </w:tcPr>
          <w:p w14:paraId="7C5F9956" w14:textId="2129B92A" w:rsidR="00E30929" w:rsidRPr="00E70C2E" w:rsidRDefault="00291227" w:rsidP="006428B1">
            <w:pPr>
              <w:pStyle w:val="TableText0"/>
            </w:pPr>
            <w:r>
              <w:rPr>
                <w:rFonts w:ascii="Cambria Math" w:hAnsi="Cambria Math"/>
                <w:color w:val="00B050"/>
              </w:rPr>
              <w:t>⨁⨁</w:t>
            </w:r>
            <w:r w:rsidRPr="00D4733A">
              <w:rPr>
                <w:rFonts w:ascii="Cambria Math" w:hAnsi="Cambria Math" w:cs="Cambria Math"/>
                <w:color w:val="C00000"/>
              </w:rPr>
              <w:t>⨀⨀</w:t>
            </w:r>
            <w:r w:rsidR="00E30929" w:rsidRPr="00E70C2E">
              <w:br/>
              <w:t xml:space="preserve">LOW </w:t>
            </w:r>
          </w:p>
        </w:tc>
        <w:tc>
          <w:tcPr>
            <w:tcW w:w="1179" w:type="pct"/>
          </w:tcPr>
          <w:p w14:paraId="7A8A6F13" w14:textId="77777777" w:rsidR="00E30929" w:rsidRPr="00E70C2E" w:rsidRDefault="00E30929" w:rsidP="006428B1">
            <w:pPr>
              <w:pStyle w:val="TableText0"/>
            </w:pPr>
            <w:r w:rsidRPr="00E70C2E">
              <w:t>Critical</w:t>
            </w:r>
          </w:p>
        </w:tc>
      </w:tr>
      <w:tr w:rsidR="00E30929" w:rsidRPr="00E70C2E" w14:paraId="181E1F7E" w14:textId="77777777" w:rsidTr="006428B1">
        <w:trPr>
          <w:trHeight w:val="397"/>
        </w:trPr>
        <w:tc>
          <w:tcPr>
            <w:tcW w:w="751" w:type="pct"/>
          </w:tcPr>
          <w:p w14:paraId="06259421" w14:textId="3ADE58F9" w:rsidR="00E30929" w:rsidRPr="00E70C2E" w:rsidRDefault="00E30929" w:rsidP="006428B1">
            <w:pPr>
              <w:pStyle w:val="TableText0"/>
              <w:jc w:val="left"/>
            </w:pPr>
            <w:r w:rsidRPr="00E70C2E">
              <w:rPr>
                <w:rStyle w:val="label"/>
              </w:rPr>
              <w:t>Minor infection</w:t>
            </w:r>
            <w:r w:rsidR="00221CFF">
              <w:rPr>
                <w:rStyle w:val="label"/>
              </w:rPr>
              <w:t xml:space="preserve"> f</w:t>
            </w:r>
            <w:r w:rsidRPr="00E70C2E">
              <w:rPr>
                <w:rStyle w:val="label"/>
              </w:rPr>
              <w:t>ollow</w:t>
            </w:r>
            <w:r w:rsidR="00221CFF">
              <w:rPr>
                <w:rStyle w:val="label"/>
              </w:rPr>
              <w:t>-</w:t>
            </w:r>
            <w:r w:rsidRPr="00E70C2E">
              <w:rPr>
                <w:rStyle w:val="label"/>
              </w:rPr>
              <w:t>up median 1 month</w:t>
            </w:r>
            <w:r w:rsidR="00221CFF">
              <w:rPr>
                <w:rStyle w:val="label"/>
              </w:rPr>
              <w:t>.</w:t>
            </w:r>
            <w:r w:rsidRPr="00E70C2E">
              <w:t xml:space="preserve"> </w:t>
            </w:r>
          </w:p>
        </w:tc>
        <w:tc>
          <w:tcPr>
            <w:tcW w:w="1037" w:type="pct"/>
          </w:tcPr>
          <w:p w14:paraId="6FEA2327" w14:textId="75AB5431" w:rsidR="00C34CB9" w:rsidRDefault="00E30929" w:rsidP="006428B1">
            <w:pPr>
              <w:pStyle w:val="TableText0"/>
            </w:pPr>
            <w:r w:rsidRPr="00E70C2E">
              <w:t xml:space="preserve">132,239 </w:t>
            </w:r>
            <w:r w:rsidR="0039385F">
              <w:t>patients</w:t>
            </w:r>
            <w:r w:rsidR="00C34CB9">
              <w:t xml:space="preserve"> </w:t>
            </w:r>
          </w:p>
          <w:p w14:paraId="1E712C2F" w14:textId="3C32F3D4" w:rsidR="00C34CB9" w:rsidRPr="00E70C2E" w:rsidRDefault="00C34CB9" w:rsidP="006428B1">
            <w:pPr>
              <w:pStyle w:val="TableText0"/>
            </w:pPr>
            <w:r>
              <w:t>(</w:t>
            </w:r>
            <w:r w:rsidRPr="00E70C2E">
              <w:t>9 studies</w:t>
            </w:r>
            <w:r>
              <w:t>)</w:t>
            </w:r>
            <w:r w:rsidR="006428B1">
              <w:t>.</w:t>
            </w:r>
          </w:p>
          <w:p w14:paraId="0AD3C28A" w14:textId="77E9BD3C" w:rsidR="00E30929" w:rsidRPr="00E70C2E" w:rsidRDefault="00E30929" w:rsidP="006428B1">
            <w:pPr>
              <w:pStyle w:val="TableText0"/>
            </w:pPr>
          </w:p>
        </w:tc>
        <w:tc>
          <w:tcPr>
            <w:tcW w:w="1036" w:type="pct"/>
          </w:tcPr>
          <w:p w14:paraId="78DAD370" w14:textId="1B4D67C0" w:rsidR="00E30929" w:rsidRPr="00E70C2E" w:rsidRDefault="00E30929" w:rsidP="006428B1">
            <w:pPr>
              <w:pStyle w:val="TableText0"/>
            </w:pPr>
            <w:r w:rsidRPr="00E70C2E">
              <w:t>Minor infection ranged from 0.0 per cent to 0.03 per cent in the trans</w:t>
            </w:r>
            <w:r w:rsidR="006F3F56">
              <w:t>-</w:t>
            </w:r>
            <w:r w:rsidRPr="00E70C2E">
              <w:t>perineal biopsy studies and from 0.7 per cent to 6.9 per cent in the trans</w:t>
            </w:r>
            <w:r w:rsidR="006F3F56">
              <w:t>-</w:t>
            </w:r>
            <w:r w:rsidRPr="00E70C2E">
              <w:t xml:space="preserve">rectal biopsy studies. </w:t>
            </w:r>
          </w:p>
        </w:tc>
        <w:tc>
          <w:tcPr>
            <w:tcW w:w="997" w:type="pct"/>
          </w:tcPr>
          <w:p w14:paraId="7DEE6F70" w14:textId="6D455F11" w:rsidR="00E30929" w:rsidRPr="00E70C2E" w:rsidRDefault="00291227" w:rsidP="006428B1">
            <w:pPr>
              <w:pStyle w:val="TableText0"/>
            </w:pPr>
            <w:r>
              <w:rPr>
                <w:rFonts w:ascii="Cambria Math" w:hAnsi="Cambria Math"/>
                <w:color w:val="00B050"/>
              </w:rPr>
              <w:t>⨁⨁</w:t>
            </w:r>
            <w:r w:rsidRPr="00D4733A">
              <w:rPr>
                <w:rFonts w:ascii="Cambria Math" w:hAnsi="Cambria Math" w:cs="Cambria Math"/>
                <w:color w:val="C00000"/>
              </w:rPr>
              <w:t>⨀⨀</w:t>
            </w:r>
            <w:r w:rsidR="00E30929" w:rsidRPr="00E70C2E">
              <w:br/>
              <w:t xml:space="preserve">LOW </w:t>
            </w:r>
          </w:p>
        </w:tc>
        <w:tc>
          <w:tcPr>
            <w:tcW w:w="1179" w:type="pct"/>
          </w:tcPr>
          <w:p w14:paraId="3F36105A" w14:textId="77777777" w:rsidR="00E30929" w:rsidRPr="00E70C2E" w:rsidRDefault="00E30929" w:rsidP="006428B1">
            <w:pPr>
              <w:pStyle w:val="TableText0"/>
            </w:pPr>
            <w:r w:rsidRPr="00E70C2E">
              <w:t>Critical</w:t>
            </w:r>
          </w:p>
        </w:tc>
      </w:tr>
      <w:tr w:rsidR="00E30929" w:rsidRPr="00E70C2E" w14:paraId="480C1EDF" w14:textId="77777777" w:rsidTr="006428B1">
        <w:trPr>
          <w:trHeight w:val="397"/>
        </w:trPr>
        <w:tc>
          <w:tcPr>
            <w:tcW w:w="751" w:type="pct"/>
          </w:tcPr>
          <w:p w14:paraId="56AAF399" w14:textId="4DFFB838" w:rsidR="00E30929" w:rsidRPr="00E70C2E" w:rsidRDefault="00E30929" w:rsidP="006428B1">
            <w:pPr>
              <w:pStyle w:val="TableText0"/>
              <w:jc w:val="left"/>
              <w:rPr>
                <w:rStyle w:val="CommentReference"/>
                <w:sz w:val="20"/>
              </w:rPr>
            </w:pPr>
            <w:r w:rsidRPr="00E70C2E">
              <w:rPr>
                <w:rStyle w:val="label"/>
              </w:rPr>
              <w:t>Re-hospitalisation follow</w:t>
            </w:r>
            <w:r w:rsidR="00221CFF">
              <w:rPr>
                <w:rStyle w:val="label"/>
              </w:rPr>
              <w:t>-</w:t>
            </w:r>
            <w:r w:rsidRPr="00E70C2E">
              <w:rPr>
                <w:rStyle w:val="label"/>
              </w:rPr>
              <w:t>up median 1 month</w:t>
            </w:r>
            <w:r w:rsidR="00221CFF">
              <w:rPr>
                <w:rStyle w:val="label"/>
              </w:rPr>
              <w:t>.</w:t>
            </w:r>
            <w:r w:rsidRPr="00E70C2E">
              <w:t xml:space="preserve"> </w:t>
            </w:r>
          </w:p>
        </w:tc>
        <w:tc>
          <w:tcPr>
            <w:tcW w:w="1037" w:type="pct"/>
          </w:tcPr>
          <w:p w14:paraId="3AE2BCF4" w14:textId="6462DFF2" w:rsidR="00E30929" w:rsidRDefault="00E30929" w:rsidP="006428B1">
            <w:pPr>
              <w:pStyle w:val="TableText0"/>
            </w:pPr>
            <w:r w:rsidRPr="00E70C2E">
              <w:t xml:space="preserve">292,956 </w:t>
            </w:r>
            <w:r w:rsidR="0039385F">
              <w:t>patients</w:t>
            </w:r>
          </w:p>
          <w:p w14:paraId="2777A241" w14:textId="09C0E8C8" w:rsidR="00C34CB9" w:rsidRPr="00E70C2E" w:rsidRDefault="00C34CB9" w:rsidP="006428B1">
            <w:pPr>
              <w:pStyle w:val="TableText0"/>
            </w:pPr>
            <w:r>
              <w:t>(</w:t>
            </w:r>
            <w:r w:rsidRPr="00E70C2E">
              <w:t>9 studies</w:t>
            </w:r>
            <w:r>
              <w:t>)</w:t>
            </w:r>
            <w:r w:rsidR="006428B1">
              <w:t>.</w:t>
            </w:r>
          </w:p>
          <w:p w14:paraId="55C49137" w14:textId="02DEDD77" w:rsidR="00C34CB9" w:rsidRPr="00E70C2E" w:rsidRDefault="00C34CB9" w:rsidP="006428B1">
            <w:pPr>
              <w:pStyle w:val="TableText0"/>
            </w:pPr>
          </w:p>
        </w:tc>
        <w:tc>
          <w:tcPr>
            <w:tcW w:w="1036" w:type="pct"/>
          </w:tcPr>
          <w:p w14:paraId="7103CEDB" w14:textId="0F1B54AD" w:rsidR="00E30929" w:rsidRPr="00E70C2E" w:rsidRDefault="00E30929" w:rsidP="006428B1">
            <w:pPr>
              <w:pStyle w:val="TableText0"/>
            </w:pPr>
            <w:r w:rsidRPr="00E70C2E">
              <w:t>Re-hospitalisation ranged from 0.7 per cent to 2.1 per cent in the trans</w:t>
            </w:r>
            <w:r w:rsidR="006F3F56">
              <w:t>-</w:t>
            </w:r>
            <w:r w:rsidRPr="00E70C2E">
              <w:t xml:space="preserve">perineal biopsy studies and from 0.4 per cent to 5.5 </w:t>
            </w:r>
            <w:r w:rsidR="002E09E9" w:rsidRPr="00E70C2E">
              <w:t>per cent</w:t>
            </w:r>
            <w:r w:rsidRPr="00E70C2E">
              <w:t xml:space="preserve"> in the trans</w:t>
            </w:r>
            <w:r w:rsidR="006F3F56">
              <w:t>-</w:t>
            </w:r>
            <w:r w:rsidRPr="00E70C2E">
              <w:t xml:space="preserve">rectal biopsy studies. </w:t>
            </w:r>
          </w:p>
        </w:tc>
        <w:tc>
          <w:tcPr>
            <w:tcW w:w="997" w:type="pct"/>
          </w:tcPr>
          <w:p w14:paraId="3A23ACA2" w14:textId="479F050A" w:rsidR="00E30929" w:rsidRPr="00E70C2E" w:rsidRDefault="00291227" w:rsidP="006428B1">
            <w:pPr>
              <w:pStyle w:val="TableText0"/>
            </w:pPr>
            <w:r>
              <w:rPr>
                <w:rFonts w:ascii="Cambria Math" w:hAnsi="Cambria Math"/>
                <w:color w:val="00B050"/>
              </w:rPr>
              <w:t>⨁⨁</w:t>
            </w:r>
            <w:r w:rsidRPr="00D4733A">
              <w:rPr>
                <w:rFonts w:ascii="Cambria Math" w:hAnsi="Cambria Math" w:cs="Cambria Math"/>
                <w:color w:val="C00000"/>
              </w:rPr>
              <w:t>⨀⨀</w:t>
            </w:r>
            <w:r w:rsidR="00E30929" w:rsidRPr="00E70C2E">
              <w:br/>
              <w:t xml:space="preserve">LOW </w:t>
            </w:r>
          </w:p>
        </w:tc>
        <w:tc>
          <w:tcPr>
            <w:tcW w:w="1179" w:type="pct"/>
          </w:tcPr>
          <w:p w14:paraId="05A28D1C" w14:textId="77777777" w:rsidR="00E30929" w:rsidRPr="00E70C2E" w:rsidRDefault="00E30929" w:rsidP="006428B1">
            <w:pPr>
              <w:pStyle w:val="TableText0"/>
            </w:pPr>
            <w:r w:rsidRPr="00E70C2E">
              <w:t>Critical</w:t>
            </w:r>
          </w:p>
        </w:tc>
      </w:tr>
      <w:tr w:rsidR="00E30929" w:rsidRPr="00E70C2E" w14:paraId="4A92F1CB" w14:textId="77777777" w:rsidTr="006428B1">
        <w:trPr>
          <w:trHeight w:val="397"/>
        </w:trPr>
        <w:tc>
          <w:tcPr>
            <w:tcW w:w="751" w:type="pct"/>
          </w:tcPr>
          <w:p w14:paraId="14093797" w14:textId="4D60D166" w:rsidR="00E30929" w:rsidRPr="00E70C2E" w:rsidRDefault="00267381" w:rsidP="006428B1">
            <w:pPr>
              <w:pStyle w:val="TableText0"/>
              <w:jc w:val="left"/>
              <w:rPr>
                <w:rStyle w:val="CommentReference"/>
                <w:sz w:val="20"/>
              </w:rPr>
            </w:pPr>
            <w:r>
              <w:rPr>
                <w:rStyle w:val="label"/>
              </w:rPr>
              <w:t xml:space="preserve">Bleeding related </w:t>
            </w:r>
            <w:r w:rsidR="00E30929" w:rsidRPr="00E70C2E">
              <w:rPr>
                <w:rStyle w:val="label"/>
              </w:rPr>
              <w:t>follow</w:t>
            </w:r>
            <w:r w:rsidR="00221CFF">
              <w:rPr>
                <w:rStyle w:val="label"/>
              </w:rPr>
              <w:t>-</w:t>
            </w:r>
            <w:r w:rsidR="00E30929" w:rsidRPr="00E70C2E">
              <w:rPr>
                <w:rStyle w:val="label"/>
              </w:rPr>
              <w:t>up median 1 month</w:t>
            </w:r>
            <w:r w:rsidR="00221CFF">
              <w:rPr>
                <w:rStyle w:val="label"/>
              </w:rPr>
              <w:t>.</w:t>
            </w:r>
            <w:r w:rsidR="00E30929" w:rsidRPr="00E70C2E">
              <w:t xml:space="preserve"> </w:t>
            </w:r>
          </w:p>
        </w:tc>
        <w:tc>
          <w:tcPr>
            <w:tcW w:w="1037" w:type="pct"/>
          </w:tcPr>
          <w:p w14:paraId="48AEEF30" w14:textId="77777777" w:rsidR="006428B1" w:rsidRDefault="00E30929" w:rsidP="006428B1">
            <w:pPr>
              <w:pStyle w:val="TableText0"/>
            </w:pPr>
            <w:r w:rsidRPr="00E70C2E">
              <w:t>334,</w:t>
            </w:r>
            <w:r w:rsidR="00C34CB9" w:rsidRPr="00E70C2E">
              <w:t>688</w:t>
            </w:r>
            <w:r w:rsidR="00C34CB9">
              <w:t xml:space="preserve"> patients</w:t>
            </w:r>
            <w:r w:rsidR="00FD5BE0">
              <w:t xml:space="preserve"> </w:t>
            </w:r>
          </w:p>
          <w:p w14:paraId="1881DAAE" w14:textId="72A608C8" w:rsidR="00C34CB9" w:rsidRPr="00E70C2E" w:rsidRDefault="00C34CB9" w:rsidP="006428B1">
            <w:pPr>
              <w:pStyle w:val="TableText0"/>
            </w:pPr>
            <w:r>
              <w:t>(</w:t>
            </w:r>
            <w:r w:rsidRPr="00E70C2E">
              <w:t>13 studies</w:t>
            </w:r>
            <w:r>
              <w:t>)</w:t>
            </w:r>
            <w:r w:rsidR="006428B1">
              <w:t>.</w:t>
            </w:r>
          </w:p>
          <w:p w14:paraId="4B127573" w14:textId="3CD3046B" w:rsidR="00E30929" w:rsidRPr="00E70C2E" w:rsidRDefault="00E30929" w:rsidP="006428B1">
            <w:pPr>
              <w:pStyle w:val="TableText0"/>
            </w:pPr>
          </w:p>
        </w:tc>
        <w:tc>
          <w:tcPr>
            <w:tcW w:w="1036" w:type="pct"/>
          </w:tcPr>
          <w:p w14:paraId="1E30A455" w14:textId="6AE703FA" w:rsidR="00E30929" w:rsidRPr="00E70C2E" w:rsidRDefault="00E30929" w:rsidP="006428B1">
            <w:pPr>
              <w:pStyle w:val="TableText0"/>
            </w:pPr>
            <w:r w:rsidRPr="00E70C2E">
              <w:t>Bleeding ranged from 0.1 per cent to 6.1 per cent in the trans</w:t>
            </w:r>
            <w:r w:rsidR="006F3F56">
              <w:t>-</w:t>
            </w:r>
            <w:r w:rsidRPr="00E70C2E">
              <w:t>perineal biopsy studies and from 0.8 per cent to 88.0 per cent in the trans</w:t>
            </w:r>
            <w:r w:rsidR="006F3F56">
              <w:t>-</w:t>
            </w:r>
            <w:r w:rsidRPr="00E70C2E">
              <w:t xml:space="preserve">rectal biopsy studies. </w:t>
            </w:r>
          </w:p>
        </w:tc>
        <w:tc>
          <w:tcPr>
            <w:tcW w:w="997" w:type="pct"/>
          </w:tcPr>
          <w:p w14:paraId="4B1D0567" w14:textId="1D4E0688" w:rsidR="00E30929" w:rsidRPr="00E70C2E" w:rsidRDefault="00291227" w:rsidP="006428B1">
            <w:pPr>
              <w:pStyle w:val="TableText0"/>
            </w:pPr>
            <w:r>
              <w:rPr>
                <w:rFonts w:ascii="Cambria Math" w:hAnsi="Cambria Math"/>
                <w:color w:val="00B050"/>
              </w:rPr>
              <w:t>⨁</w:t>
            </w:r>
            <w:r w:rsidRPr="00D4733A">
              <w:rPr>
                <w:rFonts w:ascii="Cambria Math" w:hAnsi="Cambria Math" w:cs="Cambria Math"/>
                <w:color w:val="C00000"/>
              </w:rPr>
              <w:t>⨀⨀⨀</w:t>
            </w:r>
            <w:r w:rsidR="00E30929" w:rsidRPr="00E70C2E">
              <w:br/>
              <w:t>VERY LOW 1</w:t>
            </w:r>
            <w:r w:rsidR="00E30929" w:rsidRPr="00E70C2E">
              <w:rPr>
                <w:rStyle w:val="comma"/>
              </w:rPr>
              <w:t>,</w:t>
            </w:r>
            <w:r w:rsidR="00E30929" w:rsidRPr="00E70C2E">
              <w:t>2</w:t>
            </w:r>
          </w:p>
        </w:tc>
        <w:tc>
          <w:tcPr>
            <w:tcW w:w="1179" w:type="pct"/>
          </w:tcPr>
          <w:p w14:paraId="336526EC" w14:textId="77777777" w:rsidR="00E30929" w:rsidRPr="00E70C2E" w:rsidRDefault="00E30929" w:rsidP="006428B1">
            <w:pPr>
              <w:pStyle w:val="TableText0"/>
            </w:pPr>
            <w:r w:rsidRPr="00E70C2E">
              <w:t>Important</w:t>
            </w:r>
          </w:p>
        </w:tc>
      </w:tr>
      <w:tr w:rsidR="00E30929" w:rsidRPr="00E70C2E" w14:paraId="3791DA04" w14:textId="77777777" w:rsidTr="006428B1">
        <w:trPr>
          <w:trHeight w:val="397"/>
        </w:trPr>
        <w:tc>
          <w:tcPr>
            <w:tcW w:w="751" w:type="pct"/>
          </w:tcPr>
          <w:p w14:paraId="0252CC38" w14:textId="164E0F39" w:rsidR="00E30929" w:rsidRPr="00E70C2E" w:rsidRDefault="00E30929" w:rsidP="006428B1">
            <w:pPr>
              <w:pStyle w:val="TableText0"/>
              <w:jc w:val="left"/>
              <w:rPr>
                <w:rStyle w:val="CommentReference"/>
                <w:sz w:val="20"/>
              </w:rPr>
            </w:pPr>
            <w:r w:rsidRPr="00E70C2E">
              <w:rPr>
                <w:rStyle w:val="label"/>
              </w:rPr>
              <w:t>Urinary obstruction follow</w:t>
            </w:r>
            <w:r w:rsidR="00221CFF">
              <w:rPr>
                <w:rStyle w:val="label"/>
              </w:rPr>
              <w:t>-</w:t>
            </w:r>
            <w:r w:rsidRPr="00E70C2E">
              <w:rPr>
                <w:rStyle w:val="label"/>
              </w:rPr>
              <w:t>up median 1 month</w:t>
            </w:r>
            <w:r w:rsidR="00221CFF">
              <w:rPr>
                <w:rStyle w:val="label"/>
              </w:rPr>
              <w:t>.</w:t>
            </w:r>
            <w:r w:rsidRPr="00E70C2E">
              <w:t xml:space="preserve"> </w:t>
            </w:r>
          </w:p>
        </w:tc>
        <w:tc>
          <w:tcPr>
            <w:tcW w:w="1037" w:type="pct"/>
          </w:tcPr>
          <w:p w14:paraId="4F57DD87" w14:textId="1DD227ED" w:rsidR="00C34CB9" w:rsidRDefault="00E30929" w:rsidP="006428B1">
            <w:pPr>
              <w:pStyle w:val="TableText0"/>
            </w:pPr>
            <w:r w:rsidRPr="00E70C2E">
              <w:t xml:space="preserve">132,020 </w:t>
            </w:r>
            <w:r w:rsidR="0039385F">
              <w:t>patients</w:t>
            </w:r>
          </w:p>
          <w:p w14:paraId="3CDD79F2" w14:textId="66ABE2F4" w:rsidR="00E30929" w:rsidRPr="00E70C2E" w:rsidRDefault="00C34CB9" w:rsidP="006428B1">
            <w:pPr>
              <w:pStyle w:val="TableText0"/>
            </w:pPr>
            <w:r>
              <w:t>(</w:t>
            </w:r>
            <w:r w:rsidRPr="00E70C2E">
              <w:t>12 studies</w:t>
            </w:r>
            <w:r>
              <w:t>)</w:t>
            </w:r>
            <w:r w:rsidR="006428B1">
              <w:t>.</w:t>
            </w:r>
          </w:p>
        </w:tc>
        <w:tc>
          <w:tcPr>
            <w:tcW w:w="1036" w:type="pct"/>
          </w:tcPr>
          <w:p w14:paraId="179BFE4D" w14:textId="2ED70548" w:rsidR="00E30929" w:rsidRPr="00E70C2E" w:rsidRDefault="00E30929" w:rsidP="006428B1">
            <w:pPr>
              <w:pStyle w:val="TableText0"/>
            </w:pPr>
            <w:r w:rsidRPr="00E70C2E">
              <w:t>Urinary obstruction ranged from 0.4 per cent to 38.0 per cent in the trans</w:t>
            </w:r>
            <w:r w:rsidR="006F3F56">
              <w:t>-</w:t>
            </w:r>
            <w:r w:rsidRPr="00E70C2E">
              <w:t>perineal biopsy studies and from 0.8 per cent to 21.0 per cent in the trans</w:t>
            </w:r>
            <w:r w:rsidR="006F3F56">
              <w:t>-</w:t>
            </w:r>
            <w:r w:rsidRPr="00E70C2E">
              <w:t xml:space="preserve">rectal biopsy studies. </w:t>
            </w:r>
          </w:p>
        </w:tc>
        <w:tc>
          <w:tcPr>
            <w:tcW w:w="997" w:type="pct"/>
          </w:tcPr>
          <w:p w14:paraId="56778B17" w14:textId="59CCF176" w:rsidR="00E30929" w:rsidRPr="00E70C2E" w:rsidRDefault="00291227" w:rsidP="006428B1">
            <w:pPr>
              <w:pStyle w:val="TableText0"/>
            </w:pPr>
            <w:r>
              <w:rPr>
                <w:rFonts w:ascii="Cambria Math" w:hAnsi="Cambria Math"/>
                <w:color w:val="00B050"/>
              </w:rPr>
              <w:t>⨁</w:t>
            </w:r>
            <w:r w:rsidRPr="00D4733A">
              <w:rPr>
                <w:rFonts w:ascii="Cambria Math" w:hAnsi="Cambria Math" w:cs="Cambria Math"/>
                <w:color w:val="C00000"/>
              </w:rPr>
              <w:t>⨀⨀⨀</w:t>
            </w:r>
            <w:r w:rsidR="00E30929" w:rsidRPr="00E70C2E">
              <w:br/>
              <w:t>VERY LOW 1</w:t>
            </w:r>
          </w:p>
        </w:tc>
        <w:tc>
          <w:tcPr>
            <w:tcW w:w="1179" w:type="pct"/>
          </w:tcPr>
          <w:p w14:paraId="431FD742" w14:textId="77777777" w:rsidR="00E30929" w:rsidRPr="00E70C2E" w:rsidRDefault="00E30929" w:rsidP="006428B1">
            <w:pPr>
              <w:pStyle w:val="TableText0"/>
            </w:pPr>
            <w:r w:rsidRPr="00E70C2E">
              <w:t>Important</w:t>
            </w:r>
          </w:p>
        </w:tc>
      </w:tr>
    </w:tbl>
    <w:p w14:paraId="09E0545B" w14:textId="7E2D3EBE" w:rsidR="00F5254C" w:rsidRPr="00F5254C" w:rsidRDefault="006428B1" w:rsidP="008A5654">
      <w:pPr>
        <w:pStyle w:val="TableNotes"/>
      </w:pPr>
      <w:r>
        <w:rPr>
          <w:vertAlign w:val="superscript"/>
        </w:rPr>
        <w:t>a</w:t>
      </w:r>
      <w:r w:rsidRPr="006428B1">
        <w:t>:</w:t>
      </w:r>
      <w:r>
        <w:rPr>
          <w:vertAlign w:val="superscript"/>
        </w:rPr>
        <w:t xml:space="preserve"> </w:t>
      </w:r>
      <w:r w:rsidR="00F5254C" w:rsidRPr="00E10B76">
        <w:t>GRADE Working Group grades of evidence</w:t>
      </w:r>
      <w:r w:rsidR="00F5254C">
        <w:t xml:space="preserve"> </w:t>
      </w:r>
      <w:r w:rsidR="008E0B00">
        <w:fldChar w:fldCharType="begin"/>
      </w:r>
      <w:r w:rsidR="008E0B00">
        <w:instrText xml:space="preserve"> ADDIN EN.CITE &lt;EndNote&gt;&lt;Cite&gt;&lt;Author&gt;Guyatt&lt;/Author&gt;&lt;Year&gt;2013&lt;/Year&gt;&lt;RecNum&gt;166&lt;/RecNum&gt;&lt;DisplayText&gt;(Guyatt et al. 2013)&lt;/DisplayText&gt;&lt;record&gt;&lt;rec-number&gt;166&lt;/rec-number&gt;&lt;foreign-keys&gt;&lt;key app="EN" db-id="xzzrstesqpaavfe0te5p2zssvee5ervas2vt" timestamp="1469161165"&gt;166&lt;/key&gt;&lt;/foreign-keys&gt;&lt;ref-type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Epidemiol&lt;/full-title&gt;&lt;abbr-1&gt;Journal of clinical epidemiology&lt;/abbr-1&gt;&lt;/periodical&gt;&lt;pages&gt;151-157&lt;/pages&gt;&lt;volume&gt;66&lt;/volume&gt;&lt;number&gt;2&lt;/number&gt;&lt;dates&gt;&lt;year&gt;2013&lt;/year&gt;&lt;/dates&gt;&lt;urls&gt;&lt;/urls&gt;&lt;/record&gt;&lt;/Cite&gt;&lt;/EndNote&gt;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00B375F2">
        <w:t>.</w:t>
      </w:r>
      <w:r w:rsidR="00F5254C" w:rsidRPr="00E10B76">
        <w:br/>
      </w:r>
      <w:r w:rsidR="00F5254C" w:rsidRPr="00D4733A">
        <w:rPr>
          <w:rFonts w:ascii="Cambria Math" w:hAnsi="Cambria Math"/>
          <w:color w:val="00B050"/>
        </w:rPr>
        <w:t>⨁⨁⨁⨁</w:t>
      </w:r>
      <w:r w:rsidR="00F5254C">
        <w:rPr>
          <w:rFonts w:ascii="Cambria Math" w:hAnsi="Cambria Math"/>
          <w:color w:val="00B050"/>
        </w:rPr>
        <w:t xml:space="preserve"> </w:t>
      </w:r>
      <w:r w:rsidR="00F5254C" w:rsidRPr="00E10B76">
        <w:rPr>
          <w:b/>
          <w:bCs/>
        </w:rPr>
        <w:t>High quality:</w:t>
      </w:r>
      <w:r w:rsidR="00F5254C" w:rsidRPr="00E10B76">
        <w:t xml:space="preserve"> </w:t>
      </w:r>
      <w:r w:rsidR="00F5254C">
        <w:t>We are very confident that the true effect lies close to that of the estimate of effect.</w:t>
      </w:r>
      <w:r w:rsidR="00F5254C" w:rsidRPr="00E10B76">
        <w:t xml:space="preserve"> </w:t>
      </w:r>
      <w:r w:rsidR="00F5254C" w:rsidRPr="00E10B76">
        <w:br/>
      </w:r>
      <w:r w:rsidR="00F5254C" w:rsidRPr="00D4733A">
        <w:rPr>
          <w:rFonts w:ascii="Cambria Math" w:hAnsi="Cambria Math"/>
          <w:color w:val="00B050"/>
        </w:rPr>
        <w:t>⨁⨁⨁</w:t>
      </w:r>
      <w:r w:rsidR="00F5254C" w:rsidRPr="00D4733A">
        <w:rPr>
          <w:rFonts w:ascii="Cambria Math" w:hAnsi="Cambria Math" w:cs="Cambria Math"/>
          <w:color w:val="C00000"/>
        </w:rPr>
        <w:t>⨀</w:t>
      </w:r>
      <w:r w:rsidR="00F5254C">
        <w:rPr>
          <w:rFonts w:ascii="Cambria Math" w:hAnsi="Cambria Math" w:cs="Cambria Math"/>
          <w:color w:val="C00000"/>
        </w:rPr>
        <w:t xml:space="preserve"> </w:t>
      </w:r>
      <w:r w:rsidR="00F5254C" w:rsidRPr="00E10B76">
        <w:rPr>
          <w:b/>
          <w:bCs/>
        </w:rPr>
        <w:t>Moderate quality:</w:t>
      </w:r>
      <w:r w:rsidR="00F5254C" w:rsidRPr="00E10B76">
        <w:t xml:space="preserve"> </w:t>
      </w:r>
      <w:r w:rsidR="00F5254C">
        <w:t xml:space="preserve">We are moderately confident in the effect estimate: The true effect is likely to be close to the estimate of the effect, but there is a possibility that it is substantially different. </w:t>
      </w:r>
      <w:r w:rsidR="00F5254C" w:rsidRPr="00E10B76">
        <w:br/>
      </w:r>
      <w:r w:rsidR="00F5254C">
        <w:rPr>
          <w:rFonts w:ascii="Cambria Math" w:hAnsi="Cambria Math"/>
          <w:color w:val="00B050"/>
        </w:rPr>
        <w:t>⨁⨁</w:t>
      </w:r>
      <w:r w:rsidR="00F5254C" w:rsidRPr="00D4733A">
        <w:rPr>
          <w:rFonts w:ascii="Cambria Math" w:hAnsi="Cambria Math" w:cs="Cambria Math"/>
          <w:color w:val="C00000"/>
        </w:rPr>
        <w:t>⨀⨀</w:t>
      </w:r>
      <w:r w:rsidR="00F5254C">
        <w:rPr>
          <w:rFonts w:ascii="Cambria Math" w:hAnsi="Cambria Math" w:cs="Cambria Math"/>
          <w:color w:val="C00000"/>
        </w:rPr>
        <w:t xml:space="preserve"> </w:t>
      </w:r>
      <w:r w:rsidR="00F5254C" w:rsidRPr="00E10B76">
        <w:rPr>
          <w:b/>
          <w:bCs/>
        </w:rPr>
        <w:t>Low quality:</w:t>
      </w:r>
      <w:r w:rsidR="00F5254C" w:rsidRPr="00E10B76">
        <w:t xml:space="preserve"> </w:t>
      </w:r>
      <w:r w:rsidR="00F5254C">
        <w:t>Our confidence in the effect estimate is limited: The true effect may be substantially different from the estimate of the effect.</w:t>
      </w:r>
      <w:r w:rsidR="00F5254C" w:rsidRPr="00E10B76">
        <w:br/>
      </w:r>
      <w:r w:rsidR="00F5254C">
        <w:rPr>
          <w:rFonts w:ascii="Cambria Math" w:hAnsi="Cambria Math"/>
          <w:color w:val="00B050"/>
        </w:rPr>
        <w:t>⨁</w:t>
      </w:r>
      <w:r w:rsidR="00F5254C" w:rsidRPr="00D4733A">
        <w:rPr>
          <w:rFonts w:ascii="Cambria Math" w:hAnsi="Cambria Math" w:cs="Cambria Math"/>
          <w:color w:val="C00000"/>
        </w:rPr>
        <w:t>⨀⨀⨀</w:t>
      </w:r>
      <w:r w:rsidR="00F5254C">
        <w:rPr>
          <w:rFonts w:ascii="Cambria Math" w:hAnsi="Cambria Math" w:cs="Cambria Math"/>
          <w:color w:val="C00000"/>
        </w:rPr>
        <w:t xml:space="preserve"> </w:t>
      </w:r>
      <w:r w:rsidR="00F5254C" w:rsidRPr="00E10B76">
        <w:rPr>
          <w:b/>
          <w:bCs/>
        </w:rPr>
        <w:t>Very low quality:</w:t>
      </w:r>
      <w:r w:rsidR="00F5254C" w:rsidRPr="00E10B76">
        <w:t xml:space="preserve"> </w:t>
      </w:r>
      <w:r w:rsidR="00F5254C">
        <w:t>We have very little confidence in the effect estimate: The true effect is likely to be substantially different from the estimate of effect.</w:t>
      </w:r>
    </w:p>
    <w:p w14:paraId="3AE4794D" w14:textId="57A5FB79" w:rsidR="002706BF" w:rsidRDefault="008C1C59" w:rsidP="008C1C59">
      <w:pPr>
        <w:pStyle w:val="Heading2"/>
      </w:pPr>
      <w:bookmarkStart w:id="386" w:name="_Toc460513956"/>
      <w:r>
        <w:lastRenderedPageBreak/>
        <w:t>B7.3.1</w:t>
      </w:r>
      <w:r w:rsidR="002706BF">
        <w:tab/>
        <w:t>Mortality</w:t>
      </w:r>
      <w:r w:rsidR="00703B1C">
        <w:t xml:space="preserve"> associated with</w:t>
      </w:r>
      <w:r w:rsidR="00331C24">
        <w:t xml:space="preserve"> trans</w:t>
      </w:r>
      <w:r w:rsidR="006F3F56">
        <w:t>-</w:t>
      </w:r>
      <w:r w:rsidR="00331C24">
        <w:t>rectal biopsy</w:t>
      </w:r>
      <w:bookmarkEnd w:id="386"/>
    </w:p>
    <w:p w14:paraId="236EC49F" w14:textId="6AF2FAC9" w:rsidR="00F57E89" w:rsidRDefault="00F57E89" w:rsidP="002706BF">
      <w:pPr>
        <w:rPr>
          <w:color w:val="000000" w:themeColor="text1"/>
        </w:rPr>
      </w:pPr>
      <w:r>
        <w:rPr>
          <w:color w:val="000000" w:themeColor="text1"/>
        </w:rPr>
        <w:t>Although uncommon, death by sepsis can occur following prostate biopsy.</w:t>
      </w:r>
      <w:r w:rsidRPr="00033E6C">
        <w:rPr>
          <w:color w:val="000000" w:themeColor="text1"/>
        </w:rPr>
        <w:t xml:space="preserve"> </w:t>
      </w:r>
      <w:r w:rsidR="002706BF" w:rsidRPr="00033E6C">
        <w:rPr>
          <w:color w:val="000000" w:themeColor="text1"/>
        </w:rPr>
        <w:t>There were two</w:t>
      </w:r>
      <w:r w:rsidR="002706BF">
        <w:rPr>
          <w:color w:val="000000" w:themeColor="text1"/>
        </w:rPr>
        <w:t xml:space="preserve"> deaths reported in the literature from sepsis resulting f</w:t>
      </w:r>
      <w:r w:rsidR="002706BF" w:rsidRPr="00033E6C">
        <w:rPr>
          <w:color w:val="000000" w:themeColor="text1"/>
        </w:rPr>
        <w:t>r</w:t>
      </w:r>
      <w:r w:rsidR="002706BF">
        <w:rPr>
          <w:color w:val="000000" w:themeColor="text1"/>
        </w:rPr>
        <w:t>om</w:t>
      </w:r>
      <w:r w:rsidR="002706BF" w:rsidRPr="00033E6C">
        <w:rPr>
          <w:color w:val="000000" w:themeColor="text1"/>
        </w:rPr>
        <w:t xml:space="preserve"> a </w:t>
      </w:r>
      <w:r w:rsidR="002706BF">
        <w:rPr>
          <w:color w:val="000000" w:themeColor="text1"/>
        </w:rPr>
        <w:t>trans</w:t>
      </w:r>
      <w:r w:rsidR="006F3F56">
        <w:rPr>
          <w:color w:val="000000" w:themeColor="text1"/>
        </w:rPr>
        <w:t>-</w:t>
      </w:r>
      <w:r w:rsidR="002706BF">
        <w:rPr>
          <w:color w:val="000000" w:themeColor="text1"/>
        </w:rPr>
        <w:t xml:space="preserve">rectal </w:t>
      </w:r>
      <w:r w:rsidR="002706BF" w:rsidRPr="00033E6C">
        <w:rPr>
          <w:color w:val="000000" w:themeColor="text1"/>
        </w:rPr>
        <w:t xml:space="preserve">biopsy-related infection. </w:t>
      </w:r>
      <w:r w:rsidR="00331C24">
        <w:rPr>
          <w:color w:val="000000" w:themeColor="text1"/>
        </w:rPr>
        <w:t>A single death due to sepsis was reported</w:t>
      </w:r>
      <w:r w:rsidR="00050167">
        <w:rPr>
          <w:color w:val="000000" w:themeColor="text1"/>
        </w:rPr>
        <w:t xml:space="preserve"> </w:t>
      </w:r>
      <w:r w:rsidR="008E0B00">
        <w:rPr>
          <w:color w:val="000000" w:themeColor="text1"/>
        </w:rPr>
        <w:fldChar w:fldCharType="begin">
          <w:fldData xml:space="preserve">PEVuZE5vdGU+PENpdGU+PEF1dGhvcj5QaW5za3k8L0F1dGhvcj48WWVhcj4yMDE0PC9ZZWFyPjxS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PEVuZE5vdGU+PENpdGU+PEF1dGhvcj5QaW5za3k8L0F1dGhvcj48WWVhcj4yMDE0PC9ZZWFyPjxS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114" w:tooltip="Pinsky, 2014 #122" w:history="1">
        <w:r w:rsidR="008E0B00">
          <w:rPr>
            <w:noProof/>
            <w:color w:val="000000" w:themeColor="text1"/>
          </w:rPr>
          <w:t>Pinsky et al. 2014</w:t>
        </w:r>
      </w:hyperlink>
      <w:r w:rsidR="008E0B00">
        <w:rPr>
          <w:noProof/>
          <w:color w:val="000000" w:themeColor="text1"/>
        </w:rPr>
        <w:t>)</w:t>
      </w:r>
      <w:r w:rsidR="008E0B00">
        <w:rPr>
          <w:color w:val="000000" w:themeColor="text1"/>
        </w:rPr>
        <w:fldChar w:fldCharType="end"/>
      </w:r>
      <w:r w:rsidR="002706BF">
        <w:rPr>
          <w:color w:val="000000" w:themeColor="text1"/>
        </w:rPr>
        <w:t xml:space="preserve"> </w:t>
      </w:r>
      <w:r w:rsidR="00331C24">
        <w:rPr>
          <w:color w:val="000000" w:themeColor="text1"/>
        </w:rPr>
        <w:t xml:space="preserve">in a </w:t>
      </w:r>
      <w:r w:rsidR="002706BF">
        <w:rPr>
          <w:color w:val="000000" w:themeColor="text1"/>
        </w:rPr>
        <w:t xml:space="preserve">two centre cohort study </w:t>
      </w:r>
      <w:r w:rsidR="00331C24">
        <w:rPr>
          <w:color w:val="000000" w:themeColor="text1"/>
        </w:rPr>
        <w:t xml:space="preserve">of 4,836 patients </w:t>
      </w:r>
      <w:r w:rsidR="002706BF">
        <w:rPr>
          <w:color w:val="000000" w:themeColor="text1"/>
        </w:rPr>
        <w:t>staged between 1993 and 2001. Details of attempts to reduce risk of infection were not reported in this study. Four patients died, three of non-biopsy related causes such as heart disease, and one of sepsis resulting f</w:t>
      </w:r>
      <w:r w:rsidR="002706BF" w:rsidRPr="00033E6C">
        <w:rPr>
          <w:color w:val="000000" w:themeColor="text1"/>
        </w:rPr>
        <w:t>r</w:t>
      </w:r>
      <w:r w:rsidR="002706BF">
        <w:rPr>
          <w:color w:val="000000" w:themeColor="text1"/>
        </w:rPr>
        <w:t>om</w:t>
      </w:r>
      <w:r w:rsidR="002706BF" w:rsidRPr="00033E6C">
        <w:rPr>
          <w:color w:val="000000" w:themeColor="text1"/>
        </w:rPr>
        <w:t xml:space="preserve"> a </w:t>
      </w:r>
      <w:r w:rsidR="002706BF">
        <w:rPr>
          <w:color w:val="000000" w:themeColor="text1"/>
        </w:rPr>
        <w:t>trans</w:t>
      </w:r>
      <w:r w:rsidR="006F3F56">
        <w:rPr>
          <w:color w:val="000000" w:themeColor="text1"/>
        </w:rPr>
        <w:t>-</w:t>
      </w:r>
      <w:r w:rsidR="002706BF">
        <w:rPr>
          <w:color w:val="000000" w:themeColor="text1"/>
        </w:rPr>
        <w:t xml:space="preserve">rectal </w:t>
      </w:r>
      <w:r w:rsidR="002706BF" w:rsidRPr="00033E6C">
        <w:rPr>
          <w:color w:val="000000" w:themeColor="text1"/>
        </w:rPr>
        <w:t>biopsy-related infection</w:t>
      </w:r>
      <w:r w:rsidR="00331C24">
        <w:rPr>
          <w:color w:val="000000" w:themeColor="text1"/>
        </w:rPr>
        <w:t>, in</w:t>
      </w:r>
      <w:r w:rsidR="002706BF">
        <w:rPr>
          <w:color w:val="000000" w:themeColor="text1"/>
        </w:rPr>
        <w:t xml:space="preserve"> a case series</w:t>
      </w:r>
      <w:r w:rsidR="00331C24">
        <w:rPr>
          <w:color w:val="000000" w:themeColor="text1"/>
        </w:rPr>
        <w:t xml:space="preserve"> of 2,023 patients</w:t>
      </w:r>
      <w:r w:rsidR="00517EE2">
        <w:rPr>
          <w:color w:val="000000" w:themeColor="text1"/>
        </w:rPr>
        <w:t xml:space="preserve"> </w:t>
      </w:r>
      <w:r w:rsidR="008E0B00">
        <w:rPr>
          <w:color w:val="000000" w:themeColor="text1"/>
        </w:rPr>
        <w:fldChar w:fldCharType="begin">
          <w:fldData xml:space="preserve">PEVuZE5vdGU+PENpdGU+PEF1dGhvcj5TaW1zaXI8L0F1dGhvcj48WWVhcj4yMDEwPC9ZZWFyPjxS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==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PEVuZE5vdGU+PENpdGU+PEF1dGhvcj5TaW1zaXI8L0F1dGhvcj48WWVhcj4yMDEwPC9ZZWFyPjxS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==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150" w:tooltip="Simsir, 2010 #20" w:history="1">
        <w:r w:rsidR="008E0B00">
          <w:rPr>
            <w:noProof/>
            <w:color w:val="000000" w:themeColor="text1"/>
          </w:rPr>
          <w:t>Simsir et al. 2010</w:t>
        </w:r>
      </w:hyperlink>
      <w:r w:rsidR="008E0B00">
        <w:rPr>
          <w:noProof/>
          <w:color w:val="000000" w:themeColor="text1"/>
        </w:rPr>
        <w:t>)</w:t>
      </w:r>
      <w:r w:rsidR="008E0B00">
        <w:rPr>
          <w:color w:val="000000" w:themeColor="text1"/>
        </w:rPr>
        <w:fldChar w:fldCharType="end"/>
      </w:r>
      <w:r w:rsidR="00331C24">
        <w:rPr>
          <w:color w:val="000000" w:themeColor="text1"/>
        </w:rPr>
        <w:t xml:space="preserve"> A</w:t>
      </w:r>
      <w:r w:rsidR="002706BF">
        <w:rPr>
          <w:color w:val="000000" w:themeColor="text1"/>
        </w:rPr>
        <w:t xml:space="preserve">ll patients underwent antibiotic prophylaxis and enema before biopsy. </w:t>
      </w:r>
    </w:p>
    <w:p w14:paraId="4024DB42" w14:textId="3857961A" w:rsidR="002706BF" w:rsidRPr="006557FF" w:rsidRDefault="002706BF" w:rsidP="008C1C59">
      <w:pPr>
        <w:pStyle w:val="Heading2"/>
      </w:pPr>
      <w:bookmarkStart w:id="387" w:name="_Toc460513957"/>
      <w:r>
        <w:t>B7.</w:t>
      </w:r>
      <w:r w:rsidR="008C1C59">
        <w:t>3.2</w:t>
      </w:r>
      <w:r>
        <w:tab/>
        <w:t>Morbidity</w:t>
      </w:r>
      <w:r w:rsidR="00703B1C">
        <w:t xml:space="preserve"> associated with</w:t>
      </w:r>
      <w:r w:rsidR="00F77F2E">
        <w:t xml:space="preserve"> trans</w:t>
      </w:r>
      <w:r w:rsidR="006F3F56">
        <w:t>-</w:t>
      </w:r>
      <w:r w:rsidR="00F77F2E">
        <w:t>rectal biopsy</w:t>
      </w:r>
      <w:bookmarkEnd w:id="387"/>
    </w:p>
    <w:p w14:paraId="18A6D012" w14:textId="0714CAF4" w:rsidR="0097300C" w:rsidRPr="00A946B1" w:rsidRDefault="002706BF" w:rsidP="002706BF">
      <w:r w:rsidRPr="00315B52">
        <w:t xml:space="preserve">Roth </w:t>
      </w:r>
      <w:r w:rsidR="00ED0043">
        <w:t>et al.</w:t>
      </w:r>
      <w:r w:rsidR="00771BA4">
        <w:t xml:space="preserve"> (2015)</w:t>
      </w:r>
      <w:r w:rsidR="00ED0043">
        <w:t xml:space="preserve"> </w:t>
      </w:r>
      <w:r w:rsidRPr="00315B52">
        <w:t>reported</w:t>
      </w:r>
      <w:r w:rsidR="00F77F2E">
        <w:t xml:space="preserve"> a case series of</w:t>
      </w:r>
      <w:r w:rsidRPr="00315B52">
        <w:t xml:space="preserve"> 34,865</w:t>
      </w:r>
      <w:r>
        <w:t xml:space="preserve"> </w:t>
      </w:r>
      <w:r w:rsidRPr="00315B52">
        <w:t xml:space="preserve">prostate biopsies performed </w:t>
      </w:r>
      <w:r>
        <w:t>in Victoria</w:t>
      </w:r>
      <w:r w:rsidR="009924AD">
        <w:t>, Australia</w:t>
      </w:r>
      <w:r>
        <w:t xml:space="preserve"> </w:t>
      </w:r>
      <w:r w:rsidR="004E7A29">
        <w:t xml:space="preserve">between </w:t>
      </w:r>
      <w:r>
        <w:t xml:space="preserve">2001 </w:t>
      </w:r>
      <w:r w:rsidR="004E7A29">
        <w:t xml:space="preserve">and </w:t>
      </w:r>
      <w:r>
        <w:t>2008</w:t>
      </w:r>
      <w:r w:rsidR="00771BA4">
        <w:t xml:space="preserve"> </w:t>
      </w:r>
      <w:r w:rsidR="008E0B00">
        <w:fldChar w:fldCharType="begin">
          <w:fldData xml:space="preserve">PEVuZE5vdGU+PENpdGU+PEF1dGhvcj5Sb3RoPC9BdXRob3I+PFllYXI+MjAxNTwvWWVhcj48UmVj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</w:fldData>
        </w:fldChar>
      </w:r>
      <w:r w:rsidR="008E0B00">
        <w:instrText xml:space="preserve"> ADDIN EN.CITE </w:instrText>
      </w:r>
      <w:r w:rsidR="008E0B00">
        <w:fldChar w:fldCharType="begin">
          <w:fldData xml:space="preserve">PEVuZE5vdGU+PENpdGU+PEF1dGhvcj5Sb3RoPC9BdXRob3I+PFllYXI+MjAxNTwvWWVhcj48UmVj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134" w:tooltip="Roth, 2015 #123" w:history="1">
        <w:r w:rsidR="008E0B00">
          <w:rPr>
            <w:noProof/>
          </w:rPr>
          <w:t>Roth et al. 2015</w:t>
        </w:r>
      </w:hyperlink>
      <w:r w:rsidR="008E0B00">
        <w:rPr>
          <w:noProof/>
        </w:rPr>
        <w:t>)</w:t>
      </w:r>
      <w:r w:rsidR="008E0B00">
        <w:fldChar w:fldCharType="end"/>
      </w:r>
      <w:r w:rsidR="00F77F2E">
        <w:t>. Overall</w:t>
      </w:r>
      <w:r w:rsidRPr="00315B52">
        <w:t xml:space="preserve"> 3.7</w:t>
      </w:r>
      <w:r w:rsidR="00F77F2E">
        <w:t xml:space="preserve"> per cent</w:t>
      </w:r>
      <w:r w:rsidRPr="00315B52">
        <w:t xml:space="preserve"> of patients were re</w:t>
      </w:r>
      <w:r>
        <w:t>-</w:t>
      </w:r>
      <w:r w:rsidRPr="00315B52">
        <w:t xml:space="preserve">admitted to a </w:t>
      </w:r>
      <w:r>
        <w:t xml:space="preserve">Victorian </w:t>
      </w:r>
      <w:r w:rsidRPr="00315B52">
        <w:t>hospital within seven days</w:t>
      </w:r>
      <w:r>
        <w:t xml:space="preserve"> following a trans</w:t>
      </w:r>
      <w:r w:rsidR="006F3F56">
        <w:t>-</w:t>
      </w:r>
      <w:r>
        <w:t>rectal biopsy</w:t>
      </w:r>
      <w:r w:rsidRPr="00315B52">
        <w:t xml:space="preserve">. </w:t>
      </w:r>
      <w:r>
        <w:t>Most significantly</w:t>
      </w:r>
      <w:r w:rsidR="0097300C">
        <w:t>,</w:t>
      </w:r>
      <w:r>
        <w:t xml:space="preserve"> 1.7 per cent of patients were re-admitted with biopsy-related infection</w:t>
      </w:r>
      <w:r w:rsidR="00A946B1">
        <w:t xml:space="preserve">; indicators of infection included </w:t>
      </w:r>
      <w:r w:rsidRPr="007B5E99">
        <w:t xml:space="preserve">sepsis, UTI, fever, acute prostatitis, and abscess of prostate. </w:t>
      </w:r>
      <w:r w:rsidR="00F77F2E" w:rsidRPr="007B5E99">
        <w:t>Causes of r</w:t>
      </w:r>
      <w:r w:rsidRPr="007B5E99">
        <w:t xml:space="preserve">e-admissions not attributed </w:t>
      </w:r>
      <w:r w:rsidR="0097300C" w:rsidRPr="00A946B1">
        <w:t xml:space="preserve">to </w:t>
      </w:r>
      <w:r w:rsidRPr="007B5E99">
        <w:t xml:space="preserve">infectious complications </w:t>
      </w:r>
      <w:r w:rsidR="00F77F2E" w:rsidRPr="007B5E99">
        <w:t>inc</w:t>
      </w:r>
      <w:r w:rsidR="006F3F56" w:rsidRPr="007B5E99">
        <w:t>l</w:t>
      </w:r>
      <w:r w:rsidR="00F77F2E" w:rsidRPr="007B5E99">
        <w:t>uded</w:t>
      </w:r>
      <w:r w:rsidR="0097300C" w:rsidRPr="00A946B1">
        <w:t>:</w:t>
      </w:r>
      <w:r w:rsidRPr="007B5E99">
        <w:t xml:space="preserve"> </w:t>
      </w:r>
    </w:p>
    <w:p w14:paraId="4C003CB8" w14:textId="6F3C5FA8" w:rsidR="0097300C" w:rsidRPr="00A946B1" w:rsidRDefault="002706BF" w:rsidP="00A3402C">
      <w:pPr>
        <w:pStyle w:val="ListParagraph"/>
        <w:numPr>
          <w:ilvl w:val="0"/>
          <w:numId w:val="48"/>
        </w:numPr>
      </w:pPr>
      <w:r w:rsidRPr="007B5E99">
        <w:t>bleeding (0.15</w:t>
      </w:r>
      <w:r w:rsidR="00267381">
        <w:t>%)</w:t>
      </w:r>
    </w:p>
    <w:p w14:paraId="511C823A" w14:textId="69ECD968" w:rsidR="0097300C" w:rsidRPr="00A946B1" w:rsidRDefault="002706BF" w:rsidP="00A3402C">
      <w:pPr>
        <w:pStyle w:val="ListParagraph"/>
        <w:numPr>
          <w:ilvl w:val="0"/>
          <w:numId w:val="48"/>
        </w:numPr>
      </w:pPr>
      <w:r w:rsidRPr="007B5E99">
        <w:t>urinary obstruction (0.1</w:t>
      </w:r>
      <w:r w:rsidR="00267381">
        <w:t>%)</w:t>
      </w:r>
    </w:p>
    <w:p w14:paraId="7F6C5921" w14:textId="1EE42DFB" w:rsidR="0097300C" w:rsidRPr="00A946B1" w:rsidRDefault="002706BF" w:rsidP="00A3402C">
      <w:pPr>
        <w:pStyle w:val="ListParagraph"/>
        <w:numPr>
          <w:ilvl w:val="0"/>
          <w:numId w:val="48"/>
        </w:numPr>
      </w:pPr>
      <w:r w:rsidRPr="007B5E99">
        <w:t>prostatitis (0.09</w:t>
      </w:r>
      <w:r w:rsidR="00267381">
        <w:t>%)</w:t>
      </w:r>
    </w:p>
    <w:p w14:paraId="174F8931" w14:textId="42D20ED6" w:rsidR="0097300C" w:rsidRPr="00A946B1" w:rsidRDefault="002706BF" w:rsidP="00A3402C">
      <w:pPr>
        <w:pStyle w:val="ListParagraph"/>
        <w:numPr>
          <w:ilvl w:val="0"/>
          <w:numId w:val="48"/>
        </w:numPr>
      </w:pPr>
      <w:r w:rsidRPr="007B5E99">
        <w:t>haematuria (0.06%)</w:t>
      </w:r>
      <w:r w:rsidR="00267381">
        <w:t>,</w:t>
      </w:r>
    </w:p>
    <w:p w14:paraId="09076BD4" w14:textId="132637D1" w:rsidR="0097300C" w:rsidRPr="00A946B1" w:rsidRDefault="002706BF" w:rsidP="00A3402C">
      <w:pPr>
        <w:pStyle w:val="ListParagraph"/>
        <w:numPr>
          <w:ilvl w:val="0"/>
          <w:numId w:val="48"/>
        </w:numPr>
      </w:pPr>
      <w:r w:rsidRPr="007B5E99">
        <w:t>other complications not result</w:t>
      </w:r>
      <w:r w:rsidR="00267381">
        <w:t>ing from prostate biopsy (0.1%)</w:t>
      </w:r>
      <w:r w:rsidR="00703B1C">
        <w:t>.</w:t>
      </w:r>
    </w:p>
    <w:p w14:paraId="60FC3C54" w14:textId="4EA8DCAE" w:rsidR="002706BF" w:rsidRDefault="002706BF" w:rsidP="0097300C">
      <w:r w:rsidRPr="007B5E99">
        <w:t>T</w:t>
      </w:r>
      <w:r>
        <w:t xml:space="preserve">he results suggest that infection following biopsy </w:t>
      </w:r>
      <w:r w:rsidR="0097300C">
        <w:t xml:space="preserve">is </w:t>
      </w:r>
      <w:r>
        <w:t xml:space="preserve">an uncommon but clinically significant event in Australia. </w:t>
      </w:r>
    </w:p>
    <w:p w14:paraId="47A35C0D" w14:textId="4C1A1AA0" w:rsidR="002706BF" w:rsidRDefault="002706BF" w:rsidP="002706BF">
      <w:r>
        <w:t>Nam</w:t>
      </w:r>
      <w:r w:rsidR="00E04BC5">
        <w:t xml:space="preserve"> et al. (2013)</w:t>
      </w:r>
      <w:r>
        <w:t xml:space="preserve"> reported on database study in Ontario, Canada. Of the 75,190 men who underwent biopsy in Ontario </w:t>
      </w:r>
      <w:r w:rsidR="00753D9E">
        <w:t xml:space="preserve">between </w:t>
      </w:r>
      <w:r>
        <w:t xml:space="preserve">1996 </w:t>
      </w:r>
      <w:r w:rsidR="00753D9E">
        <w:t xml:space="preserve">and </w:t>
      </w:r>
      <w:r>
        <w:t xml:space="preserve">2005, 1.4 per cent </w:t>
      </w:r>
      <w:r w:rsidR="00F77F2E">
        <w:t xml:space="preserve">were </w:t>
      </w:r>
      <w:r>
        <w:t>readmitted to hospital within 30 days, with most readmissions occurring in the first week. Biopsy-related infection made up the majority of complications (0.7%), followed by bleeding (0.2%), and urinary obstruction (0.1%). It was reported that the rate of hospitalisation due to infection increased almost seven-fold over the study period from 0.03 per cent in 1996 to 0.2 per cent in 2005</w:t>
      </w:r>
      <w:r w:rsidR="00E04BC5">
        <w:t xml:space="preserve"> </w:t>
      </w:r>
      <w:r w:rsidR="008E0B00">
        <w:fldChar w:fldCharType="begin">
          <w:fldData xml:space="preserve">PEVuZE5vdGU+PENpdGU+PEF1dGhvcj5OYW08L0F1dGhvcj48WWVhcj4yMDEzPC9ZZWFyPjxSZWNO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</w:fldData>
        </w:fldChar>
      </w:r>
      <w:r w:rsidR="008E0B00">
        <w:instrText xml:space="preserve"> ADDIN EN.CITE </w:instrText>
      </w:r>
      <w:r w:rsidR="008E0B00">
        <w:fldChar w:fldCharType="begin">
          <w:fldData xml:space="preserve">PEVuZE5vdGU+PENpdGU+PEF1dGhvcj5OYW08L0F1dGhvcj48WWVhcj4yMDEzPC9ZZWFyPjxSZWNO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100" w:tooltip="Nam, 2013 #124" w:history="1">
        <w:r w:rsidR="008E0B00">
          <w:rPr>
            <w:noProof/>
          </w:rPr>
          <w:t>Nam et al. 2013</w:t>
        </w:r>
      </w:hyperlink>
      <w:r w:rsidR="008E0B00">
        <w:rPr>
          <w:noProof/>
        </w:rPr>
        <w:t>)</w:t>
      </w:r>
      <w:r w:rsidR="008E0B00">
        <w:fldChar w:fldCharType="end"/>
      </w:r>
      <w:r>
        <w:t>.</w:t>
      </w:r>
    </w:p>
    <w:p w14:paraId="610F2A06" w14:textId="289BB855" w:rsidR="002706BF" w:rsidRDefault="002706BF" w:rsidP="002706BF">
      <w:r>
        <w:t>Carignan et al.</w:t>
      </w:r>
      <w:r w:rsidR="003B790D">
        <w:t xml:space="preserve"> (2012)</w:t>
      </w:r>
      <w:r>
        <w:t xml:space="preserve"> reported a case-control study in a single centre in Quebec Canada. Of the 5,798 </w:t>
      </w:r>
      <w:r w:rsidRPr="00315B52">
        <w:t xml:space="preserve">prostate biopsies performed </w:t>
      </w:r>
      <w:r w:rsidR="00CC3446">
        <w:t xml:space="preserve">between </w:t>
      </w:r>
      <w:r>
        <w:t xml:space="preserve">2002 </w:t>
      </w:r>
      <w:r w:rsidR="00CC3446">
        <w:t>and</w:t>
      </w:r>
      <w:r>
        <w:t xml:space="preserve"> 2011, 0.8 per cent patients had biopsy-related infection. Overall, 0.5 per cent of patients needed to be hospitalised and 0.08 per cent were admitted to ICU. It </w:t>
      </w:r>
      <w:r w:rsidR="00F77F2E">
        <w:t xml:space="preserve">was </w:t>
      </w:r>
      <w:r>
        <w:t>proposed that antibiotic resistance has contributed to increasing biopsy-related infection</w:t>
      </w:r>
      <w:r w:rsidR="003B790D">
        <w:t xml:space="preserve"> </w:t>
      </w:r>
      <w:r w:rsidR="008E0B00">
        <w:fldChar w:fldCharType="begin">
          <w:fldData xml:space="preserve">PEVuZE5vdGU+PENpdGU+PEF1dGhvcj5DYXJpZ25hbjwvQXV0aG9yPjxZZWFyPjIwMTI8L1llYXI+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</w:fldData>
        </w:fldChar>
      </w:r>
      <w:r w:rsidR="008E0B00">
        <w:instrText xml:space="preserve"> ADDIN EN.CITE </w:instrText>
      </w:r>
      <w:r w:rsidR="008E0B00">
        <w:fldChar w:fldCharType="begin">
          <w:fldData xml:space="preserve">PEVuZE5vdGU+PENpdGU+PEF1dGhvcj5DYXJpZ25hbjwvQXV0aG9yPjxZZWFyPjIwMTI8L1llYXI+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26" w:tooltip="Carignan, 2012 #125" w:history="1">
        <w:r w:rsidR="008E0B00">
          <w:rPr>
            <w:noProof/>
          </w:rPr>
          <w:t>Carignan et al. 2012</w:t>
        </w:r>
      </w:hyperlink>
      <w:r w:rsidR="008E0B00">
        <w:rPr>
          <w:noProof/>
        </w:rPr>
        <w:t>)</w:t>
      </w:r>
      <w:r w:rsidR="008E0B00">
        <w:fldChar w:fldCharType="end"/>
      </w:r>
      <w:r>
        <w:t>.</w:t>
      </w:r>
    </w:p>
    <w:p w14:paraId="1DCC1713" w14:textId="10E329B1" w:rsidR="002706BF" w:rsidRPr="00F93CF7" w:rsidRDefault="002706BF" w:rsidP="002706BF">
      <w:pPr>
        <w:rPr>
          <w:color w:val="FF0000"/>
        </w:rPr>
      </w:pPr>
      <w:r>
        <w:lastRenderedPageBreak/>
        <w:t xml:space="preserve">Anastasiadis </w:t>
      </w:r>
      <w:r w:rsidR="002B3964">
        <w:t>et al. (2015)</w:t>
      </w:r>
      <w:r>
        <w:t xml:space="preserve"> reported on a registry study </w:t>
      </w:r>
      <w:r w:rsidR="00F77F2E">
        <w:t>of all men undergoing biop</w:t>
      </w:r>
      <w:r w:rsidR="00DC2035">
        <w:t xml:space="preserve">sy in England </w:t>
      </w:r>
      <w:r w:rsidR="00753D9E">
        <w:t xml:space="preserve">between </w:t>
      </w:r>
      <w:r w:rsidR="00DC2035">
        <w:t xml:space="preserve">2000 </w:t>
      </w:r>
      <w:r w:rsidR="00753D9E">
        <w:t xml:space="preserve">and </w:t>
      </w:r>
      <w:r w:rsidR="00DC2035">
        <w:t>2008</w:t>
      </w:r>
      <w:r>
        <w:t xml:space="preserve">. </w:t>
      </w:r>
      <w:r w:rsidR="00F77F2E">
        <w:t xml:space="preserve">From </w:t>
      </w:r>
      <w:r>
        <w:t xml:space="preserve">the 198,361 </w:t>
      </w:r>
      <w:r w:rsidRPr="00315B52">
        <w:t>prostate biopsies performed</w:t>
      </w:r>
      <w:r>
        <w:t>, 3.7 per cent of patients had a complication warranting hospitalisation. These were made up of haematuria (1.4%), urinary obstruction (1.3%), and UTI/sepsis (1.1%). A 20 per cent increase in biopsy-related hospitalisation was found in the nine-year study period</w:t>
      </w:r>
      <w:r w:rsidR="002B3964">
        <w:t xml:space="preserve"> </w:t>
      </w:r>
      <w:r w:rsidR="008E0B00">
        <w:fldChar w:fldCharType="begin"/>
      </w:r>
      <w:r w:rsidR="008E0B00">
        <w:instrText xml:space="preserve"> ADDIN EN.CITE &lt;EndNote&gt;&lt;Cite&gt;&lt;Author&gt;Anastasiadis&lt;/Author&gt;&lt;Year&gt;2015&lt;/Year&gt;&lt;RecNum&gt;126&lt;/RecNum&gt;&lt;DisplayText&gt;(Anastasiadis et al. 2015)&lt;/DisplayText&gt;&lt;record&gt;&lt;rec-number&gt;126&lt;/rec-number&gt;&lt;foreign-keys&gt;&lt;key app="EN" db-id="2p9terxr22fx91epzebpfdwuzrwtw2a2ep2t" timestamp="1472684629"&gt;126&lt;/key&gt;&lt;/foreign-keys&gt;&lt;ref-type name="Journal Article"&gt;17&lt;/ref-type&gt;&lt;contributors&gt;&lt;authors&gt;&lt;author&gt;Anastasiadis, E.&lt;/author&gt;&lt;author&gt;Meulen, J.&lt;/author&gt;&lt;author&gt;Emberton, M&lt;/author&gt;&lt;/authors&gt;&lt;/contributors&gt;&lt;titles&gt;&lt;title&gt;Hospital admissions after transrectal ultrasound-guided biopsy of the prostate in men diagnosed with prostate cancer: A database analysis in England&lt;/title&gt;&lt;secondary-title&gt;Int J Urol&lt;/secondary-title&gt;&lt;/titles&gt;&lt;periodical&gt;&lt;full-title&gt;Int J Urol&lt;/full-title&gt;&lt;abbr-1&gt;International journal of urology : official journal of the Japanese Urological Association&lt;/abbr-1&gt;&lt;/periodical&gt;&lt;pages&gt;181-186&lt;/pages&gt;&lt;volume&gt;22&lt;/volume&gt;&lt;dates&gt;&lt;year&gt;2015&lt;/year&gt;&lt;/dates&gt;&lt;urls&gt;&lt;/urls&gt;&lt;/record&gt;&lt;/Cite&gt;&lt;/EndNote&gt;</w:instrText>
      </w:r>
      <w:r w:rsidR="008E0B00">
        <w:fldChar w:fldCharType="separate"/>
      </w:r>
      <w:r w:rsidR="008E0B00">
        <w:rPr>
          <w:noProof/>
        </w:rPr>
        <w:t>(</w:t>
      </w:r>
      <w:hyperlink w:anchor="_ENREF_7" w:tooltip="Anastasiadis, 2015 #126" w:history="1">
        <w:r w:rsidR="008E0B00">
          <w:rPr>
            <w:noProof/>
          </w:rPr>
          <w:t>Anastasiadis et al. 2015</w:t>
        </w:r>
      </w:hyperlink>
      <w:r w:rsidR="008E0B00">
        <w:rPr>
          <w:noProof/>
        </w:rPr>
        <w:t>)</w:t>
      </w:r>
      <w:r w:rsidR="008E0B00">
        <w:fldChar w:fldCharType="end"/>
      </w:r>
      <w:r>
        <w:t>.</w:t>
      </w:r>
    </w:p>
    <w:p w14:paraId="399E0726" w14:textId="57EC33DE" w:rsidR="002706BF" w:rsidRPr="007A31B2" w:rsidRDefault="002706BF" w:rsidP="002706BF">
      <w:r>
        <w:t>Five studies reporting trans</w:t>
      </w:r>
      <w:r w:rsidR="006F3F56">
        <w:t>-</w:t>
      </w:r>
      <w:r>
        <w:t>rectal biopsy-related complications had a sample size of 1,000 to 5,000 patients</w:t>
      </w:r>
      <w:r w:rsidR="002B3964">
        <w:t xml:space="preserve"> </w:t>
      </w:r>
      <w:r w:rsidR="008E0B00">
        <w:fldChar w:fldCharType="begin">
          <w:fldData xml:space="preserve">PEVuZE5vdGU+PENpdGU+PEF1dGhvcj5QaW5za3k8L0F1dGhvcj48WWVhcj4yMDE0PC9ZZWFyPjxS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==
</w:fldData>
        </w:fldChar>
      </w:r>
      <w:r w:rsidR="008E0B00">
        <w:instrText xml:space="preserve"> ADDIN EN.CITE </w:instrText>
      </w:r>
      <w:r w:rsidR="008E0B00">
        <w:fldChar w:fldCharType="begin">
          <w:fldData xml:space="preserve">PEVuZE5vdGU+PENpdGU+PEF1dGhvcj5QaW5za3k8L0F1dGhvcj48WWVhcj4yMDE0PC9ZZWFyPjxS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==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114" w:tooltip="Pinsky, 2014 #122" w:history="1">
        <w:r w:rsidR="008E0B00">
          <w:rPr>
            <w:noProof/>
          </w:rPr>
          <w:t>Pinsky et al. 2014</w:t>
        </w:r>
      </w:hyperlink>
      <w:r w:rsidR="008E0B00">
        <w:rPr>
          <w:noProof/>
        </w:rPr>
        <w:t xml:space="preserve">; </w:t>
      </w:r>
      <w:hyperlink w:anchor="_ENREF_127" w:tooltip="Roberts, 2002 #21" w:history="1">
        <w:r w:rsidR="008E0B00">
          <w:rPr>
            <w:noProof/>
          </w:rPr>
          <w:t>Roberts et al. 2002</w:t>
        </w:r>
      </w:hyperlink>
      <w:r w:rsidR="008E0B00">
        <w:rPr>
          <w:noProof/>
        </w:rPr>
        <w:t xml:space="preserve">; </w:t>
      </w:r>
      <w:hyperlink w:anchor="_ENREF_129" w:tooltip="Rosario, 2012 #127" w:history="1">
        <w:r w:rsidR="008E0B00">
          <w:rPr>
            <w:noProof/>
          </w:rPr>
          <w:t>Rosario et al. 2012</w:t>
        </w:r>
      </w:hyperlink>
      <w:r w:rsidR="008E0B00">
        <w:rPr>
          <w:noProof/>
        </w:rPr>
        <w:t xml:space="preserve">; </w:t>
      </w:r>
      <w:hyperlink w:anchor="_ENREF_150" w:tooltip="Simsir, 2010 #20" w:history="1">
        <w:r w:rsidR="008E0B00">
          <w:rPr>
            <w:noProof/>
          </w:rPr>
          <w:t>Simsir et al. 2010</w:t>
        </w:r>
      </w:hyperlink>
      <w:r w:rsidR="008E0B00">
        <w:rPr>
          <w:noProof/>
        </w:rPr>
        <w:t xml:space="preserve">; </w:t>
      </w:r>
      <w:hyperlink w:anchor="_ENREF_184" w:tooltip="Zaytoun, 2011 #128" w:history="1">
        <w:r w:rsidR="008E0B00">
          <w:rPr>
            <w:noProof/>
          </w:rPr>
          <w:t>Zaytoun et al. 2011</w:t>
        </w:r>
      </w:hyperlink>
      <w:r w:rsidR="008E0B00">
        <w:rPr>
          <w:noProof/>
        </w:rPr>
        <w:t>)</w:t>
      </w:r>
      <w:r w:rsidR="008E0B00">
        <w:fldChar w:fldCharType="end"/>
      </w:r>
      <w:r>
        <w:t xml:space="preserve">. </w:t>
      </w:r>
      <w:r w:rsidRPr="007B5E99">
        <w:t>In these studies minor infection ranged from 0.8-2.7 per cent, major infection 0.2-3.0</w:t>
      </w:r>
      <w:r w:rsidR="0097300C" w:rsidRPr="00267381">
        <w:t xml:space="preserve"> per cent</w:t>
      </w:r>
      <w:r w:rsidRPr="007B5E99">
        <w:t>, urinary obstruction 0.4-1.9</w:t>
      </w:r>
      <w:r w:rsidR="0097300C" w:rsidRPr="00267381">
        <w:t xml:space="preserve"> per cent</w:t>
      </w:r>
      <w:r w:rsidRPr="007B5E99">
        <w:t>, rectal bleeding 0.3-37</w:t>
      </w:r>
      <w:r w:rsidR="0097300C" w:rsidRPr="00267381">
        <w:t xml:space="preserve"> per cent</w:t>
      </w:r>
      <w:r w:rsidRPr="007B5E99">
        <w:t>, haematuria 4.4-12.1</w:t>
      </w:r>
      <w:r w:rsidR="0097300C" w:rsidRPr="00267381">
        <w:t xml:space="preserve"> per cent</w:t>
      </w:r>
      <w:r w:rsidRPr="007B5E99">
        <w:t xml:space="preserve">, </w:t>
      </w:r>
      <w:r w:rsidR="00753D9E" w:rsidRPr="007B5E99">
        <w:t>h</w:t>
      </w:r>
      <w:r w:rsidR="00E8315C">
        <w:t>a</w:t>
      </w:r>
      <w:r w:rsidR="00753D9E" w:rsidRPr="007B5E99">
        <w:t>ematospermia</w:t>
      </w:r>
      <w:r w:rsidRPr="007B5E99">
        <w:t xml:space="preserve"> 0.5-0.8</w:t>
      </w:r>
      <w:r w:rsidR="0097300C" w:rsidRPr="00267381">
        <w:t xml:space="preserve"> per cent</w:t>
      </w:r>
      <w:r w:rsidRPr="007B5E99">
        <w:t xml:space="preserve"> </w:t>
      </w:r>
      <w:r w:rsidR="0097300C" w:rsidRPr="00267381">
        <w:t xml:space="preserve">of </w:t>
      </w:r>
      <w:r w:rsidRPr="007B5E99">
        <w:t>patients. Pain (2%), UTI (1.3%), and bacteraemia (0.3%) were only reported in one stud</w:t>
      </w:r>
      <w:r>
        <w:t>y</w:t>
      </w:r>
      <w:r w:rsidR="002B3964">
        <w:t xml:space="preserve"> </w:t>
      </w:r>
      <w:r w:rsidR="008E0B00">
        <w:fldChar w:fldCharType="begin">
          <w:fldData xml:space="preserve">PEVuZE5vdGU+PENpdGU+PEF1dGhvcj5Sb2JlcnRzPC9BdXRob3I+PFllYXI+MjAwMjwvWWVhcj48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</w:fldData>
        </w:fldChar>
      </w:r>
      <w:r w:rsidR="008E0B00">
        <w:instrText xml:space="preserve"> ADDIN EN.CITE </w:instrText>
      </w:r>
      <w:r w:rsidR="008E0B00">
        <w:fldChar w:fldCharType="begin">
          <w:fldData xml:space="preserve">PEVuZE5vdGU+PENpdGU+PEF1dGhvcj5Sb2JlcnRzPC9BdXRob3I+PFllYXI+MjAwMjwvWWVhcj48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127" w:tooltip="Roberts, 2002 #21" w:history="1">
        <w:r w:rsidR="008E0B00">
          <w:rPr>
            <w:noProof/>
          </w:rPr>
          <w:t>Roberts et al. 2002</w:t>
        </w:r>
      </w:hyperlink>
      <w:r w:rsidR="008E0B00">
        <w:rPr>
          <w:noProof/>
        </w:rPr>
        <w:t>)</w:t>
      </w:r>
      <w:r w:rsidR="008E0B00">
        <w:fldChar w:fldCharType="end"/>
      </w:r>
      <w:r>
        <w:t>. Results from Rosario et al.</w:t>
      </w:r>
      <w:r w:rsidR="00A946B1">
        <w:t xml:space="preserve"> (2012)</w:t>
      </w:r>
      <w:r>
        <w:t xml:space="preserve"> were removed from the </w:t>
      </w:r>
      <w:r w:rsidR="00F77F2E">
        <w:t>data on</w:t>
      </w:r>
      <w:r>
        <w:t xml:space="preserve"> rectal bleeding, haematuria, </w:t>
      </w:r>
      <w:r w:rsidR="00753D9E">
        <w:t>h</w:t>
      </w:r>
      <w:r w:rsidR="00E8315C">
        <w:t>a</w:t>
      </w:r>
      <w:r w:rsidR="00753D9E">
        <w:t>ematospermia</w:t>
      </w:r>
      <w:r>
        <w:t>, and pain ranges as the</w:t>
      </w:r>
      <w:r w:rsidR="0097300C">
        <w:t xml:space="preserve"> study</w:t>
      </w:r>
      <w:r>
        <w:t xml:space="preserve"> used self-reporting,</w:t>
      </w:r>
      <w:r w:rsidR="00753D9E">
        <w:t xml:space="preserve"> </w:t>
      </w:r>
      <w:r w:rsidR="00F77F2E">
        <w:t xml:space="preserve">rather than </w:t>
      </w:r>
      <w:r>
        <w:t xml:space="preserve">hospital records </w:t>
      </w:r>
      <w:r w:rsidR="00F77F2E">
        <w:t>to collect data on these outcomes</w:t>
      </w:r>
      <w:r>
        <w:t xml:space="preserve">. Hospitalisation was only reported in one study at 0.4 per cent </w:t>
      </w:r>
      <w:r w:rsidR="008E0B00">
        <w:fldChar w:fldCharType="begin">
          <w:fldData xml:space="preserve">PEVuZE5vdGU+PENpdGU+PEF1dGhvcj5Sb2JlcnRzPC9BdXRob3I+PFllYXI+MjAwMjwvWWVhcj48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</w:fldData>
        </w:fldChar>
      </w:r>
      <w:r w:rsidR="008E0B00">
        <w:instrText xml:space="preserve"> ADDIN EN.CITE </w:instrText>
      </w:r>
      <w:r w:rsidR="008E0B00">
        <w:fldChar w:fldCharType="begin">
          <w:fldData xml:space="preserve">PEVuZE5vdGU+PENpdGU+PEF1dGhvcj5Sb2JlcnRzPC9BdXRob3I+PFllYXI+MjAwMjwvWWVhcj48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127" w:tooltip="Roberts, 2002 #21" w:history="1">
        <w:r w:rsidR="008E0B00">
          <w:rPr>
            <w:noProof/>
          </w:rPr>
          <w:t>Roberts et al. 2002</w:t>
        </w:r>
      </w:hyperlink>
      <w:r w:rsidR="008E0B00">
        <w:rPr>
          <w:noProof/>
        </w:rPr>
        <w:t>)</w:t>
      </w:r>
      <w:r w:rsidR="008E0B00">
        <w:fldChar w:fldCharType="end"/>
      </w:r>
      <w:r>
        <w:t>.</w:t>
      </w:r>
    </w:p>
    <w:p w14:paraId="7E850F13" w14:textId="6172744F" w:rsidR="002706BF" w:rsidRPr="00256632" w:rsidRDefault="002706BF" w:rsidP="002706BF">
      <w:r>
        <w:t>Nine studies reporting trans</w:t>
      </w:r>
      <w:r w:rsidR="006F3F56">
        <w:t>-</w:t>
      </w:r>
      <w:r>
        <w:t>rectal biopsy-related complications had a sample size of less than 1,000 patients</w:t>
      </w:r>
      <w:r w:rsidR="00022B64">
        <w:t xml:space="preserve"> </w:t>
      </w:r>
      <w:r w:rsidR="008E0B00">
        <w:fldChar w:fldCharType="begin">
          <w:fldData xml:space="preserve">PEVuZE5vdGU+PENpdGU+PEF1dGhvcj5IZWxmYW5kPC9BdXRob3I+PFllYXI+MjAxMzwvWWVhcj48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</w:fldData>
        </w:fldChar>
      </w:r>
      <w:r w:rsidR="008E0B00">
        <w:instrText xml:space="preserve"> ADDIN EN.CITE </w:instrText>
      </w:r>
      <w:r w:rsidR="008E0B00">
        <w:fldChar w:fldCharType="begin">
          <w:fldData xml:space="preserve">PEVuZE5vdGU+PENpdGU+PEF1dGhvcj5IZWxmYW5kPC9BdXRob3I+PFllYXI+MjAxMzwvWWVhcj48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62" w:tooltip="Helfand, 2013 #129" w:history="1">
        <w:r w:rsidR="008E0B00">
          <w:rPr>
            <w:noProof/>
          </w:rPr>
          <w:t>Helfand et al. 2013</w:t>
        </w:r>
      </w:hyperlink>
      <w:r w:rsidR="008E0B00">
        <w:rPr>
          <w:noProof/>
        </w:rPr>
        <w:t xml:space="preserve">; </w:t>
      </w:r>
      <w:hyperlink w:anchor="_ENREF_75" w:tooltip="Kariotis, 2010 #120" w:history="1">
        <w:r w:rsidR="008E0B00">
          <w:rPr>
            <w:noProof/>
          </w:rPr>
          <w:t>Kariotis et al. 2010</w:t>
        </w:r>
      </w:hyperlink>
      <w:r w:rsidR="008E0B00">
        <w:rPr>
          <w:noProof/>
        </w:rPr>
        <w:t xml:space="preserve">; </w:t>
      </w:r>
      <w:hyperlink w:anchor="_ENREF_92" w:tooltip="Marino, 2015 #119" w:history="1">
        <w:r w:rsidR="008E0B00">
          <w:rPr>
            <w:noProof/>
          </w:rPr>
          <w:t>Marino et al. 2015</w:t>
        </w:r>
      </w:hyperlink>
      <w:r w:rsidR="008E0B00">
        <w:rPr>
          <w:noProof/>
        </w:rPr>
        <w:t xml:space="preserve">; </w:t>
      </w:r>
      <w:hyperlink w:anchor="_ENREF_95" w:tooltip="Mohammed, 2016 #130" w:history="1">
        <w:r w:rsidR="008E0B00">
          <w:rPr>
            <w:noProof/>
          </w:rPr>
          <w:t>Mohammed et al. 2016</w:t>
        </w:r>
      </w:hyperlink>
      <w:r w:rsidR="008E0B00">
        <w:rPr>
          <w:noProof/>
        </w:rPr>
        <w:t xml:space="preserve">; </w:t>
      </w:r>
      <w:hyperlink w:anchor="_ENREF_112" w:tooltip="Petteffi, 2002 #131" w:history="1">
        <w:r w:rsidR="008E0B00">
          <w:rPr>
            <w:noProof/>
          </w:rPr>
          <w:t>Petteffi et al. 2002</w:t>
        </w:r>
      </w:hyperlink>
      <w:r w:rsidR="008E0B00">
        <w:rPr>
          <w:noProof/>
        </w:rPr>
        <w:t xml:space="preserve">; </w:t>
      </w:r>
      <w:hyperlink w:anchor="_ENREF_140" w:tooltip="Sahin, 2015 #132" w:history="1">
        <w:r w:rsidR="008E0B00">
          <w:rPr>
            <w:noProof/>
          </w:rPr>
          <w:t>Sahin et al. 2015</w:t>
        </w:r>
      </w:hyperlink>
      <w:r w:rsidR="008E0B00">
        <w:rPr>
          <w:noProof/>
        </w:rPr>
        <w:t xml:space="preserve">; </w:t>
      </w:r>
      <w:hyperlink w:anchor="_ENREF_152" w:tooltip="Solberg, 2011 #133" w:history="1">
        <w:r w:rsidR="008E0B00">
          <w:rPr>
            <w:noProof/>
          </w:rPr>
          <w:t>Solberg et al. 2011</w:t>
        </w:r>
      </w:hyperlink>
      <w:r w:rsidR="008E0B00">
        <w:rPr>
          <w:noProof/>
        </w:rPr>
        <w:t xml:space="preserve">; </w:t>
      </w:r>
      <w:hyperlink w:anchor="_ENREF_165" w:tooltip="Utrera, 2011a #134" w:history="1">
        <w:r w:rsidR="008E0B00">
          <w:rPr>
            <w:noProof/>
          </w:rPr>
          <w:t>Utrera et al. 2011a</w:t>
        </w:r>
      </w:hyperlink>
      <w:r w:rsidR="008E0B00">
        <w:rPr>
          <w:noProof/>
        </w:rPr>
        <w:t xml:space="preserve">; </w:t>
      </w:r>
      <w:hyperlink w:anchor="_ENREF_166" w:tooltip="Utrera, 2011b #135" w:history="1">
        <w:r w:rsidR="008E0B00">
          <w:rPr>
            <w:noProof/>
          </w:rPr>
          <w:t>Utrera et al. 2011b</w:t>
        </w:r>
      </w:hyperlink>
      <w:r w:rsidR="008E0B00">
        <w:rPr>
          <w:noProof/>
        </w:rPr>
        <w:t>)</w:t>
      </w:r>
      <w:r w:rsidR="008E0B00">
        <w:fldChar w:fldCharType="end"/>
      </w:r>
      <w:r w:rsidR="00022B64">
        <w:t>,</w:t>
      </w:r>
      <w:r>
        <w:t xml:space="preserve"> and a further eleven like studies were extracted from a systematic review </w:t>
      </w:r>
      <w:r w:rsidR="008E0B00">
        <w:fldChar w:fldCharType="begin">
          <w:fldData xml:space="preserve">PEVuZE5vdGU+PENpdGU+PEF1dGhvcj5Mb2ViPC9BdXRob3I+PFllYXI+MjAxMzwvWWVhcj48UmVj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</w:fldData>
        </w:fldChar>
      </w:r>
      <w:r w:rsidR="008E0B00">
        <w:instrText xml:space="preserve"> ADDIN EN.CITE </w:instrText>
      </w:r>
      <w:r w:rsidR="008E0B00">
        <w:fldChar w:fldCharType="begin">
          <w:fldData xml:space="preserve">PEVuZE5vdGU+PENpdGU+PEF1dGhvcj5Mb2ViPC9BdXRob3I+PFllYXI+MjAxMzwvWWVhcj48UmVj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87" w:tooltip="Loeb, 2013 #117" w:history="1">
        <w:r w:rsidR="008E0B00">
          <w:rPr>
            <w:noProof/>
          </w:rPr>
          <w:t>Loeb et al. 2013</w:t>
        </w:r>
      </w:hyperlink>
      <w:r w:rsidR="008E0B00">
        <w:rPr>
          <w:noProof/>
        </w:rPr>
        <w:t>)</w:t>
      </w:r>
      <w:r w:rsidR="008E0B00">
        <w:fldChar w:fldCharType="end"/>
      </w:r>
      <w:r>
        <w:t xml:space="preserve">. </w:t>
      </w:r>
      <w:r w:rsidRPr="003A3B1D">
        <w:rPr>
          <w:color w:val="000000" w:themeColor="text1"/>
        </w:rPr>
        <w:t xml:space="preserve">In these studies minor infection ranged from 5.5-6.9 per cent, major infection 0.6-2.4, </w:t>
      </w:r>
      <w:r>
        <w:rPr>
          <w:color w:val="000000" w:themeColor="text1"/>
        </w:rPr>
        <w:t>UTI</w:t>
      </w:r>
      <w:r w:rsidRPr="003A3B1D">
        <w:rPr>
          <w:color w:val="000000" w:themeColor="text1"/>
        </w:rPr>
        <w:t xml:space="preserve"> 1.5-</w:t>
      </w:r>
      <w:r>
        <w:rPr>
          <w:color w:val="000000" w:themeColor="text1"/>
        </w:rPr>
        <w:t>30.0</w:t>
      </w:r>
      <w:r w:rsidRPr="003A3B1D">
        <w:rPr>
          <w:color w:val="000000" w:themeColor="text1"/>
        </w:rPr>
        <w:t xml:space="preserve">, </w:t>
      </w:r>
      <w:r>
        <w:rPr>
          <w:color w:val="000000" w:themeColor="text1"/>
        </w:rPr>
        <w:t xml:space="preserve">urinary </w:t>
      </w:r>
      <w:r w:rsidRPr="00932FC9">
        <w:rPr>
          <w:color w:val="000000" w:themeColor="text1"/>
        </w:rPr>
        <w:t>obstruction 0.9-24.1, rectal bleeding 0.7-51</w:t>
      </w:r>
      <w:r>
        <w:rPr>
          <w:color w:val="000000" w:themeColor="text1"/>
        </w:rPr>
        <w:t>.0</w:t>
      </w:r>
      <w:r w:rsidRPr="00932FC9">
        <w:rPr>
          <w:color w:val="000000" w:themeColor="text1"/>
        </w:rPr>
        <w:t>, haematuria 0.7-63</w:t>
      </w:r>
      <w:r>
        <w:rPr>
          <w:color w:val="000000" w:themeColor="text1"/>
        </w:rPr>
        <w:t>.0</w:t>
      </w:r>
      <w:r w:rsidRPr="00932FC9">
        <w:rPr>
          <w:color w:val="000000" w:themeColor="text1"/>
        </w:rPr>
        <w:t xml:space="preserve">, </w:t>
      </w:r>
      <w:r w:rsidR="00636868">
        <w:rPr>
          <w:color w:val="000000" w:themeColor="text1"/>
        </w:rPr>
        <w:t>h</w:t>
      </w:r>
      <w:r w:rsidR="00E8315C">
        <w:rPr>
          <w:color w:val="000000" w:themeColor="text1"/>
        </w:rPr>
        <w:t>a</w:t>
      </w:r>
      <w:r w:rsidR="00636868">
        <w:rPr>
          <w:color w:val="000000" w:themeColor="text1"/>
        </w:rPr>
        <w:t>ematos</w:t>
      </w:r>
      <w:r w:rsidR="00753D9E">
        <w:rPr>
          <w:color w:val="000000" w:themeColor="text1"/>
        </w:rPr>
        <w:t xml:space="preserve">permia </w:t>
      </w:r>
      <w:r w:rsidRPr="00932FC9">
        <w:rPr>
          <w:color w:val="000000" w:themeColor="text1"/>
        </w:rPr>
        <w:t>8.2-88</w:t>
      </w:r>
      <w:r>
        <w:rPr>
          <w:color w:val="000000" w:themeColor="text1"/>
        </w:rPr>
        <w:t>.0, bacteraemia 0.4-4.5, fever 1.0-15.0</w:t>
      </w:r>
      <w:r w:rsidRPr="00932FC9">
        <w:rPr>
          <w:color w:val="000000" w:themeColor="text1"/>
        </w:rPr>
        <w:t xml:space="preserve"> </w:t>
      </w:r>
      <w:r>
        <w:rPr>
          <w:color w:val="000000" w:themeColor="text1"/>
        </w:rPr>
        <w:t xml:space="preserve">per cent of </w:t>
      </w:r>
      <w:r w:rsidRPr="00932FC9">
        <w:rPr>
          <w:color w:val="000000" w:themeColor="text1"/>
        </w:rPr>
        <w:t>patients.</w:t>
      </w:r>
      <w:r>
        <w:rPr>
          <w:color w:val="000000" w:themeColor="text1"/>
        </w:rPr>
        <w:t xml:space="preserve"> Prostatitis (1.4%), pain (64%), and </w:t>
      </w:r>
      <w:r w:rsidRPr="004D5BDE">
        <w:rPr>
          <w:color w:val="000000" w:themeColor="text1"/>
        </w:rPr>
        <w:t>bacteriuria</w:t>
      </w:r>
      <w:r>
        <w:rPr>
          <w:color w:val="000000" w:themeColor="text1"/>
        </w:rPr>
        <w:t xml:space="preserve"> (4.5%) were only reported in one study each</w:t>
      </w:r>
      <w:r w:rsidR="00636868">
        <w:rPr>
          <w:color w:val="000000" w:themeColor="text1"/>
        </w:rPr>
        <w:t xml:space="preserve"> </w:t>
      </w:r>
      <w:r w:rsidR="008E0B00">
        <w:rPr>
          <w:color w:val="000000" w:themeColor="text1"/>
        </w:rPr>
        <w:fldChar w:fldCharType="begin">
          <w:fldData xml:space="preserve">PEVuZE5vdGU+PENpdGU+PEF1dGhvcj5Tb2xiZXJnPC9BdXRob3I+PFllYXI+MjAxMTwvWWVhcj48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==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PEVuZE5vdGU+PENpdGU+PEF1dGhvcj5Tb2xiZXJnPC9BdXRob3I+PFllYXI+MjAxMTwvWWVhcj48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==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152" w:tooltip="Solberg, 2011 #133" w:history="1">
        <w:r w:rsidR="008E0B00">
          <w:rPr>
            <w:noProof/>
            <w:color w:val="000000" w:themeColor="text1"/>
          </w:rPr>
          <w:t>Solberg et al. 2011</w:t>
        </w:r>
      </w:hyperlink>
      <w:r w:rsidR="008E0B00">
        <w:rPr>
          <w:noProof/>
          <w:color w:val="000000" w:themeColor="text1"/>
        </w:rPr>
        <w:t xml:space="preserve">; </w:t>
      </w:r>
      <w:hyperlink w:anchor="_ENREF_165" w:tooltip="Utrera, 2011a #134" w:history="1">
        <w:r w:rsidR="008E0B00">
          <w:rPr>
            <w:noProof/>
            <w:color w:val="000000" w:themeColor="text1"/>
          </w:rPr>
          <w:t>Utrera et al. 2011a</w:t>
        </w:r>
      </w:hyperlink>
      <w:r w:rsidR="008E0B00">
        <w:rPr>
          <w:noProof/>
          <w:color w:val="000000" w:themeColor="text1"/>
        </w:rPr>
        <w:t xml:space="preserve">; </w:t>
      </w:r>
      <w:hyperlink w:anchor="_ENREF_166" w:tooltip="Utrera, 2011b #135" w:history="1">
        <w:r w:rsidR="008E0B00">
          <w:rPr>
            <w:noProof/>
            <w:color w:val="000000" w:themeColor="text1"/>
          </w:rPr>
          <w:t>Utrera et al. 2011b</w:t>
        </w:r>
      </w:hyperlink>
      <w:r w:rsidR="008E0B00">
        <w:rPr>
          <w:noProof/>
          <w:color w:val="000000" w:themeColor="text1"/>
        </w:rPr>
        <w:t>)</w:t>
      </w:r>
      <w:r w:rsidR="008E0B00">
        <w:rPr>
          <w:color w:val="000000" w:themeColor="text1"/>
        </w:rPr>
        <w:fldChar w:fldCharType="end"/>
      </w:r>
      <w:r>
        <w:rPr>
          <w:color w:val="000000" w:themeColor="text1"/>
        </w:rPr>
        <w:t>. One primary study and one systematic review also reported on erectile dysfunction</w:t>
      </w:r>
      <w:r w:rsidR="00636868">
        <w:rPr>
          <w:color w:val="000000" w:themeColor="text1"/>
        </w:rPr>
        <w:t xml:space="preserve"> </w:t>
      </w:r>
      <w:r w:rsidR="008E0B00">
        <w:rPr>
          <w:color w:val="000000" w:themeColor="text1"/>
        </w:rPr>
        <w:fldChar w:fldCharType="begin">
          <w:fldData xml:space="preserve">PEVuZE5vdGU+PENpdGU+PEF1dGhvcj5IZWxmYW5kPC9BdXRob3I+PFllYXI+MjAxMzwvWWVhcj48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=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PEVuZE5vdGU+PENpdGU+PEF1dGhvcj5IZWxmYW5kPC9BdXRob3I+PFllYXI+MjAxMzwvWWVhcj48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=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62" w:tooltip="Helfand, 2013 #129" w:history="1">
        <w:r w:rsidR="008E0B00">
          <w:rPr>
            <w:noProof/>
            <w:color w:val="000000" w:themeColor="text1"/>
          </w:rPr>
          <w:t>Helfand et al. 2013</w:t>
        </w:r>
      </w:hyperlink>
      <w:r w:rsidR="008E0B00">
        <w:rPr>
          <w:noProof/>
          <w:color w:val="000000" w:themeColor="text1"/>
        </w:rPr>
        <w:t xml:space="preserve">; </w:t>
      </w:r>
      <w:hyperlink w:anchor="_ENREF_87" w:tooltip="Loeb, 2013 #117" w:history="1">
        <w:r w:rsidR="008E0B00">
          <w:rPr>
            <w:noProof/>
            <w:color w:val="000000" w:themeColor="text1"/>
          </w:rPr>
          <w:t>Loeb et al. 2013</w:t>
        </w:r>
      </w:hyperlink>
      <w:r w:rsidR="008E0B00">
        <w:rPr>
          <w:noProof/>
          <w:color w:val="000000" w:themeColor="text1"/>
        </w:rPr>
        <w:t>)</w:t>
      </w:r>
      <w:r w:rsidR="008E0B00">
        <w:rPr>
          <w:color w:val="000000" w:themeColor="text1"/>
        </w:rPr>
        <w:fldChar w:fldCharType="end"/>
      </w:r>
      <w:r>
        <w:rPr>
          <w:color w:val="000000" w:themeColor="text1"/>
        </w:rPr>
        <w:t>. Most studies measured erectile dysfunction with IIEF-5 and reported that one month after prostate biopsy mild to severe erectile dysfunction affected from 2.2</w:t>
      </w:r>
      <w:r w:rsidR="00CC3446">
        <w:rPr>
          <w:color w:val="000000" w:themeColor="text1"/>
        </w:rPr>
        <w:t>-</w:t>
      </w:r>
      <w:r>
        <w:rPr>
          <w:color w:val="000000" w:themeColor="text1"/>
        </w:rPr>
        <w:t xml:space="preserve">92.1 per cent of patients. It is not known what portion of these studies used self-reported outcomes. </w:t>
      </w:r>
      <w:r>
        <w:t xml:space="preserve">Hospitalisation ranged from 0.5 </w:t>
      </w:r>
      <w:r w:rsidR="00CC3446">
        <w:t>-</w:t>
      </w:r>
      <w:r>
        <w:t>5.5 per cent.</w:t>
      </w:r>
    </w:p>
    <w:p w14:paraId="51A036AD" w14:textId="1A7D5063" w:rsidR="002706BF" w:rsidRDefault="008C1C59" w:rsidP="00C11370">
      <w:pPr>
        <w:pStyle w:val="Heading2"/>
      </w:pPr>
      <w:bookmarkStart w:id="388" w:name="_Toc460513958"/>
      <w:r>
        <w:t>B7.4</w:t>
      </w:r>
      <w:r w:rsidR="00C11370">
        <w:tab/>
      </w:r>
      <w:r w:rsidR="00C11370">
        <w:tab/>
      </w:r>
      <w:r>
        <w:t xml:space="preserve">Harms associated with </w:t>
      </w:r>
      <w:r w:rsidR="002706BF">
        <w:t>Trans</w:t>
      </w:r>
      <w:r w:rsidR="007935C0">
        <w:t>-</w:t>
      </w:r>
      <w:r w:rsidR="002706BF">
        <w:t>perineal Biopsy</w:t>
      </w:r>
      <w:bookmarkEnd w:id="388"/>
    </w:p>
    <w:p w14:paraId="0A5E5E8C" w14:textId="55E23C48" w:rsidR="002706BF" w:rsidRDefault="007A2D51" w:rsidP="002706BF">
      <w:r>
        <w:t>Three studies were identified that assessed the safety of trans</w:t>
      </w:r>
      <w:r w:rsidR="007935C0">
        <w:t>-</w:t>
      </w:r>
      <w:r>
        <w:t xml:space="preserve">perineal biopsies. Results from these studies are reported in </w:t>
      </w:r>
      <w:r>
        <w:fldChar w:fldCharType="begin"/>
      </w:r>
      <w:r>
        <w:instrText xml:space="preserve"> REF _Ref456628198 \h </w:instrText>
      </w:r>
      <w:r>
        <w:fldChar w:fldCharType="separate"/>
      </w:r>
      <w:r w:rsidR="0029649D">
        <w:t xml:space="preserve">Table </w:t>
      </w:r>
      <w:r w:rsidR="0029649D">
        <w:rPr>
          <w:noProof/>
        </w:rPr>
        <w:t>95</w:t>
      </w:r>
      <w:r>
        <w:fldChar w:fldCharType="end"/>
      </w:r>
      <w:r w:rsidR="00F33D82">
        <w:t xml:space="preserve"> (Appendix H</w:t>
      </w:r>
      <w:r w:rsidR="00AD0A03">
        <w:t>)</w:t>
      </w:r>
      <w:r w:rsidR="001603E3">
        <w:t xml:space="preserve">; a summary of findings is reported in </w:t>
      </w:r>
      <w:r w:rsidR="001603E3">
        <w:fldChar w:fldCharType="begin"/>
      </w:r>
      <w:r w:rsidR="001603E3">
        <w:instrText xml:space="preserve"> REF _Ref456775067 \h </w:instrText>
      </w:r>
      <w:r w:rsidR="001603E3">
        <w:fldChar w:fldCharType="separate"/>
      </w:r>
      <w:r w:rsidR="0029649D">
        <w:t xml:space="preserve">Table </w:t>
      </w:r>
      <w:r w:rsidR="0029649D">
        <w:rPr>
          <w:noProof/>
        </w:rPr>
        <w:t>36</w:t>
      </w:r>
      <w:r w:rsidR="001603E3">
        <w:fldChar w:fldCharType="end"/>
      </w:r>
      <w:r w:rsidR="00AD0A03">
        <w:t>.</w:t>
      </w:r>
    </w:p>
    <w:p w14:paraId="7E0A922F" w14:textId="3839396B" w:rsidR="002706BF" w:rsidRDefault="002706BF" w:rsidP="008C1C59">
      <w:pPr>
        <w:pStyle w:val="Heading2"/>
      </w:pPr>
      <w:bookmarkStart w:id="389" w:name="_Toc460513959"/>
      <w:r>
        <w:t>B7.</w:t>
      </w:r>
      <w:r w:rsidR="008C1C59">
        <w:t>4</w:t>
      </w:r>
      <w:r>
        <w:t>.1</w:t>
      </w:r>
      <w:r>
        <w:tab/>
        <w:t>Mortality</w:t>
      </w:r>
      <w:r w:rsidR="00703B1C">
        <w:t xml:space="preserve"> associated with</w:t>
      </w:r>
      <w:r w:rsidR="005426AB">
        <w:t xml:space="preserve"> trans</w:t>
      </w:r>
      <w:r w:rsidR="007935C0">
        <w:t>-</w:t>
      </w:r>
      <w:r w:rsidR="005426AB">
        <w:t>perineal biopsy</w:t>
      </w:r>
      <w:bookmarkEnd w:id="389"/>
    </w:p>
    <w:p w14:paraId="76970730" w14:textId="62FF9A03" w:rsidR="002706BF" w:rsidRDefault="002706BF" w:rsidP="002706BF">
      <w:r>
        <w:t>There is no evidence in the literature of deaths related to trans</w:t>
      </w:r>
      <w:r w:rsidR="007935C0">
        <w:t>-</w:t>
      </w:r>
      <w:r>
        <w:t>perineal prostate biopsy.</w:t>
      </w:r>
    </w:p>
    <w:p w14:paraId="1AFBAEDB" w14:textId="68325767" w:rsidR="002706BF" w:rsidRDefault="002706BF" w:rsidP="008C1C59">
      <w:pPr>
        <w:pStyle w:val="Heading2"/>
      </w:pPr>
      <w:bookmarkStart w:id="390" w:name="_Toc460513960"/>
      <w:r>
        <w:lastRenderedPageBreak/>
        <w:t>B7.</w:t>
      </w:r>
      <w:r w:rsidR="008C1C59">
        <w:t>4</w:t>
      </w:r>
      <w:r>
        <w:t>.2</w:t>
      </w:r>
      <w:r>
        <w:tab/>
        <w:t>Morbidity</w:t>
      </w:r>
      <w:r w:rsidR="00703B1C">
        <w:t xml:space="preserve"> associated with</w:t>
      </w:r>
      <w:r w:rsidR="005426AB">
        <w:t xml:space="preserve"> trans</w:t>
      </w:r>
      <w:r w:rsidR="007935C0">
        <w:t>-</w:t>
      </w:r>
      <w:r w:rsidR="005426AB">
        <w:t>perineal biopsy</w:t>
      </w:r>
      <w:bookmarkEnd w:id="390"/>
    </w:p>
    <w:p w14:paraId="446FC91F" w14:textId="71791331" w:rsidR="002706BF" w:rsidRDefault="002706BF" w:rsidP="002706BF">
      <w:r>
        <w:t xml:space="preserve">One primary study and two systematic reviews we identified with safety results for </w:t>
      </w:r>
      <w:r w:rsidR="00010606">
        <w:t>TPUSGB</w:t>
      </w:r>
      <w:r w:rsidR="00843B05">
        <w:t xml:space="preserve"> </w:t>
      </w:r>
      <w:r w:rsidR="008E0B00">
        <w:fldChar w:fldCharType="begin">
          <w:fldData xml:space="preserve">PEVuZE5vdGU+PENpdGU+PEF1dGhvcj5DaGFuZzwvQXV0aG9yPjxZZWFyPjIwMTM8L1llYXI+PFJl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</w:fldData>
        </w:fldChar>
      </w:r>
      <w:r w:rsidR="008E0B00">
        <w:instrText xml:space="preserve"> ADDIN EN.CITE </w:instrText>
      </w:r>
      <w:r w:rsidR="008E0B00">
        <w:fldChar w:fldCharType="begin">
          <w:fldData xml:space="preserve">PEVuZE5vdGU+PENpdGU+PEF1dGhvcj5DaGFuZzwvQXV0aG9yPjxZZWFyPjIwMTM8L1llYXI+PFJl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</w:fldData>
        </w:fldChar>
      </w:r>
      <w:r w:rsidR="008E0B00">
        <w:instrText xml:space="preserve"> ADDIN EN.CITE.DATA </w:instrText>
      </w:r>
      <w:r w:rsidR="008E0B00">
        <w:fldChar w:fldCharType="end"/>
      </w:r>
      <w:r w:rsidR="008E0B00">
        <w:fldChar w:fldCharType="separate"/>
      </w:r>
      <w:r w:rsidR="008E0B00">
        <w:rPr>
          <w:noProof/>
        </w:rPr>
        <w:t>(</w:t>
      </w:r>
      <w:hyperlink w:anchor="_ENREF_28" w:tooltip="Chang, 2013 #116" w:history="1">
        <w:r w:rsidR="008E0B00">
          <w:rPr>
            <w:noProof/>
          </w:rPr>
          <w:t>Chang et al. 2013</w:t>
        </w:r>
      </w:hyperlink>
      <w:r w:rsidR="008E0B00">
        <w:rPr>
          <w:noProof/>
        </w:rPr>
        <w:t xml:space="preserve">; </w:t>
      </w:r>
      <w:hyperlink w:anchor="_ENREF_87" w:tooltip="Loeb, 2013 #117" w:history="1">
        <w:r w:rsidR="008E0B00">
          <w:rPr>
            <w:noProof/>
          </w:rPr>
          <w:t>Loeb et al. 2013</w:t>
        </w:r>
      </w:hyperlink>
      <w:r w:rsidR="008E0B00">
        <w:rPr>
          <w:noProof/>
        </w:rPr>
        <w:t xml:space="preserve">; </w:t>
      </w:r>
      <w:hyperlink w:anchor="_ENREF_90" w:tooltip="Mai, 2016 #136" w:history="1">
        <w:r w:rsidR="008E0B00">
          <w:rPr>
            <w:noProof/>
          </w:rPr>
          <w:t>Mai et al. 2016</w:t>
        </w:r>
      </w:hyperlink>
      <w:r w:rsidR="008E0B00">
        <w:rPr>
          <w:noProof/>
        </w:rPr>
        <w:t>)</w:t>
      </w:r>
      <w:r w:rsidR="008E0B00">
        <w:fldChar w:fldCharType="end"/>
      </w:r>
      <w:r>
        <w:t xml:space="preserve">. Hospitalisation after </w:t>
      </w:r>
      <w:r w:rsidR="00010606">
        <w:t>TPUSGB</w:t>
      </w:r>
      <w:r>
        <w:t xml:space="preserve"> ranged from 0.7</w:t>
      </w:r>
      <w:r w:rsidR="00CC3446">
        <w:t>-</w:t>
      </w:r>
      <w:r>
        <w:t>2.1</w:t>
      </w:r>
      <w:r w:rsidRPr="008B3F4A">
        <w:t xml:space="preserve"> </w:t>
      </w:r>
      <w:r>
        <w:t>per cent.</w:t>
      </w:r>
    </w:p>
    <w:p w14:paraId="0F8381A2" w14:textId="56D3E530" w:rsidR="002706BF" w:rsidRPr="00C01BE1" w:rsidRDefault="002706BF" w:rsidP="002706BF">
      <w:r>
        <w:t>No meta-analysis was undertaken due to heterogeneity between studies in study designs and in reporting of adverse events.</w:t>
      </w:r>
      <w:r w:rsidR="0085254A">
        <w:t xml:space="preserve"> </w:t>
      </w:r>
      <w:r>
        <w:t>Results are described narratively by study size with large (</w:t>
      </w:r>
      <w:r w:rsidR="005F38B9">
        <w:rPr>
          <w:rFonts w:cs="Calibri"/>
        </w:rPr>
        <w:t>greater than</w:t>
      </w:r>
      <w:r w:rsidR="005F38B9">
        <w:t xml:space="preserve"> </w:t>
      </w:r>
      <w:r>
        <w:t xml:space="preserve">3,000 </w:t>
      </w:r>
      <w:r w:rsidR="00CE60C4">
        <w:t>patients</w:t>
      </w:r>
      <w:r>
        <w:t>) studies considered key evidence.</w:t>
      </w:r>
    </w:p>
    <w:p w14:paraId="4310CF63" w14:textId="43D399D9" w:rsidR="002706BF" w:rsidRPr="00821704" w:rsidRDefault="002706BF" w:rsidP="002706BF">
      <w:pPr>
        <w:rPr>
          <w:color w:val="000000" w:themeColor="text1"/>
        </w:rPr>
      </w:pPr>
      <w:r w:rsidRPr="00821704">
        <w:rPr>
          <w:color w:val="000000" w:themeColor="text1"/>
        </w:rPr>
        <w:t xml:space="preserve">Mai </w:t>
      </w:r>
      <w:r>
        <w:rPr>
          <w:color w:val="000000" w:themeColor="text1"/>
        </w:rPr>
        <w:t>et al.</w:t>
      </w:r>
      <w:r w:rsidR="002A30AC">
        <w:rPr>
          <w:color w:val="000000" w:themeColor="text1"/>
        </w:rPr>
        <w:t xml:space="preserve"> (2016)</w:t>
      </w:r>
      <w:r w:rsidRPr="00821704">
        <w:rPr>
          <w:color w:val="000000" w:themeColor="text1"/>
        </w:rPr>
        <w:t xml:space="preserve"> reported</w:t>
      </w:r>
      <w:r>
        <w:rPr>
          <w:color w:val="000000" w:themeColor="text1"/>
        </w:rPr>
        <w:t xml:space="preserve"> on </w:t>
      </w:r>
      <w:r w:rsidR="005426AB">
        <w:rPr>
          <w:color w:val="000000" w:themeColor="text1"/>
        </w:rPr>
        <w:t>a case series of 3,007 trans</w:t>
      </w:r>
      <w:r w:rsidR="007935C0">
        <w:rPr>
          <w:color w:val="000000" w:themeColor="text1"/>
        </w:rPr>
        <w:t>-</w:t>
      </w:r>
      <w:r w:rsidR="005426AB">
        <w:rPr>
          <w:color w:val="000000" w:themeColor="text1"/>
        </w:rPr>
        <w:t>perineal biopsies</w:t>
      </w:r>
      <w:r>
        <w:rPr>
          <w:color w:val="000000" w:themeColor="text1"/>
        </w:rPr>
        <w:t xml:space="preserve"> conducted in a Beijing hospital </w:t>
      </w:r>
      <w:r w:rsidR="00CC3446">
        <w:rPr>
          <w:color w:val="000000" w:themeColor="text1"/>
        </w:rPr>
        <w:t xml:space="preserve">between </w:t>
      </w:r>
      <w:r>
        <w:rPr>
          <w:color w:val="000000" w:themeColor="text1"/>
        </w:rPr>
        <w:t xml:space="preserve">2003 </w:t>
      </w:r>
      <w:r w:rsidR="00CC3446">
        <w:rPr>
          <w:color w:val="000000" w:themeColor="text1"/>
        </w:rPr>
        <w:t xml:space="preserve">and </w:t>
      </w:r>
      <w:r>
        <w:rPr>
          <w:color w:val="000000" w:themeColor="text1"/>
        </w:rPr>
        <w:t xml:space="preserve">2013. </w:t>
      </w:r>
      <w:r w:rsidR="005426AB">
        <w:rPr>
          <w:color w:val="000000" w:themeColor="text1"/>
        </w:rPr>
        <w:t>Overall,</w:t>
      </w:r>
      <w:r>
        <w:rPr>
          <w:color w:val="000000" w:themeColor="text1"/>
        </w:rPr>
        <w:t xml:space="preserve"> 2.1 per cent </w:t>
      </w:r>
      <w:r w:rsidR="005426AB">
        <w:rPr>
          <w:color w:val="000000" w:themeColor="text1"/>
        </w:rPr>
        <w:t xml:space="preserve">of patients </w:t>
      </w:r>
      <w:r>
        <w:rPr>
          <w:color w:val="000000" w:themeColor="text1"/>
        </w:rPr>
        <w:t xml:space="preserve">had complications requiring hospitalisation or emergency care. Total rates of complications, including those not requiring hospitalisation, were major infection (0.03%), acute urinary obstruction (1.9%), urethral bleeding (0.1%), haematuria (47%), </w:t>
      </w:r>
      <w:r w:rsidR="00E8315C">
        <w:t>haematospermia</w:t>
      </w:r>
      <w:r w:rsidR="00E8315C">
        <w:rPr>
          <w:color w:val="000000" w:themeColor="text1"/>
        </w:rPr>
        <w:t xml:space="preserve"> </w:t>
      </w:r>
      <w:r>
        <w:rPr>
          <w:color w:val="000000" w:themeColor="text1"/>
        </w:rPr>
        <w:t xml:space="preserve">(6.1%), and </w:t>
      </w:r>
      <w:r w:rsidRPr="00973FD3">
        <w:rPr>
          <w:color w:val="000000" w:themeColor="text1"/>
        </w:rPr>
        <w:t>perineal h</w:t>
      </w:r>
      <w:r>
        <w:rPr>
          <w:color w:val="000000" w:themeColor="text1"/>
        </w:rPr>
        <w:t>a</w:t>
      </w:r>
      <w:r w:rsidRPr="00973FD3">
        <w:rPr>
          <w:color w:val="000000" w:themeColor="text1"/>
        </w:rPr>
        <w:t xml:space="preserve">ematoma </w:t>
      </w:r>
      <w:r>
        <w:rPr>
          <w:color w:val="000000" w:themeColor="text1"/>
        </w:rPr>
        <w:t>(</w:t>
      </w:r>
      <w:r w:rsidRPr="00973FD3">
        <w:rPr>
          <w:color w:val="000000" w:themeColor="text1"/>
        </w:rPr>
        <w:t>0.5%</w:t>
      </w:r>
      <w:r>
        <w:rPr>
          <w:color w:val="000000" w:themeColor="text1"/>
        </w:rPr>
        <w:t xml:space="preserve">). </w:t>
      </w:r>
    </w:p>
    <w:p w14:paraId="76F0D0E5" w14:textId="418E87D0" w:rsidR="002706BF" w:rsidRPr="00C01BE1" w:rsidRDefault="002706BF" w:rsidP="002706BF">
      <w:pPr>
        <w:rPr>
          <w:color w:val="000000" w:themeColor="text1"/>
        </w:rPr>
      </w:pPr>
      <w:r w:rsidRPr="006679EF">
        <w:rPr>
          <w:color w:val="000000" w:themeColor="text1"/>
        </w:rPr>
        <w:t>Two systematic reviews</w:t>
      </w:r>
      <w:r>
        <w:rPr>
          <w:color w:val="000000" w:themeColor="text1"/>
        </w:rPr>
        <w:t xml:space="preserve"> </w:t>
      </w:r>
      <w:r>
        <w:t>reporting trans</w:t>
      </w:r>
      <w:r w:rsidR="007935C0">
        <w:t>-</w:t>
      </w:r>
      <w:r>
        <w:t>perineal biopsy-related complications from studies with a sample size of less than 1,000 patients</w:t>
      </w:r>
      <w:r w:rsidR="002A30AC">
        <w:t xml:space="preserve"> </w:t>
      </w:r>
      <w:r w:rsidR="008E0B00">
        <w:fldChar w:fldCharType="begin">
          <w:fldData xml:space="preserve">PEVuZE5vdGU+PENpdGU+PEF1dGhvcj5DaGFuZzwvQXV0aG9yPjxZZWFyPjIwMTM8L1llYXI+PFJl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</w:fldData>
        </w:fldChar>
      </w:r>
      <w:r w:rsidR="008E0B00">
        <w:instrText xml:space="preserve"> ADDIN EN.CITE </w:instrText>
      </w:r>
      <w:r w:rsidR="008E0B00">
        <w:fldChar w:fldCharType="begin">
          <w:fldData xml:space="preserve">PEVuZE5vdGU+PENpdGU+PEF1dGhvcj5DaGFuZzwvQXV0aG9yPjxZZWFyPjIwMTM8L1llYXI+PFJl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28" w:tooltip="Chang, 2013 #116" w:history="1">
        <w:r w:rsidR="008E0B00">
          <w:rPr>
            <w:noProof/>
          </w:rPr>
          <w:t>Chang et al. 2013</w:t>
        </w:r>
      </w:hyperlink>
      <w:r w:rsidR="008E0B00">
        <w:rPr>
          <w:noProof/>
        </w:rPr>
        <w:t xml:space="preserve">; </w:t>
      </w:r>
      <w:hyperlink w:anchor="_ENREF_87" w:tooltip="Loeb, 2013 #117" w:history="1">
        <w:r w:rsidR="008E0B00">
          <w:rPr>
            <w:noProof/>
          </w:rPr>
          <w:t>Loeb et al. 2013</w:t>
        </w:r>
      </w:hyperlink>
      <w:r w:rsidR="008E0B00">
        <w:rPr>
          <w:noProof/>
        </w:rPr>
        <w:t>)</w:t>
      </w:r>
      <w:r w:rsidR="008E0B00">
        <w:fldChar w:fldCharType="end"/>
      </w:r>
      <w:r>
        <w:rPr>
          <w:color w:val="000000" w:themeColor="text1"/>
        </w:rPr>
        <w:t xml:space="preserve">. Chang et al. (2013) included 34 studies with a total of 8,044 patients. Loeb et al. (2013) included 17 studies with a total of 3,203 patients. </w:t>
      </w:r>
      <w:r w:rsidRPr="004C6A7F">
        <w:rPr>
          <w:color w:val="000000" w:themeColor="text1"/>
        </w:rPr>
        <w:t>In the studies reported in these reviews, urinary obstruction ranged from 0.5-20.6</w:t>
      </w:r>
      <w:r w:rsidR="0097300C" w:rsidRPr="00267381">
        <w:t xml:space="preserve"> per cent</w:t>
      </w:r>
      <w:r w:rsidRPr="004C6A7F">
        <w:rPr>
          <w:color w:val="000000" w:themeColor="text1"/>
        </w:rPr>
        <w:t>, significant haematuria 0.3-57.0</w:t>
      </w:r>
      <w:r w:rsidR="0097300C" w:rsidRPr="00267381">
        <w:t xml:space="preserve"> per cent</w:t>
      </w:r>
      <w:r w:rsidRPr="004C6A7F">
        <w:rPr>
          <w:color w:val="000000" w:themeColor="text1"/>
        </w:rPr>
        <w:t>, mild/transient haematuria 3.7-45.3</w:t>
      </w:r>
      <w:r w:rsidR="0097300C" w:rsidRPr="00267381">
        <w:t xml:space="preserve"> per cent</w:t>
      </w:r>
      <w:r w:rsidRPr="004C6A7F">
        <w:rPr>
          <w:color w:val="000000" w:themeColor="text1"/>
        </w:rPr>
        <w:t>, UTI 1.1-8.9</w:t>
      </w:r>
      <w:r w:rsidR="0097300C" w:rsidRPr="00267381">
        <w:t xml:space="preserve"> per cent</w:t>
      </w:r>
      <w:r w:rsidRPr="004C6A7F">
        <w:rPr>
          <w:color w:val="000000" w:themeColor="text1"/>
        </w:rPr>
        <w:t>, and fever 0.5-5.3 per cent of patients.</w:t>
      </w:r>
      <w:r w:rsidRPr="007B5E99">
        <w:rPr>
          <w:color w:val="000000" w:themeColor="text1"/>
        </w:rPr>
        <w:t xml:space="preserve"> Significantly</w:t>
      </w:r>
      <w:r w:rsidR="00055C87">
        <w:rPr>
          <w:color w:val="000000" w:themeColor="text1"/>
        </w:rPr>
        <w:t>,</w:t>
      </w:r>
      <w:r w:rsidRPr="007B5E99">
        <w:rPr>
          <w:color w:val="000000" w:themeColor="text1"/>
        </w:rPr>
        <w:t xml:space="preserve"> the majority of studies </w:t>
      </w:r>
      <w:r w:rsidR="004C6A7F" w:rsidRPr="00267381">
        <w:rPr>
          <w:color w:val="000000" w:themeColor="text1"/>
        </w:rPr>
        <w:t xml:space="preserve">in these reviews </w:t>
      </w:r>
      <w:r w:rsidRPr="007B5E99">
        <w:rPr>
          <w:color w:val="000000" w:themeColor="text1"/>
        </w:rPr>
        <w:t>reported that no infection occurred</w:t>
      </w:r>
      <w:r w:rsidR="004C6A7F" w:rsidRPr="009A4EBF">
        <w:rPr>
          <w:color w:val="000000" w:themeColor="text1"/>
        </w:rPr>
        <w:t xml:space="preserve"> in any patient</w:t>
      </w:r>
      <w:r w:rsidRPr="007B5E99">
        <w:rPr>
          <w:color w:val="000000" w:themeColor="text1"/>
        </w:rPr>
        <w:t>.</w:t>
      </w:r>
      <w:r>
        <w:rPr>
          <w:color w:val="000000" w:themeColor="text1"/>
        </w:rPr>
        <w:t xml:space="preserve"> One study </w:t>
      </w:r>
      <w:r w:rsidR="002F2FA9">
        <w:rPr>
          <w:color w:val="000000" w:themeColor="text1"/>
        </w:rPr>
        <w:t xml:space="preserve">included in Loeb et al. (2013) </w:t>
      </w:r>
      <w:r>
        <w:rPr>
          <w:color w:val="000000" w:themeColor="text1"/>
        </w:rPr>
        <w:t xml:space="preserve">with a sample size of 40 reported </w:t>
      </w:r>
      <w:r w:rsidR="005A2606">
        <w:rPr>
          <w:color w:val="000000" w:themeColor="text1"/>
        </w:rPr>
        <w:t>h</w:t>
      </w:r>
      <w:r w:rsidR="00E8315C">
        <w:rPr>
          <w:color w:val="000000" w:themeColor="text1"/>
        </w:rPr>
        <w:t>a</w:t>
      </w:r>
      <w:r w:rsidR="005A2606">
        <w:rPr>
          <w:color w:val="000000" w:themeColor="text1"/>
        </w:rPr>
        <w:t>ematos</w:t>
      </w:r>
      <w:r w:rsidR="00CC3446">
        <w:rPr>
          <w:color w:val="000000" w:themeColor="text1"/>
        </w:rPr>
        <w:t>permia</w:t>
      </w:r>
      <w:r>
        <w:rPr>
          <w:color w:val="000000" w:themeColor="text1"/>
        </w:rPr>
        <w:t xml:space="preserve"> was common</w:t>
      </w:r>
      <w:r w:rsidR="007B5E99">
        <w:rPr>
          <w:color w:val="000000" w:themeColor="text1"/>
        </w:rPr>
        <w:t>,</w:t>
      </w:r>
      <w:r w:rsidR="004C6A7F">
        <w:rPr>
          <w:color w:val="000000" w:themeColor="text1"/>
        </w:rPr>
        <w:t xml:space="preserve"> but typically self-limiting</w:t>
      </w:r>
      <w:r>
        <w:rPr>
          <w:color w:val="000000" w:themeColor="text1"/>
        </w:rPr>
        <w:t>.</w:t>
      </w:r>
    </w:p>
    <w:p w14:paraId="0F8AC96C" w14:textId="1AFF2148" w:rsidR="002706BF" w:rsidRDefault="005A2606" w:rsidP="002706BF">
      <w:pPr>
        <w:rPr>
          <w:color w:val="000000" w:themeColor="text1"/>
        </w:rPr>
      </w:pPr>
      <w:r>
        <w:rPr>
          <w:color w:val="000000" w:themeColor="text1"/>
        </w:rPr>
        <w:t>An additional, but rare, adverse event is needle-tract seeding. In a review of data to 2015, Volanis et al</w:t>
      </w:r>
      <w:r w:rsidR="00F85971">
        <w:rPr>
          <w:color w:val="000000" w:themeColor="text1"/>
        </w:rPr>
        <w:t>.</w:t>
      </w:r>
      <w:r>
        <w:rPr>
          <w:color w:val="000000" w:themeColor="text1"/>
        </w:rPr>
        <w:t xml:space="preserve"> (2015) reported a total of 40 incidences resultant from TRUSGB (n=9) and TPUSGB (n=31)</w:t>
      </w:r>
      <w:r w:rsidR="002F2FA9">
        <w:rPr>
          <w:color w:val="000000" w:themeColor="text1"/>
        </w:rPr>
        <w:t xml:space="preserve"> </w:t>
      </w:r>
      <w:r w:rsidR="008E0B00">
        <w:rPr>
          <w:color w:val="000000" w:themeColor="text1"/>
        </w:rPr>
        <w:fldChar w:fldCharType="begin"/>
      </w:r>
      <w:r w:rsidR="008E0B00">
        <w:rPr>
          <w:color w:val="000000" w:themeColor="text1"/>
        </w:rPr>
        <w:instrText xml:space="preserve"> ADDIN EN.CITE &lt;EndNote&gt;&lt;Cite&gt;&lt;Author&gt;Volanis&lt;/Author&gt;&lt;Year&gt;2015&lt;/Year&gt;&lt;RecNum&gt;137&lt;/RecNum&gt;&lt;DisplayText&gt;(Volanis et al. 2015)&lt;/DisplayText&gt;&lt;record&gt;&lt;rec-number&gt;137&lt;/rec-number&gt;&lt;foreign-keys&gt;&lt;key app="EN" db-id="2p9terxr22fx91epzebpfdwuzrwtw2a2ep2t" timestamp="1472684634"&gt;137&lt;/key&gt;&lt;/foreign-keys&gt;&lt;ref-type name="Journal Article"&gt;17&lt;/ref-type&gt;&lt;contributors&gt;&lt;authors&gt;&lt;author&gt;Volanis, D.&lt;/author&gt;&lt;author&gt;Neal, DE.&lt;/author&gt;&lt;author&gt;Warren, AY.&lt;/author&gt;&lt;author&gt;Gnanapragasam, VJ.&lt;/author&gt;&lt;/authors&gt;&lt;/contributors&gt;&lt;auth-address&gt;(Volanis, Neal, Warren, Gnanapragasam) Department of Urology, Addenbrooke&amp;apos;s University Hospital, Cambridge, United Kingdom&lt;/auth-address&gt;&lt;titles&gt;&lt;title&gt;Incidence of needle-tract seeding following prostate biopsy for suspected cancer: A review of the literature&lt;/title&gt;&lt;secondary-title&gt;BJU Int&lt;/secondary-title&gt;&lt;/titles&gt;&lt;periodical&gt;&lt;full-title&gt;BJU Int&lt;/full-title&gt;&lt;/periodical&gt;&lt;pages&gt;698-704&lt;/pages&gt;&lt;volume&gt;115&lt;/volume&gt;&lt;number&gt;5&lt;/number&gt;&lt;dates&gt;&lt;year&gt;2015&lt;/year&gt;&lt;pub-dates&gt;&lt;date&gt;01 May&lt;/date&gt;&lt;/pub-dates&gt;&lt;/dates&gt;&lt;accession-num&gt;2015936758&lt;/accession-num&gt;&lt;work-type&gt;Review&lt;/work-type&gt;&lt;urls&gt;&lt;/urls&gt;&lt;remote-database-name&gt;Embase&lt;/remote-database-name&gt;&lt;remote-database-provider&gt;Ovid Technologies&lt;/remote-database-provider&gt;&lt;research-notes&gt;wrong&lt;/research-notes&gt;&lt;/record&gt;&lt;/Cite&gt;&lt;/EndNote&gt;</w:instrText>
      </w:r>
      <w:r w:rsidR="008E0B00">
        <w:rPr>
          <w:color w:val="000000" w:themeColor="text1"/>
        </w:rPr>
        <w:fldChar w:fldCharType="separate"/>
      </w:r>
      <w:r w:rsidR="008E0B00">
        <w:rPr>
          <w:noProof/>
          <w:color w:val="000000" w:themeColor="text1"/>
        </w:rPr>
        <w:t>(</w:t>
      </w:r>
      <w:hyperlink w:anchor="_ENREF_172" w:tooltip="Volanis, 2015 #137" w:history="1">
        <w:r w:rsidR="008E0B00">
          <w:rPr>
            <w:noProof/>
            <w:color w:val="000000" w:themeColor="text1"/>
          </w:rPr>
          <w:t>Volanis et al. 2015</w:t>
        </w:r>
      </w:hyperlink>
      <w:r w:rsidR="008E0B00">
        <w:rPr>
          <w:noProof/>
          <w:color w:val="000000" w:themeColor="text1"/>
        </w:rPr>
        <w:t>)</w:t>
      </w:r>
      <w:r w:rsidR="008E0B00">
        <w:rPr>
          <w:color w:val="000000" w:themeColor="text1"/>
        </w:rPr>
        <w:fldChar w:fldCharType="end"/>
      </w:r>
      <w:r w:rsidR="002F2FA9">
        <w:rPr>
          <w:color w:val="000000" w:themeColor="text1"/>
        </w:rPr>
        <w:t>.</w:t>
      </w:r>
      <w:r w:rsidR="002706BF">
        <w:rPr>
          <w:color w:val="000000" w:themeColor="text1"/>
        </w:rPr>
        <w:t xml:space="preserve"> </w:t>
      </w:r>
      <w:r>
        <w:rPr>
          <w:color w:val="000000" w:themeColor="text1"/>
        </w:rPr>
        <w:t>It should be noted however, that c</w:t>
      </w:r>
      <w:r w:rsidR="002706BF">
        <w:rPr>
          <w:color w:val="000000" w:themeColor="text1"/>
        </w:rPr>
        <w:t xml:space="preserve">urrent evidence on needle-tract seeding in prostate biopsy is poor and relies on case report evidence. </w:t>
      </w:r>
    </w:p>
    <w:p w14:paraId="5A5DDAD2" w14:textId="01D119CB" w:rsidR="002706BF" w:rsidRPr="006F5BE2" w:rsidRDefault="00361313" w:rsidP="00361313">
      <w:pPr>
        <w:pStyle w:val="Heading2"/>
      </w:pPr>
      <w:bookmarkStart w:id="391" w:name="_Toc460513961"/>
      <w:r>
        <w:t>B7.</w:t>
      </w:r>
      <w:r w:rsidR="008C1C59">
        <w:t>5</w:t>
      </w:r>
      <w:r>
        <w:tab/>
      </w:r>
      <w:r>
        <w:tab/>
      </w:r>
      <w:r w:rsidR="002706BF" w:rsidRPr="00771AC4">
        <w:t>Other issues concerning the safety prostate</w:t>
      </w:r>
      <w:r w:rsidR="002706BF">
        <w:t xml:space="preserve"> Biopsy</w:t>
      </w:r>
      <w:bookmarkEnd w:id="391"/>
    </w:p>
    <w:p w14:paraId="67AAEB37" w14:textId="77777777" w:rsidR="00501000" w:rsidRDefault="002706BF" w:rsidP="002706BF">
      <w:pPr>
        <w:rPr>
          <w:rStyle w:val="Heading3Char"/>
        </w:rPr>
      </w:pPr>
      <w:bookmarkStart w:id="392" w:name="_Toc460513962"/>
      <w:r w:rsidRPr="00501000">
        <w:rPr>
          <w:rStyle w:val="Heading3Char"/>
        </w:rPr>
        <w:t>Infection and antibiotic prophylaxis</w:t>
      </w:r>
      <w:bookmarkEnd w:id="392"/>
    </w:p>
    <w:p w14:paraId="5DA09908" w14:textId="2AA86F6E" w:rsidR="002706BF" w:rsidRDefault="007C4838" w:rsidP="002706BF">
      <w:pPr>
        <w:rPr>
          <w:color w:val="000000" w:themeColor="text1"/>
        </w:rPr>
      </w:pPr>
      <w:r>
        <w:rPr>
          <w:color w:val="000000" w:themeColor="text1"/>
        </w:rPr>
        <w:t>Antibiotic use for prostate biopsy it essential</w:t>
      </w:r>
      <w:r w:rsidR="00A22FA9">
        <w:rPr>
          <w:color w:val="000000" w:themeColor="text1"/>
        </w:rPr>
        <w:t xml:space="preserve"> </w:t>
      </w:r>
      <w:r w:rsidR="008E0B00">
        <w:rPr>
          <w:color w:val="000000" w:themeColor="text1"/>
        </w:rPr>
        <w:fldChar w:fldCharType="begin"/>
      </w:r>
      <w:r w:rsidR="008E0B00">
        <w:rPr>
          <w:color w:val="000000" w:themeColor="text1"/>
        </w:rPr>
        <w:instrText xml:space="preserve"> ADDIN EN.CITE &lt;EndNote&gt;&lt;Cite&gt;&lt;Author&gt;Yaghi&lt;/Author&gt;&lt;Year&gt;2015&lt;/Year&gt;&lt;RecNum&gt;138&lt;/RecNum&gt;&lt;DisplayText&gt;(Yaghi and Kehinde 2015)&lt;/DisplayText&gt;&lt;record&gt;&lt;rec-number&gt;138&lt;/rec-number&gt;&lt;foreign-keys&gt;&lt;key app="EN" db-id="2p9terxr22fx91epzebpfdwuzrwtw2a2ep2t" timestamp="1472684634"&gt;138&lt;/key&gt;&lt;/foreign-keys&gt;&lt;ref-type name="Journal Article"&gt;17&lt;/ref-type&gt;&lt;contributors&gt;&lt;authors&gt;&lt;author&gt;Yaghi, Mohand Deeb&lt;/author&gt;&lt;author&gt;Kehinde, E. O.&lt;/author&gt;&lt;/authors&gt;&lt;/contributors&gt;&lt;titles&gt;&lt;title&gt;Oral antibiotics in trans-rectal prostate biopsy and its efficacy to reduce infectious complications: Systematic review&lt;/title&gt;&lt;secondary-title&gt;Urology Annals&lt;/secondary-title&gt;&lt;/titles&gt;&lt;periodical&gt;&lt;full-title&gt;Urology Annals&lt;/full-title&gt;&lt;/periodical&gt;&lt;pages&gt;417-427&lt;/pages&gt;&lt;volume&gt;7&lt;/volume&gt;&lt;number&gt;4&lt;/number&gt;&lt;dates&gt;&lt;year&gt;2015&lt;/year&gt;&lt;pub-dates&gt;&lt;date&gt;Oct-Dec&amp;#xD;06/15/received&amp;#xD;08/09/accepted&lt;/date&gt;&lt;/pub-dates&gt;&lt;/dates&gt;&lt;pub-location&gt;India&lt;/pub-location&gt;&lt;publisher&gt;Medknow Publications &amp;amp; Media Pvt Ltd&lt;/publisher&gt;&lt;isbn&gt;0974-7796&amp;#xD;0974-7834&lt;/isbn&gt;&lt;accession-num&gt;PMC4660689&lt;/accession-num&gt;&lt;urls&gt;&lt;related-urls&gt;&lt;url&gt;http://www.ncbi.nlm.nih.gov/pmc/articles/PMC4660689/&lt;/url&gt;&lt;/related-urls&gt;&lt;/urls&gt;&lt;electronic-resource-num&gt;10.4103/0974-7796.164860&lt;/electronic-resource-num&gt;&lt;remote-database-name&gt;PMC&lt;/remote-database-name&gt;&lt;/record&gt;&lt;/Cite&gt;&lt;/EndNote&gt;</w:instrText>
      </w:r>
      <w:r w:rsidR="008E0B00">
        <w:rPr>
          <w:color w:val="000000" w:themeColor="text1"/>
        </w:rPr>
        <w:fldChar w:fldCharType="separate"/>
      </w:r>
      <w:r w:rsidR="008E0B00">
        <w:rPr>
          <w:noProof/>
          <w:color w:val="000000" w:themeColor="text1"/>
        </w:rPr>
        <w:t>(</w:t>
      </w:r>
      <w:hyperlink w:anchor="_ENREF_183" w:tooltip="Yaghi, 2015 #138" w:history="1">
        <w:r w:rsidR="008E0B00">
          <w:rPr>
            <w:noProof/>
            <w:color w:val="000000" w:themeColor="text1"/>
          </w:rPr>
          <w:t>Yaghi and Kehinde 2015</w:t>
        </w:r>
      </w:hyperlink>
      <w:r w:rsidR="008E0B00">
        <w:rPr>
          <w:noProof/>
          <w:color w:val="000000" w:themeColor="text1"/>
        </w:rPr>
        <w:t>)</w:t>
      </w:r>
      <w:r w:rsidR="008E0B00">
        <w:rPr>
          <w:color w:val="000000" w:themeColor="text1"/>
        </w:rPr>
        <w:fldChar w:fldCharType="end"/>
      </w:r>
      <w:r>
        <w:rPr>
          <w:color w:val="000000" w:themeColor="text1"/>
        </w:rPr>
        <w:t>, and reduces the chance of infection from trans</w:t>
      </w:r>
      <w:r w:rsidR="006F3F56">
        <w:rPr>
          <w:color w:val="000000" w:themeColor="text1"/>
        </w:rPr>
        <w:t>-</w:t>
      </w:r>
      <w:r>
        <w:rPr>
          <w:color w:val="000000" w:themeColor="text1"/>
        </w:rPr>
        <w:t>rectal biopsy to less five per cent</w:t>
      </w:r>
      <w:r w:rsidR="00A22FA9">
        <w:rPr>
          <w:color w:val="000000" w:themeColor="text1"/>
        </w:rPr>
        <w:t xml:space="preserve"> </w:t>
      </w:r>
      <w:r w:rsidR="008E0B00">
        <w:rPr>
          <w:color w:val="000000" w:themeColor="text1"/>
        </w:rPr>
        <w:fldChar w:fldCharType="begin">
          <w:fldData xml:space="preserve">PEVuZE5vdGU+PENpdGU+PEF1dGhvcj5LYXBvb3I8L0F1dGhvcj48WWVhcj4xOTk4PC9ZZWFyPjxS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PEVuZE5vdGU+PENpdGU+PEF1dGhvcj5LYXBvb3I8L0F1dGhvcj48WWVhcj4xOTk4PC9ZZWFyPjxS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74" w:tooltip="Kapoor, 1998 #27" w:history="1">
        <w:r w:rsidR="008E0B00">
          <w:rPr>
            <w:noProof/>
            <w:color w:val="000000" w:themeColor="text1"/>
          </w:rPr>
          <w:t>Kapoor et al. 1998</w:t>
        </w:r>
      </w:hyperlink>
      <w:r w:rsidR="008E0B00">
        <w:rPr>
          <w:noProof/>
          <w:color w:val="000000" w:themeColor="text1"/>
        </w:rPr>
        <w:t xml:space="preserve">; </w:t>
      </w:r>
      <w:hyperlink w:anchor="_ENREF_165" w:tooltip="Utrera, 2011a #134" w:history="1">
        <w:r w:rsidR="008E0B00">
          <w:rPr>
            <w:noProof/>
            <w:color w:val="000000" w:themeColor="text1"/>
          </w:rPr>
          <w:t>Utrera et al. 2011a</w:t>
        </w:r>
      </w:hyperlink>
      <w:r w:rsidR="008E0B00">
        <w:rPr>
          <w:noProof/>
          <w:color w:val="000000" w:themeColor="text1"/>
        </w:rPr>
        <w:t>)</w:t>
      </w:r>
      <w:r w:rsidR="008E0B00">
        <w:rPr>
          <w:color w:val="000000" w:themeColor="text1"/>
        </w:rPr>
        <w:fldChar w:fldCharType="end"/>
      </w:r>
      <w:r w:rsidR="00A22FA9">
        <w:rPr>
          <w:color w:val="000000" w:themeColor="text1"/>
        </w:rPr>
        <w:t>.</w:t>
      </w:r>
      <w:r w:rsidR="00DC2035">
        <w:rPr>
          <w:color w:val="000000" w:themeColor="text1"/>
        </w:rPr>
        <w:t xml:space="preserve"> </w:t>
      </w:r>
      <w:r w:rsidR="002706BF">
        <w:rPr>
          <w:color w:val="000000" w:themeColor="text1"/>
        </w:rPr>
        <w:t xml:space="preserve">Currently </w:t>
      </w:r>
      <w:r w:rsidR="002706BF" w:rsidRPr="003607BB">
        <w:rPr>
          <w:color w:val="000000" w:themeColor="text1"/>
        </w:rPr>
        <w:t>Ciprofloxacin</w:t>
      </w:r>
      <w:r w:rsidR="002706BF">
        <w:rPr>
          <w:color w:val="000000" w:themeColor="text1"/>
        </w:rPr>
        <w:t xml:space="preserve"> appears to be the antibiotic most commonly used as </w:t>
      </w:r>
      <w:r w:rsidR="002706BF">
        <w:rPr>
          <w:i/>
          <w:color w:val="000000" w:themeColor="text1"/>
        </w:rPr>
        <w:t>Escherichia coli</w:t>
      </w:r>
      <w:r w:rsidR="002706BF">
        <w:rPr>
          <w:color w:val="000000" w:themeColor="text1"/>
        </w:rPr>
        <w:t xml:space="preserve"> is the most common organism implicated in post biopsy infection </w:t>
      </w:r>
      <w:r w:rsidR="008E0B00">
        <w:rPr>
          <w:color w:val="000000" w:themeColor="text1"/>
        </w:rPr>
        <w:fldChar w:fldCharType="begin"/>
      </w:r>
      <w:r w:rsidR="008E0B00">
        <w:rPr>
          <w:color w:val="000000" w:themeColor="text1"/>
        </w:rPr>
        <w:instrText xml:space="preserve"> ADDIN EN.CITE &lt;EndNote&gt;&lt;Cite&gt;&lt;Author&gt;Zaytoun&lt;/Author&gt;&lt;Year&gt;2011&lt;/Year&gt;&lt;RecNum&gt;128&lt;/RecNum&gt;&lt;DisplayText&gt;(Zaytoun et al. 2011)&lt;/DisplayText&gt;&lt;record&gt;&lt;rec-number&gt;128&lt;/rec-number&gt;&lt;foreign-keys&gt;&lt;key app="EN" db-id="2p9terxr22fx91epzebpfdwuzrwtw2a2ep2t" timestamp="1472684630"&gt;128&lt;/key&gt;&lt;/foreign-keys&gt;&lt;ref-type name="Journal Article"&gt;17&lt;/ref-type&gt;&lt;contributors&gt;&lt;authors&gt;&lt;author&gt;Zaytoun, O. M.&lt;/author&gt;&lt;author&gt;Anil, T.&lt;/author&gt;&lt;author&gt;Moussa, A. S.&lt;/author&gt;&lt;author&gt;Jianbo, L.&lt;/author&gt;&lt;author&gt;Fareed, K.&lt;/author&gt;&lt;author&gt;Jones, J. S.&lt;/author&gt;&lt;/authors&gt;&lt;/contributors&gt;&lt;auth-address&gt;(Zaytoun, Anil, Moussa, Jianbo, Fareed, Jones) Department of Regional Urology, Glickman Urological and Kidney Institute, Cleveland Clinic, 9500 Euclid Avenue, A100, Cleveland, OH 44195, United States&lt;/auth-address&gt;&lt;titles&gt;&lt;title&gt;Morbidity of prostate biopsy after simplified versus complex preparation protocols: Assessment of risk factors&lt;/title&gt;&lt;secondary-title&gt;Urology&lt;/secondary-title&gt;&lt;/titles&gt;&lt;periodical&gt;&lt;full-title&gt;Urology&lt;/full-title&gt;&lt;/periodical&gt;&lt;pages&gt;910-914&lt;/pages&gt;&lt;volume&gt;77&lt;/volume&gt;&lt;number&gt;4&lt;/number&gt;&lt;dates&gt;&lt;year&gt;2011&lt;/year&gt;&lt;pub-dates&gt;&lt;date&gt;April&lt;/date&gt;&lt;/pub-dates&gt;&lt;/dates&gt;&lt;accession-num&gt;2011197648&lt;/accession-num&gt;&lt;urls&gt;&lt;/urls&gt;&lt;remote-database-name&gt;Embase&lt;/remote-database-name&gt;&lt;remote-database-provider&gt;Ovid Technologies&lt;/remote-database-provider&gt;&lt;research-notes&gt;wrong - check safety&lt;/research-notes&gt;&lt;/record&gt;&lt;/Cite&gt;&lt;/EndNote&gt;</w:instrText>
      </w:r>
      <w:r w:rsidR="008E0B00">
        <w:rPr>
          <w:color w:val="000000" w:themeColor="text1"/>
        </w:rPr>
        <w:fldChar w:fldCharType="separate"/>
      </w:r>
      <w:r w:rsidR="008E0B00">
        <w:rPr>
          <w:noProof/>
          <w:color w:val="000000" w:themeColor="text1"/>
        </w:rPr>
        <w:t>(</w:t>
      </w:r>
      <w:hyperlink w:anchor="_ENREF_184" w:tooltip="Zaytoun, 2011 #128" w:history="1">
        <w:r w:rsidR="008E0B00">
          <w:rPr>
            <w:noProof/>
            <w:color w:val="000000" w:themeColor="text1"/>
          </w:rPr>
          <w:t>Zaytoun et al. 2011</w:t>
        </w:r>
      </w:hyperlink>
      <w:r w:rsidR="008E0B00">
        <w:rPr>
          <w:noProof/>
          <w:color w:val="000000" w:themeColor="text1"/>
        </w:rPr>
        <w:t>)</w:t>
      </w:r>
      <w:r w:rsidR="008E0B00">
        <w:rPr>
          <w:color w:val="000000" w:themeColor="text1"/>
        </w:rPr>
        <w:fldChar w:fldCharType="end"/>
      </w:r>
      <w:r w:rsidR="002706BF">
        <w:rPr>
          <w:color w:val="000000" w:themeColor="text1"/>
        </w:rPr>
        <w:t xml:space="preserve">. </w:t>
      </w:r>
      <w:r>
        <w:rPr>
          <w:color w:val="000000" w:themeColor="text1"/>
        </w:rPr>
        <w:t>Infection rates may be increasing</w:t>
      </w:r>
      <w:r w:rsidR="00A22FA9">
        <w:rPr>
          <w:color w:val="000000" w:themeColor="text1"/>
        </w:rPr>
        <w:t xml:space="preserve"> </w:t>
      </w:r>
      <w:r w:rsidR="008E0B00">
        <w:rPr>
          <w:color w:val="000000" w:themeColor="text1"/>
        </w:rPr>
        <w:fldChar w:fldCharType="begin">
          <w:fldData xml:space="preserve">PEVuZE5vdGU+PENpdGU+PEF1dGhvcj5DYXJpZ25hbjwvQXV0aG9yPjxZZWFyPjIwMTI8L1llYXI+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PEVuZE5vdGU+PENpdGU+PEF1dGhvcj5DYXJpZ25hbjwvQXV0aG9yPjxZZWFyPjIwMTI8L1llYXI+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26" w:tooltip="Carignan, 2012 #125" w:history="1">
        <w:r w:rsidR="008E0B00">
          <w:rPr>
            <w:noProof/>
            <w:color w:val="000000" w:themeColor="text1"/>
          </w:rPr>
          <w:t>Carignan et al. 2012</w:t>
        </w:r>
      </w:hyperlink>
      <w:r w:rsidR="008E0B00">
        <w:rPr>
          <w:noProof/>
          <w:color w:val="000000" w:themeColor="text1"/>
        </w:rPr>
        <w:t>)</w:t>
      </w:r>
      <w:r w:rsidR="008E0B00">
        <w:rPr>
          <w:color w:val="000000" w:themeColor="text1"/>
        </w:rPr>
        <w:fldChar w:fldCharType="end"/>
      </w:r>
      <w:r>
        <w:rPr>
          <w:color w:val="000000" w:themeColor="text1"/>
        </w:rPr>
        <w:t xml:space="preserve"> and</w:t>
      </w:r>
      <w:r w:rsidR="00FD5BE0">
        <w:rPr>
          <w:color w:val="000000" w:themeColor="text1"/>
        </w:rPr>
        <w:t xml:space="preserve"> </w:t>
      </w:r>
      <w:r w:rsidR="002706BF" w:rsidRPr="003607BB">
        <w:rPr>
          <w:color w:val="000000" w:themeColor="text1"/>
        </w:rPr>
        <w:t xml:space="preserve">recent overseas travel or antibiotic use are independent risk factors for severe infection </w:t>
      </w:r>
      <w:r w:rsidR="002706BF">
        <w:rPr>
          <w:color w:val="000000" w:themeColor="text1"/>
        </w:rPr>
        <w:t xml:space="preserve">due to antibiotic resistance </w:t>
      </w:r>
      <w:r w:rsidR="002706BF" w:rsidRPr="003607BB">
        <w:rPr>
          <w:color w:val="000000" w:themeColor="text1"/>
        </w:rPr>
        <w:t xml:space="preserve">after prostate biopsy, with a 2.7 and 4 times greater risk, respectively </w:t>
      </w:r>
      <w:r w:rsidR="008E0B00">
        <w:rPr>
          <w:color w:val="000000" w:themeColor="text1"/>
        </w:rPr>
        <w:fldChar w:fldCharType="begin"/>
      </w:r>
      <w:r w:rsidR="008E0B00">
        <w:rPr>
          <w:color w:val="000000" w:themeColor="text1"/>
        </w:rPr>
        <w:instrText xml:space="preserve"> ADDIN EN.CITE &lt;EndNote&gt;&lt;Cite&gt;&lt;Author&gt;Patel&lt;/Author&gt;&lt;Year&gt;2012&lt;/Year&gt;&lt;RecNum&gt;139&lt;/RecNum&gt;&lt;DisplayText&gt;(Patel et al. 2012)&lt;/DisplayText&gt;&lt;record&gt;&lt;rec-number&gt;139&lt;/rec-number&gt;&lt;foreign-keys&gt;&lt;key app="EN" db-id="2p9terxr22fx91epzebpfdwuzrwtw2a2ep2t" timestamp="1472684634"&gt;139&lt;/key&gt;&lt;/foreign-keys&gt;&lt;ref-type name="Journal Article"&gt;17&lt;/ref-type&gt;&lt;contributors&gt;&lt;authors&gt;&lt;author&gt;Patel, U.&lt;/author&gt;&lt;author&gt;Dasgupta, P.&lt;/author&gt;&lt;author&gt;Amoroso, P.&lt;/author&gt;&lt;author&gt;Challacombe, B.&lt;/author&gt;&lt;author&gt;Pilcher, J.&lt;/author&gt;&lt;author&gt;Kirby, R.&lt;/author&gt;&lt;/authors&gt;&lt;/contributors&gt;&lt;auth-address&gt;The Prostate Centre, London, UK. drudaypatel@gmail.com&lt;/auth-address&gt;&lt;titles&gt;&lt;title&gt;Infection after transrectal ultrasonography-guided prostate biopsy: increased relative risks after recent international travel or antibiotic use&lt;/title&gt;&lt;secondary-title&gt;BJU Int&lt;/secondary-title&gt;&lt;alt-title&gt;BJU international&lt;/alt-title&gt;&lt;/titles&gt;&lt;periodical&gt;&lt;full-title&gt;BJU Int&lt;/full-title&gt;&lt;/periodical&gt;&lt;alt-periodical&gt;&lt;full-title&gt;BJU international&lt;/full-title&gt;&lt;/alt-periodical&gt;&lt;pages&gt;1781-5&lt;/pages&gt;&lt;volume&gt;109&lt;/volume&gt;&lt;number&gt;12&lt;/number&gt;&lt;edition&gt;2011/11/02&lt;/edition&gt;&lt;keywords&gt;&lt;keyword&gt;Aged&lt;/keyword&gt;&lt;keyword&gt;Aged, 80 and over&lt;/keyword&gt;&lt;keyword&gt;Anti-Bacterial Agents/*therapeutic use&lt;/keyword&gt;&lt;keyword&gt;Biopsy/methods&lt;/keyword&gt;&lt;keyword&gt;Drug Resistance, Multiple, Bacterial&lt;/keyword&gt;&lt;keyword&gt;Escherichia coli Infections/drug therapy/*etiology&lt;/keyword&gt;&lt;keyword&gt;Hospitalization&lt;/keyword&gt;&lt;keyword&gt;Humans&lt;/keyword&gt;&lt;keyword&gt;Male&lt;/keyword&gt;&lt;keyword&gt;Middle Aged&lt;/keyword&gt;&lt;keyword&gt;Prostate/*pathology&lt;/keyword&gt;&lt;keyword&gt;Risk Factors&lt;/keyword&gt;&lt;keyword&gt;Sepsis/drug therapy/*etiology&lt;/keyword&gt;&lt;keyword&gt;*Travel&lt;/keyword&gt;&lt;keyword&gt;Ultrasonography, Interventional&lt;/keyword&gt;&lt;/keywords&gt;&lt;dates&gt;&lt;year&gt;2012&lt;/year&gt;&lt;pub-dates&gt;&lt;date&gt;Jun&lt;/date&gt;&lt;/pub-dates&gt;&lt;/dates&gt;&lt;isbn&gt;1464-4096&lt;/isbn&gt;&lt;accession-num&gt;22040349&lt;/accession-num&gt;&lt;urls&gt;&lt;/urls&gt;&lt;electronic-resource-num&gt;10.1111/j.1464-410X.2011.10561.x&lt;/electronic-resource-num&gt;&lt;remote-database-provider&gt;NLM&lt;/remote-database-provider&gt;&lt;language&gt;eng&lt;/language&gt;&lt;/record&gt;&lt;/Cite&gt;&lt;/EndNote&gt;</w:instrText>
      </w:r>
      <w:r w:rsidR="008E0B00">
        <w:rPr>
          <w:color w:val="000000" w:themeColor="text1"/>
        </w:rPr>
        <w:fldChar w:fldCharType="separate"/>
      </w:r>
      <w:r w:rsidR="008E0B00">
        <w:rPr>
          <w:noProof/>
          <w:color w:val="000000" w:themeColor="text1"/>
        </w:rPr>
        <w:t>(</w:t>
      </w:r>
      <w:hyperlink w:anchor="_ENREF_109" w:tooltip="Patel, 2012 #139" w:history="1">
        <w:r w:rsidR="008E0B00">
          <w:rPr>
            <w:noProof/>
            <w:color w:val="000000" w:themeColor="text1"/>
          </w:rPr>
          <w:t>Patel et al. 2012</w:t>
        </w:r>
      </w:hyperlink>
      <w:r w:rsidR="008E0B00">
        <w:rPr>
          <w:noProof/>
          <w:color w:val="000000" w:themeColor="text1"/>
        </w:rPr>
        <w:t>)</w:t>
      </w:r>
      <w:r w:rsidR="008E0B00">
        <w:rPr>
          <w:color w:val="000000" w:themeColor="text1"/>
        </w:rPr>
        <w:fldChar w:fldCharType="end"/>
      </w:r>
      <w:r w:rsidR="002706BF" w:rsidRPr="00596C8C">
        <w:rPr>
          <w:color w:val="000000" w:themeColor="text1"/>
        </w:rPr>
        <w:t>.</w:t>
      </w:r>
      <w:r w:rsidR="002706BF">
        <w:rPr>
          <w:color w:val="000000" w:themeColor="text1"/>
        </w:rPr>
        <w:t xml:space="preserve"> </w:t>
      </w:r>
    </w:p>
    <w:p w14:paraId="751BB393" w14:textId="3FFBC352" w:rsidR="002706BF" w:rsidRPr="003607BB" w:rsidRDefault="002706BF" w:rsidP="002706BF">
      <w:pPr>
        <w:rPr>
          <w:color w:val="000000" w:themeColor="text1"/>
        </w:rPr>
      </w:pPr>
      <w:r w:rsidRPr="00596C8C">
        <w:rPr>
          <w:color w:val="000000" w:themeColor="text1"/>
        </w:rPr>
        <w:lastRenderedPageBreak/>
        <w:t>In Australian clinical practice antibiotics are always used before biopsy</w:t>
      </w:r>
      <w:r w:rsidR="008174FD">
        <w:rPr>
          <w:color w:val="000000" w:themeColor="text1"/>
        </w:rPr>
        <w:t xml:space="preserve"> </w:t>
      </w:r>
      <w:r w:rsidR="008E0B00">
        <w:rPr>
          <w:color w:val="000000" w:themeColor="text1"/>
        </w:rPr>
        <w:fldChar w:fldCharType="begin"/>
      </w:r>
      <w:r w:rsidR="008E0B00">
        <w:rPr>
          <w:color w:val="000000" w:themeColor="text1"/>
        </w:rPr>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rPr>
          <w:color w:val="000000" w:themeColor="text1"/>
        </w:rPr>
        <w:fldChar w:fldCharType="separate"/>
      </w:r>
      <w:r w:rsidR="008E0B00">
        <w:rPr>
          <w:noProof/>
          <w:color w:val="000000" w:themeColor="text1"/>
        </w:rPr>
        <w:t>(</w:t>
      </w:r>
      <w:hyperlink w:anchor="_ENREF_9" w:tooltip="Applicant, 2016 #9" w:history="1">
        <w:r w:rsidR="008E0B00">
          <w:rPr>
            <w:noProof/>
            <w:color w:val="000000" w:themeColor="text1"/>
          </w:rPr>
          <w:t>Applicant 2016</w:t>
        </w:r>
      </w:hyperlink>
      <w:r w:rsidR="008E0B00">
        <w:rPr>
          <w:noProof/>
          <w:color w:val="000000" w:themeColor="text1"/>
        </w:rPr>
        <w:t>)</w:t>
      </w:r>
      <w:r w:rsidR="008E0B00">
        <w:rPr>
          <w:color w:val="000000" w:themeColor="text1"/>
        </w:rPr>
        <w:fldChar w:fldCharType="end"/>
      </w:r>
      <w:r>
        <w:rPr>
          <w:color w:val="000000" w:themeColor="text1"/>
        </w:rPr>
        <w:t>. In trans</w:t>
      </w:r>
      <w:r w:rsidR="006F3F56">
        <w:rPr>
          <w:color w:val="000000" w:themeColor="text1"/>
        </w:rPr>
        <w:t>-</w:t>
      </w:r>
      <w:r>
        <w:rPr>
          <w:color w:val="000000" w:themeColor="text1"/>
        </w:rPr>
        <w:t>rectal biopsy</w:t>
      </w:r>
      <w:r w:rsidRPr="00596C8C">
        <w:rPr>
          <w:color w:val="000000" w:themeColor="text1"/>
        </w:rPr>
        <w:t xml:space="preserve"> usually oral antibiotics are given for several days pre and post procedure as well as a single </w:t>
      </w:r>
      <w:r w:rsidR="00C34CB9">
        <w:rPr>
          <w:color w:val="000000" w:themeColor="text1"/>
        </w:rPr>
        <w:t>intravenous</w:t>
      </w:r>
      <w:r w:rsidR="00C34CB9" w:rsidRPr="00596C8C">
        <w:rPr>
          <w:color w:val="000000" w:themeColor="text1"/>
        </w:rPr>
        <w:t xml:space="preserve"> </w:t>
      </w:r>
      <w:r w:rsidRPr="00596C8C">
        <w:rPr>
          <w:color w:val="000000" w:themeColor="text1"/>
        </w:rPr>
        <w:t>dose during procedure, to</w:t>
      </w:r>
      <w:r w:rsidR="008174FD">
        <w:rPr>
          <w:color w:val="000000" w:themeColor="text1"/>
        </w:rPr>
        <w:t xml:space="preserve"> reduce the risk of infection</w:t>
      </w:r>
      <w:r>
        <w:rPr>
          <w:color w:val="000000" w:themeColor="text1"/>
        </w:rPr>
        <w:t>. In trans</w:t>
      </w:r>
      <w:r w:rsidR="006F3F56">
        <w:rPr>
          <w:color w:val="000000" w:themeColor="text1"/>
        </w:rPr>
        <w:t>-</w:t>
      </w:r>
      <w:r>
        <w:rPr>
          <w:color w:val="000000" w:themeColor="text1"/>
        </w:rPr>
        <w:t>perineal biopsy there is still a risk of infection but not as great</w:t>
      </w:r>
      <w:r w:rsidR="0073541D">
        <w:rPr>
          <w:color w:val="000000" w:themeColor="text1"/>
        </w:rPr>
        <w:t>. A</w:t>
      </w:r>
      <w:r>
        <w:rPr>
          <w:color w:val="000000" w:themeColor="text1"/>
        </w:rPr>
        <w:t xml:space="preserve"> single </w:t>
      </w:r>
      <w:r w:rsidR="00C34CB9">
        <w:rPr>
          <w:color w:val="000000" w:themeColor="text1"/>
        </w:rPr>
        <w:t>intravenous</w:t>
      </w:r>
      <w:r w:rsidR="00C34CB9" w:rsidRPr="00596C8C">
        <w:rPr>
          <w:color w:val="000000" w:themeColor="text1"/>
        </w:rPr>
        <w:t xml:space="preserve"> </w:t>
      </w:r>
      <w:r>
        <w:rPr>
          <w:color w:val="000000" w:themeColor="text1"/>
        </w:rPr>
        <w:t xml:space="preserve">dose of antibiotics is given during the procedure, but </w:t>
      </w:r>
      <w:r w:rsidRPr="00596C8C">
        <w:rPr>
          <w:color w:val="000000" w:themeColor="text1"/>
        </w:rPr>
        <w:t>pre</w:t>
      </w:r>
      <w:r w:rsidR="00C34CB9">
        <w:rPr>
          <w:color w:val="000000" w:themeColor="text1"/>
        </w:rPr>
        <w:t>-</w:t>
      </w:r>
      <w:r w:rsidRPr="00596C8C">
        <w:rPr>
          <w:color w:val="000000" w:themeColor="text1"/>
        </w:rPr>
        <w:t xml:space="preserve"> and post</w:t>
      </w:r>
      <w:r w:rsidR="00C34CB9">
        <w:rPr>
          <w:color w:val="000000" w:themeColor="text1"/>
        </w:rPr>
        <w:t>-</w:t>
      </w:r>
      <w:r w:rsidRPr="00596C8C">
        <w:rPr>
          <w:color w:val="000000" w:themeColor="text1"/>
        </w:rPr>
        <w:t>procedure oral antibiotics are not required</w:t>
      </w:r>
      <w:r>
        <w:rPr>
          <w:color w:val="000000" w:themeColor="text1"/>
        </w:rPr>
        <w:t>.</w:t>
      </w:r>
    </w:p>
    <w:p w14:paraId="47156787" w14:textId="77777777" w:rsidR="00501000" w:rsidRDefault="002706BF" w:rsidP="002706BF">
      <w:pPr>
        <w:rPr>
          <w:rStyle w:val="Heading3Char"/>
        </w:rPr>
      </w:pPr>
      <w:bookmarkStart w:id="393" w:name="_Toc460513963"/>
      <w:r w:rsidRPr="00501000">
        <w:rPr>
          <w:rStyle w:val="Heading3Char"/>
        </w:rPr>
        <w:t>Pre-biopsy workup including enema</w:t>
      </w:r>
      <w:bookmarkEnd w:id="393"/>
    </w:p>
    <w:p w14:paraId="42C50F47" w14:textId="62873F63" w:rsidR="002706BF" w:rsidRDefault="002706BF" w:rsidP="002706BF">
      <w:pPr>
        <w:rPr>
          <w:color w:val="FF0000"/>
        </w:rPr>
      </w:pPr>
      <w:r w:rsidRPr="00124384">
        <w:rPr>
          <w:color w:val="000000" w:themeColor="text1"/>
        </w:rPr>
        <w:t xml:space="preserve">The pre-biopsy workup </w:t>
      </w:r>
      <w:r>
        <w:rPr>
          <w:color w:val="000000" w:themeColor="text1"/>
        </w:rPr>
        <w:t>for both trans</w:t>
      </w:r>
      <w:r w:rsidR="006F3F56">
        <w:rPr>
          <w:color w:val="000000" w:themeColor="text1"/>
        </w:rPr>
        <w:t>-</w:t>
      </w:r>
      <w:r>
        <w:rPr>
          <w:color w:val="000000" w:themeColor="text1"/>
        </w:rPr>
        <w:t>rectal and trans</w:t>
      </w:r>
      <w:r w:rsidR="007935C0">
        <w:rPr>
          <w:color w:val="000000" w:themeColor="text1"/>
        </w:rPr>
        <w:t>-</w:t>
      </w:r>
      <w:r>
        <w:rPr>
          <w:color w:val="000000" w:themeColor="text1"/>
        </w:rPr>
        <w:t>pe</w:t>
      </w:r>
      <w:r w:rsidR="002E09E9">
        <w:rPr>
          <w:color w:val="000000" w:themeColor="text1"/>
        </w:rPr>
        <w:t>r</w:t>
      </w:r>
      <w:r>
        <w:rPr>
          <w:color w:val="000000" w:themeColor="text1"/>
        </w:rPr>
        <w:t>ineal</w:t>
      </w:r>
      <w:r w:rsidRPr="00124384">
        <w:rPr>
          <w:color w:val="000000" w:themeColor="text1"/>
        </w:rPr>
        <w:t xml:space="preserve"> </w:t>
      </w:r>
      <w:r>
        <w:rPr>
          <w:color w:val="000000" w:themeColor="text1"/>
        </w:rPr>
        <w:t xml:space="preserve">biopsies </w:t>
      </w:r>
      <w:r w:rsidRPr="00124384">
        <w:rPr>
          <w:color w:val="000000" w:themeColor="text1"/>
        </w:rPr>
        <w:t>also includes an enema</w:t>
      </w:r>
      <w:r>
        <w:rPr>
          <w:color w:val="000000" w:themeColor="text1"/>
        </w:rPr>
        <w:t>. Enema, in addition to antibiotics, has been proven effective in decreasing rates of UTI</w:t>
      </w:r>
      <w:r w:rsidR="0013524E">
        <w:rPr>
          <w:color w:val="000000" w:themeColor="text1"/>
        </w:rPr>
        <w:t xml:space="preserve"> </w:t>
      </w:r>
      <w:r w:rsidR="008E0B00">
        <w:rPr>
          <w:color w:val="000000" w:themeColor="text1"/>
        </w:rPr>
        <w:fldChar w:fldCharType="begin">
          <w:fldData xml:space="preserve">PEVuZE5vdGU+PENpdGU+PEF1dGhvcj5TaW1zaXI8L0F1dGhvcj48WWVhcj4yMDEwPC9ZZWFyPjxS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PEVuZE5vdGU+PENpdGU+PEF1dGhvcj5TaW1zaXI8L0F1dGhvcj48WWVhcj4yMDEwPC9ZZWFyPjxS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72" w:tooltip="Kam, 2014 #140" w:history="1">
        <w:r w:rsidR="008E0B00">
          <w:rPr>
            <w:noProof/>
            <w:color w:val="000000" w:themeColor="text1"/>
          </w:rPr>
          <w:t>Kam et al. 2014</w:t>
        </w:r>
      </w:hyperlink>
      <w:r w:rsidR="008E0B00">
        <w:rPr>
          <w:noProof/>
          <w:color w:val="000000" w:themeColor="text1"/>
        </w:rPr>
        <w:t xml:space="preserve">; </w:t>
      </w:r>
      <w:hyperlink w:anchor="_ENREF_150" w:tooltip="Simsir, 2010 #20" w:history="1">
        <w:r w:rsidR="008E0B00">
          <w:rPr>
            <w:noProof/>
            <w:color w:val="000000" w:themeColor="text1"/>
          </w:rPr>
          <w:t>Simsir et al. 2010</w:t>
        </w:r>
      </w:hyperlink>
      <w:r w:rsidR="008E0B00">
        <w:rPr>
          <w:noProof/>
          <w:color w:val="000000" w:themeColor="text1"/>
        </w:rPr>
        <w:t>)</w:t>
      </w:r>
      <w:r w:rsidR="008E0B00">
        <w:rPr>
          <w:color w:val="000000" w:themeColor="text1"/>
        </w:rPr>
        <w:fldChar w:fldCharType="end"/>
      </w:r>
      <w:r>
        <w:rPr>
          <w:color w:val="000000" w:themeColor="text1"/>
        </w:rPr>
        <w:t>. In Australia enema is always given before trans</w:t>
      </w:r>
      <w:r w:rsidR="006F3F56">
        <w:rPr>
          <w:color w:val="000000" w:themeColor="text1"/>
        </w:rPr>
        <w:t>-</w:t>
      </w:r>
      <w:r>
        <w:rPr>
          <w:color w:val="000000" w:themeColor="text1"/>
        </w:rPr>
        <w:t>rectal or</w:t>
      </w:r>
      <w:r w:rsidRPr="00596C8C">
        <w:rPr>
          <w:color w:val="000000" w:themeColor="text1"/>
        </w:rPr>
        <w:t xml:space="preserve"> </w:t>
      </w:r>
      <w:r>
        <w:rPr>
          <w:color w:val="000000" w:themeColor="text1"/>
        </w:rPr>
        <w:t>trans</w:t>
      </w:r>
      <w:r w:rsidR="006F3F56">
        <w:rPr>
          <w:color w:val="000000" w:themeColor="text1"/>
        </w:rPr>
        <w:t>-</w:t>
      </w:r>
      <w:r>
        <w:rPr>
          <w:color w:val="000000" w:themeColor="text1"/>
        </w:rPr>
        <w:t>pe</w:t>
      </w:r>
      <w:r w:rsidR="002E09E9">
        <w:rPr>
          <w:color w:val="000000" w:themeColor="text1"/>
        </w:rPr>
        <w:t>r</w:t>
      </w:r>
      <w:r>
        <w:rPr>
          <w:color w:val="000000" w:themeColor="text1"/>
        </w:rPr>
        <w:t>ineal biopsy t</w:t>
      </w:r>
      <w:r w:rsidR="0013524E">
        <w:rPr>
          <w:color w:val="000000" w:themeColor="text1"/>
        </w:rPr>
        <w:t xml:space="preserve">o reduce the risk of infection </w:t>
      </w:r>
      <w:r w:rsidR="008E0B00">
        <w:rPr>
          <w:color w:val="000000" w:themeColor="text1"/>
        </w:rPr>
        <w:fldChar w:fldCharType="begin"/>
      </w:r>
      <w:r w:rsidR="008E0B00">
        <w:rPr>
          <w:color w:val="000000" w:themeColor="text1"/>
        </w:rPr>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rPr>
          <w:color w:val="000000" w:themeColor="text1"/>
        </w:rPr>
        <w:fldChar w:fldCharType="separate"/>
      </w:r>
      <w:r w:rsidR="008E0B00">
        <w:rPr>
          <w:noProof/>
          <w:color w:val="000000" w:themeColor="text1"/>
        </w:rPr>
        <w:t>(</w:t>
      </w:r>
      <w:hyperlink w:anchor="_ENREF_9" w:tooltip="Applicant, 2016 #9" w:history="1">
        <w:r w:rsidR="008E0B00">
          <w:rPr>
            <w:noProof/>
            <w:color w:val="000000" w:themeColor="text1"/>
          </w:rPr>
          <w:t>Applicant 2016</w:t>
        </w:r>
      </w:hyperlink>
      <w:r w:rsidR="008E0B00">
        <w:rPr>
          <w:noProof/>
          <w:color w:val="000000" w:themeColor="text1"/>
        </w:rPr>
        <w:t>)</w:t>
      </w:r>
      <w:r w:rsidR="008E0B00">
        <w:rPr>
          <w:color w:val="000000" w:themeColor="text1"/>
        </w:rPr>
        <w:fldChar w:fldCharType="end"/>
      </w:r>
      <w:r>
        <w:rPr>
          <w:color w:val="000000" w:themeColor="text1"/>
        </w:rPr>
        <w:t>.</w:t>
      </w:r>
    </w:p>
    <w:p w14:paraId="5D5AD51E" w14:textId="77777777" w:rsidR="00501000" w:rsidRDefault="002706BF" w:rsidP="002706BF">
      <w:pPr>
        <w:rPr>
          <w:rStyle w:val="Heading3Char"/>
        </w:rPr>
      </w:pPr>
      <w:bookmarkStart w:id="394" w:name="_Toc460513964"/>
      <w:r w:rsidRPr="00501000">
        <w:rPr>
          <w:rStyle w:val="Heading3Char"/>
        </w:rPr>
        <w:t>Number of cores</w:t>
      </w:r>
      <w:bookmarkEnd w:id="394"/>
    </w:p>
    <w:p w14:paraId="1CE800D2" w14:textId="25C677E8" w:rsidR="002706BF" w:rsidRPr="00960F0B" w:rsidRDefault="002706BF" w:rsidP="002706BF">
      <w:pPr>
        <w:rPr>
          <w:color w:val="FF0000"/>
        </w:rPr>
      </w:pPr>
      <w:r>
        <w:rPr>
          <w:color w:val="000000" w:themeColor="text1"/>
        </w:rPr>
        <w:t xml:space="preserve">It has </w:t>
      </w:r>
      <w:r w:rsidR="002E09E9">
        <w:rPr>
          <w:color w:val="000000" w:themeColor="text1"/>
        </w:rPr>
        <w:t>been</w:t>
      </w:r>
      <w:r>
        <w:rPr>
          <w:color w:val="000000" w:themeColor="text1"/>
        </w:rPr>
        <w:t xml:space="preserve"> hypothesised that increasing number of </w:t>
      </w:r>
      <w:r w:rsidR="00462D15">
        <w:rPr>
          <w:color w:val="000000" w:themeColor="text1"/>
        </w:rPr>
        <w:t xml:space="preserve">needle </w:t>
      </w:r>
      <w:r>
        <w:rPr>
          <w:color w:val="000000" w:themeColor="text1"/>
        </w:rPr>
        <w:t xml:space="preserve">cores in </w:t>
      </w:r>
      <w:r w:rsidR="00010606">
        <w:rPr>
          <w:color w:val="000000" w:themeColor="text1"/>
        </w:rPr>
        <w:t>TRUSGB</w:t>
      </w:r>
      <w:r>
        <w:rPr>
          <w:color w:val="000000" w:themeColor="text1"/>
        </w:rPr>
        <w:t xml:space="preserve"> may be associated with increased risk of infection</w:t>
      </w:r>
      <w:r w:rsidR="00930D5A">
        <w:rPr>
          <w:color w:val="000000" w:themeColor="text1"/>
        </w:rPr>
        <w:t xml:space="preserve"> </w:t>
      </w:r>
      <w:r w:rsidR="008E0B00">
        <w:rPr>
          <w:color w:val="000000" w:themeColor="text1"/>
        </w:rPr>
        <w:fldChar w:fldCharType="begin">
          <w:fldData xml:space="preserve">PEVuZE5vdGU+PENpdGU+PEF1dGhvcj5TaW1zaXI8L0F1dGhvcj48WWVhcj4yMDEwPC9ZZWFyPjxS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==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PEVuZE5vdGU+PENpdGU+PEF1dGhvcj5TaW1zaXI8L0F1dGhvcj48WWVhcj4yMDEwPC9ZZWFyPjxS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==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150" w:tooltip="Simsir, 2010 #20" w:history="1">
        <w:r w:rsidR="008E0B00">
          <w:rPr>
            <w:noProof/>
            <w:color w:val="000000" w:themeColor="text1"/>
          </w:rPr>
          <w:t>Simsir et al. 2010</w:t>
        </w:r>
      </w:hyperlink>
      <w:r w:rsidR="008E0B00">
        <w:rPr>
          <w:noProof/>
          <w:color w:val="000000" w:themeColor="text1"/>
        </w:rPr>
        <w:t>)</w:t>
      </w:r>
      <w:r w:rsidR="008E0B00">
        <w:rPr>
          <w:color w:val="000000" w:themeColor="text1"/>
        </w:rPr>
        <w:fldChar w:fldCharType="end"/>
      </w:r>
      <w:r>
        <w:rPr>
          <w:color w:val="000000" w:themeColor="text1"/>
        </w:rPr>
        <w:t xml:space="preserve">. However, major infection is not common and a study with over 700 patients found an equal rate of sepsis in patients who had six- as compared to 12-core biopsy </w:t>
      </w:r>
      <w:r w:rsidR="008E0B00">
        <w:rPr>
          <w:color w:val="000000" w:themeColor="text1"/>
        </w:rPr>
        <w:fldChar w:fldCharType="begin">
          <w:fldData xml:space="preserve">PEVuZE5vdGU+PENpdGU+PEF1dGhvcj5Nb2hhbW1lZDwvQXV0aG9yPjxZZWFyPjIwMTY8L1llYXI+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</w:fldData>
        </w:fldChar>
      </w:r>
      <w:r w:rsidR="008E0B00">
        <w:rPr>
          <w:color w:val="000000" w:themeColor="text1"/>
        </w:rPr>
        <w:instrText xml:space="preserve"> ADDIN EN.CITE </w:instrText>
      </w:r>
      <w:r w:rsidR="008E0B00">
        <w:rPr>
          <w:color w:val="000000" w:themeColor="text1"/>
        </w:rPr>
        <w:fldChar w:fldCharType="begin">
          <w:fldData xml:space="preserve">PEVuZE5vdGU+PENpdGU+PEF1dGhvcj5Nb2hhbW1lZDwvQXV0aG9yPjxZZWFyPjIwMTY8L1llYXI+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</w:fldData>
        </w:fldChar>
      </w:r>
      <w:r w:rsidR="008E0B00">
        <w:rPr>
          <w:color w:val="000000" w:themeColor="text1"/>
        </w:rPr>
        <w:instrText xml:space="preserve"> ADDIN EN.CITE.DATA </w:instrText>
      </w:r>
      <w:r w:rsidR="008E0B00">
        <w:rPr>
          <w:color w:val="000000" w:themeColor="text1"/>
        </w:rPr>
      </w:r>
      <w:r w:rsidR="008E0B00">
        <w:rPr>
          <w:color w:val="000000" w:themeColor="text1"/>
        </w:rPr>
        <w:fldChar w:fldCharType="end"/>
      </w:r>
      <w:r w:rsidR="008E0B00">
        <w:rPr>
          <w:color w:val="000000" w:themeColor="text1"/>
        </w:rPr>
      </w:r>
      <w:r w:rsidR="008E0B00">
        <w:rPr>
          <w:color w:val="000000" w:themeColor="text1"/>
        </w:rPr>
        <w:fldChar w:fldCharType="separate"/>
      </w:r>
      <w:r w:rsidR="008E0B00">
        <w:rPr>
          <w:noProof/>
          <w:color w:val="000000" w:themeColor="text1"/>
        </w:rPr>
        <w:t>(</w:t>
      </w:r>
      <w:hyperlink w:anchor="_ENREF_95" w:tooltip="Mohammed, 2016 #130" w:history="1">
        <w:r w:rsidR="008E0B00">
          <w:rPr>
            <w:noProof/>
            <w:color w:val="000000" w:themeColor="text1"/>
          </w:rPr>
          <w:t>Mohammed et al. 2016</w:t>
        </w:r>
      </w:hyperlink>
      <w:r w:rsidR="008E0B00">
        <w:rPr>
          <w:noProof/>
          <w:color w:val="000000" w:themeColor="text1"/>
        </w:rPr>
        <w:t>)</w:t>
      </w:r>
      <w:r w:rsidR="008E0B00">
        <w:rPr>
          <w:color w:val="000000" w:themeColor="text1"/>
        </w:rPr>
        <w:fldChar w:fldCharType="end"/>
      </w:r>
      <w:r>
        <w:rPr>
          <w:color w:val="000000" w:themeColor="text1"/>
        </w:rPr>
        <w:t xml:space="preserve">; another study comparing 6, 10 and 15-core biopsies in </w:t>
      </w:r>
      <w:r w:rsidRPr="00854079">
        <w:rPr>
          <w:color w:val="000000" w:themeColor="text1"/>
        </w:rPr>
        <w:t xml:space="preserve">5,957 patients </w:t>
      </w:r>
      <w:r>
        <w:rPr>
          <w:color w:val="000000" w:themeColor="text1"/>
        </w:rPr>
        <w:t>found no statistically significant increase in morbidity with increasing cores</w:t>
      </w:r>
      <w:r w:rsidR="00930D5A">
        <w:rPr>
          <w:color w:val="000000" w:themeColor="text1"/>
        </w:rPr>
        <w:t xml:space="preserve"> </w:t>
      </w:r>
      <w:r w:rsidR="008E0B00">
        <w:rPr>
          <w:color w:val="000000" w:themeColor="text1"/>
        </w:rPr>
        <w:fldChar w:fldCharType="begin"/>
      </w:r>
      <w:r w:rsidR="008E0B00">
        <w:rPr>
          <w:color w:val="000000" w:themeColor="text1"/>
        </w:rPr>
        <w:instrText xml:space="preserve"> ADDIN EN.CITE &lt;EndNote&gt;&lt;Cite&gt;&lt;Author&gt;Berger&lt;/Author&gt;&lt;Year&gt;2004&lt;/Year&gt;&lt;RecNum&gt;141&lt;/RecNum&gt;&lt;DisplayText&gt;(Berger et al. 2004)&lt;/DisplayText&gt;&lt;record&gt;&lt;rec-number&gt;141&lt;/rec-number&gt;&lt;foreign-keys&gt;&lt;key app="EN" db-id="2p9terxr22fx91epzebpfdwuzrwtw2a2ep2t" timestamp="1472684635"&gt;141&lt;/key&gt;&lt;/foreign-keys&gt;&lt;ref-type name="Journal Article"&gt;17&lt;/ref-type&gt;&lt;contributors&gt;&lt;authors&gt;&lt;author&gt;Berger, A. P.&lt;/author&gt;&lt;author&gt;Gozzi, C.&lt;/author&gt;&lt;author&gt;Steiner, H.&lt;/author&gt;&lt;author&gt;Frauscher, F.&lt;/author&gt;&lt;author&gt;Varkarakis, J.&lt;/author&gt;&lt;author&gt;Rogatsch, H.&lt;/author&gt;&lt;author&gt;Bartsch, G.&lt;/author&gt;&lt;author&gt;Horninger, W.&lt;/author&gt;&lt;/authors&gt;&lt;/contributors&gt;&lt;auth-address&gt;Department of Urology and Pathology, University of Innsbruck, Innsbruck, Austria. andreas.p.berger@uibk.ac.at&lt;/auth-address&gt;&lt;titles&gt;&lt;title&gt;Complication rate of transrectal ultrasound guided prostate biopsy: a comparison among 3 protocols with 6, 10 and 15 cores&lt;/title&gt;&lt;secondary-title&gt;J Urol&lt;/secondary-title&gt;&lt;alt-title&gt;The Journal of urology&lt;/alt-title&gt;&lt;/titles&gt;&lt;periodical&gt;&lt;full-title&gt;J Urol&lt;/full-title&gt;&lt;abbr-1&gt;The Journal of urology&lt;/abbr-1&gt;&lt;/periodical&gt;&lt;alt-periodical&gt;&lt;full-title&gt;J Urol&lt;/full-title&gt;&lt;abbr-1&gt;The Journal of urology&lt;/abbr-1&gt;&lt;/alt-periodical&gt;&lt;pages&gt;1478-1480; discussion 1480-1481&lt;/pages&gt;&lt;volume&gt;171&lt;/volume&gt;&lt;number&gt;4&lt;/number&gt;&lt;edition&gt;2004/03/17&lt;/edition&gt;&lt;keywords&gt;&lt;keyword&gt;Adult&lt;/keyword&gt;&lt;keyword&gt;Aged&lt;/keyword&gt;&lt;keyword&gt;Aged, 80 and over&lt;/keyword&gt;&lt;keyword&gt;Biopsy, Needle/*adverse effects/methods&lt;/keyword&gt;&lt;keyword&gt;Humans&lt;/keyword&gt;&lt;keyword&gt;Incidence&lt;/keyword&gt;&lt;keyword&gt;Male&lt;/keyword&gt;&lt;keyword&gt;Middle Aged&lt;/keyword&gt;&lt;keyword&gt;Prostatic Neoplasms/*pathology/*ultrasonography&lt;/keyword&gt;&lt;keyword&gt;Retrospective Studies&lt;/keyword&gt;&lt;/keywords&gt;&lt;dates&gt;&lt;year&gt;2004&lt;/year&gt;&lt;pub-dates&gt;&lt;date&gt;Apr&lt;/date&gt;&lt;/pub-dates&gt;&lt;/dates&gt;&lt;isbn&gt;0022-5347 (Print)&amp;#xD;0022-5347&lt;/isbn&gt;&lt;accession-num&gt;15017202&lt;/accession-num&gt;&lt;urls&gt;&lt;/urls&gt;&lt;electronic-resource-num&gt;10.1097/01.ju.0000116449.01186.f7&lt;/electronic-resource-num&gt;&lt;remote-database-provider&gt;NLM&lt;/remote-database-provider&gt;&lt;language&gt;eng&lt;/language&gt;&lt;/record&gt;&lt;/Cite&gt;&lt;/EndNote&gt;</w:instrText>
      </w:r>
      <w:r w:rsidR="008E0B00">
        <w:rPr>
          <w:color w:val="000000" w:themeColor="text1"/>
        </w:rPr>
        <w:fldChar w:fldCharType="separate"/>
      </w:r>
      <w:r w:rsidR="008E0B00">
        <w:rPr>
          <w:noProof/>
          <w:color w:val="000000" w:themeColor="text1"/>
        </w:rPr>
        <w:t>(</w:t>
      </w:r>
      <w:hyperlink w:anchor="_ENREF_16" w:tooltip="Berger, 2004 #141" w:history="1">
        <w:r w:rsidR="008E0B00">
          <w:rPr>
            <w:noProof/>
            <w:color w:val="000000" w:themeColor="text1"/>
          </w:rPr>
          <w:t>Berger et al. 2004</w:t>
        </w:r>
      </w:hyperlink>
      <w:r w:rsidR="008E0B00">
        <w:rPr>
          <w:noProof/>
          <w:color w:val="000000" w:themeColor="text1"/>
        </w:rPr>
        <w:t>)</w:t>
      </w:r>
      <w:r w:rsidR="008E0B00">
        <w:rPr>
          <w:color w:val="000000" w:themeColor="text1"/>
        </w:rPr>
        <w:fldChar w:fldCharType="end"/>
      </w:r>
      <w:r>
        <w:rPr>
          <w:color w:val="000000" w:themeColor="text1"/>
        </w:rPr>
        <w:t xml:space="preserve">. There is, at present, no quality evidence that increasing number of cores is associated with increased rates of infection </w:t>
      </w:r>
      <w:r w:rsidR="008E0B00">
        <w:rPr>
          <w:color w:val="000000" w:themeColor="text1"/>
        </w:rPr>
        <w:fldChar w:fldCharType="begin"/>
      </w:r>
      <w:r w:rsidR="008E0B00">
        <w:rPr>
          <w:color w:val="000000" w:themeColor="text1"/>
        </w:rPr>
        <w:instrText xml:space="preserve"> ADDIN EN.CITE &lt;EndNote&gt;&lt;Cite&gt;&lt;Author&gt;Stock&lt;/Author&gt;&lt;Year&gt;2008&lt;/Year&gt;&lt;RecNum&gt;142&lt;/RecNum&gt;&lt;DisplayText&gt;(Stock et al. 2008)&lt;/DisplayText&gt;&lt;record&gt;&lt;rec-number&gt;142&lt;/rec-number&gt;&lt;foreign-keys&gt;&lt;key app="EN" db-id="2p9terxr22fx91epzebpfdwuzrwtw2a2ep2t" timestamp="1472684635"&gt;142&lt;/key&gt;&lt;/foreign-keys&gt;&lt;ref-type name="Journal Article"&gt;17&lt;/ref-type&gt;&lt;contributors&gt;&lt;authors&gt;&lt;author&gt;Stock, C.&lt;/author&gt;&lt;author&gt;Hruza, M.&lt;/author&gt;&lt;author&gt;Cresswell, J.&lt;/author&gt;&lt;author&gt;Rassweiler, J. J.&lt;/author&gt;&lt;/authors&gt;&lt;/contributors&gt;&lt;auth-address&gt;(Stock, Hruza, Rassweiler) Department of Urology, SLK-Kliniken, Heilbronn, Germany (Cresswell) Department of Urology, James Cook University Hospital, Middlesbrough, United Kingdom (Stock) Department of Urology, SLK Kliniken Heilbronn, Am Gesundbrunnen 20, 74064 Heilbronn, Germany&lt;/auth-address&gt;&lt;titles&gt;&lt;title&gt;Transrectal ultrasound-guided biopsy of the prostate: development of the procedure, current clinical practice, and introduction of self-embedding as a new way of processing biopsy cores&lt;/title&gt;&lt;secondary-title&gt;J Endourol&lt;/secondary-title&gt;&lt;/titles&gt;&lt;periodical&gt;&lt;full-title&gt;J Endourol&lt;/full-title&gt;&lt;/periodical&gt;&lt;pages&gt;1321-1329&lt;/pages&gt;&lt;volume&gt;22&lt;/volume&gt;&lt;number&gt;6&lt;/number&gt;&lt;dates&gt;&lt;year&gt;2008&lt;/year&gt;&lt;pub-dates&gt;&lt;date&gt;01 Jun&lt;/date&gt;&lt;/pub-dates&gt;&lt;/dates&gt;&lt;accession-num&gt;2008315446&lt;/accession-num&gt;&lt;work-type&gt;Review&lt;/work-type&gt;&lt;urls&gt;&lt;related-urls&gt;&lt;url&gt;http://online.liebertpub.com/doi/abs/10.1089/end.2008.0068?url_ver=Z39.88-2003&amp;amp;rfr_id=ori%3Arid%3Acrossref.org&amp;amp;rfr_dat=cr_pub%3Dpubmed&amp;amp;&lt;/url&gt;&lt;/related-urls&gt;&lt;/urls&gt;&lt;remote-database-name&gt;Embase&lt;/remote-database-name&gt;&lt;remote-database-provider&gt;Ovid Technologies&lt;/remote-database-provider&gt;&lt;research-notes&gt;inc - PRINTED&lt;/research-notes&gt;&lt;/record&gt;&lt;/Cite&gt;&lt;/EndNote&gt;</w:instrText>
      </w:r>
      <w:r w:rsidR="008E0B00">
        <w:rPr>
          <w:color w:val="000000" w:themeColor="text1"/>
        </w:rPr>
        <w:fldChar w:fldCharType="separate"/>
      </w:r>
      <w:r w:rsidR="008E0B00">
        <w:rPr>
          <w:noProof/>
          <w:color w:val="000000" w:themeColor="text1"/>
        </w:rPr>
        <w:t>(</w:t>
      </w:r>
      <w:hyperlink w:anchor="_ENREF_155" w:tooltip="Stock, 2008 #142" w:history="1">
        <w:r w:rsidR="008E0B00">
          <w:rPr>
            <w:noProof/>
            <w:color w:val="000000" w:themeColor="text1"/>
          </w:rPr>
          <w:t>Stock et al. 2008</w:t>
        </w:r>
      </w:hyperlink>
      <w:r w:rsidR="008E0B00">
        <w:rPr>
          <w:noProof/>
          <w:color w:val="000000" w:themeColor="text1"/>
        </w:rPr>
        <w:t>)</w:t>
      </w:r>
      <w:r w:rsidR="008E0B00">
        <w:rPr>
          <w:color w:val="000000" w:themeColor="text1"/>
        </w:rPr>
        <w:fldChar w:fldCharType="end"/>
      </w:r>
      <w:r>
        <w:rPr>
          <w:color w:val="000000" w:themeColor="text1"/>
        </w:rPr>
        <w:t xml:space="preserve">. </w:t>
      </w:r>
      <w:r w:rsidR="002A0C0B">
        <w:rPr>
          <w:color w:val="000000" w:themeColor="text1"/>
        </w:rPr>
        <w:t>Advice from the Applicant is that i</w:t>
      </w:r>
      <w:r w:rsidRPr="00596C8C">
        <w:rPr>
          <w:color w:val="000000" w:themeColor="text1"/>
        </w:rPr>
        <w:t xml:space="preserve">n Australian clinical practice between 12 and 36 cores are taken in </w:t>
      </w:r>
      <w:r w:rsidR="00010606">
        <w:rPr>
          <w:color w:val="000000" w:themeColor="text1"/>
        </w:rPr>
        <w:t>TRUSGB</w:t>
      </w:r>
      <w:r w:rsidRPr="00596C8C">
        <w:rPr>
          <w:color w:val="000000" w:themeColor="text1"/>
        </w:rPr>
        <w:t xml:space="preserve"> and </w:t>
      </w:r>
      <w:r w:rsidR="00010606">
        <w:rPr>
          <w:color w:val="000000" w:themeColor="text1"/>
        </w:rPr>
        <w:t>TPUSGB</w:t>
      </w:r>
      <w:r w:rsidRPr="00596C8C">
        <w:rPr>
          <w:color w:val="000000" w:themeColor="text1"/>
        </w:rPr>
        <w:t xml:space="preserve">, whereas </w:t>
      </w:r>
      <w:r w:rsidR="005A2606" w:rsidRPr="00596C8C">
        <w:rPr>
          <w:color w:val="000000" w:themeColor="text1"/>
        </w:rPr>
        <w:t xml:space="preserve">between 2 and 3 cores are taken </w:t>
      </w:r>
      <w:r w:rsidRPr="00596C8C">
        <w:rPr>
          <w:color w:val="000000" w:themeColor="text1"/>
        </w:rPr>
        <w:t xml:space="preserve">in </w:t>
      </w:r>
      <w:r w:rsidR="00010606">
        <w:rPr>
          <w:color w:val="000000" w:themeColor="text1"/>
        </w:rPr>
        <w:t>MRIGB</w:t>
      </w:r>
      <w:r w:rsidRPr="00596C8C">
        <w:rPr>
          <w:color w:val="000000" w:themeColor="text1"/>
        </w:rPr>
        <w:t>.</w:t>
      </w:r>
      <w:r>
        <w:rPr>
          <w:color w:val="000000" w:themeColor="text1"/>
        </w:rPr>
        <w:t xml:space="preserve"> </w:t>
      </w:r>
      <w:r w:rsidR="00930D5A">
        <w:rPr>
          <w:color w:val="000000" w:themeColor="text1"/>
        </w:rPr>
        <w:t>F</w:t>
      </w:r>
      <w:r w:rsidR="00B036C9">
        <w:t>or MRIGB,</w:t>
      </w:r>
      <w:r>
        <w:t xml:space="preserve"> there may be some association between number of cores and infection risk</w:t>
      </w:r>
      <w:r w:rsidR="00B036C9">
        <w:t>; however,</w:t>
      </w:r>
      <w:r>
        <w:t xml:space="preserve"> this is not based on published data</w:t>
      </w:r>
      <w:r w:rsidR="00930D5A">
        <w:t xml:space="preserve"> </w:t>
      </w:r>
      <w:r w:rsidR="008E0B00">
        <w:fldChar w:fldCharType="begin"/>
      </w:r>
      <w:r w:rsidR="008E0B00">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fldChar w:fldCharType="separate"/>
      </w:r>
      <w:r w:rsidR="008E0B00">
        <w:rPr>
          <w:noProof/>
        </w:rPr>
        <w:t>(</w:t>
      </w:r>
      <w:hyperlink w:anchor="_ENREF_9" w:tooltip="Applicant, 2016 #9" w:history="1">
        <w:r w:rsidR="008E0B00">
          <w:rPr>
            <w:noProof/>
          </w:rPr>
          <w:t>Applicant 2016</w:t>
        </w:r>
      </w:hyperlink>
      <w:r w:rsidR="008E0B00">
        <w:rPr>
          <w:noProof/>
        </w:rPr>
        <w:t>)</w:t>
      </w:r>
      <w:r w:rsidR="008E0B00">
        <w:fldChar w:fldCharType="end"/>
      </w:r>
      <w:r>
        <w:t>.</w:t>
      </w:r>
    </w:p>
    <w:p w14:paraId="0B742C98" w14:textId="41DEFF80" w:rsidR="002706BF" w:rsidRDefault="008C1C59" w:rsidP="00501000">
      <w:pPr>
        <w:pStyle w:val="Heading2"/>
      </w:pPr>
      <w:bookmarkStart w:id="395" w:name="_Toc460513965"/>
      <w:r>
        <w:t>B7.6</w:t>
      </w:r>
      <w:r w:rsidR="00361313">
        <w:tab/>
      </w:r>
      <w:r w:rsidR="00361313">
        <w:tab/>
      </w:r>
      <w:r w:rsidR="002706BF" w:rsidRPr="002E18D4">
        <w:t>Summary</w:t>
      </w:r>
      <w:r w:rsidR="00501000">
        <w:t xml:space="preserve"> of comparative harms</w:t>
      </w:r>
      <w:bookmarkEnd w:id="395"/>
    </w:p>
    <w:p w14:paraId="02DF6E75" w14:textId="399DC439" w:rsidR="002706BF" w:rsidRPr="00A64B4C" w:rsidRDefault="002706BF" w:rsidP="002706BF">
      <w:pPr>
        <w:rPr>
          <w:color w:val="000000" w:themeColor="text1"/>
        </w:rPr>
      </w:pPr>
      <w:r w:rsidRPr="00A64B4C">
        <w:rPr>
          <w:color w:val="000000" w:themeColor="text1"/>
        </w:rPr>
        <w:t>Infection</w:t>
      </w:r>
      <w:r>
        <w:rPr>
          <w:color w:val="000000" w:themeColor="text1"/>
        </w:rPr>
        <w:t xml:space="preserve"> is the most significant issue in prostate biopsy as serious infection can lead to death. </w:t>
      </w:r>
      <w:r w:rsidR="00B44E6D">
        <w:rPr>
          <w:color w:val="000000" w:themeColor="text1"/>
        </w:rPr>
        <w:t xml:space="preserve">Not so significant issues include </w:t>
      </w:r>
      <w:r>
        <w:rPr>
          <w:color w:val="000000" w:themeColor="text1"/>
        </w:rPr>
        <w:t>bleeding (</w:t>
      </w:r>
      <w:r w:rsidR="00B036C9">
        <w:rPr>
          <w:color w:val="000000" w:themeColor="text1"/>
        </w:rPr>
        <w:t>haematuria</w:t>
      </w:r>
      <w:r>
        <w:rPr>
          <w:color w:val="000000" w:themeColor="text1"/>
        </w:rPr>
        <w:t xml:space="preserve">, </w:t>
      </w:r>
      <w:r w:rsidR="00E8315C">
        <w:rPr>
          <w:color w:val="000000" w:themeColor="text1"/>
        </w:rPr>
        <w:t xml:space="preserve">haematospermia </w:t>
      </w:r>
      <w:r>
        <w:rPr>
          <w:color w:val="000000" w:themeColor="text1"/>
        </w:rPr>
        <w:t xml:space="preserve">, and </w:t>
      </w:r>
      <w:r w:rsidR="00B036C9">
        <w:rPr>
          <w:color w:val="000000" w:themeColor="text1"/>
        </w:rPr>
        <w:t>h</w:t>
      </w:r>
      <w:r w:rsidR="008A4B18">
        <w:rPr>
          <w:color w:val="000000" w:themeColor="text1"/>
        </w:rPr>
        <w:t>a</w:t>
      </w:r>
      <w:r w:rsidR="00B036C9">
        <w:rPr>
          <w:color w:val="000000" w:themeColor="text1"/>
        </w:rPr>
        <w:t>ematochezia</w:t>
      </w:r>
      <w:r>
        <w:rPr>
          <w:color w:val="000000" w:themeColor="text1"/>
        </w:rPr>
        <w:t>s), and urinary obstruction. Infection is reduced by antibiotic prophylaxis and pre biopsy workup</w:t>
      </w:r>
      <w:r w:rsidR="00010606">
        <w:rPr>
          <w:color w:val="000000" w:themeColor="text1"/>
        </w:rPr>
        <w:t xml:space="preserve"> including enema. Trans</w:t>
      </w:r>
      <w:r w:rsidR="007935C0">
        <w:rPr>
          <w:color w:val="000000" w:themeColor="text1"/>
        </w:rPr>
        <w:t>-</w:t>
      </w:r>
      <w:r w:rsidR="00010606">
        <w:rPr>
          <w:color w:val="000000" w:themeColor="text1"/>
        </w:rPr>
        <w:t xml:space="preserve">perineal </w:t>
      </w:r>
      <w:r>
        <w:rPr>
          <w:color w:val="000000" w:themeColor="text1"/>
        </w:rPr>
        <w:t>biopsy results in less infection</w:t>
      </w:r>
      <w:r w:rsidR="006E7A8D">
        <w:rPr>
          <w:color w:val="000000" w:themeColor="text1"/>
        </w:rPr>
        <w:t xml:space="preserve"> than TRUSGB</w:t>
      </w:r>
      <w:r>
        <w:rPr>
          <w:color w:val="000000" w:themeColor="text1"/>
        </w:rPr>
        <w:t xml:space="preserve">. </w:t>
      </w:r>
    </w:p>
    <w:p w14:paraId="509D2A90" w14:textId="77777777" w:rsidR="002706BF" w:rsidRPr="002E18D4" w:rsidRDefault="002706BF" w:rsidP="002706BF">
      <w:pPr>
        <w:rPr>
          <w:rFonts w:ascii="Arial" w:hAnsi="Arial" w:cs="Arial"/>
          <w:b/>
        </w:rPr>
      </w:pPr>
    </w:p>
    <w:p w14:paraId="078AC5BF" w14:textId="4281315A" w:rsidR="00AC10F5" w:rsidRDefault="00AC10F5" w:rsidP="00361313">
      <w:pPr>
        <w:pStyle w:val="Heading1"/>
        <w:ind w:left="1134" w:hanging="1134"/>
      </w:pPr>
      <w:bookmarkStart w:id="396" w:name="_Toc460513966"/>
      <w:r>
        <w:lastRenderedPageBreak/>
        <w:t>B8</w:t>
      </w:r>
      <w:r w:rsidR="00361313">
        <w:tab/>
      </w:r>
      <w:r>
        <w:t>Interpretation of the clinical evidence</w:t>
      </w:r>
      <w:bookmarkEnd w:id="396"/>
    </w:p>
    <w:p w14:paraId="71D0F2EC" w14:textId="17237660" w:rsidR="00AC10F5" w:rsidRPr="009D4946" w:rsidRDefault="00AC10F5" w:rsidP="00AC10F5">
      <w:pPr>
        <w:rPr>
          <w:b/>
        </w:rPr>
      </w:pPr>
      <w:r w:rsidRPr="009D4946">
        <w:rPr>
          <w:b/>
        </w:rPr>
        <w:t>Population 1</w:t>
      </w:r>
      <w:r w:rsidR="008E0E48">
        <w:rPr>
          <w:b/>
        </w:rPr>
        <w:tab/>
        <w:t>Men with a suspicion of prostate cancer</w:t>
      </w:r>
    </w:p>
    <w:p w14:paraId="7E729E69" w14:textId="0208CFA5" w:rsidR="006955B9" w:rsidRDefault="00780048" w:rsidP="00AC10F5">
      <w:r>
        <w:t xml:space="preserve">While there is a high level of uncertainty around estimates of diagnostic accuracy of mpMRI for detecting PCa, </w:t>
      </w:r>
      <w:r w:rsidR="006955B9">
        <w:t xml:space="preserve">there is </w:t>
      </w:r>
      <w:r w:rsidR="006955B9" w:rsidRPr="006955B9">
        <w:t>evidence that</w:t>
      </w:r>
      <w:r>
        <w:t xml:space="preserve"> any inferiority compared to TRUSGB</w:t>
      </w:r>
      <w:r w:rsidR="00B036C9">
        <w:t xml:space="preserve"> or </w:t>
      </w:r>
      <w:r>
        <w:t>TPUSGB</w:t>
      </w:r>
      <w:r w:rsidR="006955B9" w:rsidRPr="006955B9">
        <w:t xml:space="preserve"> </w:t>
      </w:r>
      <w:r w:rsidR="000F1CE2">
        <w:t>may</w:t>
      </w:r>
      <w:r w:rsidR="000F1CE2" w:rsidRPr="006955B9">
        <w:t xml:space="preserve"> </w:t>
      </w:r>
      <w:r w:rsidR="006955B9" w:rsidRPr="006955B9">
        <w:t xml:space="preserve">not adversely affect patients’ outcomes. On the basis of the evidence profile (summarised in </w:t>
      </w:r>
      <w:r w:rsidR="006955B9" w:rsidRPr="006955B9">
        <w:fldChar w:fldCharType="begin"/>
      </w:r>
      <w:r w:rsidR="006955B9" w:rsidRPr="006955B9">
        <w:instrText xml:space="preserve"> REF _Ref456700278 \h  \* MERGEFORMAT </w:instrText>
      </w:r>
      <w:r w:rsidR="006955B9" w:rsidRPr="006955B9">
        <w:fldChar w:fldCharType="separate"/>
      </w:r>
      <w:r w:rsidR="0029649D" w:rsidRPr="00AA4A24">
        <w:t xml:space="preserve">Table </w:t>
      </w:r>
      <w:r w:rsidR="0029649D">
        <w:rPr>
          <w:noProof/>
        </w:rPr>
        <w:t>37</w:t>
      </w:r>
      <w:r w:rsidR="006955B9" w:rsidRPr="006955B9">
        <w:fldChar w:fldCharType="end"/>
      </w:r>
      <w:r w:rsidR="006955B9" w:rsidRPr="006955B9">
        <w:t>), it is suggested that, relative to TRUSGB</w:t>
      </w:r>
      <w:r w:rsidR="00B036C9">
        <w:t xml:space="preserve"> and</w:t>
      </w:r>
      <w:r w:rsidR="009A4EBF">
        <w:t xml:space="preserve"> </w:t>
      </w:r>
      <w:r w:rsidR="006955B9" w:rsidRPr="006955B9">
        <w:t xml:space="preserve">TPUSGB, </w:t>
      </w:r>
      <w:r w:rsidR="006955B9">
        <w:t xml:space="preserve">mpMRI has non-inferior effectiveness. However the uncertainty associated with the diagnostic accuracy of mpMRI </w:t>
      </w:r>
      <w:r w:rsidR="00282D90">
        <w:t>indicates the unreliability of the technique at this time</w:t>
      </w:r>
      <w:r w:rsidR="006955B9">
        <w:t>. It is suggested mpMRI has superior safety to TRUSGB; however</w:t>
      </w:r>
      <w:r w:rsidR="00B036C9">
        <w:t>,</w:t>
      </w:r>
      <w:r w:rsidR="006955B9">
        <w:t xml:space="preserve"> the adverse events associated with biopsy are generally minor and occur in a small proportion of patients.</w:t>
      </w:r>
    </w:p>
    <w:p w14:paraId="533DC27E" w14:textId="72AFA8AE" w:rsidR="00AC10F5" w:rsidRPr="00324623" w:rsidRDefault="00AC10F5" w:rsidP="00AC10F5">
      <w:r w:rsidRPr="00324623">
        <w:t>Ten studies, including 2,062 patients,</w:t>
      </w:r>
      <w:r w:rsidR="00DC2035">
        <w:t xml:space="preserve"> </w:t>
      </w:r>
      <w:r w:rsidR="00B036C9" w:rsidRPr="00324623">
        <w:t xml:space="preserve">reported </w:t>
      </w:r>
      <w:r w:rsidRPr="00324623">
        <w:t xml:space="preserve">that </w:t>
      </w:r>
      <w:r w:rsidR="00023843">
        <w:t xml:space="preserve">a </w:t>
      </w:r>
      <w:r w:rsidR="00D311ED">
        <w:t>per-patient</w:t>
      </w:r>
      <w:r w:rsidRPr="00324623">
        <w:t xml:space="preserve"> analysis of the diagnostic accuracy of mpMRI in patients suspected of having </w:t>
      </w:r>
      <w:r w:rsidR="001327C8">
        <w:t>PCa</w:t>
      </w:r>
      <w:r w:rsidRPr="00324623">
        <w:t xml:space="preserve"> </w:t>
      </w:r>
      <w:r w:rsidR="00635A22">
        <w:t>were included in the meta-analysis for Population 1</w:t>
      </w:r>
      <w:r w:rsidRPr="00324623">
        <w:t xml:space="preserve">. Pathology of samples obtained by biopsy was the reference standard in all studies. </w:t>
      </w:r>
      <w:r w:rsidR="00635A22">
        <w:t xml:space="preserve">The bivariate model was used to generate estimates of sensitivity and specificity. </w:t>
      </w:r>
      <w:r w:rsidRPr="00324623">
        <w:t xml:space="preserve">For the detection of </w:t>
      </w:r>
      <w:r w:rsidR="00635A22">
        <w:t>PCa of any severity</w:t>
      </w:r>
      <w:r w:rsidRPr="00324623">
        <w:t>, mpMRI has a sensitivity of 73.4</w:t>
      </w:r>
      <w:r w:rsidR="00635A22">
        <w:t xml:space="preserve"> per cent</w:t>
      </w:r>
      <w:r w:rsidR="00635A22" w:rsidRPr="00324623">
        <w:t xml:space="preserve"> </w:t>
      </w:r>
      <w:r w:rsidRPr="00324623">
        <w:t>(95% CI [57.0, 85.1]) and a specificity of 77.1</w:t>
      </w:r>
      <w:r w:rsidR="00027A86">
        <w:t xml:space="preserve"> </w:t>
      </w:r>
      <w:r w:rsidR="00635A22">
        <w:t>per cent</w:t>
      </w:r>
      <w:r w:rsidR="00635A22" w:rsidRPr="00324623">
        <w:t xml:space="preserve"> </w:t>
      </w:r>
      <w:r w:rsidRPr="00324623">
        <w:t>(95% CI [63.5</w:t>
      </w:r>
      <w:r w:rsidR="00FB18F0">
        <w:t>,</w:t>
      </w:r>
      <w:r w:rsidR="00DC2035">
        <w:t xml:space="preserve"> </w:t>
      </w:r>
      <w:r w:rsidRPr="00324623">
        <w:t>86.7]).</w:t>
      </w:r>
      <w:r>
        <w:t xml:space="preserve"> </w:t>
      </w:r>
      <w:r w:rsidR="00C327C1" w:rsidRPr="007A45BE">
        <w:t>For the detection of clinically significant cancer mpMRI has a sensitivity of 76.3</w:t>
      </w:r>
      <w:r w:rsidR="00635A22">
        <w:t xml:space="preserve"> per cent</w:t>
      </w:r>
      <w:r w:rsidR="00C327C1" w:rsidRPr="007A45BE">
        <w:t xml:space="preserve"> (95% CI [58.6, 88.0]) and a specificity of 82.9</w:t>
      </w:r>
      <w:r w:rsidR="00635A22">
        <w:t xml:space="preserve"> per cent</w:t>
      </w:r>
      <w:r w:rsidR="00C327C1" w:rsidRPr="007A45BE">
        <w:t xml:space="preserve"> (95% CI [71.5, 90.4])</w:t>
      </w:r>
      <w:r w:rsidR="00A1108D">
        <w:t>.</w:t>
      </w:r>
      <w:r w:rsidR="00C327C1" w:rsidRPr="007A45BE">
        <w:t xml:space="preserve"> </w:t>
      </w:r>
    </w:p>
    <w:p w14:paraId="035B2F9F" w14:textId="3E0739EB" w:rsidR="00AC10F5" w:rsidRDefault="00AC10F5" w:rsidP="00AC10F5">
      <w:r w:rsidRPr="00324623">
        <w:t xml:space="preserve">The point estimates for sensitivity and specificity are associated with wide confidence intervals reflecting uncertainty in the results. Heterogeneity was not able to be explained through subgroup analysis of clinical features. </w:t>
      </w:r>
      <w:r>
        <w:t xml:space="preserve">Overall, the quality of the evidence base to inform the diagnostic accuracy outcomes was rated as </w:t>
      </w:r>
      <w:r w:rsidR="00635A22">
        <w:t>‘</w:t>
      </w:r>
      <w:r>
        <w:t>low</w:t>
      </w:r>
      <w:r w:rsidR="00635A22">
        <w:t>’</w:t>
      </w:r>
      <w:r>
        <w:t xml:space="preserve"> using the GRADE tool</w:t>
      </w:r>
      <w:r w:rsidRPr="00324623">
        <w:t>.</w:t>
      </w:r>
      <w:r w:rsidRPr="006E732B">
        <w:t xml:space="preserve"> </w:t>
      </w:r>
    </w:p>
    <w:p w14:paraId="5C3EA40D" w14:textId="135A7385" w:rsidR="00AC10F5" w:rsidRDefault="00635A22" w:rsidP="00AC10F5">
      <w:r>
        <w:t>I</w:t>
      </w:r>
      <w:r w:rsidR="00AC10F5">
        <w:t>t should also be noted that the diagnostic accuracy of TRUSGB</w:t>
      </w:r>
      <w:r w:rsidR="008A4B18">
        <w:t xml:space="preserve"> is</w:t>
      </w:r>
      <w:r w:rsidR="00AC10F5">
        <w:t xml:space="preserve"> </w:t>
      </w:r>
      <w:r w:rsidR="00027A86">
        <w:t>uncertain</w:t>
      </w:r>
      <w:r w:rsidR="00AC10F5">
        <w:t xml:space="preserve">, and the impact this has had on the results of mpMRI is not known. </w:t>
      </w:r>
      <w:r>
        <w:t>There is no evidence that mpMRI is superior to TRUSGB</w:t>
      </w:r>
      <w:r w:rsidR="00027A86">
        <w:t xml:space="preserve"> or </w:t>
      </w:r>
      <w:r>
        <w:t>TPUSGB for the detection of any cancer or the detection of clinically significant cancer.</w:t>
      </w:r>
    </w:p>
    <w:p w14:paraId="6A2876E3" w14:textId="678F9F23" w:rsidR="00AC10F5" w:rsidRPr="00D716CF" w:rsidRDefault="00AC10F5" w:rsidP="00AC10F5">
      <w:r w:rsidRPr="00D716CF">
        <w:t xml:space="preserve">As discussed in Subsection B5, only patients at </w:t>
      </w:r>
      <w:r w:rsidR="0058672B">
        <w:t>low-concern</w:t>
      </w:r>
      <w:r w:rsidR="00F6693F" w:rsidRPr="00D716CF">
        <w:t xml:space="preserve"> </w:t>
      </w:r>
      <w:r w:rsidRPr="00D716CF">
        <w:t xml:space="preserve">will experience a change in management and outcomes associated with the introduction of mpMRI. </w:t>
      </w:r>
      <w:r>
        <w:t xml:space="preserve">These patients will avoid a biopsy under the proposed algorithm. </w:t>
      </w:r>
      <w:r w:rsidRPr="00D716CF">
        <w:t xml:space="preserve">In this population, the reported prevalence of </w:t>
      </w:r>
      <w:r w:rsidR="001327C8">
        <w:t>PCa</w:t>
      </w:r>
      <w:r w:rsidRPr="00D716CF">
        <w:t xml:space="preserve"> </w:t>
      </w:r>
      <w:r w:rsidR="00A1108D">
        <w:t xml:space="preserve">is </w:t>
      </w:r>
      <w:r w:rsidRPr="00D716CF">
        <w:t>assumed to be 30</w:t>
      </w:r>
      <w:r w:rsidR="00FB18F0">
        <w:t xml:space="preserve"> to </w:t>
      </w:r>
      <w:r w:rsidRPr="00D716CF">
        <w:t>40</w:t>
      </w:r>
      <w:r w:rsidR="00FB18F0">
        <w:t xml:space="preserve"> per cent</w:t>
      </w:r>
      <w:r w:rsidRPr="00D716CF">
        <w:t xml:space="preserve"> (Applicant feedback). </w:t>
      </w:r>
    </w:p>
    <w:p w14:paraId="2D65DF72" w14:textId="413FB8F1" w:rsidR="00AC10F5" w:rsidRDefault="00AC10F5" w:rsidP="00AC10F5">
      <w:r>
        <w:t>Low</w:t>
      </w:r>
      <w:r w:rsidR="00C34CB9">
        <w:t>-</w:t>
      </w:r>
      <w:r w:rsidR="00A9704F">
        <w:t xml:space="preserve">concern </w:t>
      </w:r>
      <w:r>
        <w:t xml:space="preserve">patients who receive a false negative mpMRI will experience a delay to treatment; it is not clear that this delay is associated with any adverse outcomes for patients, particularly </w:t>
      </w:r>
      <w:r w:rsidR="00C34CB9">
        <w:t xml:space="preserve">those </w:t>
      </w:r>
      <w:r>
        <w:t xml:space="preserve">with low risk disease (Subsection B5). Advice from the Applicant is that most patients with </w:t>
      </w:r>
      <w:r w:rsidR="0058672B">
        <w:t>low-concern</w:t>
      </w:r>
      <w:r w:rsidR="00A9704F">
        <w:t xml:space="preserve"> </w:t>
      </w:r>
      <w:r>
        <w:t>will be diagnosed with low risk disease. The evidence base to inform patient outcomes following delayed treatment is considered very low quality and is based on observational evidence.</w:t>
      </w:r>
    </w:p>
    <w:p w14:paraId="21ECFAD7" w14:textId="20DFA0D9" w:rsidR="00AC10F5" w:rsidRPr="00E815C3" w:rsidRDefault="00AC10F5" w:rsidP="00AC10F5">
      <w:r>
        <w:lastRenderedPageBreak/>
        <w:t>Low-</w:t>
      </w:r>
      <w:r w:rsidR="005D5EAF">
        <w:t xml:space="preserve">concern </w:t>
      </w:r>
      <w:r>
        <w:t xml:space="preserve">patients who receive a negative mpMRI will avoid a biopsy. mpMRI is considered safe for most patients as no study was identified that reported any adverse event associated with its use. </w:t>
      </w:r>
      <w:r w:rsidRPr="009A4EBF">
        <w:t xml:space="preserve">TRUSGB is associated with a rate of major infection ranging from </w:t>
      </w:r>
      <w:r w:rsidR="00EB790F" w:rsidRPr="009A4EBF">
        <w:t xml:space="preserve">0-2 </w:t>
      </w:r>
      <w:r w:rsidRPr="009A4EBF">
        <w:t>per cent and a rate of minor infection ranging from zero to seven per cent. By avoiding a biopsy, patients will avoid this risk. On the other hand, TPUSGB is not associated with major infection and minor infection was rarely</w:t>
      </w:r>
      <w:r>
        <w:t xml:space="preserve"> reported. As the proportion of biopsies being performed trans</w:t>
      </w:r>
      <w:r w:rsidR="007935C0">
        <w:t>-</w:t>
      </w:r>
      <w:r>
        <w:t>perineally in Australia is increasing</w:t>
      </w:r>
      <w:r w:rsidR="00027A86">
        <w:t>,</w:t>
      </w:r>
      <w:r>
        <w:t xml:space="preserve"> the risk of </w:t>
      </w:r>
      <w:r w:rsidRPr="00E815C3">
        <w:t xml:space="preserve">infection associated with biopsy is </w:t>
      </w:r>
      <w:r w:rsidR="00027A86">
        <w:t>decreasing</w:t>
      </w:r>
      <w:r w:rsidRPr="00E815C3">
        <w:t xml:space="preserve">. Other harms associated with biopsy are described in </w:t>
      </w:r>
      <w:r w:rsidRPr="00E815C3">
        <w:fldChar w:fldCharType="begin"/>
      </w:r>
      <w:r w:rsidRPr="00E815C3">
        <w:instrText xml:space="preserve"> REF _Ref456700278 \h  \* MERGEFORMAT </w:instrText>
      </w:r>
      <w:r w:rsidRPr="00E815C3">
        <w:fldChar w:fldCharType="separate"/>
      </w:r>
      <w:r w:rsidR="0029649D" w:rsidRPr="00AA4A24">
        <w:t xml:space="preserve">Table </w:t>
      </w:r>
      <w:r w:rsidR="0029649D">
        <w:rPr>
          <w:noProof/>
        </w:rPr>
        <w:t>37</w:t>
      </w:r>
      <w:r w:rsidRPr="00E815C3">
        <w:fldChar w:fldCharType="end"/>
      </w:r>
      <w:r w:rsidRPr="00E815C3">
        <w:t>. The evidence base to inform the harms associated with biopsy is considered low to very low quality and is informed by observational studies. Based on these results, it is suggested mpMRI has superior safety to TRUSGB; however</w:t>
      </w:r>
      <w:r w:rsidR="00027A86">
        <w:t>,</w:t>
      </w:r>
      <w:r w:rsidRPr="00E815C3">
        <w:t xml:space="preserve"> the adverse events associated with biopsy are generally minor and occur in a small proportion of patients. </w:t>
      </w:r>
    </w:p>
    <w:p w14:paraId="1B5FC839" w14:textId="6EDEA738" w:rsidR="00AC10F5" w:rsidRPr="00E815C3" w:rsidRDefault="00AC10F5" w:rsidP="00AC10F5">
      <w:pPr>
        <w:rPr>
          <w:b/>
        </w:rPr>
      </w:pPr>
      <w:r w:rsidRPr="00E815C3">
        <w:rPr>
          <w:b/>
        </w:rPr>
        <w:t>Population 2</w:t>
      </w:r>
      <w:r w:rsidR="008E0E48" w:rsidRPr="00E815C3">
        <w:rPr>
          <w:b/>
        </w:rPr>
        <w:tab/>
        <w:t>Men with low-risk prostate cancer on active surveillance</w:t>
      </w:r>
    </w:p>
    <w:p w14:paraId="4490FC70" w14:textId="0315FB1C" w:rsidR="00AC10F5" w:rsidRPr="00324623" w:rsidRDefault="000A1A78" w:rsidP="00AC10F5">
      <w:r w:rsidRPr="00E815C3">
        <w:t>In Population 2 mpMRI was found to have inferior diagnostic accuracy compared to TRUSGB</w:t>
      </w:r>
      <w:r w:rsidR="00027A86">
        <w:t xml:space="preserve"> and </w:t>
      </w:r>
      <w:r w:rsidRPr="00E815C3">
        <w:t>TPUSGB; however</w:t>
      </w:r>
      <w:r w:rsidR="00027A86">
        <w:t>,</w:t>
      </w:r>
      <w:r w:rsidRPr="00E815C3">
        <w:t xml:space="preserve"> there is limited evidence that this </w:t>
      </w:r>
      <w:r w:rsidR="00027A86">
        <w:t>would adversely</w:t>
      </w:r>
      <w:r w:rsidRPr="00E815C3">
        <w:t xml:space="preserve"> affect patient outcomes. </w:t>
      </w:r>
      <w:r w:rsidR="008A4B18">
        <w:t>Based on</w:t>
      </w:r>
      <w:r w:rsidR="00AC10F5" w:rsidRPr="00E815C3">
        <w:t xml:space="preserve"> the evidence profile (summarised in </w:t>
      </w:r>
      <w:r w:rsidR="00AC10F5" w:rsidRPr="00E815C3">
        <w:fldChar w:fldCharType="begin"/>
      </w:r>
      <w:r w:rsidR="00AC10F5" w:rsidRPr="00E815C3">
        <w:instrText xml:space="preserve"> REF _Ref456709564 \h </w:instrText>
      </w:r>
      <w:r w:rsidR="00E815C3">
        <w:instrText xml:space="preserve"> \* MERGEFORMAT </w:instrText>
      </w:r>
      <w:r w:rsidR="00AC10F5" w:rsidRPr="00E815C3">
        <w:fldChar w:fldCharType="separate"/>
      </w:r>
      <w:r w:rsidR="0029649D" w:rsidRPr="00AA4A24">
        <w:t xml:space="preserve">Table </w:t>
      </w:r>
      <w:r w:rsidR="0029649D">
        <w:rPr>
          <w:noProof/>
        </w:rPr>
        <w:t>38</w:t>
      </w:r>
      <w:r w:rsidR="00AC10F5" w:rsidRPr="00E815C3">
        <w:fldChar w:fldCharType="end"/>
      </w:r>
      <w:r w:rsidR="00AC10F5" w:rsidRPr="00E815C3">
        <w:t>), it is suggested that, relative to TRUSGB</w:t>
      </w:r>
      <w:r w:rsidR="00027A86">
        <w:t xml:space="preserve"> and </w:t>
      </w:r>
      <w:r w:rsidR="00AC10F5" w:rsidRPr="00E815C3">
        <w:t>TPUSGB, mpMRI imaging</w:t>
      </w:r>
      <w:r w:rsidR="00AC10F5" w:rsidRPr="00324623">
        <w:t xml:space="preserve"> and associated interventions h</w:t>
      </w:r>
      <w:r w:rsidR="00AC10F5" w:rsidRPr="00E815C3">
        <w:t>a</w:t>
      </w:r>
      <w:r w:rsidR="00027A86">
        <w:t>ve</w:t>
      </w:r>
      <w:r w:rsidR="00AC10F5" w:rsidRPr="00E815C3">
        <w:t xml:space="preserve"> superior safety</w:t>
      </w:r>
      <w:r w:rsidR="00AC10F5" w:rsidRPr="00324623">
        <w:t xml:space="preserve"> and non-inferior effectiveness.</w:t>
      </w:r>
    </w:p>
    <w:p w14:paraId="09312457" w14:textId="561F59C2" w:rsidR="00AC10F5" w:rsidRDefault="00AC10F5" w:rsidP="00AC10F5">
      <w:pPr>
        <w:rPr>
          <w:b/>
        </w:rPr>
      </w:pPr>
      <w:r>
        <w:t>Six studies, including 820 patients, were identified that reported</w:t>
      </w:r>
      <w:r w:rsidR="00023843">
        <w:t xml:space="preserve"> a </w:t>
      </w:r>
      <w:r w:rsidR="00D311ED">
        <w:t>per-patient</w:t>
      </w:r>
      <w:r>
        <w:t xml:space="preserve"> analysis of the diagnostic accuracy of mpMRI to detect upgraded cancer in patients on </w:t>
      </w:r>
      <w:r w:rsidR="00D609C4">
        <w:t>AS</w:t>
      </w:r>
      <w:r>
        <w:t xml:space="preserve"> programs. Pathology of samples obtained by biopsy was the reference standard in three studies, while three studies used pathology of prostatectomy specimens. </w:t>
      </w:r>
      <w:r w:rsidRPr="00E848C5">
        <w:t>For the detection of cancer upgrade, mpMRI has a sensitivity of 79.3</w:t>
      </w:r>
      <w:r w:rsidR="00FB18F0">
        <w:t xml:space="preserve"> per cent</w:t>
      </w:r>
      <w:r w:rsidRPr="00E848C5">
        <w:t xml:space="preserve"> (95% CI [74.6, 83.3]) and a specificity of 55.1</w:t>
      </w:r>
      <w:r w:rsidR="00FB18F0">
        <w:t xml:space="preserve"> per cent</w:t>
      </w:r>
      <w:r w:rsidRPr="00E848C5">
        <w:t xml:space="preserve"> (95% CI [50.4, 59.8])</w:t>
      </w:r>
      <w:r>
        <w:t>.</w:t>
      </w:r>
      <w:r w:rsidRPr="00E848C5">
        <w:t xml:space="preserve"> </w:t>
      </w:r>
      <w:r w:rsidRPr="000324A3">
        <w:t xml:space="preserve">The narrow </w:t>
      </w:r>
      <w:r>
        <w:t>95</w:t>
      </w:r>
      <w:r w:rsidR="00B65BFD">
        <w:t xml:space="preserve"> per cent</w:t>
      </w:r>
      <w:r>
        <w:t xml:space="preserve"> </w:t>
      </w:r>
      <w:r w:rsidRPr="000324A3">
        <w:t xml:space="preserve">confidence </w:t>
      </w:r>
      <w:r>
        <w:t>and prediction regions reflects the</w:t>
      </w:r>
      <w:r w:rsidRPr="000324A3">
        <w:t xml:space="preserve"> high level of certainty in the point estimate</w:t>
      </w:r>
      <w:r>
        <w:t xml:space="preserve"> and the </w:t>
      </w:r>
      <w:r w:rsidRPr="000324A3">
        <w:t>low level of heterogeneity present in the evidence base</w:t>
      </w:r>
      <w:r>
        <w:t>. The evidence base for the diagnostic accuracy outcomes was rated as high quality using the GRADE tool.</w:t>
      </w:r>
    </w:p>
    <w:p w14:paraId="3D4BD44E" w14:textId="61CFDAF6" w:rsidR="00AC10F5" w:rsidRPr="006009CB" w:rsidRDefault="00AC10F5" w:rsidP="00AC10F5">
      <w:r w:rsidRPr="006009CB">
        <w:t xml:space="preserve">As discussed in Subsection B6.8, only patients with </w:t>
      </w:r>
      <w:r w:rsidR="0058672B">
        <w:t>low-concern</w:t>
      </w:r>
      <w:r w:rsidR="005D5EAF" w:rsidRPr="006009CB">
        <w:t xml:space="preserve"> </w:t>
      </w:r>
      <w:r w:rsidRPr="006009CB">
        <w:t xml:space="preserve">who have a negative mpMRI will have a change in management under the proposed algorithm. These patients will avoid a biopsy. Advice from the Applicant is that the prevalence of upgraded disease in these patients is 30 per cent. </w:t>
      </w:r>
    </w:p>
    <w:p w14:paraId="5D3700A9" w14:textId="3D79BC0B" w:rsidR="00AC10F5" w:rsidRPr="006009CB" w:rsidRDefault="00AC10F5" w:rsidP="00AC10F5">
      <w:r w:rsidRPr="006009CB">
        <w:t xml:space="preserve">Patients who have a false negative mpMRI will have their treatment delayed and remain on </w:t>
      </w:r>
      <w:r w:rsidR="004E17B9">
        <w:t>AS</w:t>
      </w:r>
      <w:r w:rsidRPr="006009CB">
        <w:t>. One observational study was identified that assessed the impact of delayed treatment in this population and the quality of evidence was rated very low using the GRADE tool. On this basis, mpMRI is considered non-inferior to TRUSGB</w:t>
      </w:r>
      <w:r w:rsidR="00D609C4">
        <w:t xml:space="preserve"> and </w:t>
      </w:r>
      <w:r w:rsidRPr="006009CB">
        <w:t xml:space="preserve">TPUSGB. </w:t>
      </w:r>
    </w:p>
    <w:p w14:paraId="57569B72" w14:textId="5A59688D" w:rsidR="002E1456" w:rsidRDefault="00AC10F5" w:rsidP="00AC10F5">
      <w:r w:rsidRPr="006009CB">
        <w:t xml:space="preserve">The relative safety of mpMRI and biopsy are discussed above for Population 1. There is </w:t>
      </w:r>
      <w:r w:rsidR="00C327C1">
        <w:t>n</w:t>
      </w:r>
      <w:r w:rsidRPr="006009CB">
        <w:t>o evidence that the relative harms associated with mpMRI and b</w:t>
      </w:r>
      <w:r w:rsidR="002E09E9">
        <w:t xml:space="preserve">iopsy will be any different in </w:t>
      </w:r>
      <w:r w:rsidR="0019019A">
        <w:t>P</w:t>
      </w:r>
      <w:r w:rsidRPr="006009CB">
        <w:t>opulation 2</w:t>
      </w:r>
      <w:r w:rsidR="00C327C1">
        <w:t xml:space="preserve"> than those described above for Population 1</w:t>
      </w:r>
      <w:r w:rsidRPr="006009CB">
        <w:t>, therefore mpMRI is suggested to have superior safety.</w:t>
      </w:r>
    </w:p>
    <w:p w14:paraId="648B2E6C" w14:textId="77777777" w:rsidR="00AC10F5" w:rsidRDefault="00AC10F5" w:rsidP="00AC10F5">
      <w:pPr>
        <w:sectPr w:rsidR="00AC10F5" w:rsidSect="00E96446">
          <w:footerReference w:type="even" r:id="rId45"/>
          <w:type w:val="oddPage"/>
          <w:pgSz w:w="11906" w:h="16838"/>
          <w:pgMar w:top="1440" w:right="1440" w:bottom="1440" w:left="1440" w:header="720" w:footer="720" w:gutter="0"/>
          <w:paperSrc w:first="7" w:other="7"/>
          <w:cols w:space="720"/>
        </w:sectPr>
      </w:pPr>
    </w:p>
    <w:p w14:paraId="4A80CA03" w14:textId="3C9D5336" w:rsidR="00AC10F5" w:rsidRPr="00466B3D" w:rsidRDefault="00AC10F5" w:rsidP="008553E9">
      <w:pPr>
        <w:pStyle w:val="Caption"/>
        <w:ind w:left="1134" w:hanging="1134"/>
      </w:pPr>
      <w:bookmarkStart w:id="397" w:name="_Ref456700278"/>
      <w:bookmarkStart w:id="398" w:name="_Toc460514537"/>
      <w:r w:rsidRPr="00AA4A24">
        <w:lastRenderedPageBreak/>
        <w:t xml:space="preserve">Table </w:t>
      </w:r>
      <w:fldSimple w:instr=" SEQ Table \* ARABIC ">
        <w:r w:rsidR="0029649D">
          <w:rPr>
            <w:noProof/>
          </w:rPr>
          <w:t>37</w:t>
        </w:r>
      </w:fldSimple>
      <w:bookmarkEnd w:id="397"/>
      <w:r w:rsidRPr="00183E4D">
        <w:tab/>
      </w:r>
      <w:r>
        <w:t xml:space="preserve">Summary of findings for the linked evidence comparison of </w:t>
      </w:r>
      <w:r w:rsidRPr="00466B3D">
        <w:t xml:space="preserve">mpMRI, relative to TRUSGB or TPUSGB, in patients at </w:t>
      </w:r>
      <w:r w:rsidR="0058672B">
        <w:t>low-concern</w:t>
      </w:r>
      <w:r w:rsidR="00A9704F" w:rsidRPr="00466B3D">
        <w:t xml:space="preserve"> </w:t>
      </w:r>
      <w:r w:rsidRPr="00466B3D">
        <w:t>with suspected prostate cancer with assumed pre-test probability (prevalence) of 35%</w:t>
      </w:r>
      <w:bookmarkEnd w:id="398"/>
      <w:r w:rsidRPr="00466B3D">
        <w:t xml:space="preserve"> </w:t>
      </w:r>
    </w:p>
    <w:tbl>
      <w:tblPr>
        <w:tblStyle w:val="TableGrid"/>
        <w:tblW w:w="5000" w:type="pct"/>
        <w:tblCellMar>
          <w:left w:w="28" w:type="dxa"/>
          <w:right w:w="28" w:type="dxa"/>
        </w:tblCellMar>
        <w:tblLook w:val="04A0" w:firstRow="1" w:lastRow="0" w:firstColumn="1" w:lastColumn="0" w:noHBand="0" w:noVBand="1"/>
        <w:tblDescription w:val="Summary of findings table"/>
      </w:tblPr>
      <w:tblGrid>
        <w:gridCol w:w="1607"/>
        <w:gridCol w:w="1247"/>
        <w:gridCol w:w="1191"/>
        <w:gridCol w:w="2290"/>
        <w:gridCol w:w="2147"/>
        <w:gridCol w:w="1432"/>
        <w:gridCol w:w="4100"/>
      </w:tblGrid>
      <w:tr w:rsidR="008553E9" w:rsidRPr="008553E9" w14:paraId="32DA865D" w14:textId="77777777" w:rsidTr="00BB5AAA">
        <w:trPr>
          <w:trHeight w:val="397"/>
          <w:tblHeader/>
        </w:trPr>
        <w:tc>
          <w:tcPr>
            <w:tcW w:w="573" w:type="pct"/>
          </w:tcPr>
          <w:p w14:paraId="49D2BAB1" w14:textId="77777777" w:rsidR="00AC10F5" w:rsidRPr="008553E9" w:rsidRDefault="00AC10F5" w:rsidP="00782195">
            <w:pPr>
              <w:pStyle w:val="Tableheading1"/>
            </w:pPr>
            <w:r w:rsidRPr="008553E9">
              <w:t>Outcomes</w:t>
            </w:r>
          </w:p>
        </w:tc>
        <w:tc>
          <w:tcPr>
            <w:tcW w:w="445" w:type="pct"/>
          </w:tcPr>
          <w:p w14:paraId="3450FDD4" w14:textId="6265C1FB" w:rsidR="00AC10F5" w:rsidRPr="008553E9" w:rsidRDefault="00CE60C4" w:rsidP="00782195">
            <w:pPr>
              <w:pStyle w:val="Tableheading1"/>
            </w:pPr>
            <w:r w:rsidRPr="008553E9">
              <w:t>Patients</w:t>
            </w:r>
            <w:r w:rsidR="00C34CB9" w:rsidRPr="008553E9">
              <w:t>/</w:t>
            </w:r>
          </w:p>
          <w:p w14:paraId="22268C94" w14:textId="77777777" w:rsidR="00AC10F5" w:rsidRPr="008553E9" w:rsidRDefault="00AC10F5" w:rsidP="00782195">
            <w:pPr>
              <w:pStyle w:val="Tableheading1"/>
            </w:pPr>
            <w:r w:rsidRPr="008553E9">
              <w:t>Studies</w:t>
            </w:r>
          </w:p>
        </w:tc>
        <w:tc>
          <w:tcPr>
            <w:tcW w:w="425" w:type="pct"/>
          </w:tcPr>
          <w:p w14:paraId="3BEBC615" w14:textId="104EB5B9" w:rsidR="00AC10F5" w:rsidRPr="008553E9" w:rsidRDefault="00AC10F5" w:rsidP="00782195">
            <w:pPr>
              <w:pStyle w:val="Tableheading1"/>
            </w:pPr>
            <w:r w:rsidRPr="008553E9">
              <w:t>Quality of evidence</w:t>
            </w:r>
            <w:r w:rsidR="00B43ED7" w:rsidRPr="008553E9">
              <w:rPr>
                <w:vertAlign w:val="superscript"/>
              </w:rPr>
              <w:t>a</w:t>
            </w:r>
          </w:p>
        </w:tc>
        <w:tc>
          <w:tcPr>
            <w:tcW w:w="817" w:type="pct"/>
          </w:tcPr>
          <w:p w14:paraId="5F1AF5EF" w14:textId="60556A93" w:rsidR="00AC10F5" w:rsidRPr="008553E9" w:rsidRDefault="00AC10F5" w:rsidP="00F503A0">
            <w:pPr>
              <w:pStyle w:val="Tableheading1"/>
              <w:rPr>
                <w:vertAlign w:val="superscript"/>
              </w:rPr>
            </w:pPr>
            <w:r w:rsidRPr="008553E9">
              <w:t xml:space="preserve">No. per 100 patients with intervention </w:t>
            </w:r>
            <w:r w:rsidR="00F503A0">
              <w:br/>
            </w:r>
            <w:r w:rsidRPr="008553E9">
              <w:t>[95% CI]</w:t>
            </w:r>
            <w:r w:rsidR="008A744D" w:rsidRPr="008553E9">
              <w:rPr>
                <w:vertAlign w:val="superscript"/>
              </w:rPr>
              <w:t>b</w:t>
            </w:r>
          </w:p>
        </w:tc>
        <w:tc>
          <w:tcPr>
            <w:tcW w:w="766" w:type="pct"/>
          </w:tcPr>
          <w:p w14:paraId="2859B7A7" w14:textId="48C58442" w:rsidR="00AC10F5" w:rsidRPr="008553E9" w:rsidRDefault="00AC10F5" w:rsidP="00782195">
            <w:pPr>
              <w:pStyle w:val="Tableheading1"/>
            </w:pPr>
            <w:r w:rsidRPr="008553E9">
              <w:t>No. p</w:t>
            </w:r>
            <w:r w:rsidR="00F503A0">
              <w:t>er 100 patients with comparator</w:t>
            </w:r>
            <w:r w:rsidR="00F503A0">
              <w:br/>
            </w:r>
            <w:r w:rsidR="008553E9">
              <w:t xml:space="preserve"> </w:t>
            </w:r>
            <w:r w:rsidRPr="008553E9">
              <w:t>[95% CI]</w:t>
            </w:r>
            <w:r w:rsidR="008553E9" w:rsidRPr="008553E9">
              <w:rPr>
                <w:vertAlign w:val="superscript"/>
              </w:rPr>
              <w:t>c</w:t>
            </w:r>
          </w:p>
        </w:tc>
        <w:tc>
          <w:tcPr>
            <w:tcW w:w="511" w:type="pct"/>
          </w:tcPr>
          <w:p w14:paraId="14E755BE" w14:textId="77777777" w:rsidR="00AC10F5" w:rsidRPr="008553E9" w:rsidRDefault="00AC10F5" w:rsidP="00782195">
            <w:pPr>
              <w:pStyle w:val="Tableheading1"/>
            </w:pPr>
            <w:r w:rsidRPr="008553E9">
              <w:t>Importance</w:t>
            </w:r>
          </w:p>
        </w:tc>
        <w:tc>
          <w:tcPr>
            <w:tcW w:w="1463" w:type="pct"/>
          </w:tcPr>
          <w:p w14:paraId="09D105DC" w14:textId="77777777" w:rsidR="00AC10F5" w:rsidRPr="008553E9" w:rsidRDefault="00AC10F5" w:rsidP="00782195">
            <w:pPr>
              <w:pStyle w:val="Tableheading1"/>
            </w:pPr>
            <w:r w:rsidRPr="008553E9">
              <w:t>Comments</w:t>
            </w:r>
          </w:p>
        </w:tc>
      </w:tr>
      <w:tr w:rsidR="008553E9" w14:paraId="38BCF4A4" w14:textId="77777777" w:rsidTr="00BB5AAA">
        <w:trPr>
          <w:trHeight w:val="397"/>
        </w:trPr>
        <w:tc>
          <w:tcPr>
            <w:tcW w:w="573" w:type="pct"/>
          </w:tcPr>
          <w:p w14:paraId="04617588" w14:textId="77777777" w:rsidR="00203C89" w:rsidRPr="008A744D" w:rsidRDefault="00203C89" w:rsidP="00782195">
            <w:pPr>
              <w:pStyle w:val="Tabletext1"/>
            </w:pPr>
            <w:r w:rsidRPr="008A744D">
              <w:t>True positives</w:t>
            </w:r>
          </w:p>
        </w:tc>
        <w:tc>
          <w:tcPr>
            <w:tcW w:w="445" w:type="pct"/>
          </w:tcPr>
          <w:p w14:paraId="29E68A6B" w14:textId="5897E22D" w:rsidR="00203C89" w:rsidRPr="008A744D" w:rsidRDefault="00203C89" w:rsidP="00782195">
            <w:pPr>
              <w:pStyle w:val="Tabletext1"/>
            </w:pPr>
            <w:r w:rsidRPr="008A744D">
              <w:t>2</w:t>
            </w:r>
            <w:r w:rsidR="008063BB">
              <w:t>,</w:t>
            </w:r>
            <w:r w:rsidRPr="008A744D">
              <w:t>062 patients</w:t>
            </w:r>
          </w:p>
          <w:p w14:paraId="0C590490" w14:textId="118B8310" w:rsidR="00203C89" w:rsidRPr="008A744D" w:rsidRDefault="00C34CB9" w:rsidP="00782195">
            <w:pPr>
              <w:pStyle w:val="Tabletext1"/>
            </w:pPr>
            <w:r>
              <w:t>(</w:t>
            </w:r>
            <w:r w:rsidR="00203C89" w:rsidRPr="008A744D">
              <w:t>10 studies</w:t>
            </w:r>
            <w:r>
              <w:t>)</w:t>
            </w:r>
            <w:r w:rsidR="008553E9">
              <w:t>.</w:t>
            </w:r>
          </w:p>
        </w:tc>
        <w:tc>
          <w:tcPr>
            <w:tcW w:w="425" w:type="pct"/>
          </w:tcPr>
          <w:p w14:paraId="4E10CC0C" w14:textId="23060EDB" w:rsidR="00203C89" w:rsidRPr="008A744D" w:rsidRDefault="00203C89"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7570C9FD" w14:textId="77777777" w:rsidR="00203C89" w:rsidRPr="008A744D" w:rsidRDefault="00203C89" w:rsidP="00782195">
            <w:pPr>
              <w:pStyle w:val="Tabletext1"/>
            </w:pPr>
            <w:r w:rsidRPr="008A744D">
              <w:t>26 [20,30]</w:t>
            </w:r>
          </w:p>
        </w:tc>
        <w:tc>
          <w:tcPr>
            <w:tcW w:w="766" w:type="pct"/>
          </w:tcPr>
          <w:p w14:paraId="0301E2C1" w14:textId="77777777" w:rsidR="00203C89" w:rsidRPr="008A744D" w:rsidRDefault="00203C89" w:rsidP="00782195">
            <w:pPr>
              <w:pStyle w:val="Tabletext1"/>
            </w:pPr>
            <w:r w:rsidRPr="008A744D">
              <w:t>28 [25, 31]</w:t>
            </w:r>
          </w:p>
        </w:tc>
        <w:tc>
          <w:tcPr>
            <w:tcW w:w="511" w:type="pct"/>
          </w:tcPr>
          <w:p w14:paraId="7A64B28B" w14:textId="77777777" w:rsidR="00203C89" w:rsidRPr="008A744D" w:rsidRDefault="00203C89" w:rsidP="00782195">
            <w:pPr>
              <w:pStyle w:val="Tabletext1"/>
            </w:pPr>
            <w:r w:rsidRPr="008A744D">
              <w:t>Critical</w:t>
            </w:r>
          </w:p>
        </w:tc>
        <w:tc>
          <w:tcPr>
            <w:tcW w:w="1463" w:type="pct"/>
          </w:tcPr>
          <w:p w14:paraId="042273B1" w14:textId="2EC2140D" w:rsidR="00203C89" w:rsidRPr="008A744D" w:rsidRDefault="00203C89" w:rsidP="00782195">
            <w:pPr>
              <w:pStyle w:val="Tabletext1"/>
            </w:pPr>
            <w:r w:rsidRPr="008A744D">
              <w:t>Will undergo biopsy as under current management.</w:t>
            </w:r>
          </w:p>
        </w:tc>
      </w:tr>
      <w:tr w:rsidR="00F8244A" w14:paraId="19A4D117" w14:textId="77777777" w:rsidTr="00201E80">
        <w:trPr>
          <w:trHeight w:val="397"/>
        </w:trPr>
        <w:tc>
          <w:tcPr>
            <w:tcW w:w="573" w:type="pct"/>
          </w:tcPr>
          <w:p w14:paraId="63E9C047" w14:textId="77777777" w:rsidR="00F8244A" w:rsidRPr="008A744D" w:rsidRDefault="00F8244A" w:rsidP="00201E80">
            <w:pPr>
              <w:pStyle w:val="Tabletext1"/>
            </w:pPr>
            <w:r w:rsidRPr="008A744D">
              <w:t>False positives</w:t>
            </w:r>
          </w:p>
        </w:tc>
        <w:tc>
          <w:tcPr>
            <w:tcW w:w="445" w:type="pct"/>
          </w:tcPr>
          <w:p w14:paraId="198253AA" w14:textId="77777777" w:rsidR="00F8244A" w:rsidRPr="008A744D" w:rsidRDefault="00F8244A" w:rsidP="00201E80">
            <w:pPr>
              <w:pStyle w:val="Tabletext1"/>
            </w:pPr>
            <w:r w:rsidRPr="008A744D">
              <w:t>2</w:t>
            </w:r>
            <w:r>
              <w:t>,</w:t>
            </w:r>
            <w:r w:rsidRPr="008A744D">
              <w:t>062 patients</w:t>
            </w:r>
          </w:p>
          <w:p w14:paraId="37D05B81" w14:textId="77777777" w:rsidR="00F8244A" w:rsidRPr="008A744D" w:rsidRDefault="00F8244A" w:rsidP="00201E80">
            <w:pPr>
              <w:pStyle w:val="Tabletext1"/>
            </w:pPr>
            <w:r>
              <w:t>(</w:t>
            </w:r>
            <w:r w:rsidRPr="008A744D">
              <w:t>10 studies</w:t>
            </w:r>
            <w:r>
              <w:t>).</w:t>
            </w:r>
          </w:p>
        </w:tc>
        <w:tc>
          <w:tcPr>
            <w:tcW w:w="425" w:type="pct"/>
          </w:tcPr>
          <w:p w14:paraId="4F5326EC" w14:textId="77777777" w:rsidR="00F8244A" w:rsidRPr="008A744D" w:rsidRDefault="00F8244A" w:rsidP="00201E80">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44091B61" w14:textId="77777777" w:rsidR="00F8244A" w:rsidRPr="008A744D" w:rsidRDefault="00F8244A" w:rsidP="00201E80">
            <w:pPr>
              <w:pStyle w:val="Tabletext1"/>
            </w:pPr>
            <w:r w:rsidRPr="008A744D">
              <w:t>15 [9, 24]</w:t>
            </w:r>
          </w:p>
        </w:tc>
        <w:tc>
          <w:tcPr>
            <w:tcW w:w="766" w:type="pct"/>
          </w:tcPr>
          <w:p w14:paraId="2C6C2471" w14:textId="77777777" w:rsidR="00F8244A" w:rsidRPr="008A744D" w:rsidRDefault="00F8244A" w:rsidP="00201E80">
            <w:pPr>
              <w:pStyle w:val="Tabletext1"/>
            </w:pPr>
            <w:r w:rsidRPr="008A744D">
              <w:t>0 [0, 0]</w:t>
            </w:r>
          </w:p>
        </w:tc>
        <w:tc>
          <w:tcPr>
            <w:tcW w:w="511" w:type="pct"/>
          </w:tcPr>
          <w:p w14:paraId="4BBED279" w14:textId="77777777" w:rsidR="00F8244A" w:rsidRPr="008A744D" w:rsidRDefault="00F8244A" w:rsidP="00201E80">
            <w:pPr>
              <w:pStyle w:val="Tabletext1"/>
            </w:pPr>
            <w:r w:rsidRPr="008A744D">
              <w:t>Critical</w:t>
            </w:r>
          </w:p>
        </w:tc>
        <w:tc>
          <w:tcPr>
            <w:tcW w:w="1463" w:type="pct"/>
          </w:tcPr>
          <w:p w14:paraId="729D5A79" w14:textId="77777777" w:rsidR="00F8244A" w:rsidRPr="008A744D" w:rsidRDefault="00F8244A" w:rsidP="00201E80">
            <w:pPr>
              <w:pStyle w:val="Tabletext1"/>
            </w:pPr>
            <w:r w:rsidRPr="008A744D">
              <w:t>Will undergo biopsy as under current management.</w:t>
            </w:r>
          </w:p>
        </w:tc>
      </w:tr>
      <w:tr w:rsidR="00F8244A" w14:paraId="133D4F46" w14:textId="77777777" w:rsidTr="00201E80">
        <w:trPr>
          <w:trHeight w:val="397"/>
        </w:trPr>
        <w:tc>
          <w:tcPr>
            <w:tcW w:w="573" w:type="pct"/>
          </w:tcPr>
          <w:p w14:paraId="64DD0129" w14:textId="77777777" w:rsidR="00F8244A" w:rsidRPr="008A744D" w:rsidRDefault="00F8244A" w:rsidP="00201E80">
            <w:pPr>
              <w:pStyle w:val="Tabletext1"/>
            </w:pPr>
            <w:r w:rsidRPr="008A744D">
              <w:t>True negatives</w:t>
            </w:r>
          </w:p>
        </w:tc>
        <w:tc>
          <w:tcPr>
            <w:tcW w:w="445" w:type="pct"/>
          </w:tcPr>
          <w:p w14:paraId="0D827F41" w14:textId="77777777" w:rsidR="00F8244A" w:rsidRPr="008A744D" w:rsidRDefault="00F8244A" w:rsidP="00201E80">
            <w:pPr>
              <w:pStyle w:val="Tabletext1"/>
            </w:pPr>
            <w:r w:rsidRPr="008A744D">
              <w:t>2</w:t>
            </w:r>
            <w:r>
              <w:t>,</w:t>
            </w:r>
            <w:r w:rsidRPr="008A744D">
              <w:t>062 patients</w:t>
            </w:r>
          </w:p>
          <w:p w14:paraId="62588FAB" w14:textId="77777777" w:rsidR="00F8244A" w:rsidRPr="008A744D" w:rsidRDefault="00F8244A" w:rsidP="00201E80">
            <w:pPr>
              <w:pStyle w:val="Tabletext1"/>
            </w:pPr>
            <w:r>
              <w:t>(</w:t>
            </w:r>
            <w:r w:rsidRPr="008A744D">
              <w:t>10 studies</w:t>
            </w:r>
            <w:r>
              <w:t>).</w:t>
            </w:r>
          </w:p>
        </w:tc>
        <w:tc>
          <w:tcPr>
            <w:tcW w:w="425" w:type="pct"/>
          </w:tcPr>
          <w:p w14:paraId="7A8C6FA7" w14:textId="77777777" w:rsidR="00F8244A" w:rsidRPr="008A744D" w:rsidRDefault="00F8244A" w:rsidP="00201E80">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78A46661" w14:textId="77777777" w:rsidR="00F8244A" w:rsidRPr="008A744D" w:rsidRDefault="00F8244A" w:rsidP="00201E80">
            <w:pPr>
              <w:pStyle w:val="Tabletext1"/>
            </w:pPr>
            <w:r w:rsidRPr="008A744D">
              <w:t>50 [41, 56]</w:t>
            </w:r>
          </w:p>
        </w:tc>
        <w:tc>
          <w:tcPr>
            <w:tcW w:w="766" w:type="pct"/>
          </w:tcPr>
          <w:p w14:paraId="55F89C16" w14:textId="77777777" w:rsidR="00F8244A" w:rsidRPr="008A744D" w:rsidRDefault="00F8244A" w:rsidP="00201E80">
            <w:pPr>
              <w:pStyle w:val="Tabletext1"/>
            </w:pPr>
            <w:r w:rsidRPr="008A744D">
              <w:t>65 [65, 65]</w:t>
            </w:r>
          </w:p>
        </w:tc>
        <w:tc>
          <w:tcPr>
            <w:tcW w:w="511" w:type="pct"/>
          </w:tcPr>
          <w:p w14:paraId="3D88D3C8" w14:textId="77777777" w:rsidR="00F8244A" w:rsidRPr="008A744D" w:rsidRDefault="00F8244A" w:rsidP="00201E80">
            <w:pPr>
              <w:pStyle w:val="Tabletext1"/>
            </w:pPr>
            <w:r w:rsidRPr="008A744D">
              <w:t>Critical</w:t>
            </w:r>
          </w:p>
        </w:tc>
        <w:tc>
          <w:tcPr>
            <w:tcW w:w="1463" w:type="pct"/>
          </w:tcPr>
          <w:p w14:paraId="453166B0" w14:textId="77777777" w:rsidR="00F8244A" w:rsidRPr="008A744D" w:rsidRDefault="00F8244A" w:rsidP="00201E80">
            <w:pPr>
              <w:pStyle w:val="Tabletext1"/>
            </w:pPr>
            <w:r w:rsidRPr="008A744D">
              <w:t>Will avoid biopsy adverse events</w:t>
            </w:r>
            <w:r>
              <w:t>.</w:t>
            </w:r>
          </w:p>
        </w:tc>
      </w:tr>
      <w:tr w:rsidR="008553E9" w14:paraId="4EC70A4A" w14:textId="77777777" w:rsidTr="00BB5AAA">
        <w:trPr>
          <w:trHeight w:val="397"/>
        </w:trPr>
        <w:tc>
          <w:tcPr>
            <w:tcW w:w="573" w:type="pct"/>
          </w:tcPr>
          <w:p w14:paraId="4401F8EA" w14:textId="77777777" w:rsidR="00203C89" w:rsidRPr="008A744D" w:rsidRDefault="00203C89" w:rsidP="00782195">
            <w:pPr>
              <w:pStyle w:val="Tabletext1"/>
            </w:pPr>
            <w:r w:rsidRPr="008A744D">
              <w:t xml:space="preserve">False negatives </w:t>
            </w:r>
          </w:p>
        </w:tc>
        <w:tc>
          <w:tcPr>
            <w:tcW w:w="445" w:type="pct"/>
          </w:tcPr>
          <w:p w14:paraId="1AB711D6" w14:textId="55CCB9FA" w:rsidR="00203C89" w:rsidRPr="008A744D" w:rsidRDefault="00203C89" w:rsidP="00782195">
            <w:pPr>
              <w:pStyle w:val="Tabletext1"/>
            </w:pPr>
            <w:r w:rsidRPr="008A744D">
              <w:t>2</w:t>
            </w:r>
            <w:r w:rsidR="008063BB">
              <w:t>,</w:t>
            </w:r>
            <w:r w:rsidRPr="008A744D">
              <w:t>062 patients</w:t>
            </w:r>
          </w:p>
          <w:p w14:paraId="7C33F6A3" w14:textId="302FBE73" w:rsidR="00203C89" w:rsidRPr="008A744D" w:rsidRDefault="00C34CB9" w:rsidP="00782195">
            <w:pPr>
              <w:pStyle w:val="Tabletext1"/>
            </w:pPr>
            <w:r>
              <w:t>(</w:t>
            </w:r>
            <w:r w:rsidR="00203C89" w:rsidRPr="008A744D">
              <w:t>10 studies</w:t>
            </w:r>
            <w:r>
              <w:t>)</w:t>
            </w:r>
            <w:r w:rsidR="008553E9">
              <w:t>.</w:t>
            </w:r>
          </w:p>
        </w:tc>
        <w:tc>
          <w:tcPr>
            <w:tcW w:w="425" w:type="pct"/>
          </w:tcPr>
          <w:p w14:paraId="7089B862" w14:textId="29FBB0F2" w:rsidR="00203C89" w:rsidRPr="008A744D" w:rsidRDefault="00203C89"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6E737A77" w14:textId="77777777" w:rsidR="00203C89" w:rsidRPr="008A744D" w:rsidRDefault="00203C89" w:rsidP="00782195">
            <w:pPr>
              <w:pStyle w:val="Tabletext1"/>
            </w:pPr>
            <w:r w:rsidRPr="008A744D">
              <w:t>9 [5,15]</w:t>
            </w:r>
          </w:p>
        </w:tc>
        <w:tc>
          <w:tcPr>
            <w:tcW w:w="766" w:type="pct"/>
          </w:tcPr>
          <w:p w14:paraId="5F2E129A" w14:textId="77777777" w:rsidR="00203C89" w:rsidRPr="008A744D" w:rsidRDefault="00203C89" w:rsidP="00782195">
            <w:pPr>
              <w:pStyle w:val="Tabletext1"/>
            </w:pPr>
            <w:r w:rsidRPr="008A744D">
              <w:t>7 [4, 11]</w:t>
            </w:r>
          </w:p>
        </w:tc>
        <w:tc>
          <w:tcPr>
            <w:tcW w:w="511" w:type="pct"/>
          </w:tcPr>
          <w:p w14:paraId="058C8307" w14:textId="77777777" w:rsidR="00203C89" w:rsidRPr="008A744D" w:rsidRDefault="00203C89" w:rsidP="00782195">
            <w:pPr>
              <w:pStyle w:val="Tabletext1"/>
            </w:pPr>
            <w:r w:rsidRPr="008A744D">
              <w:t>Critical</w:t>
            </w:r>
          </w:p>
        </w:tc>
        <w:tc>
          <w:tcPr>
            <w:tcW w:w="1463" w:type="pct"/>
          </w:tcPr>
          <w:p w14:paraId="7A8B584A" w14:textId="08C8A5D7" w:rsidR="00203C89" w:rsidRPr="008A744D" w:rsidRDefault="00203C89" w:rsidP="00782195">
            <w:pPr>
              <w:pStyle w:val="Tabletext1"/>
            </w:pPr>
            <w:r w:rsidRPr="008A744D">
              <w:t>Will avoid the adverse events of biopsy b</w:t>
            </w:r>
            <w:r>
              <w:t>ut</w:t>
            </w:r>
            <w:r w:rsidRPr="008A744D">
              <w:t xml:space="preserve"> possible detriment due to delayed treatment.</w:t>
            </w:r>
          </w:p>
        </w:tc>
      </w:tr>
      <w:tr w:rsidR="008553E9" w14:paraId="74232359" w14:textId="77777777" w:rsidTr="00BB5AAA">
        <w:trPr>
          <w:trHeight w:val="397"/>
        </w:trPr>
        <w:tc>
          <w:tcPr>
            <w:tcW w:w="573" w:type="pct"/>
          </w:tcPr>
          <w:p w14:paraId="197E956B" w14:textId="3B17FBF6" w:rsidR="004A66A8" w:rsidRPr="008A744D" w:rsidRDefault="004A66A8" w:rsidP="00782195">
            <w:pPr>
              <w:pStyle w:val="Tabletext1"/>
              <w:rPr>
                <w:rFonts w:cs="Arial"/>
              </w:rPr>
            </w:pPr>
            <w:r w:rsidRPr="008A744D">
              <w:rPr>
                <w:rStyle w:val="label"/>
              </w:rPr>
              <w:t xml:space="preserve">Major </w:t>
            </w:r>
            <w:r w:rsidR="00BC7F22">
              <w:rPr>
                <w:rStyle w:val="label"/>
              </w:rPr>
              <w:t>i</w:t>
            </w:r>
            <w:r w:rsidRPr="008A744D">
              <w:rPr>
                <w:rStyle w:val="label"/>
              </w:rPr>
              <w:t>nfection</w:t>
            </w:r>
          </w:p>
        </w:tc>
        <w:tc>
          <w:tcPr>
            <w:tcW w:w="445" w:type="pct"/>
          </w:tcPr>
          <w:p w14:paraId="3D2AB35E" w14:textId="77777777" w:rsidR="008553E9" w:rsidRDefault="004A66A8" w:rsidP="00782195">
            <w:pPr>
              <w:pStyle w:val="Tabletext1"/>
            </w:pPr>
            <w:r>
              <w:t>45,492 patient</w:t>
            </w:r>
            <w:r w:rsidRPr="00E70C2E">
              <w:t xml:space="preserve">s </w:t>
            </w:r>
          </w:p>
          <w:p w14:paraId="603A5E70" w14:textId="0EC3E6D5" w:rsidR="004A66A8" w:rsidRPr="004A66A8" w:rsidRDefault="008063BB" w:rsidP="00782195">
            <w:pPr>
              <w:pStyle w:val="Tabletext1"/>
            </w:pPr>
            <w:r>
              <w:t>(</w:t>
            </w:r>
            <w:r w:rsidR="004A66A8" w:rsidRPr="00E70C2E">
              <w:t>8 studies</w:t>
            </w:r>
            <w:r>
              <w:t>)</w:t>
            </w:r>
            <w:r w:rsidR="008553E9">
              <w:t>.</w:t>
            </w:r>
          </w:p>
        </w:tc>
        <w:tc>
          <w:tcPr>
            <w:tcW w:w="425" w:type="pct"/>
          </w:tcPr>
          <w:p w14:paraId="3A45C801" w14:textId="0941CCC6" w:rsidR="004A66A8"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2216959F" w14:textId="77777777" w:rsidR="004A66A8" w:rsidRPr="008A744D" w:rsidRDefault="004A66A8" w:rsidP="00782195">
            <w:pPr>
              <w:pStyle w:val="Tabletext1"/>
            </w:pPr>
            <w:r w:rsidRPr="008A744D">
              <w:t>0</w:t>
            </w:r>
          </w:p>
        </w:tc>
        <w:tc>
          <w:tcPr>
            <w:tcW w:w="766" w:type="pct"/>
          </w:tcPr>
          <w:p w14:paraId="5776C4A2" w14:textId="77777777" w:rsidR="004A66A8" w:rsidRPr="008A744D" w:rsidRDefault="004A66A8" w:rsidP="00782195">
            <w:pPr>
              <w:pStyle w:val="Tabletext1"/>
            </w:pPr>
            <w:r w:rsidRPr="009A220C">
              <w:t>TRUSGB:</w:t>
            </w:r>
            <w:r w:rsidRPr="008A744D">
              <w:t xml:space="preserve"> Range 0-2</w:t>
            </w:r>
          </w:p>
          <w:p w14:paraId="02626CD2" w14:textId="77777777" w:rsidR="004A66A8" w:rsidRPr="008A744D" w:rsidRDefault="004A66A8" w:rsidP="00782195">
            <w:pPr>
              <w:pStyle w:val="Tabletext1"/>
            </w:pPr>
            <w:r w:rsidRPr="008A744D">
              <w:t>TPUSGB: 0</w:t>
            </w:r>
          </w:p>
        </w:tc>
        <w:tc>
          <w:tcPr>
            <w:tcW w:w="511" w:type="pct"/>
          </w:tcPr>
          <w:p w14:paraId="14F57255" w14:textId="77777777" w:rsidR="004A66A8" w:rsidRPr="008A744D" w:rsidRDefault="004A66A8" w:rsidP="00782195">
            <w:pPr>
              <w:pStyle w:val="Tabletext1"/>
            </w:pPr>
            <w:r w:rsidRPr="008A744D">
              <w:t>Critical</w:t>
            </w:r>
          </w:p>
        </w:tc>
        <w:tc>
          <w:tcPr>
            <w:tcW w:w="1463" w:type="pct"/>
          </w:tcPr>
          <w:p w14:paraId="272FE9A5" w14:textId="665D530E" w:rsidR="004A66A8" w:rsidRPr="008A744D" w:rsidRDefault="00203C89" w:rsidP="00782195">
            <w:pPr>
              <w:pStyle w:val="Tabletext1"/>
            </w:pPr>
            <w:r>
              <w:t>-</w:t>
            </w:r>
          </w:p>
        </w:tc>
      </w:tr>
      <w:tr w:rsidR="008553E9" w14:paraId="71E143E5" w14:textId="77777777" w:rsidTr="00BB5AAA">
        <w:trPr>
          <w:trHeight w:val="397"/>
        </w:trPr>
        <w:tc>
          <w:tcPr>
            <w:tcW w:w="573" w:type="pct"/>
          </w:tcPr>
          <w:p w14:paraId="03100752" w14:textId="77777777" w:rsidR="004A66A8" w:rsidRPr="008A744D" w:rsidRDefault="004A66A8" w:rsidP="00782195">
            <w:pPr>
              <w:pStyle w:val="Tabletext1"/>
              <w:rPr>
                <w:rFonts w:cs="Arial"/>
              </w:rPr>
            </w:pPr>
            <w:r w:rsidRPr="008A744D">
              <w:rPr>
                <w:rStyle w:val="label"/>
              </w:rPr>
              <w:t>Minor infection</w:t>
            </w:r>
          </w:p>
        </w:tc>
        <w:tc>
          <w:tcPr>
            <w:tcW w:w="445" w:type="pct"/>
          </w:tcPr>
          <w:p w14:paraId="0C7B3CAB" w14:textId="77777777" w:rsidR="008553E9" w:rsidRDefault="004A66A8" w:rsidP="00782195">
            <w:pPr>
              <w:pStyle w:val="Tabletext1"/>
            </w:pPr>
            <w:r w:rsidRPr="00E70C2E">
              <w:t>132,239 p</w:t>
            </w:r>
            <w:r>
              <w:t>atients</w:t>
            </w:r>
            <w:r w:rsidRPr="00E70C2E">
              <w:t xml:space="preserve"> </w:t>
            </w:r>
          </w:p>
          <w:p w14:paraId="1CCFFD85" w14:textId="3516BAC1" w:rsidR="004A66A8" w:rsidRPr="008A744D" w:rsidRDefault="008063BB" w:rsidP="00782195">
            <w:pPr>
              <w:pStyle w:val="Tabletext1"/>
              <w:rPr>
                <w:rFonts w:cs="Arial"/>
              </w:rPr>
            </w:pPr>
            <w:r>
              <w:t>(</w:t>
            </w:r>
            <w:r w:rsidR="004A66A8" w:rsidRPr="00E70C2E">
              <w:t>9 studies</w:t>
            </w:r>
            <w:r>
              <w:t>)</w:t>
            </w:r>
            <w:r w:rsidR="008553E9">
              <w:t>.</w:t>
            </w:r>
          </w:p>
        </w:tc>
        <w:tc>
          <w:tcPr>
            <w:tcW w:w="425" w:type="pct"/>
          </w:tcPr>
          <w:p w14:paraId="723D9D72" w14:textId="4D6A92C6" w:rsidR="004A66A8"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40CE1F37" w14:textId="77777777" w:rsidR="004A66A8" w:rsidRPr="008A744D" w:rsidRDefault="004A66A8" w:rsidP="00782195">
            <w:pPr>
              <w:pStyle w:val="Tabletext1"/>
            </w:pPr>
            <w:r w:rsidRPr="008A744D">
              <w:t>0</w:t>
            </w:r>
          </w:p>
        </w:tc>
        <w:tc>
          <w:tcPr>
            <w:tcW w:w="766" w:type="pct"/>
          </w:tcPr>
          <w:p w14:paraId="3E90641C" w14:textId="77777777" w:rsidR="004A66A8" w:rsidRPr="008A744D" w:rsidRDefault="004A66A8" w:rsidP="00782195">
            <w:pPr>
              <w:pStyle w:val="Tabletext1"/>
            </w:pPr>
            <w:r w:rsidRPr="008A744D">
              <w:t>TRUSGB: Range 0-7</w:t>
            </w:r>
          </w:p>
          <w:p w14:paraId="445D6BED" w14:textId="77777777" w:rsidR="004A66A8" w:rsidRPr="008A744D" w:rsidRDefault="004A66A8" w:rsidP="00782195">
            <w:pPr>
              <w:pStyle w:val="Tabletext1"/>
            </w:pPr>
            <w:r w:rsidRPr="008A744D">
              <w:t>TPUSGB: Range 0-1</w:t>
            </w:r>
          </w:p>
        </w:tc>
        <w:tc>
          <w:tcPr>
            <w:tcW w:w="511" w:type="pct"/>
          </w:tcPr>
          <w:p w14:paraId="4F023033" w14:textId="77777777" w:rsidR="004A66A8" w:rsidRPr="008A744D" w:rsidRDefault="004A66A8" w:rsidP="00782195">
            <w:pPr>
              <w:pStyle w:val="Tabletext1"/>
            </w:pPr>
            <w:r w:rsidRPr="008A744D">
              <w:t>Critical</w:t>
            </w:r>
          </w:p>
        </w:tc>
        <w:tc>
          <w:tcPr>
            <w:tcW w:w="1463" w:type="pct"/>
          </w:tcPr>
          <w:p w14:paraId="21FFEAD9" w14:textId="254820AC" w:rsidR="004A66A8" w:rsidRPr="008A744D" w:rsidRDefault="00203C89" w:rsidP="00782195">
            <w:pPr>
              <w:pStyle w:val="Tabletext1"/>
            </w:pPr>
            <w:r>
              <w:t>-</w:t>
            </w:r>
          </w:p>
        </w:tc>
      </w:tr>
      <w:tr w:rsidR="008553E9" w14:paraId="5657F5EE" w14:textId="77777777" w:rsidTr="00BB5AAA">
        <w:trPr>
          <w:trHeight w:val="397"/>
        </w:trPr>
        <w:tc>
          <w:tcPr>
            <w:tcW w:w="573" w:type="pct"/>
          </w:tcPr>
          <w:p w14:paraId="69F6A9D1" w14:textId="77777777" w:rsidR="004A66A8" w:rsidRPr="008A744D" w:rsidRDefault="004A66A8" w:rsidP="00782195">
            <w:pPr>
              <w:pStyle w:val="Tabletext1"/>
              <w:rPr>
                <w:rFonts w:cs="Arial"/>
              </w:rPr>
            </w:pPr>
            <w:r w:rsidRPr="008A744D">
              <w:rPr>
                <w:rStyle w:val="label"/>
              </w:rPr>
              <w:t>Re-hospitalisation</w:t>
            </w:r>
          </w:p>
        </w:tc>
        <w:tc>
          <w:tcPr>
            <w:tcW w:w="445" w:type="pct"/>
          </w:tcPr>
          <w:p w14:paraId="44074EA9" w14:textId="77777777" w:rsidR="008553E9" w:rsidRDefault="004A66A8" w:rsidP="00782195">
            <w:pPr>
              <w:pStyle w:val="Tabletext1"/>
            </w:pPr>
            <w:r w:rsidRPr="00E70C2E">
              <w:t>292,956 p</w:t>
            </w:r>
            <w:r>
              <w:t>atients</w:t>
            </w:r>
            <w:r w:rsidRPr="00E70C2E">
              <w:t xml:space="preserve"> </w:t>
            </w:r>
          </w:p>
          <w:p w14:paraId="6E663118" w14:textId="67618D59" w:rsidR="004A66A8" w:rsidRPr="004A66A8" w:rsidRDefault="008063BB" w:rsidP="00782195">
            <w:pPr>
              <w:pStyle w:val="Tabletext1"/>
            </w:pPr>
            <w:r>
              <w:t>(</w:t>
            </w:r>
            <w:r w:rsidR="004A66A8" w:rsidRPr="00E70C2E">
              <w:t xml:space="preserve">9 </w:t>
            </w:r>
            <w:r w:rsidR="004A66A8">
              <w:t>studies</w:t>
            </w:r>
            <w:r>
              <w:t>)</w:t>
            </w:r>
          </w:p>
        </w:tc>
        <w:tc>
          <w:tcPr>
            <w:tcW w:w="425" w:type="pct"/>
          </w:tcPr>
          <w:p w14:paraId="6176616C" w14:textId="1B70A8CC" w:rsidR="004A66A8"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1584683E" w14:textId="77777777" w:rsidR="004A66A8" w:rsidRPr="008A744D" w:rsidRDefault="004A66A8" w:rsidP="00782195">
            <w:pPr>
              <w:pStyle w:val="Tabletext1"/>
            </w:pPr>
            <w:r w:rsidRPr="008A744D">
              <w:t>0</w:t>
            </w:r>
          </w:p>
        </w:tc>
        <w:tc>
          <w:tcPr>
            <w:tcW w:w="766" w:type="pct"/>
          </w:tcPr>
          <w:p w14:paraId="139FDD9B" w14:textId="77777777" w:rsidR="004A66A8" w:rsidRPr="008A744D" w:rsidRDefault="004A66A8" w:rsidP="00782195">
            <w:pPr>
              <w:pStyle w:val="Tabletext1"/>
            </w:pPr>
            <w:r w:rsidRPr="008A744D">
              <w:t>TRUSGB: Range 0-6</w:t>
            </w:r>
          </w:p>
          <w:p w14:paraId="770536EE" w14:textId="77777777" w:rsidR="004A66A8" w:rsidRPr="008A744D" w:rsidRDefault="004A66A8" w:rsidP="00782195">
            <w:pPr>
              <w:pStyle w:val="Tabletext1"/>
            </w:pPr>
            <w:r w:rsidRPr="008A744D">
              <w:t>TPUSGB: Range 1-2</w:t>
            </w:r>
          </w:p>
        </w:tc>
        <w:tc>
          <w:tcPr>
            <w:tcW w:w="511" w:type="pct"/>
          </w:tcPr>
          <w:p w14:paraId="1E194E6F" w14:textId="77777777" w:rsidR="004A66A8" w:rsidRPr="008A744D" w:rsidRDefault="004A66A8" w:rsidP="00782195">
            <w:pPr>
              <w:pStyle w:val="Tabletext1"/>
            </w:pPr>
            <w:r w:rsidRPr="008A744D">
              <w:t>Critical</w:t>
            </w:r>
          </w:p>
        </w:tc>
        <w:tc>
          <w:tcPr>
            <w:tcW w:w="1463" w:type="pct"/>
          </w:tcPr>
          <w:p w14:paraId="4BE2C979" w14:textId="5B1A1F21" w:rsidR="004A66A8" w:rsidRPr="008A744D" w:rsidRDefault="00203C89" w:rsidP="00782195">
            <w:pPr>
              <w:pStyle w:val="Tabletext1"/>
            </w:pPr>
            <w:r>
              <w:t>-</w:t>
            </w:r>
          </w:p>
        </w:tc>
      </w:tr>
      <w:tr w:rsidR="008553E9" w14:paraId="6887D89E" w14:textId="77777777" w:rsidTr="00BB5AAA">
        <w:trPr>
          <w:trHeight w:val="397"/>
        </w:trPr>
        <w:tc>
          <w:tcPr>
            <w:tcW w:w="573" w:type="pct"/>
          </w:tcPr>
          <w:p w14:paraId="0782968A" w14:textId="77777777" w:rsidR="004A66A8" w:rsidRPr="008A744D" w:rsidRDefault="004A66A8" w:rsidP="00782195">
            <w:pPr>
              <w:pStyle w:val="Tabletext1"/>
              <w:rPr>
                <w:rStyle w:val="label"/>
              </w:rPr>
            </w:pPr>
            <w:r w:rsidRPr="008A744D">
              <w:rPr>
                <w:rStyle w:val="label"/>
              </w:rPr>
              <w:t>Bleeding</w:t>
            </w:r>
          </w:p>
        </w:tc>
        <w:tc>
          <w:tcPr>
            <w:tcW w:w="445" w:type="pct"/>
          </w:tcPr>
          <w:p w14:paraId="24787503" w14:textId="77777777" w:rsidR="008553E9" w:rsidRDefault="004A66A8" w:rsidP="00782195">
            <w:pPr>
              <w:pStyle w:val="Tabletext1"/>
            </w:pPr>
            <w:r w:rsidRPr="00E70C2E">
              <w:t>334,688 p</w:t>
            </w:r>
            <w:r>
              <w:t>atients</w:t>
            </w:r>
            <w:r w:rsidRPr="00E70C2E">
              <w:t xml:space="preserve"> </w:t>
            </w:r>
          </w:p>
          <w:p w14:paraId="206F3230" w14:textId="414DF725" w:rsidR="004A66A8" w:rsidRPr="004A66A8" w:rsidRDefault="008063BB" w:rsidP="00782195">
            <w:pPr>
              <w:pStyle w:val="Tabletext1"/>
            </w:pPr>
            <w:r>
              <w:t>(</w:t>
            </w:r>
            <w:r w:rsidR="004A66A8" w:rsidRPr="00E70C2E">
              <w:t>13 studies</w:t>
            </w:r>
            <w:r>
              <w:t>)</w:t>
            </w:r>
            <w:r w:rsidR="008553E9">
              <w:t>.</w:t>
            </w:r>
          </w:p>
        </w:tc>
        <w:tc>
          <w:tcPr>
            <w:tcW w:w="425" w:type="pct"/>
          </w:tcPr>
          <w:p w14:paraId="64E50CBD" w14:textId="612134F2" w:rsidR="004A66A8"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42269C6E" w14:textId="77777777" w:rsidR="004A66A8" w:rsidRPr="008A744D" w:rsidRDefault="004A66A8" w:rsidP="00782195">
            <w:pPr>
              <w:pStyle w:val="Tabletext1"/>
            </w:pPr>
            <w:r w:rsidRPr="008A744D">
              <w:t>0</w:t>
            </w:r>
          </w:p>
        </w:tc>
        <w:tc>
          <w:tcPr>
            <w:tcW w:w="766" w:type="pct"/>
          </w:tcPr>
          <w:p w14:paraId="5E4C05C5" w14:textId="77777777" w:rsidR="004A66A8" w:rsidRPr="008A744D" w:rsidRDefault="004A66A8" w:rsidP="00782195">
            <w:pPr>
              <w:pStyle w:val="Tabletext1"/>
            </w:pPr>
            <w:r w:rsidRPr="008A744D">
              <w:t>TRUSGB: Range 1-88</w:t>
            </w:r>
          </w:p>
          <w:p w14:paraId="2586404B" w14:textId="77777777" w:rsidR="004A66A8" w:rsidRPr="008A744D" w:rsidRDefault="004A66A8" w:rsidP="00782195">
            <w:pPr>
              <w:pStyle w:val="Tabletext1"/>
            </w:pPr>
            <w:r w:rsidRPr="008A744D">
              <w:t>TPUSGB: Range 1-6</w:t>
            </w:r>
          </w:p>
        </w:tc>
        <w:tc>
          <w:tcPr>
            <w:tcW w:w="511" w:type="pct"/>
          </w:tcPr>
          <w:p w14:paraId="2A5D3C0A" w14:textId="77777777" w:rsidR="004A66A8" w:rsidRPr="008A744D" w:rsidRDefault="004A66A8" w:rsidP="00782195">
            <w:pPr>
              <w:pStyle w:val="Tabletext1"/>
            </w:pPr>
            <w:r w:rsidRPr="008A744D">
              <w:t>Important</w:t>
            </w:r>
          </w:p>
        </w:tc>
        <w:tc>
          <w:tcPr>
            <w:tcW w:w="1463" w:type="pct"/>
          </w:tcPr>
          <w:p w14:paraId="55D5075A" w14:textId="14291B1E" w:rsidR="004A66A8" w:rsidRPr="008A744D" w:rsidRDefault="00203C89" w:rsidP="00782195">
            <w:pPr>
              <w:pStyle w:val="Tabletext1"/>
            </w:pPr>
            <w:r>
              <w:t>-</w:t>
            </w:r>
          </w:p>
        </w:tc>
      </w:tr>
      <w:tr w:rsidR="008553E9" w14:paraId="56ED775F" w14:textId="77777777" w:rsidTr="00BB5AAA">
        <w:trPr>
          <w:trHeight w:val="397"/>
        </w:trPr>
        <w:tc>
          <w:tcPr>
            <w:tcW w:w="573" w:type="pct"/>
          </w:tcPr>
          <w:p w14:paraId="3E8E05D5" w14:textId="77777777" w:rsidR="004A66A8" w:rsidRPr="008A744D" w:rsidRDefault="004A66A8" w:rsidP="00782195">
            <w:pPr>
              <w:pStyle w:val="Tabletext1"/>
              <w:rPr>
                <w:rStyle w:val="label"/>
              </w:rPr>
            </w:pPr>
            <w:r w:rsidRPr="008A744D">
              <w:rPr>
                <w:rStyle w:val="label"/>
              </w:rPr>
              <w:t>Urinary obstruction</w:t>
            </w:r>
          </w:p>
        </w:tc>
        <w:tc>
          <w:tcPr>
            <w:tcW w:w="445" w:type="pct"/>
          </w:tcPr>
          <w:p w14:paraId="670F297F" w14:textId="77777777" w:rsidR="008553E9" w:rsidRDefault="004A66A8" w:rsidP="00782195">
            <w:pPr>
              <w:pStyle w:val="Tabletext1"/>
            </w:pPr>
            <w:r w:rsidRPr="00E70C2E">
              <w:t>132,020 p</w:t>
            </w:r>
            <w:r>
              <w:t>atients</w:t>
            </w:r>
            <w:r w:rsidRPr="00E70C2E">
              <w:t xml:space="preserve"> </w:t>
            </w:r>
          </w:p>
          <w:p w14:paraId="50796325" w14:textId="1AF66AB1" w:rsidR="004A66A8" w:rsidRPr="004A66A8" w:rsidRDefault="008063BB" w:rsidP="00782195">
            <w:pPr>
              <w:pStyle w:val="Tabletext1"/>
            </w:pPr>
            <w:r>
              <w:t>(</w:t>
            </w:r>
            <w:r w:rsidR="004A66A8" w:rsidRPr="00E70C2E">
              <w:t>12 studies</w:t>
            </w:r>
            <w:r>
              <w:t>)</w:t>
            </w:r>
            <w:r w:rsidR="00BB5AAA">
              <w:t>.</w:t>
            </w:r>
          </w:p>
        </w:tc>
        <w:tc>
          <w:tcPr>
            <w:tcW w:w="425" w:type="pct"/>
          </w:tcPr>
          <w:p w14:paraId="5BDD71A2" w14:textId="25D4C992" w:rsidR="004A66A8"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595D42F8" w14:textId="77777777" w:rsidR="004A66A8" w:rsidRPr="008A744D" w:rsidRDefault="004A66A8" w:rsidP="00782195">
            <w:pPr>
              <w:pStyle w:val="Tabletext1"/>
            </w:pPr>
            <w:r w:rsidRPr="008A744D">
              <w:t>0</w:t>
            </w:r>
          </w:p>
        </w:tc>
        <w:tc>
          <w:tcPr>
            <w:tcW w:w="766" w:type="pct"/>
          </w:tcPr>
          <w:p w14:paraId="69DF0C3E" w14:textId="77777777" w:rsidR="004A66A8" w:rsidRPr="008A744D" w:rsidRDefault="004A66A8" w:rsidP="00782195">
            <w:pPr>
              <w:pStyle w:val="Tabletext1"/>
            </w:pPr>
            <w:r w:rsidRPr="008A744D">
              <w:t>TRUSGB: Range 1-21</w:t>
            </w:r>
          </w:p>
          <w:p w14:paraId="2CE592CC" w14:textId="77777777" w:rsidR="004A66A8" w:rsidRPr="008A744D" w:rsidRDefault="004A66A8" w:rsidP="00782195">
            <w:pPr>
              <w:pStyle w:val="Tabletext1"/>
            </w:pPr>
            <w:r w:rsidRPr="008A744D">
              <w:t>TPUSGB: Range 0-38</w:t>
            </w:r>
          </w:p>
        </w:tc>
        <w:tc>
          <w:tcPr>
            <w:tcW w:w="511" w:type="pct"/>
          </w:tcPr>
          <w:p w14:paraId="7E3D61A4" w14:textId="77777777" w:rsidR="004A66A8" w:rsidRPr="008A744D" w:rsidRDefault="004A66A8" w:rsidP="00782195">
            <w:pPr>
              <w:pStyle w:val="Tabletext1"/>
            </w:pPr>
            <w:r w:rsidRPr="008A744D">
              <w:t>Important</w:t>
            </w:r>
          </w:p>
        </w:tc>
        <w:tc>
          <w:tcPr>
            <w:tcW w:w="1463" w:type="pct"/>
          </w:tcPr>
          <w:p w14:paraId="13D7C000" w14:textId="0802177B" w:rsidR="004A66A8" w:rsidRPr="008A744D" w:rsidRDefault="00203C89" w:rsidP="00782195">
            <w:pPr>
              <w:pStyle w:val="Tabletext1"/>
            </w:pPr>
            <w:r>
              <w:t>-</w:t>
            </w:r>
          </w:p>
        </w:tc>
      </w:tr>
      <w:tr w:rsidR="008553E9" w14:paraId="192DE9AF" w14:textId="77777777" w:rsidTr="00BB5AAA">
        <w:trPr>
          <w:trHeight w:val="397"/>
        </w:trPr>
        <w:tc>
          <w:tcPr>
            <w:tcW w:w="573" w:type="pct"/>
          </w:tcPr>
          <w:p w14:paraId="1C187020" w14:textId="77777777" w:rsidR="002E1456" w:rsidRPr="008A744D" w:rsidRDefault="002E1456" w:rsidP="00782195">
            <w:pPr>
              <w:pStyle w:val="Tabletext1"/>
            </w:pPr>
            <w:r w:rsidRPr="008A744D">
              <w:t>Overall survival</w:t>
            </w:r>
          </w:p>
        </w:tc>
        <w:tc>
          <w:tcPr>
            <w:tcW w:w="445" w:type="pct"/>
          </w:tcPr>
          <w:p w14:paraId="7092371E" w14:textId="7A67BA93" w:rsidR="002E1456" w:rsidRPr="008A744D" w:rsidRDefault="002E1456" w:rsidP="00782195">
            <w:pPr>
              <w:pStyle w:val="Tabletext1"/>
              <w:rPr>
                <w:rFonts w:cs="Arial"/>
              </w:rPr>
            </w:pPr>
            <w:r w:rsidRPr="008A744D">
              <w:t>41</w:t>
            </w:r>
            <w:r w:rsidR="008063BB">
              <w:t>,</w:t>
            </w:r>
            <w:r w:rsidRPr="008A744D">
              <w:t>146</w:t>
            </w:r>
            <w:r w:rsidRPr="008A744D">
              <w:br/>
              <w:t>(5 studies)</w:t>
            </w:r>
            <w:r w:rsidR="00BB5AAA">
              <w:t>.</w:t>
            </w:r>
          </w:p>
        </w:tc>
        <w:tc>
          <w:tcPr>
            <w:tcW w:w="425" w:type="pct"/>
          </w:tcPr>
          <w:p w14:paraId="34595C48" w14:textId="5F7507A6" w:rsidR="002E1456"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6335FCA9" w14:textId="77777777" w:rsidR="002E1456" w:rsidRPr="008A744D" w:rsidRDefault="002E1456" w:rsidP="00782195">
            <w:pPr>
              <w:pStyle w:val="Tabletext1"/>
            </w:pPr>
            <w:r w:rsidRPr="008A744D">
              <w:t>NA</w:t>
            </w:r>
          </w:p>
        </w:tc>
        <w:tc>
          <w:tcPr>
            <w:tcW w:w="766" w:type="pct"/>
          </w:tcPr>
          <w:p w14:paraId="292ADCAD" w14:textId="77777777" w:rsidR="002E1456" w:rsidRPr="008A744D" w:rsidRDefault="002E1456" w:rsidP="00782195">
            <w:pPr>
              <w:pStyle w:val="Tabletext1"/>
            </w:pPr>
            <w:r w:rsidRPr="008A744D">
              <w:t>NA</w:t>
            </w:r>
          </w:p>
        </w:tc>
        <w:tc>
          <w:tcPr>
            <w:tcW w:w="511" w:type="pct"/>
          </w:tcPr>
          <w:p w14:paraId="6C60A74C" w14:textId="77777777" w:rsidR="002E1456" w:rsidRPr="008A744D" w:rsidRDefault="002E1456" w:rsidP="00782195">
            <w:pPr>
              <w:pStyle w:val="Tabletext1"/>
            </w:pPr>
            <w:r w:rsidRPr="008A744D">
              <w:t>Critical</w:t>
            </w:r>
          </w:p>
        </w:tc>
        <w:tc>
          <w:tcPr>
            <w:tcW w:w="1463" w:type="pct"/>
          </w:tcPr>
          <w:p w14:paraId="52FEEF44" w14:textId="43A88316" w:rsidR="002E1456" w:rsidRPr="008A744D" w:rsidRDefault="002E1456" w:rsidP="00782195">
            <w:pPr>
              <w:pStyle w:val="Tabletext1"/>
            </w:pPr>
            <w:r w:rsidRPr="008A744D">
              <w:t xml:space="preserve">Delay did not impact overall survival (results from </w:t>
            </w:r>
            <w:r w:rsidR="008063BB">
              <w:t>5</w:t>
            </w:r>
            <w:r w:rsidR="008063BB" w:rsidRPr="008A744D">
              <w:t xml:space="preserve"> </w:t>
            </w:r>
            <w:r w:rsidRPr="008A744D">
              <w:t>studies)</w:t>
            </w:r>
            <w:r w:rsidR="008063BB">
              <w:t>.</w:t>
            </w:r>
            <w:r w:rsidRPr="008A744D">
              <w:t xml:space="preserve"> </w:t>
            </w:r>
          </w:p>
        </w:tc>
      </w:tr>
      <w:tr w:rsidR="008553E9" w14:paraId="3BECCC17" w14:textId="77777777" w:rsidTr="00BB5AAA">
        <w:trPr>
          <w:trHeight w:val="397"/>
        </w:trPr>
        <w:tc>
          <w:tcPr>
            <w:tcW w:w="573" w:type="pct"/>
          </w:tcPr>
          <w:p w14:paraId="116A9A38" w14:textId="77777777" w:rsidR="002E1456" w:rsidRPr="008A744D" w:rsidRDefault="002E1456" w:rsidP="00782195">
            <w:pPr>
              <w:pStyle w:val="Tabletext1"/>
            </w:pPr>
            <w:r w:rsidRPr="008A744D">
              <w:lastRenderedPageBreak/>
              <w:t>Cancer-free survival</w:t>
            </w:r>
          </w:p>
        </w:tc>
        <w:tc>
          <w:tcPr>
            <w:tcW w:w="445" w:type="pct"/>
          </w:tcPr>
          <w:p w14:paraId="41AB204C" w14:textId="786D9508" w:rsidR="002E1456" w:rsidRPr="008A744D" w:rsidRDefault="002E1456" w:rsidP="00782195">
            <w:pPr>
              <w:pStyle w:val="Tabletext1"/>
              <w:rPr>
                <w:rFonts w:cs="Arial"/>
              </w:rPr>
            </w:pPr>
            <w:r w:rsidRPr="008A744D">
              <w:t>8</w:t>
            </w:r>
            <w:r w:rsidR="008063BB">
              <w:t>,</w:t>
            </w:r>
            <w:r w:rsidRPr="008A744D">
              <w:t>916</w:t>
            </w:r>
            <w:r w:rsidRPr="008A744D">
              <w:br/>
              <w:t>(2 studies)</w:t>
            </w:r>
            <w:r w:rsidR="00BB5AAA">
              <w:t>.</w:t>
            </w:r>
          </w:p>
        </w:tc>
        <w:tc>
          <w:tcPr>
            <w:tcW w:w="425" w:type="pct"/>
          </w:tcPr>
          <w:p w14:paraId="5D02E829" w14:textId="3FC4013E" w:rsidR="002E1456"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539163F4" w14:textId="77777777" w:rsidR="002E1456" w:rsidRPr="008A744D" w:rsidRDefault="002E1456" w:rsidP="00782195">
            <w:pPr>
              <w:pStyle w:val="Tabletext1"/>
            </w:pPr>
            <w:r w:rsidRPr="008A744D">
              <w:t>NA</w:t>
            </w:r>
          </w:p>
        </w:tc>
        <w:tc>
          <w:tcPr>
            <w:tcW w:w="766" w:type="pct"/>
          </w:tcPr>
          <w:p w14:paraId="0BB47989" w14:textId="77777777" w:rsidR="002E1456" w:rsidRPr="008A744D" w:rsidRDefault="002E1456" w:rsidP="00782195">
            <w:pPr>
              <w:pStyle w:val="Tabletext1"/>
            </w:pPr>
            <w:r w:rsidRPr="008A744D">
              <w:t>NA</w:t>
            </w:r>
          </w:p>
        </w:tc>
        <w:tc>
          <w:tcPr>
            <w:tcW w:w="511" w:type="pct"/>
          </w:tcPr>
          <w:p w14:paraId="25A733D8" w14:textId="77777777" w:rsidR="002E1456" w:rsidRPr="008A744D" w:rsidRDefault="002E1456" w:rsidP="00782195">
            <w:pPr>
              <w:pStyle w:val="Tabletext1"/>
            </w:pPr>
            <w:r w:rsidRPr="008A744D">
              <w:t>Critical</w:t>
            </w:r>
          </w:p>
        </w:tc>
        <w:tc>
          <w:tcPr>
            <w:tcW w:w="1463" w:type="pct"/>
          </w:tcPr>
          <w:p w14:paraId="1A7CAC5B" w14:textId="2BF02301" w:rsidR="002E1456" w:rsidRPr="008A744D" w:rsidRDefault="002E1456" w:rsidP="00782195">
            <w:pPr>
              <w:pStyle w:val="Tabletext1"/>
            </w:pPr>
            <w:r w:rsidRPr="008A744D">
              <w:t xml:space="preserve">Delay did not impact cancer free survival (results from </w:t>
            </w:r>
            <w:r w:rsidR="008063BB">
              <w:t>2</w:t>
            </w:r>
            <w:r w:rsidR="008063BB" w:rsidRPr="008A744D">
              <w:t xml:space="preserve"> </w:t>
            </w:r>
            <w:r w:rsidRPr="008A744D">
              <w:t>studies)</w:t>
            </w:r>
            <w:r w:rsidR="008063BB">
              <w:t>.</w:t>
            </w:r>
            <w:r w:rsidRPr="008A744D">
              <w:t xml:space="preserve"> </w:t>
            </w:r>
          </w:p>
        </w:tc>
      </w:tr>
      <w:tr w:rsidR="008553E9" w14:paraId="090A91FA" w14:textId="77777777" w:rsidTr="00BB5AAA">
        <w:trPr>
          <w:trHeight w:val="397"/>
        </w:trPr>
        <w:tc>
          <w:tcPr>
            <w:tcW w:w="573" w:type="pct"/>
          </w:tcPr>
          <w:p w14:paraId="065E6E91" w14:textId="77777777" w:rsidR="002E1456" w:rsidRPr="008A744D" w:rsidRDefault="002E1456" w:rsidP="00782195">
            <w:pPr>
              <w:pStyle w:val="Tabletext1"/>
            </w:pPr>
            <w:r w:rsidRPr="008A744D">
              <w:t>Rate of metastases formation</w:t>
            </w:r>
          </w:p>
        </w:tc>
        <w:tc>
          <w:tcPr>
            <w:tcW w:w="445" w:type="pct"/>
          </w:tcPr>
          <w:p w14:paraId="6FC46CD7" w14:textId="0C713C4E" w:rsidR="002E1456" w:rsidRPr="008A744D" w:rsidRDefault="002E1456" w:rsidP="00782195">
            <w:pPr>
              <w:pStyle w:val="Tabletext1"/>
              <w:rPr>
                <w:rFonts w:cs="Arial"/>
              </w:rPr>
            </w:pPr>
            <w:r w:rsidRPr="008A744D">
              <w:t>6</w:t>
            </w:r>
            <w:r w:rsidR="008063BB">
              <w:t>,</w:t>
            </w:r>
            <w:r w:rsidRPr="008A744D">
              <w:t>681</w:t>
            </w:r>
            <w:r w:rsidR="00BB5AAA">
              <w:t xml:space="preserve"> </w:t>
            </w:r>
            <w:r w:rsidR="00BB5AAA" w:rsidRPr="00E70C2E">
              <w:t>p</w:t>
            </w:r>
            <w:r w:rsidR="00BB5AAA">
              <w:t>atients</w:t>
            </w:r>
            <w:r w:rsidRPr="008A744D">
              <w:br/>
              <w:t>(4 studies)</w:t>
            </w:r>
            <w:r w:rsidR="00BB5AAA">
              <w:t>.</w:t>
            </w:r>
          </w:p>
        </w:tc>
        <w:tc>
          <w:tcPr>
            <w:tcW w:w="425" w:type="pct"/>
          </w:tcPr>
          <w:p w14:paraId="5D906ED6" w14:textId="038F22B6" w:rsidR="002E1456"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08F8F5D1" w14:textId="77777777" w:rsidR="002E1456" w:rsidRPr="008A744D" w:rsidRDefault="002E1456" w:rsidP="00782195">
            <w:pPr>
              <w:pStyle w:val="Tabletext1"/>
            </w:pPr>
            <w:r w:rsidRPr="008A744D">
              <w:t>NA</w:t>
            </w:r>
          </w:p>
        </w:tc>
        <w:tc>
          <w:tcPr>
            <w:tcW w:w="766" w:type="pct"/>
          </w:tcPr>
          <w:p w14:paraId="51FAFFE2" w14:textId="77777777" w:rsidR="002E1456" w:rsidRPr="008A744D" w:rsidRDefault="002E1456" w:rsidP="00782195">
            <w:pPr>
              <w:pStyle w:val="Tabletext1"/>
            </w:pPr>
            <w:r w:rsidRPr="008A744D">
              <w:t>NA</w:t>
            </w:r>
          </w:p>
        </w:tc>
        <w:tc>
          <w:tcPr>
            <w:tcW w:w="511" w:type="pct"/>
          </w:tcPr>
          <w:p w14:paraId="25375A58" w14:textId="77777777" w:rsidR="002E1456" w:rsidRPr="008A744D" w:rsidRDefault="002E1456" w:rsidP="00782195">
            <w:pPr>
              <w:pStyle w:val="Tabletext1"/>
            </w:pPr>
            <w:r w:rsidRPr="008A744D">
              <w:t>Critical</w:t>
            </w:r>
          </w:p>
        </w:tc>
        <w:tc>
          <w:tcPr>
            <w:tcW w:w="1463" w:type="pct"/>
          </w:tcPr>
          <w:p w14:paraId="5791A242" w14:textId="2E147CFD" w:rsidR="002E1456" w:rsidRPr="008A744D" w:rsidRDefault="002E1456" w:rsidP="00782195">
            <w:pPr>
              <w:pStyle w:val="Tabletext1"/>
            </w:pPr>
            <w:r w:rsidRPr="008A744D">
              <w:t>Delay did not impact rate of metastases formation (results from 4 studies)</w:t>
            </w:r>
            <w:r w:rsidR="008063BB">
              <w:t>.</w:t>
            </w:r>
            <w:r w:rsidRPr="008A744D">
              <w:t xml:space="preserve"> </w:t>
            </w:r>
          </w:p>
        </w:tc>
      </w:tr>
      <w:tr w:rsidR="008553E9" w14:paraId="751203CA" w14:textId="77777777" w:rsidTr="00BB5AAA">
        <w:trPr>
          <w:trHeight w:val="397"/>
        </w:trPr>
        <w:tc>
          <w:tcPr>
            <w:tcW w:w="573" w:type="pct"/>
          </w:tcPr>
          <w:p w14:paraId="758EC8AF" w14:textId="77777777" w:rsidR="002E1456" w:rsidRPr="008A744D" w:rsidRDefault="002E1456" w:rsidP="00782195">
            <w:pPr>
              <w:pStyle w:val="Tabletext1"/>
            </w:pPr>
            <w:r w:rsidRPr="008A744D">
              <w:t>Rate of biochemical recurrence</w:t>
            </w:r>
          </w:p>
        </w:tc>
        <w:tc>
          <w:tcPr>
            <w:tcW w:w="445" w:type="pct"/>
          </w:tcPr>
          <w:p w14:paraId="01B5C981" w14:textId="42F503E0" w:rsidR="002E1456" w:rsidRPr="008A744D" w:rsidRDefault="002E1456" w:rsidP="00782195">
            <w:pPr>
              <w:pStyle w:val="Tabletext1"/>
              <w:rPr>
                <w:rFonts w:cs="Arial"/>
              </w:rPr>
            </w:pPr>
            <w:r w:rsidRPr="008A744D">
              <w:t>19</w:t>
            </w:r>
            <w:r w:rsidR="008063BB">
              <w:t>,</w:t>
            </w:r>
            <w:r w:rsidRPr="008A744D">
              <w:t>768</w:t>
            </w:r>
            <w:r w:rsidR="00BB5AAA" w:rsidRPr="00E70C2E">
              <w:t xml:space="preserve"> p</w:t>
            </w:r>
            <w:r w:rsidR="00BB5AAA">
              <w:t>atients</w:t>
            </w:r>
            <w:r w:rsidRPr="008A744D">
              <w:br/>
              <w:t>(14 studies)</w:t>
            </w:r>
            <w:r w:rsidR="00BB5AAA">
              <w:t>.</w:t>
            </w:r>
          </w:p>
        </w:tc>
        <w:tc>
          <w:tcPr>
            <w:tcW w:w="425" w:type="pct"/>
          </w:tcPr>
          <w:p w14:paraId="36000AF1" w14:textId="030125F0" w:rsidR="002E1456"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3AB0986B" w14:textId="77777777" w:rsidR="002E1456" w:rsidRPr="008A744D" w:rsidRDefault="002E1456" w:rsidP="00782195">
            <w:pPr>
              <w:pStyle w:val="Tabletext1"/>
            </w:pPr>
            <w:r w:rsidRPr="008A744D">
              <w:t>NA</w:t>
            </w:r>
          </w:p>
        </w:tc>
        <w:tc>
          <w:tcPr>
            <w:tcW w:w="766" w:type="pct"/>
          </w:tcPr>
          <w:p w14:paraId="23D41BB0" w14:textId="77777777" w:rsidR="002E1456" w:rsidRPr="008A744D" w:rsidRDefault="002E1456" w:rsidP="00782195">
            <w:pPr>
              <w:pStyle w:val="Tabletext1"/>
            </w:pPr>
            <w:r w:rsidRPr="008A744D">
              <w:t>NA</w:t>
            </w:r>
          </w:p>
        </w:tc>
        <w:tc>
          <w:tcPr>
            <w:tcW w:w="511" w:type="pct"/>
          </w:tcPr>
          <w:p w14:paraId="1B36E81C" w14:textId="77777777" w:rsidR="002E1456" w:rsidRPr="008A744D" w:rsidRDefault="002E1456" w:rsidP="00782195">
            <w:pPr>
              <w:pStyle w:val="Tabletext1"/>
            </w:pPr>
            <w:r w:rsidRPr="008A744D">
              <w:t>Critical</w:t>
            </w:r>
          </w:p>
        </w:tc>
        <w:tc>
          <w:tcPr>
            <w:tcW w:w="1463" w:type="pct"/>
          </w:tcPr>
          <w:p w14:paraId="2473445A" w14:textId="7045993D" w:rsidR="002E1456" w:rsidRPr="008A744D" w:rsidRDefault="002E1456" w:rsidP="00782195">
            <w:pPr>
              <w:pStyle w:val="Tabletext1"/>
            </w:pPr>
            <w:r w:rsidRPr="008A744D">
              <w:t xml:space="preserve">3 studies reported recurrence was associated with delayed treatment, 11 studies reported no impact. </w:t>
            </w:r>
          </w:p>
        </w:tc>
      </w:tr>
      <w:tr w:rsidR="008553E9" w14:paraId="774212A6" w14:textId="77777777" w:rsidTr="00BB5AAA">
        <w:trPr>
          <w:trHeight w:val="397"/>
        </w:trPr>
        <w:tc>
          <w:tcPr>
            <w:tcW w:w="573" w:type="pct"/>
          </w:tcPr>
          <w:p w14:paraId="4F284715" w14:textId="77777777" w:rsidR="002E1456" w:rsidRPr="008A744D" w:rsidRDefault="002E1456" w:rsidP="00782195">
            <w:pPr>
              <w:pStyle w:val="Tabletext1"/>
            </w:pPr>
            <w:r w:rsidRPr="008A744D">
              <w:t>Rate of extra capsular extension</w:t>
            </w:r>
          </w:p>
        </w:tc>
        <w:tc>
          <w:tcPr>
            <w:tcW w:w="445" w:type="pct"/>
          </w:tcPr>
          <w:p w14:paraId="573BBD48" w14:textId="1181489F" w:rsidR="002E1456" w:rsidRPr="008A744D" w:rsidRDefault="002E1456" w:rsidP="00782195">
            <w:pPr>
              <w:pStyle w:val="Tabletext1"/>
              <w:rPr>
                <w:rFonts w:cs="Arial"/>
              </w:rPr>
            </w:pPr>
            <w:r w:rsidRPr="008A744D">
              <w:t>16</w:t>
            </w:r>
            <w:r w:rsidR="008063BB">
              <w:t>,</w:t>
            </w:r>
            <w:r w:rsidRPr="008A744D">
              <w:t>039</w:t>
            </w:r>
            <w:r w:rsidR="00BB5AAA" w:rsidRPr="00E70C2E">
              <w:t xml:space="preserve"> p</w:t>
            </w:r>
            <w:r w:rsidR="00BB5AAA">
              <w:t>atients</w:t>
            </w:r>
            <w:r w:rsidRPr="008A744D">
              <w:br/>
              <w:t>(7 studies)</w:t>
            </w:r>
            <w:r w:rsidR="00BB5AAA">
              <w:t>.</w:t>
            </w:r>
          </w:p>
        </w:tc>
        <w:tc>
          <w:tcPr>
            <w:tcW w:w="425" w:type="pct"/>
          </w:tcPr>
          <w:p w14:paraId="29D94607" w14:textId="5717751E" w:rsidR="002E1456"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0F605057" w14:textId="77777777" w:rsidR="002E1456" w:rsidRPr="008A744D" w:rsidRDefault="002E1456" w:rsidP="00782195">
            <w:pPr>
              <w:pStyle w:val="Tabletext1"/>
            </w:pPr>
            <w:r w:rsidRPr="008A744D">
              <w:t>NA</w:t>
            </w:r>
          </w:p>
        </w:tc>
        <w:tc>
          <w:tcPr>
            <w:tcW w:w="766" w:type="pct"/>
          </w:tcPr>
          <w:p w14:paraId="7CF6CC41" w14:textId="77777777" w:rsidR="002E1456" w:rsidRPr="008A744D" w:rsidRDefault="002E1456" w:rsidP="00782195">
            <w:pPr>
              <w:pStyle w:val="Tabletext1"/>
            </w:pPr>
            <w:r w:rsidRPr="008A744D">
              <w:t>NA</w:t>
            </w:r>
          </w:p>
        </w:tc>
        <w:tc>
          <w:tcPr>
            <w:tcW w:w="511" w:type="pct"/>
          </w:tcPr>
          <w:p w14:paraId="2306D1BA" w14:textId="77777777" w:rsidR="002E1456" w:rsidRPr="008A744D" w:rsidRDefault="002E1456" w:rsidP="00782195">
            <w:pPr>
              <w:pStyle w:val="Tabletext1"/>
            </w:pPr>
            <w:r w:rsidRPr="008A744D">
              <w:t>Important</w:t>
            </w:r>
          </w:p>
        </w:tc>
        <w:tc>
          <w:tcPr>
            <w:tcW w:w="1463" w:type="pct"/>
          </w:tcPr>
          <w:p w14:paraId="57A886A3" w14:textId="05D095EE" w:rsidR="002E1456" w:rsidRPr="008A744D" w:rsidRDefault="002E1456" w:rsidP="00782195">
            <w:pPr>
              <w:pStyle w:val="Tabletext1"/>
            </w:pPr>
            <w:r w:rsidRPr="008A744D">
              <w:t>Delay did not impact rate of extra-capsular extension (results from 7 studies)</w:t>
            </w:r>
            <w:r w:rsidR="008063BB">
              <w:t>.</w:t>
            </w:r>
            <w:r w:rsidRPr="008A744D">
              <w:t xml:space="preserve"> </w:t>
            </w:r>
          </w:p>
        </w:tc>
      </w:tr>
      <w:tr w:rsidR="008553E9" w14:paraId="0EDF54BB" w14:textId="77777777" w:rsidTr="00BB5AAA">
        <w:trPr>
          <w:trHeight w:val="397"/>
        </w:trPr>
        <w:tc>
          <w:tcPr>
            <w:tcW w:w="573" w:type="pct"/>
          </w:tcPr>
          <w:p w14:paraId="3CD258AD" w14:textId="77777777" w:rsidR="002E1456" w:rsidRPr="008A744D" w:rsidRDefault="002E1456" w:rsidP="00782195">
            <w:pPr>
              <w:pStyle w:val="Tabletext1"/>
            </w:pPr>
            <w:r w:rsidRPr="008A744D">
              <w:t>Rate of lymph node involvement</w:t>
            </w:r>
          </w:p>
        </w:tc>
        <w:tc>
          <w:tcPr>
            <w:tcW w:w="445" w:type="pct"/>
          </w:tcPr>
          <w:p w14:paraId="6CA0ADC0" w14:textId="4CCC404C" w:rsidR="002E1456" w:rsidRPr="008A744D" w:rsidRDefault="002E1456" w:rsidP="00782195">
            <w:pPr>
              <w:pStyle w:val="Tabletext1"/>
              <w:rPr>
                <w:rFonts w:cs="Arial"/>
              </w:rPr>
            </w:pPr>
            <w:r w:rsidRPr="008A744D">
              <w:t>3</w:t>
            </w:r>
            <w:r w:rsidR="008063BB">
              <w:t>,</w:t>
            </w:r>
            <w:r w:rsidRPr="008A744D">
              <w:t>605</w:t>
            </w:r>
            <w:r w:rsidR="00BB5AAA" w:rsidRPr="00E70C2E">
              <w:t xml:space="preserve"> p</w:t>
            </w:r>
            <w:r w:rsidR="00BB5AAA">
              <w:t>atients</w:t>
            </w:r>
            <w:r w:rsidRPr="008A744D">
              <w:br/>
              <w:t>(3 studies)</w:t>
            </w:r>
            <w:r w:rsidR="00BB5AAA">
              <w:t>.</w:t>
            </w:r>
          </w:p>
        </w:tc>
        <w:tc>
          <w:tcPr>
            <w:tcW w:w="425" w:type="pct"/>
          </w:tcPr>
          <w:p w14:paraId="6B3694D6" w14:textId="1DA0772C" w:rsidR="002E1456"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27F8B9C6" w14:textId="77777777" w:rsidR="002E1456" w:rsidRPr="008A744D" w:rsidRDefault="002E1456" w:rsidP="00782195">
            <w:pPr>
              <w:pStyle w:val="Tabletext1"/>
            </w:pPr>
            <w:r w:rsidRPr="008A744D">
              <w:t>NA</w:t>
            </w:r>
          </w:p>
        </w:tc>
        <w:tc>
          <w:tcPr>
            <w:tcW w:w="766" w:type="pct"/>
          </w:tcPr>
          <w:p w14:paraId="0BFBA74A" w14:textId="77777777" w:rsidR="002E1456" w:rsidRPr="008A744D" w:rsidRDefault="002E1456" w:rsidP="00782195">
            <w:pPr>
              <w:pStyle w:val="Tabletext1"/>
            </w:pPr>
            <w:r w:rsidRPr="008A744D">
              <w:t>NA</w:t>
            </w:r>
          </w:p>
        </w:tc>
        <w:tc>
          <w:tcPr>
            <w:tcW w:w="511" w:type="pct"/>
          </w:tcPr>
          <w:p w14:paraId="504D8ADD" w14:textId="77777777" w:rsidR="002E1456" w:rsidRPr="008A744D" w:rsidRDefault="002E1456" w:rsidP="00782195">
            <w:pPr>
              <w:pStyle w:val="Tabletext1"/>
            </w:pPr>
            <w:r w:rsidRPr="008A744D">
              <w:t>Important</w:t>
            </w:r>
          </w:p>
        </w:tc>
        <w:tc>
          <w:tcPr>
            <w:tcW w:w="1463" w:type="pct"/>
          </w:tcPr>
          <w:p w14:paraId="49D516FA" w14:textId="7EA11C88" w:rsidR="002E1456" w:rsidRPr="008A744D" w:rsidRDefault="002E1456" w:rsidP="00782195">
            <w:pPr>
              <w:pStyle w:val="Tabletext1"/>
            </w:pPr>
            <w:r w:rsidRPr="008A744D">
              <w:t>Delay did not impact rates of lymph node involvement (results from 3 studies)</w:t>
            </w:r>
            <w:r w:rsidR="008063BB">
              <w:t>.</w:t>
            </w:r>
            <w:r w:rsidRPr="008A744D">
              <w:t xml:space="preserve"> </w:t>
            </w:r>
          </w:p>
        </w:tc>
      </w:tr>
      <w:tr w:rsidR="008553E9" w14:paraId="37FF8A56" w14:textId="77777777" w:rsidTr="00BB5AAA">
        <w:trPr>
          <w:trHeight w:val="397"/>
        </w:trPr>
        <w:tc>
          <w:tcPr>
            <w:tcW w:w="573" w:type="pct"/>
          </w:tcPr>
          <w:p w14:paraId="28C25098" w14:textId="77777777" w:rsidR="002E1456" w:rsidRPr="008A744D" w:rsidRDefault="002E1456" w:rsidP="00782195">
            <w:pPr>
              <w:pStyle w:val="Tabletext1"/>
            </w:pPr>
            <w:r w:rsidRPr="008A744D">
              <w:t>Rate of positive surgical margins</w:t>
            </w:r>
          </w:p>
        </w:tc>
        <w:tc>
          <w:tcPr>
            <w:tcW w:w="445" w:type="pct"/>
          </w:tcPr>
          <w:p w14:paraId="419A95B6" w14:textId="6302FD2C" w:rsidR="002E1456" w:rsidRPr="008A744D" w:rsidRDefault="002E1456" w:rsidP="00782195">
            <w:pPr>
              <w:pStyle w:val="Tabletext1"/>
              <w:rPr>
                <w:rFonts w:cs="Arial"/>
              </w:rPr>
            </w:pPr>
            <w:r w:rsidRPr="008A744D">
              <w:t>14</w:t>
            </w:r>
            <w:r w:rsidR="008063BB">
              <w:t>,</w:t>
            </w:r>
            <w:r w:rsidRPr="008A744D">
              <w:t>413</w:t>
            </w:r>
            <w:r w:rsidR="00BB5AAA" w:rsidRPr="00E70C2E">
              <w:t xml:space="preserve"> p</w:t>
            </w:r>
            <w:r w:rsidR="00BB5AAA">
              <w:t>atients</w:t>
            </w:r>
            <w:r w:rsidRPr="008A744D">
              <w:br/>
              <w:t>(6 studies)</w:t>
            </w:r>
            <w:r w:rsidR="00BB5AAA">
              <w:t>.</w:t>
            </w:r>
          </w:p>
        </w:tc>
        <w:tc>
          <w:tcPr>
            <w:tcW w:w="425" w:type="pct"/>
          </w:tcPr>
          <w:p w14:paraId="626E2D53" w14:textId="14ECE11B" w:rsidR="002E1456" w:rsidRPr="008A744D" w:rsidRDefault="00291227" w:rsidP="00782195">
            <w:pPr>
              <w:pStyle w:val="Tabletext1"/>
              <w:rPr>
                <w:rFonts w:cs="Arial"/>
              </w:rPr>
            </w:pPr>
            <w:r>
              <w:rPr>
                <w:rFonts w:ascii="Cambria Math" w:hAnsi="Cambria Math"/>
                <w:color w:val="00B050"/>
              </w:rPr>
              <w:t>⨁</w:t>
            </w:r>
            <w:r w:rsidRPr="00D4733A">
              <w:rPr>
                <w:rFonts w:ascii="Cambria Math" w:hAnsi="Cambria Math" w:cs="Cambria Math"/>
                <w:color w:val="C00000"/>
              </w:rPr>
              <w:t>⨀⨀⨀</w:t>
            </w:r>
          </w:p>
        </w:tc>
        <w:tc>
          <w:tcPr>
            <w:tcW w:w="817" w:type="pct"/>
          </w:tcPr>
          <w:p w14:paraId="37CDAA8F" w14:textId="77777777" w:rsidR="002E1456" w:rsidRPr="008A744D" w:rsidRDefault="002E1456" w:rsidP="00782195">
            <w:pPr>
              <w:pStyle w:val="Tabletext1"/>
            </w:pPr>
            <w:r w:rsidRPr="008A744D">
              <w:t>NA</w:t>
            </w:r>
          </w:p>
        </w:tc>
        <w:tc>
          <w:tcPr>
            <w:tcW w:w="766" w:type="pct"/>
          </w:tcPr>
          <w:p w14:paraId="68150EE2" w14:textId="77777777" w:rsidR="002E1456" w:rsidRPr="008A744D" w:rsidRDefault="002E1456" w:rsidP="00782195">
            <w:pPr>
              <w:pStyle w:val="Tabletext1"/>
            </w:pPr>
            <w:r w:rsidRPr="008A744D">
              <w:t>NA</w:t>
            </w:r>
          </w:p>
        </w:tc>
        <w:tc>
          <w:tcPr>
            <w:tcW w:w="511" w:type="pct"/>
          </w:tcPr>
          <w:p w14:paraId="0AE8D344" w14:textId="77777777" w:rsidR="002E1456" w:rsidRPr="008A744D" w:rsidRDefault="002E1456" w:rsidP="00782195">
            <w:pPr>
              <w:pStyle w:val="Tabletext1"/>
            </w:pPr>
            <w:r w:rsidRPr="008A744D">
              <w:t>Important</w:t>
            </w:r>
          </w:p>
        </w:tc>
        <w:tc>
          <w:tcPr>
            <w:tcW w:w="1463" w:type="pct"/>
          </w:tcPr>
          <w:p w14:paraId="20FD7F0B" w14:textId="11646D1F" w:rsidR="002E1456" w:rsidRPr="008A744D" w:rsidRDefault="002E1456" w:rsidP="00782195">
            <w:pPr>
              <w:pStyle w:val="Tabletext1"/>
            </w:pPr>
            <w:r w:rsidRPr="008A744D">
              <w:t>One study reported a delay &gt;9 months was associated with an increase in the rate of positive surgical margins in patients with intermediate risk disease. 8 studies reported no impact from delayed treatment</w:t>
            </w:r>
            <w:r w:rsidR="008063BB">
              <w:t>.</w:t>
            </w:r>
          </w:p>
        </w:tc>
      </w:tr>
    </w:tbl>
    <w:p w14:paraId="587C22A6" w14:textId="4835AE16" w:rsidR="00AC10F5" w:rsidRDefault="00882CD9" w:rsidP="00FF4B22">
      <w:pPr>
        <w:pStyle w:val="TableNotes"/>
      </w:pPr>
      <w:r w:rsidRPr="00882CD9">
        <w:rPr>
          <w:vertAlign w:val="superscript"/>
        </w:rPr>
        <w:t>a</w:t>
      </w:r>
      <w:r>
        <w:t>:</w:t>
      </w:r>
      <w:r w:rsidR="00AC10F5" w:rsidRPr="00882CD9">
        <w:t>GRADE</w:t>
      </w:r>
      <w:r w:rsidR="00AC10F5" w:rsidRPr="00E10B76">
        <w:t xml:space="preserve"> Working Group grades of evidence</w:t>
      </w:r>
      <w:r w:rsidR="00AC10F5">
        <w:t xml:space="preserve"> </w:t>
      </w:r>
      <w:r w:rsidR="008E0B00">
        <w:fldChar w:fldCharType="begin"/>
      </w:r>
      <w:r w:rsidR="008E0B00">
        <w:instrText xml:space="preserve"> ADDIN EN.CITE &lt;EndNote&gt;&lt;Cite&gt;&lt;Author&gt;Guyatt&lt;/Author&gt;&lt;Year&gt;2013&lt;/Year&gt;&lt;RecNum&gt;166&lt;/RecNum&gt;&lt;DisplayText&gt;(Guyatt et al. 2013)&lt;/DisplayText&gt;&lt;record&gt;&lt;rec-number&gt;166&lt;/rec-number&gt;&lt;foreign-keys&gt;&lt;key app="EN" db-id="xzzrstesqpaavfe0te5p2zssvee5ervas2vt" timestamp="1469161165"&gt;166&lt;/key&gt;&lt;/foreign-keys&gt;&lt;ref-type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Epidemiol&lt;/full-title&gt;&lt;abbr-1&gt;Journal of clinical epidemiology&lt;/abbr-1&gt;&lt;/periodical&gt;&lt;pages&gt;151-157&lt;/pages&gt;&lt;volume&gt;66&lt;/volume&gt;&lt;number&gt;2&lt;/number&gt;&lt;dates&gt;&lt;year&gt;2013&lt;/year&gt;&lt;/dates&gt;&lt;urls&gt;&lt;/urls&gt;&lt;/record&gt;&lt;/Cite&gt;&lt;/EndNote&gt;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00AD722C">
        <w:t>.</w:t>
      </w:r>
      <w:r w:rsidR="00AC10F5" w:rsidRPr="00E10B76">
        <w:br/>
      </w:r>
      <w:r w:rsidR="00AC10F5" w:rsidRPr="00D4733A">
        <w:rPr>
          <w:rFonts w:ascii="Cambria Math" w:hAnsi="Cambria Math"/>
          <w:color w:val="00B050"/>
        </w:rPr>
        <w:t>⨁⨁⨁⨁</w:t>
      </w:r>
      <w:r w:rsidR="00AC10F5">
        <w:rPr>
          <w:rFonts w:ascii="Cambria Math" w:hAnsi="Cambria Math"/>
          <w:color w:val="00B050"/>
        </w:rPr>
        <w:t xml:space="preserve"> </w:t>
      </w:r>
      <w:r w:rsidR="00AC10F5" w:rsidRPr="00E10B76">
        <w:rPr>
          <w:b/>
          <w:bCs/>
        </w:rPr>
        <w:t>High quality:</w:t>
      </w:r>
      <w:r w:rsidR="00AC10F5" w:rsidRPr="00E10B76">
        <w:t xml:space="preserve"> </w:t>
      </w:r>
      <w:r w:rsidR="00AC10F5">
        <w:t>We are very confident that the true effect lies close to that of the estimate of effect.</w:t>
      </w:r>
      <w:r w:rsidR="00AC10F5" w:rsidRPr="00E10B76">
        <w:t xml:space="preserve"> </w:t>
      </w:r>
      <w:r w:rsidR="00AC10F5" w:rsidRPr="00E10B76">
        <w:br/>
      </w:r>
      <w:r w:rsidR="00AC10F5" w:rsidRPr="00D4733A">
        <w:rPr>
          <w:rFonts w:ascii="Cambria Math" w:hAnsi="Cambria Math"/>
          <w:color w:val="00B050"/>
        </w:rPr>
        <w:t>⨁⨁⨁</w:t>
      </w:r>
      <w:r w:rsidR="00AC10F5" w:rsidRPr="00D4733A">
        <w:rPr>
          <w:rFonts w:ascii="Cambria Math" w:hAnsi="Cambria Math" w:cs="Cambria Math"/>
          <w:color w:val="C00000"/>
        </w:rPr>
        <w:t>⨀</w:t>
      </w:r>
      <w:r w:rsidR="00AC10F5">
        <w:rPr>
          <w:rFonts w:ascii="Cambria Math" w:hAnsi="Cambria Math" w:cs="Cambria Math"/>
          <w:color w:val="C00000"/>
        </w:rPr>
        <w:t xml:space="preserve"> </w:t>
      </w:r>
      <w:r w:rsidR="00AC10F5" w:rsidRPr="00E10B76">
        <w:rPr>
          <w:b/>
          <w:bCs/>
        </w:rPr>
        <w:t>Moderate quality:</w:t>
      </w:r>
      <w:r w:rsidR="00AC10F5" w:rsidRPr="00E10B76">
        <w:t xml:space="preserve"> </w:t>
      </w:r>
      <w:r w:rsidR="00AC10F5">
        <w:t xml:space="preserve">We are moderately confident in the effect estimate: The true effect is likely to be close to the estimate of the effect, but there is a possibility that it is substantially different. </w:t>
      </w:r>
      <w:r w:rsidR="00AC10F5" w:rsidRPr="00E10B76">
        <w:br/>
      </w:r>
      <w:r w:rsidR="00AC10F5">
        <w:rPr>
          <w:rFonts w:ascii="Cambria Math" w:hAnsi="Cambria Math"/>
          <w:color w:val="00B050"/>
        </w:rPr>
        <w:t>⨁⨁</w:t>
      </w:r>
      <w:r w:rsidR="00AC10F5" w:rsidRPr="00D4733A">
        <w:rPr>
          <w:rFonts w:ascii="Cambria Math" w:hAnsi="Cambria Math" w:cs="Cambria Math"/>
          <w:color w:val="C00000"/>
        </w:rPr>
        <w:t>⨀⨀</w:t>
      </w:r>
      <w:r w:rsidR="00AC10F5">
        <w:rPr>
          <w:rFonts w:ascii="Cambria Math" w:hAnsi="Cambria Math" w:cs="Cambria Math"/>
          <w:color w:val="C00000"/>
        </w:rPr>
        <w:t xml:space="preserve"> </w:t>
      </w:r>
      <w:r w:rsidR="00AC10F5" w:rsidRPr="00E10B76">
        <w:rPr>
          <w:b/>
          <w:bCs/>
        </w:rPr>
        <w:t>Low quality:</w:t>
      </w:r>
      <w:r w:rsidR="00AC10F5" w:rsidRPr="00E10B76">
        <w:t xml:space="preserve"> </w:t>
      </w:r>
      <w:r w:rsidR="00AC10F5">
        <w:t>Our confidence in the effect estimate is limited: The true effect may be substantially different from the estimate of the effect.</w:t>
      </w:r>
      <w:r w:rsidR="00AC10F5" w:rsidRPr="00E10B76">
        <w:br/>
      </w:r>
      <w:r w:rsidR="00AC10F5">
        <w:rPr>
          <w:rFonts w:ascii="Cambria Math" w:hAnsi="Cambria Math"/>
          <w:color w:val="00B050"/>
        </w:rPr>
        <w:t>⨁</w:t>
      </w:r>
      <w:r w:rsidR="00AC10F5" w:rsidRPr="00D4733A">
        <w:rPr>
          <w:rFonts w:ascii="Cambria Math" w:hAnsi="Cambria Math" w:cs="Cambria Math"/>
          <w:color w:val="C00000"/>
        </w:rPr>
        <w:t>⨀⨀⨀</w:t>
      </w:r>
      <w:r w:rsidR="00AC10F5">
        <w:rPr>
          <w:rFonts w:ascii="Cambria Math" w:hAnsi="Cambria Math" w:cs="Cambria Math"/>
          <w:color w:val="C00000"/>
        </w:rPr>
        <w:t xml:space="preserve"> </w:t>
      </w:r>
      <w:r w:rsidR="00AC10F5" w:rsidRPr="00E10B76">
        <w:rPr>
          <w:b/>
          <w:bCs/>
        </w:rPr>
        <w:t>Very low quality:</w:t>
      </w:r>
      <w:r w:rsidR="00AC10F5" w:rsidRPr="00E10B76">
        <w:t xml:space="preserve"> </w:t>
      </w:r>
      <w:r w:rsidR="00AC10F5">
        <w:t>We have very little confidence in the effect estimate: The true effect is likely to be substantially different from the estimate of effect.</w:t>
      </w:r>
      <w:r w:rsidR="003E2A15">
        <w:br/>
      </w:r>
      <w:r w:rsidR="008A744D">
        <w:rPr>
          <w:vertAlign w:val="superscript"/>
        </w:rPr>
        <w:t>b</w:t>
      </w:r>
      <w:r>
        <w:t>: A</w:t>
      </w:r>
      <w:r w:rsidR="008A744D">
        <w:t xml:space="preserve"> prevalence of </w:t>
      </w:r>
      <w:r w:rsidR="001327C8">
        <w:t>PCa</w:t>
      </w:r>
      <w:r w:rsidR="008A744D">
        <w:t xml:space="preserve"> in low-</w:t>
      </w:r>
      <w:r w:rsidR="00A9704F">
        <w:t xml:space="preserve">concern </w:t>
      </w:r>
      <w:r w:rsidR="008A744D">
        <w:t>patients of 30-40% was provided by the Applicant. The midpoint of this range has been used to inform these estimates. Only low-</w:t>
      </w:r>
      <w:r w:rsidR="00A9704F">
        <w:t xml:space="preserve">concern </w:t>
      </w:r>
      <w:r w:rsidR="008A744D">
        <w:t xml:space="preserve">patients have been included in this assessment as there is no change in management for patients at </w:t>
      </w:r>
      <w:r w:rsidR="0058672B">
        <w:t>high-concern</w:t>
      </w:r>
      <w:r w:rsidR="008A744D">
        <w:t xml:space="preserve">, regardless of mpMRI results. </w:t>
      </w:r>
      <w:r w:rsidR="003E2A15">
        <w:br/>
      </w:r>
      <w:r w:rsidR="008A744D" w:rsidRPr="00882CD9">
        <w:rPr>
          <w:vertAlign w:val="superscript"/>
        </w:rPr>
        <w:t>c</w:t>
      </w:r>
      <w:r w:rsidRPr="00882CD9">
        <w:t>:</w:t>
      </w:r>
      <w:r>
        <w:t xml:space="preserve"> C</w:t>
      </w:r>
      <w:r w:rsidR="00AC10F5">
        <w:t>alculated using the reported sensitivity of TRUSGB biopsy of 0.81 (95% CI [0.70, 0.88] and assuming TRUSGB had a specificity of 100%</w:t>
      </w:r>
      <w:r w:rsidR="00AD722C">
        <w:t>.</w:t>
      </w:r>
      <w:r w:rsidR="008A4B18">
        <w:br/>
        <w:t xml:space="preserve">TRUSGB = trans-rectal ultrasound-guided biopsy, TPUSGB = trans-perineal ultrasound-guided biopsy, NA = not applicable, CI = confidence interval, </w:t>
      </w:r>
    </w:p>
    <w:p w14:paraId="41181E05" w14:textId="77777777" w:rsidR="00BA137E" w:rsidRDefault="00BA137E">
      <w:pPr>
        <w:spacing w:after="0" w:line="240" w:lineRule="auto"/>
        <w:rPr>
          <w:rFonts w:ascii="Arial Narrow" w:hAnsi="Arial Narrow" w:cs="Arial"/>
          <w:snapToGrid w:val="0"/>
          <w:sz w:val="18"/>
          <w:szCs w:val="20"/>
          <w:lang w:eastAsia="en-US"/>
        </w:rPr>
      </w:pPr>
      <w:r>
        <w:br w:type="page"/>
      </w:r>
    </w:p>
    <w:p w14:paraId="796F66B6" w14:textId="68AC6E99" w:rsidR="00AC10F5" w:rsidRPr="00466B3D" w:rsidRDefault="00AC10F5" w:rsidP="00466B3D">
      <w:pPr>
        <w:pStyle w:val="Caption"/>
      </w:pPr>
      <w:bookmarkStart w:id="399" w:name="_Ref456709564"/>
      <w:bookmarkStart w:id="400" w:name="_Toc460514538"/>
      <w:r w:rsidRPr="00AA4A24">
        <w:lastRenderedPageBreak/>
        <w:t xml:space="preserve">Table </w:t>
      </w:r>
      <w:fldSimple w:instr=" SEQ Table \* ARABIC ">
        <w:r w:rsidR="0029649D">
          <w:rPr>
            <w:noProof/>
          </w:rPr>
          <w:t>38</w:t>
        </w:r>
      </w:fldSimple>
      <w:bookmarkEnd w:id="399"/>
      <w:r w:rsidRPr="00183E4D">
        <w:tab/>
      </w:r>
      <w:r>
        <w:t xml:space="preserve">Summary of findings for the linked evidence comparison of </w:t>
      </w:r>
      <w:r w:rsidRPr="00466B3D">
        <w:t>mpMRI, relative to TRUSGB or TPUSGB, in patients on active surveillance with assumed pre-test probability (prevalence) for upgraded disease of 30%</w:t>
      </w:r>
      <w:bookmarkEnd w:id="400"/>
      <w:r w:rsidRPr="00466B3D">
        <w:t xml:space="preserve"> </w:t>
      </w:r>
    </w:p>
    <w:tbl>
      <w:tblPr>
        <w:tblStyle w:val="TableGrid"/>
        <w:tblW w:w="5000" w:type="pct"/>
        <w:tblInd w:w="130" w:type="dxa"/>
        <w:tblCellMar>
          <w:left w:w="28" w:type="dxa"/>
          <w:right w:w="28" w:type="dxa"/>
        </w:tblCellMar>
        <w:tblLook w:val="04A0" w:firstRow="1" w:lastRow="0" w:firstColumn="1" w:lastColumn="0" w:noHBand="0" w:noVBand="1"/>
        <w:tblDescription w:val="Summary of findings table"/>
      </w:tblPr>
      <w:tblGrid>
        <w:gridCol w:w="2050"/>
        <w:gridCol w:w="2050"/>
        <w:gridCol w:w="1982"/>
        <w:gridCol w:w="1783"/>
        <w:gridCol w:w="2038"/>
        <w:gridCol w:w="1317"/>
        <w:gridCol w:w="2794"/>
      </w:tblGrid>
      <w:tr w:rsidR="00AC10F5" w:rsidRPr="00BB5AAA" w14:paraId="40729F8E" w14:textId="77777777" w:rsidTr="00BB5AAA">
        <w:trPr>
          <w:trHeight w:val="397"/>
          <w:tblHeader/>
        </w:trPr>
        <w:tc>
          <w:tcPr>
            <w:tcW w:w="731" w:type="pct"/>
          </w:tcPr>
          <w:p w14:paraId="41C45CA3" w14:textId="77777777" w:rsidR="00AC10F5" w:rsidRPr="00BB5AAA" w:rsidRDefault="00AC10F5" w:rsidP="002652B5">
            <w:pPr>
              <w:pStyle w:val="Tableheading1"/>
            </w:pPr>
            <w:r w:rsidRPr="00BB5AAA">
              <w:t>Outcomes</w:t>
            </w:r>
          </w:p>
        </w:tc>
        <w:tc>
          <w:tcPr>
            <w:tcW w:w="731" w:type="pct"/>
          </w:tcPr>
          <w:p w14:paraId="3EF1351F" w14:textId="0850C97A" w:rsidR="00AC10F5" w:rsidRPr="00BB5AAA" w:rsidRDefault="00CE60C4" w:rsidP="002652B5">
            <w:pPr>
              <w:pStyle w:val="Tableheading1"/>
            </w:pPr>
            <w:r w:rsidRPr="00BB5AAA">
              <w:t>Patients</w:t>
            </w:r>
            <w:r w:rsidR="00CC312C" w:rsidRPr="00BB5AAA">
              <w:t>/</w:t>
            </w:r>
            <w:r w:rsidR="00AC10F5" w:rsidRPr="00BB5AAA">
              <w:t>Studies</w:t>
            </w:r>
          </w:p>
        </w:tc>
        <w:tc>
          <w:tcPr>
            <w:tcW w:w="707" w:type="pct"/>
          </w:tcPr>
          <w:p w14:paraId="468FB7B5" w14:textId="33365020" w:rsidR="00AC10F5" w:rsidRPr="00BB5AAA" w:rsidRDefault="00AC10F5" w:rsidP="002652B5">
            <w:pPr>
              <w:pStyle w:val="Tableheading1"/>
            </w:pPr>
            <w:r w:rsidRPr="00BB5AAA">
              <w:t>Quality of evidence</w:t>
            </w:r>
            <w:r w:rsidR="00BB5AAA" w:rsidRPr="00BB5AAA">
              <w:rPr>
                <w:vertAlign w:val="superscript"/>
              </w:rPr>
              <w:t>a</w:t>
            </w:r>
          </w:p>
        </w:tc>
        <w:tc>
          <w:tcPr>
            <w:tcW w:w="636" w:type="pct"/>
          </w:tcPr>
          <w:p w14:paraId="1287859B" w14:textId="5A0915B9" w:rsidR="00AC10F5" w:rsidRPr="00BB5AAA" w:rsidRDefault="00AC10F5" w:rsidP="0092533D">
            <w:pPr>
              <w:pStyle w:val="Tableheading1"/>
              <w:rPr>
                <w:vertAlign w:val="superscript"/>
              </w:rPr>
            </w:pPr>
            <w:r w:rsidRPr="00BB5AAA">
              <w:t>No. per 100 patients with intervention</w:t>
            </w:r>
            <w:r w:rsidR="0092533D">
              <w:br/>
            </w:r>
            <w:r w:rsidRPr="00BB5AAA">
              <w:t>[95% CI]</w:t>
            </w:r>
            <w:r w:rsidR="00DE757E" w:rsidRPr="00BB5AAA">
              <w:rPr>
                <w:vertAlign w:val="superscript"/>
              </w:rPr>
              <w:t>b</w:t>
            </w:r>
          </w:p>
        </w:tc>
        <w:tc>
          <w:tcPr>
            <w:tcW w:w="727" w:type="pct"/>
          </w:tcPr>
          <w:p w14:paraId="741D3F88" w14:textId="1325F528" w:rsidR="00AC10F5" w:rsidRPr="00BB5AAA" w:rsidRDefault="00AC10F5" w:rsidP="0092533D">
            <w:pPr>
              <w:pStyle w:val="Tableheading1"/>
              <w:rPr>
                <w:vertAlign w:val="superscript"/>
              </w:rPr>
            </w:pPr>
            <w:r w:rsidRPr="00BB5AAA">
              <w:t>No. per 100 patients with comparator</w:t>
            </w:r>
            <w:r w:rsidR="00BB5AAA">
              <w:t xml:space="preserve"> </w:t>
            </w:r>
            <w:r w:rsidR="0092533D">
              <w:br/>
            </w:r>
            <w:r w:rsidRPr="00BB5AAA">
              <w:t>[95% CI]</w:t>
            </w:r>
            <w:r w:rsidR="00DE757E" w:rsidRPr="00BB5AAA">
              <w:rPr>
                <w:vertAlign w:val="superscript"/>
              </w:rPr>
              <w:t>c</w:t>
            </w:r>
          </w:p>
        </w:tc>
        <w:tc>
          <w:tcPr>
            <w:tcW w:w="470" w:type="pct"/>
          </w:tcPr>
          <w:p w14:paraId="211B3566" w14:textId="77777777" w:rsidR="00AC10F5" w:rsidRPr="00BB5AAA" w:rsidRDefault="00AC10F5" w:rsidP="002652B5">
            <w:pPr>
              <w:pStyle w:val="Tableheading1"/>
            </w:pPr>
            <w:r w:rsidRPr="00BB5AAA">
              <w:t>Importance</w:t>
            </w:r>
          </w:p>
        </w:tc>
        <w:tc>
          <w:tcPr>
            <w:tcW w:w="997" w:type="pct"/>
          </w:tcPr>
          <w:p w14:paraId="2BDC6099" w14:textId="77777777" w:rsidR="00AC10F5" w:rsidRPr="00BB5AAA" w:rsidRDefault="00AC10F5" w:rsidP="002652B5">
            <w:pPr>
              <w:pStyle w:val="Tableheading1"/>
            </w:pPr>
            <w:r w:rsidRPr="00BB5AAA">
              <w:t>Comments</w:t>
            </w:r>
          </w:p>
        </w:tc>
      </w:tr>
      <w:tr w:rsidR="00AC10F5" w:rsidRPr="004A5C3A" w14:paraId="564BA6B2" w14:textId="77777777" w:rsidTr="00BB5AAA">
        <w:trPr>
          <w:trHeight w:val="397"/>
        </w:trPr>
        <w:tc>
          <w:tcPr>
            <w:tcW w:w="731" w:type="pct"/>
          </w:tcPr>
          <w:p w14:paraId="085FD97D" w14:textId="77777777" w:rsidR="00AC10F5" w:rsidRPr="004A5C3A" w:rsidRDefault="00AC10F5" w:rsidP="002652B5">
            <w:pPr>
              <w:pStyle w:val="Tabletext1"/>
            </w:pPr>
            <w:r w:rsidRPr="004A5C3A">
              <w:t>True positives</w:t>
            </w:r>
          </w:p>
        </w:tc>
        <w:tc>
          <w:tcPr>
            <w:tcW w:w="731" w:type="pct"/>
          </w:tcPr>
          <w:p w14:paraId="60274E26" w14:textId="77777777" w:rsidR="00AC10F5" w:rsidRPr="004A5C3A" w:rsidRDefault="00AC10F5" w:rsidP="002652B5">
            <w:pPr>
              <w:pStyle w:val="Tabletext1"/>
            </w:pPr>
            <w:r w:rsidRPr="004A5C3A">
              <w:t>820 patients</w:t>
            </w:r>
          </w:p>
          <w:p w14:paraId="5EEDFB6B" w14:textId="6F233F65" w:rsidR="00AC10F5" w:rsidRPr="004A5C3A" w:rsidRDefault="008063BB" w:rsidP="002652B5">
            <w:pPr>
              <w:pStyle w:val="Tabletext1"/>
            </w:pPr>
            <w:r>
              <w:t>(</w:t>
            </w:r>
            <w:r w:rsidR="00AC10F5" w:rsidRPr="004A5C3A">
              <w:t>6 studies</w:t>
            </w:r>
            <w:r>
              <w:t>)</w:t>
            </w:r>
            <w:r w:rsidR="00BB5AAA">
              <w:t>.</w:t>
            </w:r>
          </w:p>
        </w:tc>
        <w:tc>
          <w:tcPr>
            <w:tcW w:w="707" w:type="pct"/>
          </w:tcPr>
          <w:p w14:paraId="6AD31C1F" w14:textId="0F0EE281" w:rsidR="00AC10F5" w:rsidRPr="004A5C3A" w:rsidRDefault="00291227" w:rsidP="002652B5">
            <w:pPr>
              <w:pStyle w:val="Tabletext1"/>
            </w:pPr>
            <w:r w:rsidRPr="00D4733A">
              <w:rPr>
                <w:rFonts w:ascii="Cambria Math" w:hAnsi="Cambria Math"/>
                <w:color w:val="00B050"/>
              </w:rPr>
              <w:t>⨁⨁⨁⨁</w:t>
            </w:r>
          </w:p>
        </w:tc>
        <w:tc>
          <w:tcPr>
            <w:tcW w:w="636" w:type="pct"/>
          </w:tcPr>
          <w:p w14:paraId="3FEAD2D0" w14:textId="77777777" w:rsidR="00AC10F5" w:rsidRPr="004A5C3A" w:rsidRDefault="00AC10F5" w:rsidP="002652B5">
            <w:pPr>
              <w:pStyle w:val="Tabletext1"/>
            </w:pPr>
            <w:r w:rsidRPr="004A5C3A">
              <w:t>24 [22,35]</w:t>
            </w:r>
          </w:p>
        </w:tc>
        <w:tc>
          <w:tcPr>
            <w:tcW w:w="727" w:type="pct"/>
          </w:tcPr>
          <w:p w14:paraId="2EA651A7" w14:textId="77777777" w:rsidR="00AC10F5" w:rsidRPr="004A5C3A" w:rsidRDefault="00AC10F5" w:rsidP="002652B5">
            <w:pPr>
              <w:pStyle w:val="Tabletext1"/>
            </w:pPr>
            <w:r w:rsidRPr="004A5C3A">
              <w:t>28 [25, 31]</w:t>
            </w:r>
          </w:p>
        </w:tc>
        <w:tc>
          <w:tcPr>
            <w:tcW w:w="470" w:type="pct"/>
          </w:tcPr>
          <w:p w14:paraId="3D973036" w14:textId="77777777" w:rsidR="00AC10F5" w:rsidRPr="004A5C3A" w:rsidRDefault="00AC10F5" w:rsidP="002652B5">
            <w:pPr>
              <w:pStyle w:val="Tabletext1"/>
            </w:pPr>
            <w:r w:rsidRPr="004A5C3A">
              <w:t>Critical</w:t>
            </w:r>
          </w:p>
        </w:tc>
        <w:tc>
          <w:tcPr>
            <w:tcW w:w="997" w:type="pct"/>
          </w:tcPr>
          <w:p w14:paraId="6C215876" w14:textId="77777777" w:rsidR="00AC10F5" w:rsidRPr="004A5C3A" w:rsidRDefault="00AC10F5" w:rsidP="002652B5">
            <w:pPr>
              <w:pStyle w:val="Tabletext1"/>
            </w:pPr>
            <w:r w:rsidRPr="004A5C3A">
              <w:t>Will undergo biopsy as under current management.</w:t>
            </w:r>
          </w:p>
        </w:tc>
      </w:tr>
      <w:tr w:rsidR="00F8244A" w:rsidRPr="004A5C3A" w14:paraId="0A33A750" w14:textId="77777777" w:rsidTr="00201E80">
        <w:trPr>
          <w:trHeight w:val="397"/>
        </w:trPr>
        <w:tc>
          <w:tcPr>
            <w:tcW w:w="731" w:type="pct"/>
          </w:tcPr>
          <w:p w14:paraId="103C5F99" w14:textId="77777777" w:rsidR="00F8244A" w:rsidRPr="004A5C3A" w:rsidRDefault="00F8244A" w:rsidP="00201E80">
            <w:pPr>
              <w:pStyle w:val="Tabletext1"/>
            </w:pPr>
            <w:r w:rsidRPr="004A5C3A">
              <w:t>False positives</w:t>
            </w:r>
          </w:p>
        </w:tc>
        <w:tc>
          <w:tcPr>
            <w:tcW w:w="731" w:type="pct"/>
          </w:tcPr>
          <w:p w14:paraId="772C1BF6" w14:textId="77777777" w:rsidR="00F8244A" w:rsidRPr="004A5C3A" w:rsidRDefault="00F8244A" w:rsidP="00201E80">
            <w:pPr>
              <w:pStyle w:val="Tabletext1"/>
            </w:pPr>
            <w:r w:rsidRPr="004A5C3A">
              <w:t>820 patients</w:t>
            </w:r>
          </w:p>
          <w:p w14:paraId="7239B316" w14:textId="77777777" w:rsidR="00F8244A" w:rsidRPr="004A5C3A" w:rsidRDefault="00F8244A" w:rsidP="00201E80">
            <w:pPr>
              <w:pStyle w:val="Tabletext1"/>
            </w:pPr>
            <w:r>
              <w:t>(</w:t>
            </w:r>
            <w:r w:rsidRPr="004A5C3A">
              <w:t>6 studies</w:t>
            </w:r>
            <w:r>
              <w:t>).</w:t>
            </w:r>
          </w:p>
        </w:tc>
        <w:tc>
          <w:tcPr>
            <w:tcW w:w="707" w:type="pct"/>
          </w:tcPr>
          <w:p w14:paraId="2A984376" w14:textId="77777777" w:rsidR="00F8244A" w:rsidRPr="004A5C3A" w:rsidRDefault="00F8244A" w:rsidP="00201E80">
            <w:pPr>
              <w:pStyle w:val="Tabletext1"/>
            </w:pPr>
            <w:r w:rsidRPr="00D4733A">
              <w:rPr>
                <w:rFonts w:ascii="Cambria Math" w:hAnsi="Cambria Math"/>
                <w:color w:val="00B050"/>
              </w:rPr>
              <w:t>⨁⨁⨁⨁</w:t>
            </w:r>
          </w:p>
        </w:tc>
        <w:tc>
          <w:tcPr>
            <w:tcW w:w="636" w:type="pct"/>
          </w:tcPr>
          <w:p w14:paraId="2E60D212" w14:textId="77777777" w:rsidR="00F8244A" w:rsidRPr="004A5C3A" w:rsidRDefault="00F8244A" w:rsidP="00201E80">
            <w:pPr>
              <w:pStyle w:val="Tabletext1"/>
            </w:pPr>
            <w:r w:rsidRPr="004A5C3A">
              <w:t>31 [28, 37]</w:t>
            </w:r>
          </w:p>
        </w:tc>
        <w:tc>
          <w:tcPr>
            <w:tcW w:w="727" w:type="pct"/>
          </w:tcPr>
          <w:p w14:paraId="5367CBF6" w14:textId="77777777" w:rsidR="00F8244A" w:rsidRPr="004A5C3A" w:rsidRDefault="00F8244A" w:rsidP="00201E80">
            <w:pPr>
              <w:pStyle w:val="Tabletext1"/>
            </w:pPr>
            <w:r w:rsidRPr="004A5C3A">
              <w:t>0 [0, 0]</w:t>
            </w:r>
          </w:p>
        </w:tc>
        <w:tc>
          <w:tcPr>
            <w:tcW w:w="470" w:type="pct"/>
          </w:tcPr>
          <w:p w14:paraId="50088AE3" w14:textId="77777777" w:rsidR="00F8244A" w:rsidRPr="004A5C3A" w:rsidRDefault="00F8244A" w:rsidP="00201E80">
            <w:pPr>
              <w:pStyle w:val="Tabletext1"/>
            </w:pPr>
            <w:r w:rsidRPr="004A5C3A">
              <w:t>Critical</w:t>
            </w:r>
          </w:p>
        </w:tc>
        <w:tc>
          <w:tcPr>
            <w:tcW w:w="997" w:type="pct"/>
          </w:tcPr>
          <w:p w14:paraId="72C4FD3B" w14:textId="77777777" w:rsidR="00F8244A" w:rsidRPr="004A5C3A" w:rsidRDefault="00F8244A" w:rsidP="00201E80">
            <w:pPr>
              <w:pStyle w:val="Tabletext1"/>
            </w:pPr>
            <w:r w:rsidRPr="004A5C3A">
              <w:t>Will undergo biopsy as under current management.</w:t>
            </w:r>
          </w:p>
        </w:tc>
      </w:tr>
      <w:tr w:rsidR="00F8244A" w:rsidRPr="004A5C3A" w14:paraId="3530E9D8" w14:textId="77777777" w:rsidTr="00201E80">
        <w:trPr>
          <w:trHeight w:val="397"/>
        </w:trPr>
        <w:tc>
          <w:tcPr>
            <w:tcW w:w="731" w:type="pct"/>
          </w:tcPr>
          <w:p w14:paraId="370365D5" w14:textId="77777777" w:rsidR="00F8244A" w:rsidRPr="004A5C3A" w:rsidRDefault="00F8244A" w:rsidP="00201E80">
            <w:pPr>
              <w:pStyle w:val="Tabletext1"/>
            </w:pPr>
            <w:r w:rsidRPr="004A5C3A">
              <w:t>True negatives</w:t>
            </w:r>
          </w:p>
        </w:tc>
        <w:tc>
          <w:tcPr>
            <w:tcW w:w="731" w:type="pct"/>
          </w:tcPr>
          <w:p w14:paraId="18666BA8" w14:textId="77777777" w:rsidR="00F8244A" w:rsidRPr="004A5C3A" w:rsidRDefault="00F8244A" w:rsidP="00201E80">
            <w:pPr>
              <w:pStyle w:val="Tabletext1"/>
            </w:pPr>
            <w:r w:rsidRPr="004A5C3A">
              <w:t>820 patients</w:t>
            </w:r>
          </w:p>
          <w:p w14:paraId="2C3CC641" w14:textId="77777777" w:rsidR="00F8244A" w:rsidRPr="004A5C3A" w:rsidRDefault="00F8244A" w:rsidP="00201E80">
            <w:pPr>
              <w:pStyle w:val="Tabletext1"/>
            </w:pPr>
            <w:r>
              <w:t>(</w:t>
            </w:r>
            <w:r w:rsidRPr="004A5C3A">
              <w:t>6 studies</w:t>
            </w:r>
            <w:r>
              <w:t>).</w:t>
            </w:r>
          </w:p>
        </w:tc>
        <w:tc>
          <w:tcPr>
            <w:tcW w:w="707" w:type="pct"/>
          </w:tcPr>
          <w:p w14:paraId="328E6443" w14:textId="77777777" w:rsidR="00F8244A" w:rsidRPr="004A5C3A" w:rsidRDefault="00F8244A" w:rsidP="00201E80">
            <w:pPr>
              <w:pStyle w:val="Tabletext1"/>
            </w:pPr>
            <w:r w:rsidRPr="00D4733A">
              <w:rPr>
                <w:rFonts w:ascii="Cambria Math" w:hAnsi="Cambria Math"/>
                <w:color w:val="00B050"/>
              </w:rPr>
              <w:t>⨁⨁⨁⨁</w:t>
            </w:r>
          </w:p>
        </w:tc>
        <w:tc>
          <w:tcPr>
            <w:tcW w:w="636" w:type="pct"/>
          </w:tcPr>
          <w:p w14:paraId="1BA91E1B" w14:textId="77777777" w:rsidR="00F8244A" w:rsidRPr="004A5C3A" w:rsidRDefault="00F8244A" w:rsidP="00201E80">
            <w:pPr>
              <w:pStyle w:val="Tabletext1"/>
            </w:pPr>
            <w:r w:rsidRPr="004A5C3A">
              <w:t>39 [35, 42]</w:t>
            </w:r>
          </w:p>
        </w:tc>
        <w:tc>
          <w:tcPr>
            <w:tcW w:w="727" w:type="pct"/>
          </w:tcPr>
          <w:p w14:paraId="41F4BB63" w14:textId="77777777" w:rsidR="00F8244A" w:rsidRPr="004A5C3A" w:rsidRDefault="00F8244A" w:rsidP="00201E80">
            <w:pPr>
              <w:pStyle w:val="Tabletext1"/>
            </w:pPr>
            <w:r w:rsidRPr="004A5C3A">
              <w:t>65 [65, 65]</w:t>
            </w:r>
          </w:p>
        </w:tc>
        <w:tc>
          <w:tcPr>
            <w:tcW w:w="470" w:type="pct"/>
          </w:tcPr>
          <w:p w14:paraId="64C5AD0A" w14:textId="77777777" w:rsidR="00F8244A" w:rsidRPr="004A5C3A" w:rsidRDefault="00F8244A" w:rsidP="00201E80">
            <w:pPr>
              <w:pStyle w:val="Tabletext1"/>
            </w:pPr>
            <w:r w:rsidRPr="004A5C3A">
              <w:t>Critical</w:t>
            </w:r>
          </w:p>
        </w:tc>
        <w:tc>
          <w:tcPr>
            <w:tcW w:w="997" w:type="pct"/>
          </w:tcPr>
          <w:p w14:paraId="0E8C3DF0" w14:textId="77777777" w:rsidR="00F8244A" w:rsidRPr="004A5C3A" w:rsidRDefault="00F8244A" w:rsidP="00201E80">
            <w:pPr>
              <w:pStyle w:val="Tabletext1"/>
            </w:pPr>
            <w:r w:rsidRPr="004A5C3A">
              <w:t>Will avoid biopsy adverse events</w:t>
            </w:r>
            <w:r>
              <w:t>.</w:t>
            </w:r>
          </w:p>
        </w:tc>
      </w:tr>
      <w:tr w:rsidR="00AC10F5" w:rsidRPr="004A5C3A" w14:paraId="0988EA4B" w14:textId="77777777" w:rsidTr="00BB5AAA">
        <w:trPr>
          <w:trHeight w:val="397"/>
        </w:trPr>
        <w:tc>
          <w:tcPr>
            <w:tcW w:w="731" w:type="pct"/>
          </w:tcPr>
          <w:p w14:paraId="2F46CFDC" w14:textId="77777777" w:rsidR="00AC10F5" w:rsidRPr="004A5C3A" w:rsidRDefault="00AC10F5" w:rsidP="002652B5">
            <w:pPr>
              <w:pStyle w:val="Tabletext1"/>
            </w:pPr>
            <w:r w:rsidRPr="004A5C3A">
              <w:t xml:space="preserve">False negatives </w:t>
            </w:r>
          </w:p>
        </w:tc>
        <w:tc>
          <w:tcPr>
            <w:tcW w:w="731" w:type="pct"/>
          </w:tcPr>
          <w:p w14:paraId="4AA0F28E" w14:textId="77777777" w:rsidR="00AC10F5" w:rsidRPr="004A5C3A" w:rsidRDefault="00AC10F5" w:rsidP="002652B5">
            <w:pPr>
              <w:pStyle w:val="Tabletext1"/>
            </w:pPr>
            <w:r w:rsidRPr="004A5C3A">
              <w:t>820 patients</w:t>
            </w:r>
          </w:p>
          <w:p w14:paraId="1B85FDF1" w14:textId="3643F556" w:rsidR="00AC10F5" w:rsidRPr="004A5C3A" w:rsidRDefault="008063BB" w:rsidP="002652B5">
            <w:pPr>
              <w:pStyle w:val="Tabletext1"/>
            </w:pPr>
            <w:r>
              <w:t>(</w:t>
            </w:r>
            <w:r w:rsidR="00AC10F5" w:rsidRPr="004A5C3A">
              <w:t>6 studies</w:t>
            </w:r>
            <w:r>
              <w:t>)</w:t>
            </w:r>
            <w:r w:rsidR="00BB5AAA">
              <w:t>.</w:t>
            </w:r>
          </w:p>
        </w:tc>
        <w:tc>
          <w:tcPr>
            <w:tcW w:w="707" w:type="pct"/>
          </w:tcPr>
          <w:p w14:paraId="7E6BBD8B" w14:textId="5D242FEC" w:rsidR="00AC10F5" w:rsidRPr="004A5C3A" w:rsidRDefault="00291227" w:rsidP="002652B5">
            <w:pPr>
              <w:pStyle w:val="Tabletext1"/>
            </w:pPr>
            <w:r w:rsidRPr="00D4733A">
              <w:rPr>
                <w:rFonts w:ascii="Cambria Math" w:hAnsi="Cambria Math"/>
                <w:color w:val="00B050"/>
              </w:rPr>
              <w:t>⨁⨁⨁⨁</w:t>
            </w:r>
          </w:p>
        </w:tc>
        <w:tc>
          <w:tcPr>
            <w:tcW w:w="636" w:type="pct"/>
          </w:tcPr>
          <w:p w14:paraId="06538A24" w14:textId="77777777" w:rsidR="00AC10F5" w:rsidRPr="004A5C3A" w:rsidRDefault="00AC10F5" w:rsidP="002652B5">
            <w:pPr>
              <w:pStyle w:val="Tabletext1"/>
            </w:pPr>
            <w:r w:rsidRPr="004A5C3A">
              <w:t>6 [5,8]</w:t>
            </w:r>
          </w:p>
        </w:tc>
        <w:tc>
          <w:tcPr>
            <w:tcW w:w="727" w:type="pct"/>
          </w:tcPr>
          <w:p w14:paraId="4DE7384E" w14:textId="77777777" w:rsidR="00AC10F5" w:rsidRPr="004A5C3A" w:rsidRDefault="00AC10F5" w:rsidP="002652B5">
            <w:pPr>
              <w:pStyle w:val="Tabletext1"/>
            </w:pPr>
            <w:r w:rsidRPr="004A5C3A">
              <w:t>7 [4, 11]</w:t>
            </w:r>
          </w:p>
        </w:tc>
        <w:tc>
          <w:tcPr>
            <w:tcW w:w="470" w:type="pct"/>
          </w:tcPr>
          <w:p w14:paraId="3A67EF23" w14:textId="77777777" w:rsidR="00AC10F5" w:rsidRPr="004A5C3A" w:rsidRDefault="00AC10F5" w:rsidP="002652B5">
            <w:pPr>
              <w:pStyle w:val="Tabletext1"/>
            </w:pPr>
            <w:r w:rsidRPr="004A5C3A">
              <w:t>Critical</w:t>
            </w:r>
          </w:p>
        </w:tc>
        <w:tc>
          <w:tcPr>
            <w:tcW w:w="997" w:type="pct"/>
          </w:tcPr>
          <w:p w14:paraId="404DF3A5" w14:textId="585DCC35" w:rsidR="00AC10F5" w:rsidRPr="004A5C3A" w:rsidRDefault="00203C89" w:rsidP="002652B5">
            <w:pPr>
              <w:pStyle w:val="Tabletext1"/>
            </w:pPr>
            <w:r w:rsidRPr="004A5C3A">
              <w:t>Will avoid the adverse events of biopsy b</w:t>
            </w:r>
            <w:r>
              <w:t>ut</w:t>
            </w:r>
            <w:r w:rsidRPr="004A5C3A">
              <w:t xml:space="preserve"> possible detriment due to delayed treatment.</w:t>
            </w:r>
          </w:p>
        </w:tc>
      </w:tr>
      <w:tr w:rsidR="00AC10F5" w:rsidRPr="004A5C3A" w14:paraId="0C68CC1D" w14:textId="77777777" w:rsidTr="00BB5AAA">
        <w:trPr>
          <w:trHeight w:val="397"/>
        </w:trPr>
        <w:tc>
          <w:tcPr>
            <w:tcW w:w="731" w:type="pct"/>
          </w:tcPr>
          <w:p w14:paraId="6DB5C673" w14:textId="77777777" w:rsidR="00AC10F5" w:rsidRPr="004A5C3A" w:rsidRDefault="00AC10F5" w:rsidP="002652B5">
            <w:pPr>
              <w:pStyle w:val="Tabletext1"/>
            </w:pPr>
            <w:r w:rsidRPr="004A5C3A">
              <w:t>Positive surgical margins</w:t>
            </w:r>
          </w:p>
        </w:tc>
        <w:tc>
          <w:tcPr>
            <w:tcW w:w="731" w:type="pct"/>
          </w:tcPr>
          <w:p w14:paraId="718B1B37" w14:textId="77777777" w:rsidR="00AC10F5" w:rsidRPr="004A5C3A" w:rsidRDefault="00AC10F5" w:rsidP="002652B5">
            <w:pPr>
              <w:pStyle w:val="Tabletext1"/>
            </w:pPr>
            <w:r w:rsidRPr="004A5C3A">
              <w:t>219 patients</w:t>
            </w:r>
          </w:p>
          <w:p w14:paraId="00A00D56" w14:textId="48FA0443" w:rsidR="00AC10F5" w:rsidRPr="004A5C3A" w:rsidRDefault="008063BB" w:rsidP="002652B5">
            <w:pPr>
              <w:pStyle w:val="Tabletext1"/>
            </w:pPr>
            <w:r>
              <w:t>(</w:t>
            </w:r>
            <w:r w:rsidR="00AC10F5" w:rsidRPr="004A5C3A">
              <w:t>1 study</w:t>
            </w:r>
            <w:r>
              <w:t>)</w:t>
            </w:r>
            <w:r w:rsidR="00BB5AAA">
              <w:t>.</w:t>
            </w:r>
          </w:p>
        </w:tc>
        <w:tc>
          <w:tcPr>
            <w:tcW w:w="707" w:type="pct"/>
          </w:tcPr>
          <w:p w14:paraId="172C5591" w14:textId="7296FFDA" w:rsidR="00AC10F5" w:rsidRPr="004A5C3A" w:rsidRDefault="001327C8" w:rsidP="002652B5">
            <w:pPr>
              <w:pStyle w:val="Tabletext1"/>
            </w:pPr>
            <w:r>
              <w:rPr>
                <w:rFonts w:ascii="Cambria Math" w:hAnsi="Cambria Math"/>
                <w:color w:val="00B050"/>
              </w:rPr>
              <w:t>⨁</w:t>
            </w:r>
            <w:r w:rsidRPr="00D4733A">
              <w:rPr>
                <w:rFonts w:ascii="Cambria Math" w:hAnsi="Cambria Math" w:cs="Cambria Math"/>
                <w:color w:val="C00000"/>
              </w:rPr>
              <w:t>⨀⨀⨀</w:t>
            </w:r>
          </w:p>
        </w:tc>
        <w:tc>
          <w:tcPr>
            <w:tcW w:w="636" w:type="pct"/>
          </w:tcPr>
          <w:p w14:paraId="1ADB4D6F" w14:textId="77777777" w:rsidR="00AC10F5" w:rsidRPr="004A5C3A" w:rsidRDefault="00AC10F5" w:rsidP="002652B5">
            <w:pPr>
              <w:pStyle w:val="Tabletext1"/>
            </w:pPr>
            <w:r w:rsidRPr="009A4EBF">
              <w:t>NA</w:t>
            </w:r>
          </w:p>
        </w:tc>
        <w:tc>
          <w:tcPr>
            <w:tcW w:w="727" w:type="pct"/>
          </w:tcPr>
          <w:p w14:paraId="6A364B50" w14:textId="77777777" w:rsidR="00AC10F5" w:rsidRPr="004A5C3A" w:rsidRDefault="00AC10F5" w:rsidP="002652B5">
            <w:pPr>
              <w:pStyle w:val="Tabletext1"/>
            </w:pPr>
            <w:r w:rsidRPr="004A5C3A">
              <w:t>NA</w:t>
            </w:r>
          </w:p>
        </w:tc>
        <w:tc>
          <w:tcPr>
            <w:tcW w:w="470" w:type="pct"/>
          </w:tcPr>
          <w:p w14:paraId="3FF43629" w14:textId="77777777" w:rsidR="00AC10F5" w:rsidRPr="004A5C3A" w:rsidRDefault="00AC10F5" w:rsidP="002652B5">
            <w:pPr>
              <w:pStyle w:val="Tabletext1"/>
            </w:pPr>
            <w:r w:rsidRPr="004A5C3A">
              <w:t>NA</w:t>
            </w:r>
          </w:p>
        </w:tc>
        <w:tc>
          <w:tcPr>
            <w:tcW w:w="997" w:type="pct"/>
          </w:tcPr>
          <w:p w14:paraId="16CE88F5" w14:textId="1CD16A90" w:rsidR="00AC10F5" w:rsidRPr="004A5C3A" w:rsidRDefault="00AC10F5" w:rsidP="002652B5">
            <w:pPr>
              <w:pStyle w:val="Tabletext1"/>
            </w:pPr>
            <w:r w:rsidRPr="004A5C3A">
              <w:t>There is no evidence that delayed treatment increases the rate of positive surgical margins</w:t>
            </w:r>
            <w:r w:rsidR="008063BB">
              <w:t>.</w:t>
            </w:r>
          </w:p>
        </w:tc>
      </w:tr>
    </w:tbl>
    <w:p w14:paraId="1C7BEEFB" w14:textId="69C1F79E" w:rsidR="009A4EBF" w:rsidRDefault="00AC10F5" w:rsidP="00DC2035">
      <w:pPr>
        <w:pStyle w:val="TableNotes"/>
      </w:pPr>
      <w:r w:rsidRPr="000401E7">
        <w:rPr>
          <w:vertAlign w:val="superscript"/>
        </w:rPr>
        <w:t>a</w:t>
      </w:r>
      <w:r w:rsidR="00882CD9">
        <w:t>:</w:t>
      </w:r>
      <w:r w:rsidRPr="000401E7">
        <w:t xml:space="preserve"> GRADE Working Group grades of evidence </w:t>
      </w:r>
      <w:r w:rsidR="008E0B00">
        <w:fldChar w:fldCharType="begin"/>
      </w:r>
      <w:r w:rsidR="008E0B00">
        <w:instrText xml:space="preserve"> ADDIN EN.CITE &lt;EndNote&gt;&lt;Cite&gt;&lt;Author&gt;Guyatt&lt;/Author&gt;&lt;Year&gt;2013&lt;/Year&gt;&lt;RecNum&gt;166&lt;/RecNum&gt;&lt;DisplayText&gt;(Guyatt et al. 2013)&lt;/DisplayText&gt;&lt;record&gt;&lt;rec-number&gt;166&lt;/rec-number&gt;&lt;foreign-keys&gt;&lt;key app="EN" db-id="xzzrstesqpaavfe0te5p2zssvee5ervas2vt" timestamp="1469161165"&gt;166&lt;/key&gt;&lt;/foreign-keys&gt;&lt;ref-type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Epidemiol&lt;/full-title&gt;&lt;abbr-1&gt;Journal of clinical epidemiology&lt;/abbr-1&gt;&lt;/periodical&gt;&lt;pages&gt;151-157&lt;/pages&gt;&lt;volume&gt;66&lt;/volume&gt;&lt;number&gt;2&lt;/number&gt;&lt;dates&gt;&lt;year&gt;2013&lt;/year&gt;&lt;/dates&gt;&lt;urls&gt;&lt;/urls&gt;&lt;/record&gt;&lt;/Cite&gt;&lt;/EndNote&gt;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00DC2035">
        <w:t>.</w:t>
      </w:r>
      <w:r w:rsidRPr="000401E7">
        <w:br/>
      </w:r>
      <w:r w:rsidRPr="00D4733A">
        <w:rPr>
          <w:rFonts w:ascii="Cambria Math" w:hAnsi="Cambria Math"/>
          <w:color w:val="00B050"/>
        </w:rPr>
        <w:t>⨁⨁⨁⨁</w:t>
      </w:r>
      <w:r>
        <w:rPr>
          <w:rFonts w:ascii="Cambria Math" w:hAnsi="Cambria Math"/>
          <w:color w:val="00B050"/>
        </w:rPr>
        <w:t xml:space="preserve"> </w:t>
      </w:r>
      <w:r w:rsidRPr="00E10B76">
        <w:rPr>
          <w:b/>
          <w:bCs/>
        </w:rPr>
        <w:t>High quality:</w:t>
      </w:r>
      <w:r w:rsidRPr="00E10B76">
        <w:t xml:space="preserve"> </w:t>
      </w:r>
      <w:r>
        <w:t>We are very confident that the true effect lies close to that of the estimate of effect.</w:t>
      </w:r>
      <w:r w:rsidRPr="00E10B76">
        <w:t xml:space="preserve"> </w:t>
      </w:r>
      <w:r w:rsidRPr="00E10B76">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rsidR="00E37744">
        <w:br/>
      </w:r>
      <w:r w:rsidR="00DE757E" w:rsidRPr="00DE757E">
        <w:rPr>
          <w:vertAlign w:val="superscript"/>
        </w:rPr>
        <w:t>b</w:t>
      </w:r>
      <w:r w:rsidR="00882CD9">
        <w:t>: A</w:t>
      </w:r>
      <w:r w:rsidR="00DE757E">
        <w:t xml:space="preserve"> prevalence of </w:t>
      </w:r>
      <w:r w:rsidR="006818E1">
        <w:t>PCa</w:t>
      </w:r>
      <w:r w:rsidR="00DE757E">
        <w:t xml:space="preserve"> upgrade in low-</w:t>
      </w:r>
      <w:r w:rsidR="00A9704F">
        <w:t xml:space="preserve">concern </w:t>
      </w:r>
      <w:r w:rsidR="00DE757E">
        <w:t>patients of 30% was provided by the Applicant. Only low-</w:t>
      </w:r>
      <w:r w:rsidR="00A9704F">
        <w:t xml:space="preserve">concern </w:t>
      </w:r>
      <w:r w:rsidR="00DE757E">
        <w:t xml:space="preserve">patients have been included in this assessment as there is no change in management for patients at </w:t>
      </w:r>
      <w:r w:rsidR="0058672B">
        <w:t>high-concern</w:t>
      </w:r>
      <w:r w:rsidR="00DE757E">
        <w:t>, regardless of mpMRI results.</w:t>
      </w:r>
      <w:r w:rsidR="00E37744">
        <w:br/>
      </w:r>
      <w:r w:rsidR="00DE757E" w:rsidRPr="00882CD9">
        <w:rPr>
          <w:vertAlign w:val="superscript"/>
        </w:rPr>
        <w:t>c</w:t>
      </w:r>
      <w:r w:rsidR="00882CD9">
        <w:t>:</w:t>
      </w:r>
      <w:r w:rsidR="00DE757E">
        <w:rPr>
          <w:b/>
          <w:vertAlign w:val="superscript"/>
        </w:rPr>
        <w:t xml:space="preserve"> </w:t>
      </w:r>
      <w:r w:rsidR="00882CD9">
        <w:t>Ca</w:t>
      </w:r>
      <w:r>
        <w:t>lculated using the reported sensitivity of TRUSGB biopsy of 0.81 (95% CI [0.70, 0.88] and assuming TRUSGB had a specificity of 100%</w:t>
      </w:r>
    </w:p>
    <w:p w14:paraId="159EEDD5" w14:textId="7E63A3E2" w:rsidR="00F329AA" w:rsidRDefault="008A4B18" w:rsidP="00DC2035">
      <w:pPr>
        <w:pStyle w:val="TableNotes"/>
      </w:pPr>
      <w:r>
        <w:t>TRUSGB = trans-rectal ultrasound-guided biopsy, TPUSGB = trans-perineal ultrasound-guided biopsy, NA = not applicable, CI = confidence interval</w:t>
      </w:r>
      <w:r w:rsidR="009A4EBF">
        <w:t>.</w:t>
      </w:r>
    </w:p>
    <w:p w14:paraId="2EE29CB6" w14:textId="77777777" w:rsidR="00F669EC" w:rsidRDefault="00F669EC">
      <w:pPr>
        <w:spacing w:after="0" w:line="240" w:lineRule="auto"/>
        <w:jc w:val="left"/>
        <w:rPr>
          <w:rFonts w:ascii="Arial Narrow" w:hAnsi="Arial Narrow"/>
          <w:sz w:val="18"/>
        </w:rPr>
        <w:sectPr w:rsidR="00F669EC" w:rsidSect="003C7A14">
          <w:headerReference w:type="default" r:id="rId46"/>
          <w:pgSz w:w="16838" w:h="11906" w:orient="landscape"/>
          <w:pgMar w:top="1440" w:right="1440" w:bottom="1440" w:left="1440" w:header="720" w:footer="720" w:gutter="0"/>
          <w:paperSrc w:first="7" w:other="7"/>
          <w:cols w:space="720"/>
          <w:docGrid w:linePitch="299"/>
        </w:sectPr>
      </w:pPr>
    </w:p>
    <w:p w14:paraId="37F1F08E" w14:textId="77777777" w:rsidR="00742247" w:rsidRPr="00183E4D" w:rsidRDefault="00742247" w:rsidP="00742247">
      <w:pPr>
        <w:pStyle w:val="Heading1"/>
      </w:pPr>
      <w:bookmarkStart w:id="401" w:name="_Toc457383599"/>
      <w:bookmarkStart w:id="402" w:name="_Toc459987847"/>
      <w:bookmarkStart w:id="403" w:name="_Toc460513967"/>
      <w:bookmarkStart w:id="404" w:name="_Toc379118085"/>
      <w:bookmarkStart w:id="405" w:name="_Toc381796472"/>
      <w:bookmarkStart w:id="406" w:name="_Toc379118089"/>
      <w:bookmarkStart w:id="407" w:name="_Toc381796487"/>
      <w:r w:rsidRPr="00183E4D">
        <w:lastRenderedPageBreak/>
        <w:t>Section C</w:t>
      </w:r>
      <w:r w:rsidRPr="00183E4D">
        <w:tab/>
        <w:t>Translation Issues</w:t>
      </w:r>
      <w:bookmarkEnd w:id="401"/>
      <w:bookmarkEnd w:id="402"/>
      <w:bookmarkEnd w:id="403"/>
    </w:p>
    <w:p w14:paraId="57A64F7A" w14:textId="77777777" w:rsidR="00742247" w:rsidRDefault="00742247" w:rsidP="00742247">
      <w:pPr>
        <w:pStyle w:val="Heading2"/>
        <w:numPr>
          <w:ilvl w:val="2"/>
          <w:numId w:val="19"/>
        </w:numPr>
        <w:jc w:val="left"/>
      </w:pPr>
      <w:bookmarkStart w:id="408" w:name="_Toc457383600"/>
      <w:bookmarkStart w:id="409" w:name="_Toc459987848"/>
      <w:bookmarkStart w:id="410" w:name="_Toc460513968"/>
      <w:r>
        <w:t>Overview</w:t>
      </w:r>
      <w:bookmarkEnd w:id="408"/>
      <w:bookmarkEnd w:id="409"/>
      <w:bookmarkEnd w:id="410"/>
      <w:r>
        <w:t xml:space="preserve"> </w:t>
      </w:r>
    </w:p>
    <w:p w14:paraId="2243D7A2" w14:textId="70F8A028" w:rsidR="00742247" w:rsidRDefault="00742247" w:rsidP="00742247">
      <w:r w:rsidRPr="00A64413">
        <w:t xml:space="preserve">The clinical evaluation </w:t>
      </w:r>
      <w:r w:rsidR="002352B5">
        <w:t>presented in S</w:t>
      </w:r>
      <w:r w:rsidRPr="00AF4069">
        <w:t>ection B concludes</w:t>
      </w:r>
      <w:r w:rsidRPr="00A64413">
        <w:t xml:space="preserve"> that </w:t>
      </w:r>
      <w:r>
        <w:t xml:space="preserve">compared to other clinical strategies, </w:t>
      </w:r>
      <w:r w:rsidRPr="00A64413">
        <w:t xml:space="preserve">mpMRI </w:t>
      </w:r>
      <w:r w:rsidRPr="00AF4069">
        <w:t>is non-inferior with respect to accuracy and superior with respect to safety</w:t>
      </w:r>
      <w:r>
        <w:t xml:space="preserve">. Section D provides a model-based analysis to estimate the cost-effectiveness of mpMRI in the expected MBS population. Results are presented as incremental costs per </w:t>
      </w:r>
      <w:r w:rsidR="00244153">
        <w:t>quality of life-year (</w:t>
      </w:r>
      <w:r>
        <w:t>QALY</w:t>
      </w:r>
      <w:r w:rsidR="00244153">
        <w:t>)</w:t>
      </w:r>
      <w:r>
        <w:t xml:space="preserve"> gained by using mpMRI compared to other clinical management strategies (TRUSGB or TPUSGB in Population 1, re-biopsy in Population 2). A decision tree was used to model</w:t>
      </w:r>
      <w:r w:rsidRPr="00A64413">
        <w:t xml:space="preserve"> the diagnostic pathways, followed by a Markov model representing subsequent </w:t>
      </w:r>
      <w:r w:rsidRPr="00AF4069">
        <w:t xml:space="preserve">follow-up (see </w:t>
      </w:r>
      <w:r w:rsidR="0042364C">
        <w:t>Sub</w:t>
      </w:r>
      <w:r w:rsidRPr="00AF4069">
        <w:t>section D.3). Results from the</w:t>
      </w:r>
      <w:r>
        <w:t xml:space="preserve"> studies presented in </w:t>
      </w:r>
      <w:r w:rsidR="0042364C">
        <w:t>S</w:t>
      </w:r>
      <w:r>
        <w:t>ection B were used to inform this model.</w:t>
      </w:r>
    </w:p>
    <w:p w14:paraId="1FB4334D" w14:textId="6582314E" w:rsidR="00742247" w:rsidRDefault="0042364C" w:rsidP="00742247">
      <w:r>
        <w:t>Subsection</w:t>
      </w:r>
      <w:r w:rsidR="00742247">
        <w:t xml:space="preserve"> C.2 (applicability translation issues) add</w:t>
      </w:r>
      <w:r w:rsidR="00244153">
        <w:t>resses the following question: T</w:t>
      </w:r>
      <w:r w:rsidR="00742247">
        <w:t xml:space="preserve">o what extent are the study results presented in the key trials </w:t>
      </w:r>
      <w:r w:rsidR="00244153">
        <w:t>from</w:t>
      </w:r>
      <w:r w:rsidR="00742247">
        <w:t xml:space="preserve"> section B applicable to the Australian MBS setting?</w:t>
      </w:r>
    </w:p>
    <w:p w14:paraId="5F20D575" w14:textId="71219A4D" w:rsidR="00742247" w:rsidRDefault="00742247" w:rsidP="00742247">
      <w:r>
        <w:t xml:space="preserve">The clinical outcomes presented in </w:t>
      </w:r>
      <w:r w:rsidR="0042364C">
        <w:t>S</w:t>
      </w:r>
      <w:r>
        <w:t xml:space="preserve">ection B provide information about test accuracy and safety, but not </w:t>
      </w:r>
      <w:r w:rsidR="00244153">
        <w:t>on the</w:t>
      </w:r>
      <w:r>
        <w:t xml:space="preserve"> long-term impact on disease progression and mortality. </w:t>
      </w:r>
      <w:r w:rsidR="00244153">
        <w:t>T</w:t>
      </w:r>
      <w:r>
        <w:t xml:space="preserve">o estimate the long-term impact of the use of mpMRI, accuracy results need to be translated into longer term outcomes, such as overall survival. Therefore, </w:t>
      </w:r>
      <w:r w:rsidR="0042364C">
        <w:t>Sub</w:t>
      </w:r>
      <w:r>
        <w:t>section C.3 (extrapolation translation issues) add</w:t>
      </w:r>
      <w:r w:rsidR="00244153">
        <w:t>resses the following question: W</w:t>
      </w:r>
      <w:r>
        <w:t>hat is the impact of mpMRI on the prognosis of prostate cancer patients?</w:t>
      </w:r>
    </w:p>
    <w:p w14:paraId="09A9C419" w14:textId="65256936" w:rsidR="00742247" w:rsidRDefault="00742247" w:rsidP="00742247">
      <w:r>
        <w:t>The economic evaluation will use QALYs gained as a summary measure of the impact of mpMRI on both the quality and quantity of patient lives</w:t>
      </w:r>
      <w:r w:rsidR="00A228FB">
        <w:t xml:space="preserve">, as </w:t>
      </w:r>
      <w:r>
        <w:t>none of the clinical accuracy studies measured impact on (short a</w:t>
      </w:r>
      <w:r w:rsidR="00B105C0">
        <w:t>nd long</w:t>
      </w:r>
      <w:r w:rsidR="00C824BA">
        <w:t xml:space="preserve"> term) quality of life,</w:t>
      </w:r>
      <w:r>
        <w:t xml:space="preserve"> </w:t>
      </w:r>
      <w:r w:rsidR="0042364C">
        <w:t>Subs</w:t>
      </w:r>
      <w:r>
        <w:t>ection C.4 (transformation issues) provides utility values that are used to transform the impact of mpMRI on safety and survival into QALYs.</w:t>
      </w:r>
    </w:p>
    <w:p w14:paraId="50D49759" w14:textId="0F3B77A3" w:rsidR="00742247" w:rsidRDefault="00742247" w:rsidP="00742247">
      <w:r>
        <w:t>In order to give a balanced overview of all costs and effects associated with mpMRI, the economic evaluation include</w:t>
      </w:r>
      <w:r w:rsidR="00BA05E6">
        <w:t>s</w:t>
      </w:r>
      <w:r>
        <w:t xml:space="preserve"> the costs and effects of adverse events related to mpMRI and biopsies. S</w:t>
      </w:r>
      <w:r w:rsidR="0042364C">
        <w:t>ubs</w:t>
      </w:r>
      <w:r>
        <w:t>ection C.5 will t</w:t>
      </w:r>
      <w:r w:rsidR="00BA05E6">
        <w:t>herefore address the question: H</w:t>
      </w:r>
      <w:r>
        <w:t xml:space="preserve">ow can the economic model in </w:t>
      </w:r>
      <w:r w:rsidR="0042364C">
        <w:t>Se</w:t>
      </w:r>
      <w:r>
        <w:t>ction D incorporate the safety of mpMRI and biopsy procedures?</w:t>
      </w:r>
    </w:p>
    <w:p w14:paraId="06BF07E1" w14:textId="514C7CFB" w:rsidR="00742247" w:rsidRPr="00337BD4" w:rsidRDefault="0042364C" w:rsidP="00742247">
      <w:r>
        <w:t>Subs</w:t>
      </w:r>
      <w:r w:rsidR="00742247">
        <w:t>ection C.6 summarises how t</w:t>
      </w:r>
      <w:r w:rsidR="00D74D9E">
        <w:t>he various issues discussed in S</w:t>
      </w:r>
      <w:r w:rsidR="00742247">
        <w:t xml:space="preserve">ection C are incorporated into the economic evaluation in </w:t>
      </w:r>
      <w:r>
        <w:t>S</w:t>
      </w:r>
      <w:r w:rsidR="00742247">
        <w:t>ection D.</w:t>
      </w:r>
    </w:p>
    <w:p w14:paraId="699DEE58" w14:textId="77777777" w:rsidR="00742247" w:rsidRDefault="00742247" w:rsidP="00742247">
      <w:r>
        <w:t xml:space="preserve">A summary of translation issues addressed in this section is presented in </w:t>
      </w:r>
      <w:r>
        <w:fldChar w:fldCharType="begin"/>
      </w:r>
      <w:r>
        <w:instrText xml:space="preserve"> REF _Ref454280783 \h </w:instrText>
      </w:r>
      <w:r>
        <w:fldChar w:fldCharType="separate"/>
      </w:r>
      <w:r w:rsidR="0029649D" w:rsidRPr="004938C1">
        <w:t xml:space="preserve">Table </w:t>
      </w:r>
      <w:r w:rsidR="0029649D">
        <w:rPr>
          <w:noProof/>
        </w:rPr>
        <w:t>39</w:t>
      </w:r>
      <w:r>
        <w:fldChar w:fldCharType="end"/>
      </w:r>
      <w:r>
        <w:t xml:space="preserve">. </w:t>
      </w:r>
    </w:p>
    <w:p w14:paraId="6ACD9B3B" w14:textId="77777777" w:rsidR="00742247" w:rsidRPr="004938C1" w:rsidRDefault="00742247" w:rsidP="00742247">
      <w:pPr>
        <w:pStyle w:val="Caption"/>
        <w:ind w:left="1134" w:hanging="1134"/>
      </w:pPr>
      <w:bookmarkStart w:id="411" w:name="_Ref454280783"/>
      <w:bookmarkStart w:id="412" w:name="_Toc457383661"/>
      <w:bookmarkStart w:id="413" w:name="_Toc459987899"/>
      <w:bookmarkStart w:id="414" w:name="_Toc460514539"/>
      <w:r w:rsidRPr="004938C1">
        <w:lastRenderedPageBreak/>
        <w:t xml:space="preserve">Table </w:t>
      </w:r>
      <w:fldSimple w:instr=" SEQ Table \* ARABIC ">
        <w:r w:rsidR="0029649D">
          <w:rPr>
            <w:noProof/>
          </w:rPr>
          <w:t>39</w:t>
        </w:r>
      </w:fldSimple>
      <w:bookmarkEnd w:id="411"/>
      <w:r w:rsidRPr="004938C1">
        <w:tab/>
        <w:t>Summary of translation issues</w:t>
      </w:r>
      <w:bookmarkEnd w:id="412"/>
      <w:bookmarkEnd w:id="413"/>
      <w:bookmarkEnd w:id="414"/>
    </w:p>
    <w:tbl>
      <w:tblPr>
        <w:tblW w:w="9112" w:type="dxa"/>
        <w:tblInd w:w="130" w:type="dxa"/>
        <w:tblCellMar>
          <w:left w:w="28" w:type="dxa"/>
          <w:right w:w="28" w:type="dxa"/>
        </w:tblCellMar>
        <w:tblLook w:val="01E0" w:firstRow="1" w:lastRow="1" w:firstColumn="1" w:lastColumn="1" w:noHBand="0" w:noVBand="0"/>
      </w:tblPr>
      <w:tblGrid>
        <w:gridCol w:w="3184"/>
        <w:gridCol w:w="4605"/>
        <w:gridCol w:w="1323"/>
      </w:tblGrid>
      <w:tr w:rsidR="00742247" w:rsidRPr="00540788" w14:paraId="20ED71E4" w14:textId="77777777" w:rsidTr="00D922F2">
        <w:trPr>
          <w:trHeight w:val="397"/>
        </w:trPr>
        <w:tc>
          <w:tcPr>
            <w:tcW w:w="1747" w:type="pct"/>
            <w:tcBorders>
              <w:top w:val="single" w:sz="4" w:space="0" w:color="auto"/>
              <w:left w:val="single" w:sz="4" w:space="0" w:color="auto"/>
              <w:bottom w:val="single" w:sz="4" w:space="0" w:color="auto"/>
              <w:right w:val="single" w:sz="4" w:space="0" w:color="auto"/>
            </w:tcBorders>
          </w:tcPr>
          <w:p w14:paraId="05A63D2A" w14:textId="77777777" w:rsidR="00742247" w:rsidRPr="00540788" w:rsidRDefault="00742247" w:rsidP="00CE5982">
            <w:pPr>
              <w:pStyle w:val="Tableheading1"/>
              <w:keepNext/>
            </w:pPr>
            <w:r w:rsidRPr="00540788">
              <w:t>Applicability issues</w:t>
            </w:r>
          </w:p>
        </w:tc>
        <w:tc>
          <w:tcPr>
            <w:tcW w:w="2527" w:type="pct"/>
            <w:tcBorders>
              <w:top w:val="single" w:sz="4" w:space="0" w:color="auto"/>
              <w:left w:val="single" w:sz="4" w:space="0" w:color="auto"/>
              <w:bottom w:val="single" w:sz="4" w:space="0" w:color="auto"/>
              <w:right w:val="single" w:sz="4" w:space="0" w:color="auto"/>
            </w:tcBorders>
          </w:tcPr>
          <w:p w14:paraId="55852616" w14:textId="77777777" w:rsidR="00742247" w:rsidRPr="00540788" w:rsidRDefault="00742247" w:rsidP="00CE5982">
            <w:pPr>
              <w:pStyle w:val="Tableheading1"/>
              <w:keepNext/>
            </w:pPr>
            <w:r w:rsidRPr="00540788">
              <w:t>Methods, data and sources</w:t>
            </w:r>
          </w:p>
        </w:tc>
        <w:tc>
          <w:tcPr>
            <w:tcW w:w="726" w:type="pct"/>
            <w:tcBorders>
              <w:top w:val="single" w:sz="4" w:space="0" w:color="auto"/>
              <w:left w:val="single" w:sz="4" w:space="0" w:color="auto"/>
              <w:bottom w:val="single" w:sz="4" w:space="0" w:color="auto"/>
              <w:right w:val="single" w:sz="4" w:space="0" w:color="auto"/>
            </w:tcBorders>
          </w:tcPr>
          <w:p w14:paraId="7012EBD0" w14:textId="77777777" w:rsidR="00742247" w:rsidRPr="00540788" w:rsidRDefault="00742247" w:rsidP="00CE5982">
            <w:pPr>
              <w:pStyle w:val="Tableheading1"/>
              <w:keepNext/>
            </w:pPr>
            <w:r w:rsidRPr="00540788">
              <w:t>Section</w:t>
            </w:r>
          </w:p>
        </w:tc>
      </w:tr>
      <w:tr w:rsidR="00742247" w:rsidRPr="0042364C" w14:paraId="02676EE4" w14:textId="77777777" w:rsidTr="00D922F2">
        <w:trPr>
          <w:trHeight w:val="397"/>
        </w:trPr>
        <w:tc>
          <w:tcPr>
            <w:tcW w:w="1747" w:type="pct"/>
            <w:tcBorders>
              <w:top w:val="single" w:sz="4" w:space="0" w:color="auto"/>
              <w:left w:val="single" w:sz="4" w:space="0" w:color="auto"/>
              <w:bottom w:val="single" w:sz="4" w:space="0" w:color="auto"/>
              <w:right w:val="single" w:sz="4" w:space="0" w:color="auto"/>
            </w:tcBorders>
          </w:tcPr>
          <w:p w14:paraId="5036FDE3" w14:textId="77777777" w:rsidR="00742247" w:rsidRPr="00413B4A" w:rsidRDefault="00742247" w:rsidP="00CE5982">
            <w:pPr>
              <w:pStyle w:val="Tabletext1"/>
              <w:keepNext/>
            </w:pPr>
            <w:r w:rsidRPr="00413B4A">
              <w:t>Population and intervention characteristics</w:t>
            </w:r>
          </w:p>
          <w:p w14:paraId="68B6C0EF" w14:textId="77777777" w:rsidR="00742247" w:rsidRPr="0042364C" w:rsidRDefault="00742247" w:rsidP="00CE5982">
            <w:pPr>
              <w:pStyle w:val="Tabletext1"/>
              <w:keepNext/>
            </w:pPr>
            <w:r w:rsidRPr="0042364C">
              <w:t>To what extent are the study results presented in the key trials in section B applicable to the Australian MBS setting?</w:t>
            </w:r>
          </w:p>
        </w:tc>
        <w:tc>
          <w:tcPr>
            <w:tcW w:w="2527" w:type="pct"/>
            <w:tcBorders>
              <w:top w:val="single" w:sz="4" w:space="0" w:color="auto"/>
              <w:left w:val="single" w:sz="4" w:space="0" w:color="auto"/>
              <w:bottom w:val="single" w:sz="4" w:space="0" w:color="auto"/>
              <w:right w:val="single" w:sz="4" w:space="0" w:color="auto"/>
            </w:tcBorders>
          </w:tcPr>
          <w:p w14:paraId="46147800" w14:textId="77777777" w:rsidR="00742247" w:rsidRPr="0042364C" w:rsidRDefault="00742247" w:rsidP="00CE5982">
            <w:pPr>
              <w:pStyle w:val="Tabletext1"/>
              <w:keepNext/>
            </w:pPr>
            <w:r w:rsidRPr="0042364C">
              <w:t>Descriptive comparison between the patients enrolled in the pivotal trials and intervention characteristics (Section B) and the expected MBS population and setting using Australian registry data.</w:t>
            </w:r>
          </w:p>
        </w:tc>
        <w:tc>
          <w:tcPr>
            <w:tcW w:w="726" w:type="pct"/>
            <w:tcBorders>
              <w:top w:val="single" w:sz="4" w:space="0" w:color="auto"/>
              <w:left w:val="single" w:sz="4" w:space="0" w:color="auto"/>
              <w:bottom w:val="single" w:sz="4" w:space="0" w:color="auto"/>
              <w:right w:val="single" w:sz="4" w:space="0" w:color="auto"/>
            </w:tcBorders>
          </w:tcPr>
          <w:p w14:paraId="1A4C766A" w14:textId="4D933723" w:rsidR="00742247" w:rsidRPr="0042364C" w:rsidRDefault="00742247" w:rsidP="00CE5982">
            <w:pPr>
              <w:pStyle w:val="Tabletext1"/>
              <w:keepNext/>
            </w:pPr>
            <w:r w:rsidRPr="0042364C">
              <w:t>S</w:t>
            </w:r>
            <w:r w:rsidR="0042364C">
              <w:t>ubs</w:t>
            </w:r>
            <w:r w:rsidRPr="0042364C">
              <w:t>ection C.2</w:t>
            </w:r>
          </w:p>
        </w:tc>
      </w:tr>
      <w:tr w:rsidR="00742247" w:rsidRPr="00540788" w14:paraId="3D3E28BD" w14:textId="77777777" w:rsidTr="00D922F2">
        <w:trPr>
          <w:trHeight w:val="397"/>
        </w:trPr>
        <w:tc>
          <w:tcPr>
            <w:tcW w:w="1747" w:type="pct"/>
            <w:tcBorders>
              <w:top w:val="single" w:sz="4" w:space="0" w:color="auto"/>
              <w:left w:val="single" w:sz="4" w:space="0" w:color="auto"/>
              <w:bottom w:val="single" w:sz="4" w:space="0" w:color="auto"/>
            </w:tcBorders>
            <w:vAlign w:val="center"/>
          </w:tcPr>
          <w:p w14:paraId="5515E503" w14:textId="77777777" w:rsidR="00742247" w:rsidRPr="00540788" w:rsidRDefault="00742247" w:rsidP="00CE5982">
            <w:pPr>
              <w:pStyle w:val="Tabletext1"/>
              <w:keepNext/>
              <w:rPr>
                <w:b/>
              </w:rPr>
            </w:pPr>
            <w:r w:rsidRPr="00540788">
              <w:rPr>
                <w:b/>
              </w:rPr>
              <w:t>Extrapolation issues</w:t>
            </w:r>
          </w:p>
        </w:tc>
        <w:tc>
          <w:tcPr>
            <w:tcW w:w="3253" w:type="pct"/>
            <w:gridSpan w:val="2"/>
            <w:tcBorders>
              <w:top w:val="single" w:sz="4" w:space="0" w:color="auto"/>
              <w:bottom w:val="single" w:sz="4" w:space="0" w:color="auto"/>
              <w:right w:val="single" w:sz="4" w:space="0" w:color="auto"/>
            </w:tcBorders>
          </w:tcPr>
          <w:p w14:paraId="43FF892C" w14:textId="77777777" w:rsidR="00742247" w:rsidRPr="00540788" w:rsidRDefault="00742247" w:rsidP="00CE5982">
            <w:pPr>
              <w:pStyle w:val="Tabletext1"/>
              <w:keepNext/>
              <w:rPr>
                <w:b/>
                <w:highlight w:val="yellow"/>
              </w:rPr>
            </w:pPr>
          </w:p>
        </w:tc>
      </w:tr>
      <w:tr w:rsidR="00742247" w:rsidRPr="002C15A8" w14:paraId="6FD3B5CF" w14:textId="77777777" w:rsidTr="00D922F2">
        <w:trPr>
          <w:trHeight w:val="397"/>
        </w:trPr>
        <w:tc>
          <w:tcPr>
            <w:tcW w:w="1747" w:type="pct"/>
            <w:tcBorders>
              <w:top w:val="single" w:sz="4" w:space="0" w:color="auto"/>
              <w:left w:val="single" w:sz="4" w:space="0" w:color="auto"/>
              <w:bottom w:val="single" w:sz="4" w:space="0" w:color="auto"/>
              <w:right w:val="single" w:sz="4" w:space="0" w:color="auto"/>
            </w:tcBorders>
          </w:tcPr>
          <w:p w14:paraId="14ADA6A4" w14:textId="77777777" w:rsidR="00742247" w:rsidRPr="00BA05E6" w:rsidRDefault="00742247" w:rsidP="00CE5982">
            <w:pPr>
              <w:pStyle w:val="Tabletext1"/>
              <w:keepNext/>
            </w:pPr>
            <w:r w:rsidRPr="00BA05E6">
              <w:t>Prognosis</w:t>
            </w:r>
          </w:p>
          <w:p w14:paraId="64DE9C18" w14:textId="77777777" w:rsidR="00742247" w:rsidRPr="00776C5C" w:rsidRDefault="00742247" w:rsidP="00CE5982">
            <w:pPr>
              <w:pStyle w:val="Tabletext1"/>
              <w:keepNext/>
            </w:pPr>
            <w:r w:rsidRPr="00776C5C">
              <w:t>What is the impact of mpMRI on the prognosis of prostate cancer patients?</w:t>
            </w:r>
          </w:p>
        </w:tc>
        <w:tc>
          <w:tcPr>
            <w:tcW w:w="2527" w:type="pct"/>
            <w:tcBorders>
              <w:top w:val="single" w:sz="4" w:space="0" w:color="auto"/>
              <w:left w:val="single" w:sz="4" w:space="0" w:color="auto"/>
              <w:bottom w:val="single" w:sz="4" w:space="0" w:color="auto"/>
              <w:right w:val="single" w:sz="4" w:space="0" w:color="auto"/>
            </w:tcBorders>
          </w:tcPr>
          <w:p w14:paraId="4B173F9A" w14:textId="77777777" w:rsidR="00742247" w:rsidRPr="00AF4069" w:rsidRDefault="00742247" w:rsidP="00CE5982">
            <w:pPr>
              <w:pStyle w:val="Tabletext1"/>
              <w:keepNext/>
            </w:pPr>
            <w:r w:rsidRPr="00AF4069">
              <w:t>Analysis based on Section B</w:t>
            </w:r>
            <w:r>
              <w:t xml:space="preserve"> and additional</w:t>
            </w:r>
            <w:r w:rsidRPr="00AF4069">
              <w:t xml:space="preserve"> lite</w:t>
            </w:r>
            <w:r>
              <w:t>rature review.</w:t>
            </w:r>
          </w:p>
          <w:p w14:paraId="55EFCC96" w14:textId="77777777" w:rsidR="00742247" w:rsidRPr="002C15A8" w:rsidRDefault="00742247" w:rsidP="00CE5982">
            <w:pPr>
              <w:pStyle w:val="Tabletext1"/>
              <w:keepNext/>
              <w:rPr>
                <w:highlight w:val="yellow"/>
              </w:rPr>
            </w:pPr>
          </w:p>
        </w:tc>
        <w:tc>
          <w:tcPr>
            <w:tcW w:w="726" w:type="pct"/>
            <w:tcBorders>
              <w:top w:val="single" w:sz="4" w:space="0" w:color="auto"/>
              <w:left w:val="single" w:sz="4" w:space="0" w:color="auto"/>
              <w:bottom w:val="single" w:sz="4" w:space="0" w:color="auto"/>
              <w:right w:val="single" w:sz="4" w:space="0" w:color="auto"/>
            </w:tcBorders>
          </w:tcPr>
          <w:p w14:paraId="6B8887EE" w14:textId="08AA34AC" w:rsidR="00742247" w:rsidRPr="002C15A8" w:rsidRDefault="00742247" w:rsidP="00CE5982">
            <w:pPr>
              <w:pStyle w:val="Tabletext1"/>
              <w:keepNext/>
              <w:rPr>
                <w:highlight w:val="yellow"/>
              </w:rPr>
            </w:pPr>
            <w:r w:rsidRPr="004938C1">
              <w:t>S</w:t>
            </w:r>
            <w:r w:rsidR="0042364C">
              <w:t>ubs</w:t>
            </w:r>
            <w:r w:rsidRPr="004938C1">
              <w:t>ection</w:t>
            </w:r>
            <w:r>
              <w:t xml:space="preserve"> C.3</w:t>
            </w:r>
          </w:p>
        </w:tc>
      </w:tr>
      <w:tr w:rsidR="00742247" w:rsidRPr="00540788" w14:paraId="13576D52" w14:textId="77777777" w:rsidTr="00D922F2">
        <w:trPr>
          <w:trHeight w:val="397"/>
        </w:trPr>
        <w:tc>
          <w:tcPr>
            <w:tcW w:w="1747" w:type="pct"/>
            <w:tcBorders>
              <w:top w:val="single" w:sz="4" w:space="0" w:color="auto"/>
              <w:left w:val="single" w:sz="4" w:space="0" w:color="auto"/>
              <w:bottom w:val="single" w:sz="4" w:space="0" w:color="auto"/>
            </w:tcBorders>
            <w:vAlign w:val="center"/>
          </w:tcPr>
          <w:p w14:paraId="27F2CC3F" w14:textId="77777777" w:rsidR="00742247" w:rsidRPr="00540788" w:rsidRDefault="00742247" w:rsidP="00CE5982">
            <w:pPr>
              <w:pStyle w:val="Tabletext1"/>
              <w:keepNext/>
              <w:rPr>
                <w:b/>
              </w:rPr>
            </w:pPr>
            <w:r w:rsidRPr="00540788">
              <w:rPr>
                <w:b/>
              </w:rPr>
              <w:t>Transformation issues</w:t>
            </w:r>
          </w:p>
        </w:tc>
        <w:tc>
          <w:tcPr>
            <w:tcW w:w="2527" w:type="pct"/>
            <w:tcBorders>
              <w:top w:val="single" w:sz="4" w:space="0" w:color="auto"/>
              <w:bottom w:val="single" w:sz="4" w:space="0" w:color="auto"/>
            </w:tcBorders>
          </w:tcPr>
          <w:p w14:paraId="28926514" w14:textId="77777777" w:rsidR="00742247" w:rsidRPr="00540788" w:rsidRDefault="00742247" w:rsidP="00CE5982">
            <w:pPr>
              <w:pStyle w:val="Tabletext1"/>
              <w:keepNext/>
              <w:rPr>
                <w:b/>
              </w:rPr>
            </w:pPr>
          </w:p>
        </w:tc>
        <w:tc>
          <w:tcPr>
            <w:tcW w:w="726" w:type="pct"/>
            <w:tcBorders>
              <w:top w:val="single" w:sz="4" w:space="0" w:color="auto"/>
              <w:bottom w:val="single" w:sz="4" w:space="0" w:color="auto"/>
              <w:right w:val="single" w:sz="4" w:space="0" w:color="auto"/>
            </w:tcBorders>
          </w:tcPr>
          <w:p w14:paraId="133C8217" w14:textId="77777777" w:rsidR="00742247" w:rsidRPr="00540788" w:rsidRDefault="00742247" w:rsidP="00CE5982">
            <w:pPr>
              <w:pStyle w:val="Tabletext1"/>
              <w:keepNext/>
              <w:rPr>
                <w:b/>
              </w:rPr>
            </w:pPr>
          </w:p>
        </w:tc>
      </w:tr>
      <w:tr w:rsidR="00742247" w14:paraId="1D788FDA" w14:textId="77777777" w:rsidTr="00D922F2">
        <w:trPr>
          <w:trHeight w:val="397"/>
        </w:trPr>
        <w:tc>
          <w:tcPr>
            <w:tcW w:w="1747" w:type="pct"/>
            <w:tcBorders>
              <w:top w:val="single" w:sz="4" w:space="0" w:color="auto"/>
              <w:left w:val="single" w:sz="4" w:space="0" w:color="auto"/>
              <w:bottom w:val="single" w:sz="4" w:space="0" w:color="auto"/>
              <w:right w:val="single" w:sz="4" w:space="0" w:color="auto"/>
            </w:tcBorders>
          </w:tcPr>
          <w:p w14:paraId="1C09A8C6" w14:textId="77777777" w:rsidR="00742247" w:rsidRPr="00BA05E6" w:rsidRDefault="00742247" w:rsidP="00CE5982">
            <w:pPr>
              <w:pStyle w:val="Tabletext1"/>
              <w:keepNext/>
            </w:pPr>
            <w:r w:rsidRPr="00BA05E6">
              <w:t>Utility</w:t>
            </w:r>
          </w:p>
          <w:p w14:paraId="399C806F" w14:textId="35EA4C06" w:rsidR="00742247" w:rsidRPr="005518D8" w:rsidRDefault="00FF4429" w:rsidP="00CE5982">
            <w:pPr>
              <w:pStyle w:val="Tabletext1"/>
              <w:keepNext/>
            </w:pPr>
            <w:r>
              <w:t xml:space="preserve">What are the </w:t>
            </w:r>
            <w:r w:rsidR="00742247" w:rsidRPr="005518D8">
              <w:t>d</w:t>
            </w:r>
            <w:r>
              <w:t>is</w:t>
            </w:r>
            <w:r w:rsidR="00742247" w:rsidRPr="005518D8">
              <w:t>utilities associated with the various health states?</w:t>
            </w:r>
          </w:p>
        </w:tc>
        <w:tc>
          <w:tcPr>
            <w:tcW w:w="2527" w:type="pct"/>
            <w:tcBorders>
              <w:top w:val="single" w:sz="4" w:space="0" w:color="auto"/>
              <w:left w:val="single" w:sz="4" w:space="0" w:color="auto"/>
              <w:bottom w:val="single" w:sz="4" w:space="0" w:color="auto"/>
              <w:right w:val="single" w:sz="4" w:space="0" w:color="auto"/>
            </w:tcBorders>
          </w:tcPr>
          <w:p w14:paraId="43F7E742" w14:textId="77777777" w:rsidR="00742247" w:rsidRPr="005518D8" w:rsidRDefault="00742247" w:rsidP="00CE5982">
            <w:pPr>
              <w:pStyle w:val="Tabletext1"/>
              <w:keepNext/>
            </w:pPr>
            <w:r w:rsidRPr="005518D8">
              <w:t>Analysis based on targeted literature review.</w:t>
            </w:r>
            <w:r>
              <w:t xml:space="preserve"> </w:t>
            </w:r>
          </w:p>
          <w:p w14:paraId="186FAD04" w14:textId="77777777" w:rsidR="00742247" w:rsidRPr="005518D8" w:rsidRDefault="00742247" w:rsidP="00CE5982">
            <w:pPr>
              <w:pStyle w:val="Tabletext1"/>
              <w:keepNext/>
            </w:pPr>
          </w:p>
        </w:tc>
        <w:tc>
          <w:tcPr>
            <w:tcW w:w="726" w:type="pct"/>
            <w:tcBorders>
              <w:top w:val="single" w:sz="4" w:space="0" w:color="auto"/>
              <w:left w:val="single" w:sz="4" w:space="0" w:color="auto"/>
              <w:bottom w:val="single" w:sz="4" w:space="0" w:color="auto"/>
              <w:right w:val="single" w:sz="4" w:space="0" w:color="auto"/>
            </w:tcBorders>
          </w:tcPr>
          <w:p w14:paraId="0F4D245C" w14:textId="73CF6B27" w:rsidR="00742247" w:rsidRPr="005518D8" w:rsidRDefault="00742247" w:rsidP="00CE5982">
            <w:pPr>
              <w:pStyle w:val="Tabletext1"/>
              <w:keepNext/>
            </w:pPr>
            <w:r w:rsidRPr="005518D8">
              <w:t>S</w:t>
            </w:r>
            <w:r w:rsidR="0042364C">
              <w:t>ubs</w:t>
            </w:r>
            <w:r w:rsidRPr="005518D8">
              <w:t>ection C.4</w:t>
            </w:r>
          </w:p>
        </w:tc>
      </w:tr>
      <w:tr w:rsidR="00742247" w:rsidRPr="00540788" w14:paraId="0E3854FE" w14:textId="77777777" w:rsidTr="00D922F2">
        <w:trPr>
          <w:trHeight w:val="397"/>
        </w:trPr>
        <w:tc>
          <w:tcPr>
            <w:tcW w:w="5000" w:type="pct"/>
            <w:gridSpan w:val="3"/>
            <w:tcBorders>
              <w:top w:val="single" w:sz="4" w:space="0" w:color="auto"/>
              <w:left w:val="single" w:sz="4" w:space="0" w:color="auto"/>
              <w:bottom w:val="single" w:sz="4" w:space="0" w:color="auto"/>
              <w:right w:val="single" w:sz="4" w:space="0" w:color="auto"/>
            </w:tcBorders>
          </w:tcPr>
          <w:p w14:paraId="35335B0A" w14:textId="77777777" w:rsidR="00742247" w:rsidRPr="00540788" w:rsidRDefault="00742247" w:rsidP="00CE5982">
            <w:pPr>
              <w:pStyle w:val="Tabletext1"/>
              <w:keepNext/>
              <w:rPr>
                <w:b/>
              </w:rPr>
            </w:pPr>
            <w:r w:rsidRPr="00540788">
              <w:rPr>
                <w:b/>
              </w:rPr>
              <w:t>Other translation issues</w:t>
            </w:r>
          </w:p>
        </w:tc>
      </w:tr>
      <w:tr w:rsidR="00742247" w14:paraId="27AF955A" w14:textId="77777777" w:rsidTr="00D922F2">
        <w:trPr>
          <w:trHeight w:val="397"/>
        </w:trPr>
        <w:tc>
          <w:tcPr>
            <w:tcW w:w="1747" w:type="pct"/>
            <w:tcBorders>
              <w:top w:val="single" w:sz="4" w:space="0" w:color="auto"/>
              <w:left w:val="single" w:sz="4" w:space="0" w:color="auto"/>
              <w:bottom w:val="single" w:sz="4" w:space="0" w:color="auto"/>
              <w:right w:val="single" w:sz="4" w:space="0" w:color="auto"/>
            </w:tcBorders>
          </w:tcPr>
          <w:p w14:paraId="22215D41" w14:textId="77777777" w:rsidR="00742247" w:rsidRPr="00BA05E6" w:rsidRDefault="00742247" w:rsidP="00CE5982">
            <w:pPr>
              <w:pStyle w:val="Tabletext1"/>
              <w:keepNext/>
            </w:pPr>
            <w:r w:rsidRPr="00BA05E6">
              <w:t>Safety</w:t>
            </w:r>
          </w:p>
          <w:p w14:paraId="75035D4D" w14:textId="3A8006A1" w:rsidR="00742247" w:rsidRPr="002C634F" w:rsidRDefault="00742247" w:rsidP="00CE5982">
            <w:pPr>
              <w:pStyle w:val="Tabletext1"/>
              <w:keepNext/>
            </w:pPr>
            <w:r w:rsidRPr="002C634F">
              <w:t xml:space="preserve">How can the economic model in </w:t>
            </w:r>
            <w:r w:rsidR="0042364C">
              <w:t>S</w:t>
            </w:r>
            <w:r w:rsidRPr="002C634F">
              <w:t>ection D incorporate the safety of mpMRI and biopsy procedures as presented in section B?</w:t>
            </w:r>
          </w:p>
        </w:tc>
        <w:tc>
          <w:tcPr>
            <w:tcW w:w="2527" w:type="pct"/>
            <w:tcBorders>
              <w:top w:val="single" w:sz="4" w:space="0" w:color="auto"/>
              <w:left w:val="single" w:sz="4" w:space="0" w:color="auto"/>
              <w:bottom w:val="single" w:sz="4" w:space="0" w:color="auto"/>
              <w:right w:val="single" w:sz="4" w:space="0" w:color="auto"/>
            </w:tcBorders>
          </w:tcPr>
          <w:p w14:paraId="1D1F593F" w14:textId="77777777" w:rsidR="00742247" w:rsidRPr="002C634F" w:rsidRDefault="00742247" w:rsidP="00CE5982">
            <w:pPr>
              <w:pStyle w:val="Tabletext1"/>
              <w:keepNext/>
            </w:pPr>
            <w:r w:rsidRPr="002C634F">
              <w:t>Analysis based on safety data from Section B</w:t>
            </w:r>
            <w:r>
              <w:t>.</w:t>
            </w:r>
          </w:p>
        </w:tc>
        <w:tc>
          <w:tcPr>
            <w:tcW w:w="726" w:type="pct"/>
            <w:tcBorders>
              <w:top w:val="single" w:sz="4" w:space="0" w:color="auto"/>
              <w:left w:val="single" w:sz="4" w:space="0" w:color="auto"/>
              <w:bottom w:val="single" w:sz="4" w:space="0" w:color="auto"/>
              <w:right w:val="single" w:sz="4" w:space="0" w:color="auto"/>
            </w:tcBorders>
          </w:tcPr>
          <w:p w14:paraId="56AF8C8B" w14:textId="2343FDF2" w:rsidR="00742247" w:rsidRPr="002C634F" w:rsidRDefault="00742247" w:rsidP="00CE5982">
            <w:pPr>
              <w:pStyle w:val="Tabletext1"/>
              <w:keepNext/>
            </w:pPr>
            <w:r w:rsidRPr="002C634F">
              <w:t>S</w:t>
            </w:r>
            <w:r w:rsidR="0042364C">
              <w:t>ubs</w:t>
            </w:r>
            <w:r w:rsidRPr="002C634F">
              <w:t>ection C.5</w:t>
            </w:r>
          </w:p>
        </w:tc>
      </w:tr>
    </w:tbl>
    <w:p w14:paraId="160163E8" w14:textId="67423447" w:rsidR="00742247" w:rsidRPr="00CE5982" w:rsidRDefault="00FF4429" w:rsidP="00CE5982">
      <w:pPr>
        <w:pStyle w:val="TableNotes"/>
      </w:pPr>
      <w:r w:rsidRPr="00CE5982">
        <w:t xml:space="preserve">MBS = Medical Benefits </w:t>
      </w:r>
      <w:r w:rsidR="00A6420A" w:rsidRPr="00CE5982">
        <w:t>S</w:t>
      </w:r>
      <w:r w:rsidRPr="00CE5982">
        <w:t>ch</w:t>
      </w:r>
      <w:r w:rsidR="00A6420A" w:rsidRPr="00CE5982">
        <w:t>edule</w:t>
      </w:r>
      <w:r w:rsidRPr="00CE5982">
        <w:t>, mpMRI = multiparametric MRI</w:t>
      </w:r>
      <w:r w:rsidR="00A228FB">
        <w:t>.</w:t>
      </w:r>
    </w:p>
    <w:p w14:paraId="4E627653" w14:textId="77777777" w:rsidR="00742247" w:rsidRPr="000B75AA" w:rsidRDefault="00742247" w:rsidP="00742247">
      <w:pPr>
        <w:pStyle w:val="Heading2"/>
        <w:numPr>
          <w:ilvl w:val="2"/>
          <w:numId w:val="19"/>
        </w:numPr>
        <w:jc w:val="left"/>
      </w:pPr>
      <w:bookmarkStart w:id="415" w:name="_Toc457383601"/>
      <w:bookmarkStart w:id="416" w:name="_Toc459987849"/>
      <w:bookmarkStart w:id="417" w:name="_Toc460513969"/>
      <w:r>
        <w:t>Applicability translation issues</w:t>
      </w:r>
      <w:bookmarkEnd w:id="415"/>
      <w:bookmarkEnd w:id="416"/>
      <w:bookmarkEnd w:id="417"/>
    </w:p>
    <w:p w14:paraId="32622D16" w14:textId="77777777" w:rsidR="00742247" w:rsidRDefault="00742247" w:rsidP="00742247">
      <w:r w:rsidRPr="00ED6E90">
        <w:t>In order to evaluate the applicability of the clinical evidence to the expected MBS populations, patient characteristics and intervention characteristics from the key studies were compared to the patient and intervention characteristics in the expected MBS</w:t>
      </w:r>
      <w:r>
        <w:t xml:space="preserve"> population. This was done for P</w:t>
      </w:r>
      <w:r w:rsidRPr="00ED6E90">
        <w:t xml:space="preserve">opulation 1 and </w:t>
      </w:r>
      <w:r>
        <w:t>P</w:t>
      </w:r>
      <w:r w:rsidRPr="00ED6E90">
        <w:t>opulation 2 separately.</w:t>
      </w:r>
    </w:p>
    <w:p w14:paraId="7B688426" w14:textId="77777777" w:rsidR="00742247" w:rsidRPr="0009623C" w:rsidRDefault="00742247" w:rsidP="00742247">
      <w:pPr>
        <w:pStyle w:val="Heading3"/>
      </w:pPr>
      <w:bookmarkStart w:id="418" w:name="_Toc457383602"/>
      <w:bookmarkStart w:id="419" w:name="_Toc459987850"/>
      <w:bookmarkStart w:id="420" w:name="_Toc460513970"/>
      <w:r>
        <w:t>Population 1: (men with suspected prostate cancer):</w:t>
      </w:r>
      <w:r w:rsidRPr="0009623C">
        <w:t xml:space="preserve"> patient characteristics</w:t>
      </w:r>
      <w:bookmarkEnd w:id="418"/>
      <w:bookmarkEnd w:id="419"/>
      <w:bookmarkEnd w:id="420"/>
    </w:p>
    <w:p w14:paraId="73A299DE" w14:textId="77777777" w:rsidR="00742247" w:rsidRPr="00ED6E90" w:rsidRDefault="00742247" w:rsidP="00742247">
      <w:r w:rsidRPr="00ED6E90">
        <w:t>The following population characteristics were assessed</w:t>
      </w:r>
      <w:r>
        <w:t xml:space="preserve"> in Population 1</w:t>
      </w:r>
      <w:r w:rsidRPr="00ED6E90">
        <w:t xml:space="preserve">: country, age, prior tests, PSA level and clinical algorithm (see </w:t>
      </w:r>
      <w:r w:rsidRPr="00ED6E90">
        <w:fldChar w:fldCharType="begin"/>
      </w:r>
      <w:r w:rsidRPr="00ED6E90">
        <w:instrText xml:space="preserve"> REF _Ref455041408 \h  \* MERGEFORMAT </w:instrText>
      </w:r>
      <w:r w:rsidRPr="00ED6E90">
        <w:fldChar w:fldCharType="separate"/>
      </w:r>
      <w:r w:rsidR="0029649D" w:rsidRPr="00875996">
        <w:t xml:space="preserve">Table </w:t>
      </w:r>
      <w:r w:rsidR="0029649D">
        <w:t>40</w:t>
      </w:r>
      <w:r w:rsidRPr="00ED6E90">
        <w:fldChar w:fldCharType="end"/>
      </w:r>
      <w:r>
        <w:t>).</w:t>
      </w:r>
    </w:p>
    <w:p w14:paraId="3FF5C16D" w14:textId="77777777" w:rsidR="00742247" w:rsidRPr="00875996" w:rsidRDefault="00742247" w:rsidP="00742247">
      <w:pPr>
        <w:pStyle w:val="Caption"/>
        <w:ind w:left="1134" w:hanging="1134"/>
      </w:pPr>
      <w:bookmarkStart w:id="421" w:name="_Ref455041408"/>
      <w:bookmarkStart w:id="422" w:name="_Toc457383662"/>
      <w:bookmarkStart w:id="423" w:name="_Toc459987900"/>
      <w:bookmarkStart w:id="424" w:name="_Toc460514540"/>
      <w:r w:rsidRPr="00875996">
        <w:lastRenderedPageBreak/>
        <w:t xml:space="preserve">Table </w:t>
      </w:r>
      <w:fldSimple w:instr=" SEQ Table \* ARABIC ">
        <w:r w:rsidR="0029649D">
          <w:rPr>
            <w:noProof/>
          </w:rPr>
          <w:t>40</w:t>
        </w:r>
      </w:fldSimple>
      <w:bookmarkEnd w:id="421"/>
      <w:r>
        <w:tab/>
      </w:r>
      <w:r w:rsidRPr="00875996">
        <w:t>Population characteristics, comparison between key clinica</w:t>
      </w:r>
      <w:r>
        <w:t>l studies and the expected MBS P</w:t>
      </w:r>
      <w:r w:rsidRPr="00875996">
        <w:t>opulation 1</w:t>
      </w:r>
      <w:bookmarkEnd w:id="422"/>
      <w:bookmarkEnd w:id="423"/>
      <w:bookmarkEnd w:id="424"/>
    </w:p>
    <w:tbl>
      <w:tblPr>
        <w:tblW w:w="9112" w:type="dxa"/>
        <w:tblInd w:w="130" w:type="dxa"/>
        <w:tblCellMar>
          <w:left w:w="28" w:type="dxa"/>
          <w:right w:w="28" w:type="dxa"/>
        </w:tblCellMar>
        <w:tblLook w:val="04A0" w:firstRow="1" w:lastRow="0" w:firstColumn="1" w:lastColumn="0" w:noHBand="0" w:noVBand="1"/>
      </w:tblPr>
      <w:tblGrid>
        <w:gridCol w:w="4341"/>
        <w:gridCol w:w="891"/>
        <w:gridCol w:w="1290"/>
        <w:gridCol w:w="1115"/>
        <w:gridCol w:w="1475"/>
      </w:tblGrid>
      <w:tr w:rsidR="00742247" w:rsidRPr="007279E2" w14:paraId="0C5868FB" w14:textId="77777777" w:rsidTr="007279E2">
        <w:trPr>
          <w:trHeight w:val="397"/>
          <w:tblHeader/>
        </w:trPr>
        <w:tc>
          <w:tcPr>
            <w:tcW w:w="4359" w:type="dxa"/>
            <w:tcBorders>
              <w:top w:val="single" w:sz="4" w:space="0" w:color="auto"/>
              <w:left w:val="single" w:sz="4" w:space="0" w:color="auto"/>
              <w:bottom w:val="single" w:sz="4" w:space="0" w:color="auto"/>
              <w:right w:val="single" w:sz="4" w:space="0" w:color="auto"/>
            </w:tcBorders>
            <w:shd w:val="clear" w:color="auto" w:fill="auto"/>
            <w:hideMark/>
          </w:tcPr>
          <w:p w14:paraId="520A3C1A" w14:textId="6D1FF71F" w:rsidR="00742247" w:rsidRPr="007279E2" w:rsidRDefault="00A6420A" w:rsidP="00CE5982">
            <w:pPr>
              <w:pStyle w:val="Tableheading1"/>
              <w:keepNext/>
            </w:pPr>
            <w:r>
              <w:t>Study ID (n)</w:t>
            </w:r>
          </w:p>
        </w:tc>
        <w:tc>
          <w:tcPr>
            <w:tcW w:w="891" w:type="dxa"/>
            <w:tcBorders>
              <w:top w:val="single" w:sz="4" w:space="0" w:color="auto"/>
              <w:left w:val="nil"/>
              <w:bottom w:val="single" w:sz="4" w:space="0" w:color="auto"/>
              <w:right w:val="single" w:sz="4" w:space="0" w:color="auto"/>
            </w:tcBorders>
            <w:shd w:val="clear" w:color="auto" w:fill="auto"/>
            <w:hideMark/>
          </w:tcPr>
          <w:p w14:paraId="6DB0928D" w14:textId="77777777" w:rsidR="00742247" w:rsidRPr="007279E2" w:rsidRDefault="00742247" w:rsidP="00CE5982">
            <w:pPr>
              <w:pStyle w:val="Tableheading1"/>
              <w:keepNext/>
            </w:pPr>
            <w:r w:rsidRPr="007279E2">
              <w:t>Country</w:t>
            </w:r>
          </w:p>
        </w:tc>
        <w:tc>
          <w:tcPr>
            <w:tcW w:w="1292" w:type="dxa"/>
            <w:tcBorders>
              <w:top w:val="single" w:sz="4" w:space="0" w:color="auto"/>
              <w:left w:val="nil"/>
              <w:bottom w:val="single" w:sz="4" w:space="0" w:color="auto"/>
              <w:right w:val="nil"/>
            </w:tcBorders>
          </w:tcPr>
          <w:p w14:paraId="29F314A6" w14:textId="77777777" w:rsidR="00742247" w:rsidRPr="007279E2" w:rsidRDefault="00742247" w:rsidP="00CE5982">
            <w:pPr>
              <w:pStyle w:val="Tableheading1"/>
              <w:keepNext/>
            </w:pPr>
            <w:r w:rsidRPr="007279E2">
              <w:t>Age (years)</w:t>
            </w:r>
          </w:p>
        </w:tc>
        <w:tc>
          <w:tcPr>
            <w:tcW w:w="1118" w:type="dxa"/>
            <w:tcBorders>
              <w:top w:val="single" w:sz="4" w:space="0" w:color="auto"/>
              <w:left w:val="single" w:sz="4" w:space="0" w:color="auto"/>
              <w:bottom w:val="single" w:sz="4" w:space="0" w:color="auto"/>
              <w:right w:val="single" w:sz="4" w:space="0" w:color="auto"/>
            </w:tcBorders>
            <w:shd w:val="clear" w:color="auto" w:fill="auto"/>
            <w:hideMark/>
          </w:tcPr>
          <w:p w14:paraId="6D6BEDA8" w14:textId="77777777" w:rsidR="00742247" w:rsidRPr="007279E2" w:rsidRDefault="00742247" w:rsidP="00CE5982">
            <w:pPr>
              <w:pStyle w:val="Tableheading1"/>
              <w:keepNext/>
            </w:pPr>
            <w:r w:rsidRPr="007279E2">
              <w:t>Prior tests</w:t>
            </w:r>
          </w:p>
        </w:tc>
        <w:tc>
          <w:tcPr>
            <w:tcW w:w="1479" w:type="dxa"/>
            <w:tcBorders>
              <w:top w:val="single" w:sz="4" w:space="0" w:color="auto"/>
              <w:left w:val="nil"/>
              <w:bottom w:val="single" w:sz="4" w:space="0" w:color="auto"/>
              <w:right w:val="single" w:sz="4" w:space="0" w:color="auto"/>
            </w:tcBorders>
          </w:tcPr>
          <w:p w14:paraId="60893F90" w14:textId="77777777" w:rsidR="00742247" w:rsidRPr="007279E2" w:rsidRDefault="00742247" w:rsidP="00CE5982">
            <w:pPr>
              <w:pStyle w:val="Tableheading1"/>
              <w:keepNext/>
            </w:pPr>
            <w:r w:rsidRPr="007279E2">
              <w:t>PSA level (ng/ml)</w:t>
            </w:r>
          </w:p>
        </w:tc>
      </w:tr>
      <w:tr w:rsidR="00742247" w:rsidRPr="007279E2" w14:paraId="436C562C" w14:textId="77777777" w:rsidTr="007279E2">
        <w:trPr>
          <w:trHeight w:val="397"/>
        </w:trPr>
        <w:tc>
          <w:tcPr>
            <w:tcW w:w="4359" w:type="dxa"/>
            <w:tcBorders>
              <w:top w:val="single" w:sz="4" w:space="0" w:color="auto"/>
              <w:left w:val="single" w:sz="4" w:space="0" w:color="auto"/>
              <w:bottom w:val="single" w:sz="4" w:space="0" w:color="auto"/>
            </w:tcBorders>
            <w:shd w:val="clear" w:color="auto" w:fill="auto"/>
          </w:tcPr>
          <w:p w14:paraId="36C02DB7" w14:textId="77777777" w:rsidR="00742247" w:rsidRPr="007279E2" w:rsidRDefault="00742247" w:rsidP="00CE5982">
            <w:pPr>
              <w:pStyle w:val="Tableheading1"/>
              <w:keepNext/>
            </w:pPr>
            <w:r w:rsidRPr="007279E2">
              <w:t>Australian registry data</w:t>
            </w:r>
          </w:p>
        </w:tc>
        <w:tc>
          <w:tcPr>
            <w:tcW w:w="891" w:type="dxa"/>
            <w:tcBorders>
              <w:top w:val="single" w:sz="4" w:space="0" w:color="auto"/>
              <w:bottom w:val="single" w:sz="4" w:space="0" w:color="auto"/>
            </w:tcBorders>
            <w:shd w:val="clear" w:color="auto" w:fill="auto"/>
          </w:tcPr>
          <w:p w14:paraId="05A698BB" w14:textId="77777777" w:rsidR="00742247" w:rsidRPr="007279E2" w:rsidRDefault="00742247" w:rsidP="00CE5982">
            <w:pPr>
              <w:pStyle w:val="Tableheading1"/>
              <w:keepNext/>
            </w:pPr>
          </w:p>
        </w:tc>
        <w:tc>
          <w:tcPr>
            <w:tcW w:w="1292" w:type="dxa"/>
            <w:tcBorders>
              <w:top w:val="single" w:sz="4" w:space="0" w:color="auto"/>
              <w:bottom w:val="single" w:sz="4" w:space="0" w:color="auto"/>
            </w:tcBorders>
          </w:tcPr>
          <w:p w14:paraId="633DE9D7" w14:textId="77777777" w:rsidR="00742247" w:rsidRPr="007279E2" w:rsidRDefault="00742247" w:rsidP="00CE5982">
            <w:pPr>
              <w:pStyle w:val="Tableheading1"/>
              <w:keepNext/>
            </w:pPr>
          </w:p>
        </w:tc>
        <w:tc>
          <w:tcPr>
            <w:tcW w:w="1118" w:type="dxa"/>
            <w:tcBorders>
              <w:top w:val="single" w:sz="4" w:space="0" w:color="auto"/>
              <w:bottom w:val="single" w:sz="4" w:space="0" w:color="auto"/>
            </w:tcBorders>
            <w:shd w:val="clear" w:color="auto" w:fill="auto"/>
          </w:tcPr>
          <w:p w14:paraId="5940C7E1" w14:textId="77777777" w:rsidR="00742247" w:rsidRPr="007279E2" w:rsidRDefault="00742247" w:rsidP="00CE5982">
            <w:pPr>
              <w:pStyle w:val="Tableheading1"/>
              <w:keepNext/>
            </w:pPr>
          </w:p>
        </w:tc>
        <w:tc>
          <w:tcPr>
            <w:tcW w:w="1479" w:type="dxa"/>
            <w:tcBorders>
              <w:top w:val="single" w:sz="4" w:space="0" w:color="auto"/>
              <w:bottom w:val="single" w:sz="4" w:space="0" w:color="auto"/>
              <w:right w:val="single" w:sz="4" w:space="0" w:color="auto"/>
            </w:tcBorders>
          </w:tcPr>
          <w:p w14:paraId="2540D65C" w14:textId="77777777" w:rsidR="00742247" w:rsidRPr="007279E2" w:rsidRDefault="00742247" w:rsidP="00CE5982">
            <w:pPr>
              <w:pStyle w:val="Tableheading1"/>
              <w:keepNext/>
            </w:pPr>
          </w:p>
        </w:tc>
      </w:tr>
      <w:tr w:rsidR="00742247" w:rsidRPr="00ED6E90" w14:paraId="4B47DC48"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tcPr>
          <w:p w14:paraId="2E32AC27" w14:textId="5075F4B8" w:rsidR="00742247" w:rsidRPr="00407D1B" w:rsidRDefault="00742247" w:rsidP="00CE5982">
            <w:pPr>
              <w:pStyle w:val="Tabletext1"/>
              <w:keepNext/>
            </w:pPr>
            <w:r w:rsidRPr="00407D1B">
              <w:t>Victorian Prostate Cancer Clinical Registry</w:t>
            </w:r>
            <w:r w:rsidR="00CE5982">
              <w:t xml:space="preserve"> </w:t>
            </w:r>
            <w:r w:rsidR="008E0B00">
              <w:fldChar w:fldCharType="begin"/>
            </w:r>
            <w:r w:rsidR="008E0B00">
              <w:instrText xml:space="preserve"> ADDIN EN.CITE &lt;EndNote&gt;&lt;Cite&gt;&lt;Author&gt;Committee&lt;/Author&gt;&lt;Year&gt;2015&lt;/Year&gt;&lt;RecNum&gt;98&lt;/RecNum&gt;&lt;DisplayText&gt;(Evans et al. 2013; Victorian Prostate Cancer Clinical Registry Steering Committee 2015)&lt;/DisplayText&gt;&lt;record&gt;&lt;rec-number&gt;98&lt;/rec-number&gt;&lt;foreign-keys&gt;&lt;key app="EN" db-id="2p9terxr22fx91epzebpfdwuzrwtw2a2ep2t" timestamp="1472684622"&gt;98&lt;/key&gt;&lt;/foreign-keys&gt;&lt;ref-type name="Report"&gt;27&lt;/ref-type&gt;&lt;contributors&gt;&lt;authors&gt;&lt;author&gt;Victorian Prostate Cancer Clinical Registry Steering Committee,&lt;/author&gt;&lt;/authors&gt;&lt;secondary-authors&gt;&lt;author&gt;Sampurno F; Evans SM&lt;/author&gt;&lt;/secondary-authors&gt;&lt;/contributors&gt;&lt;titles&gt;&lt;title&gt;Five year report, Victorian prostate cancer clinical registry&lt;/title&gt;&lt;/titles&gt;&lt;dates&gt;&lt;year&gt;2015&lt;/year&gt;&lt;/dates&gt;&lt;urls&gt;&lt;/urls&gt;&lt;access-date&gt;1 September 2016&lt;/access-date&gt;&lt;/record&gt;&lt;/Cite&gt;&lt;Cite&gt;&lt;Author&gt;Evans&lt;/Author&gt;&lt;Year&gt;2013&lt;/Year&gt;&lt;RecNum&gt;77&lt;/RecNum&gt;&lt;record&gt;&lt;rec-number&gt;77&lt;/rec-number&gt;&lt;foreign-keys&gt;&lt;key app="EN" db-id="2p9terxr22fx91epzebpfdwuzrwtw2a2ep2t" timestamp="1472684616"&gt;77&lt;/key&gt;&lt;/foreign-keys&gt;&lt;ref-type name="Journal Article"&gt;17&lt;/ref-type&gt;&lt;contributors&gt;&lt;authors&gt;&lt;author&gt;Evans, Sue M&lt;/author&gt;&lt;author&gt;Millar, Jeremy L&lt;/author&gt;&lt;author&gt;Davis, Ian D&lt;/author&gt;&lt;author&gt;Murphy, Declan G&lt;/author&gt;&lt;author&gt;Bolton, Damien M&lt;/author&gt;&lt;author&gt;Giles, Graham G&lt;/author&gt;&lt;author&gt;Frydenberg, Mark&lt;/author&gt;&lt;author&gt;Andrianopoulos, Nick&lt;/author&gt;&lt;author&gt;Wood, Julie M&lt;/author&gt;&lt;author&gt;Frauman, Albert G&lt;/author&gt;&lt;/authors&gt;&lt;/contributors&gt;&lt;titles&gt;&lt;title&gt;Patterns of care for men diagnosed with prostate cancer in Victoria from 2008 to 2011&lt;/title&gt;&lt;secondary-title&gt;Med J Aust&lt;/secondary-title&gt;&lt;/titles&gt;&lt;periodical&gt;&lt;full-title&gt;Med J Aust&lt;/full-title&gt;&lt;/periodical&gt;&lt;pages&gt;540-545&lt;/pages&gt;&lt;volume&gt;198&lt;/volume&gt;&lt;number&gt;10&lt;/number&gt;&lt;dates&gt;&lt;year&gt;2013&lt;/year&gt;&lt;/dates&gt;&lt;urls&gt;&lt;/urls&gt;&lt;/record&gt;&lt;/Cite&gt;&lt;/EndNote&gt;</w:instrText>
            </w:r>
            <w:r w:rsidR="008E0B00">
              <w:fldChar w:fldCharType="separate"/>
            </w:r>
            <w:r w:rsidR="008E0B00">
              <w:rPr>
                <w:noProof/>
              </w:rPr>
              <w:t>(</w:t>
            </w:r>
            <w:hyperlink w:anchor="_ENREF_46" w:tooltip="Evans, 2013 #77" w:history="1">
              <w:r w:rsidR="008E0B00">
                <w:rPr>
                  <w:noProof/>
                </w:rPr>
                <w:t>Evans et al. 2013</w:t>
              </w:r>
            </w:hyperlink>
            <w:r w:rsidR="008E0B00">
              <w:rPr>
                <w:noProof/>
              </w:rPr>
              <w:t xml:space="preserve">; </w:t>
            </w:r>
            <w:hyperlink w:anchor="_ENREF_170" w:tooltip="Victorian Prostate Cancer Clinical Registry Steering Committee, 2015 #98" w:history="1">
              <w:r w:rsidR="008E0B00">
                <w:rPr>
                  <w:noProof/>
                </w:rPr>
                <w:t>Victorian Prostate Cancer Clinical Registry Steering Committee 2015</w:t>
              </w:r>
            </w:hyperlink>
            <w:r w:rsidR="008E0B00">
              <w:rPr>
                <w:noProof/>
              </w:rPr>
              <w:t>)</w:t>
            </w:r>
            <w:r w:rsidR="008E0B00">
              <w:fldChar w:fldCharType="end"/>
            </w:r>
          </w:p>
          <w:p w14:paraId="690329A9" w14:textId="77AEBA33" w:rsidR="00742247" w:rsidRPr="00407D1B" w:rsidRDefault="00742247" w:rsidP="00CE5982">
            <w:pPr>
              <w:pStyle w:val="Tabletext1"/>
              <w:keepNext/>
            </w:pPr>
            <w:r w:rsidRPr="00407D1B">
              <w:t>Cumulative nu</w:t>
            </w:r>
            <w:r w:rsidR="008A71E9">
              <w:t>mber of participants in 2013, n=2,1</w:t>
            </w:r>
            <w:r w:rsidRPr="00407D1B">
              <w:t>98</w:t>
            </w:r>
          </w:p>
        </w:tc>
        <w:tc>
          <w:tcPr>
            <w:tcW w:w="891" w:type="dxa"/>
            <w:tcBorders>
              <w:top w:val="nil"/>
              <w:left w:val="nil"/>
              <w:bottom w:val="single" w:sz="4" w:space="0" w:color="auto"/>
              <w:right w:val="single" w:sz="4" w:space="0" w:color="auto"/>
            </w:tcBorders>
            <w:shd w:val="clear" w:color="auto" w:fill="auto"/>
          </w:tcPr>
          <w:p w14:paraId="39621BE6" w14:textId="77777777" w:rsidR="00742247" w:rsidRPr="00407D1B" w:rsidRDefault="00742247" w:rsidP="00CE5982">
            <w:pPr>
              <w:pStyle w:val="Tabletext1"/>
              <w:keepNext/>
            </w:pPr>
            <w:r w:rsidRPr="00407D1B">
              <w:t>Australia</w:t>
            </w:r>
          </w:p>
        </w:tc>
        <w:tc>
          <w:tcPr>
            <w:tcW w:w="1292" w:type="dxa"/>
            <w:tcBorders>
              <w:top w:val="nil"/>
              <w:left w:val="nil"/>
              <w:bottom w:val="single" w:sz="4" w:space="0" w:color="auto"/>
              <w:right w:val="nil"/>
            </w:tcBorders>
            <w:shd w:val="clear" w:color="auto" w:fill="auto"/>
          </w:tcPr>
          <w:p w14:paraId="03D528CA" w14:textId="77777777" w:rsidR="00742247" w:rsidRPr="00407D1B" w:rsidRDefault="00742247" w:rsidP="00CE5982">
            <w:pPr>
              <w:pStyle w:val="Tabletext1"/>
              <w:keepNext/>
            </w:pPr>
            <w:r>
              <w:t>Mean 66 (</w:t>
            </w:r>
            <w:r w:rsidRPr="00407D1B">
              <w:t xml:space="preserve">age at diagnosis) </w:t>
            </w:r>
          </w:p>
        </w:tc>
        <w:tc>
          <w:tcPr>
            <w:tcW w:w="1118" w:type="dxa"/>
            <w:tcBorders>
              <w:top w:val="nil"/>
              <w:left w:val="single" w:sz="4" w:space="0" w:color="auto"/>
              <w:bottom w:val="single" w:sz="4" w:space="0" w:color="auto"/>
              <w:right w:val="single" w:sz="4" w:space="0" w:color="auto"/>
            </w:tcBorders>
            <w:shd w:val="clear" w:color="auto" w:fill="auto"/>
          </w:tcPr>
          <w:p w14:paraId="238A85E1" w14:textId="77777777" w:rsidR="00742247" w:rsidRPr="00407D1B" w:rsidRDefault="00742247" w:rsidP="00CE5982">
            <w:pPr>
              <w:pStyle w:val="Tabletext1"/>
              <w:keepNext/>
            </w:pPr>
            <w:r w:rsidRPr="00407D1B">
              <w:t>NR</w:t>
            </w:r>
          </w:p>
        </w:tc>
        <w:tc>
          <w:tcPr>
            <w:tcW w:w="1479" w:type="dxa"/>
            <w:tcBorders>
              <w:top w:val="nil"/>
              <w:left w:val="nil"/>
              <w:bottom w:val="single" w:sz="4" w:space="0" w:color="auto"/>
              <w:right w:val="single" w:sz="4" w:space="0" w:color="auto"/>
            </w:tcBorders>
            <w:shd w:val="clear" w:color="auto" w:fill="auto"/>
          </w:tcPr>
          <w:p w14:paraId="143EE0EF" w14:textId="77777777" w:rsidR="00742247" w:rsidRPr="00407D1B" w:rsidRDefault="00742247" w:rsidP="00CE5982">
            <w:pPr>
              <w:pStyle w:val="Tabletext1"/>
              <w:keepNext/>
            </w:pPr>
            <w:r w:rsidRPr="00407D1B">
              <w:t>Median 7.8</w:t>
            </w:r>
          </w:p>
        </w:tc>
      </w:tr>
      <w:tr w:rsidR="00742247" w:rsidRPr="00ED6E90" w14:paraId="523C63F3"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tcPr>
          <w:p w14:paraId="1EDA9D7C" w14:textId="4ABC5C8A" w:rsidR="00742247" w:rsidRPr="00407D1B" w:rsidRDefault="00742247" w:rsidP="00CE5982">
            <w:pPr>
              <w:pStyle w:val="Tabletext1"/>
              <w:keepNext/>
            </w:pPr>
            <w:r w:rsidRPr="00407D1B">
              <w:t>The South Australian Prostate Cancer Clinical Outcomes Collaborative</w:t>
            </w:r>
            <w:r w:rsidR="00CE5982">
              <w:t xml:space="preserve"> </w:t>
            </w:r>
            <w:r w:rsidR="008E0B00">
              <w:fldChar w:fldCharType="begin">
                <w:fldData xml:space="preserve">PEVuZE5vdGU+PENpdGU+PEF1dGhvcj5LaW5uZWFyPC9BdXRob3I+PFllYXI+MjAxNjwvWWVhcj48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</w:fldData>
              </w:fldChar>
            </w:r>
            <w:r w:rsidR="008E0B00">
              <w:instrText xml:space="preserve"> ADDIN EN.CITE </w:instrText>
            </w:r>
            <w:r w:rsidR="008E0B00">
              <w:fldChar w:fldCharType="begin">
                <w:fldData xml:space="preserve">PEVuZE5vdGU+PENpdGU+PEF1dGhvcj5LaW5uZWFyPC9BdXRob3I+PFllYXI+MjAxNjwvWWVhcj48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</w:fldData>
              </w:fldChar>
            </w:r>
            <w:r w:rsidR="008E0B00">
              <w:instrText xml:space="preserve"> ADDIN EN.CITE.DATA </w:instrText>
            </w:r>
            <w:r w:rsidR="008E0B00">
              <w:fldChar w:fldCharType="end"/>
            </w:r>
            <w:r w:rsidR="008E0B00">
              <w:fldChar w:fldCharType="separate"/>
            </w:r>
            <w:r w:rsidR="008E0B00">
              <w:rPr>
                <w:noProof/>
              </w:rPr>
              <w:t>(</w:t>
            </w:r>
            <w:hyperlink w:anchor="_ENREF_77" w:tooltip="Kinnear, 2016 #70" w:history="1">
              <w:r w:rsidR="008E0B00">
                <w:rPr>
                  <w:noProof/>
                </w:rPr>
                <w:t>Kinnear et al. 2016</w:t>
              </w:r>
            </w:hyperlink>
            <w:r w:rsidR="008E0B00">
              <w:rPr>
                <w:noProof/>
              </w:rPr>
              <w:t xml:space="preserve">; </w:t>
            </w:r>
            <w:hyperlink w:anchor="_ENREF_136" w:tooltip="Ruseckaite, 2016 #69" w:history="1">
              <w:r w:rsidR="008E0B00">
                <w:rPr>
                  <w:noProof/>
                </w:rPr>
                <w:t>Ruseckaite et al. 2016</w:t>
              </w:r>
            </w:hyperlink>
            <w:r w:rsidR="008E0B00">
              <w:rPr>
                <w:noProof/>
              </w:rPr>
              <w:t xml:space="preserve">; </w:t>
            </w:r>
            <w:hyperlink w:anchor="_ENREF_138" w:tooltip="SA Prostate Cancer Clinical Outcomes Collaborative, 2014 #68" w:history="1">
              <w:r w:rsidR="008E0B00">
                <w:rPr>
                  <w:noProof/>
                </w:rPr>
                <w:t>SA Prostate Cancer Clinical Outcomes Collaborative 2014</w:t>
              </w:r>
            </w:hyperlink>
            <w:r w:rsidR="008E0B00">
              <w:rPr>
                <w:noProof/>
              </w:rPr>
              <w:t>)</w:t>
            </w:r>
            <w:r w:rsidR="008E0B00">
              <w:fldChar w:fldCharType="end"/>
            </w:r>
          </w:p>
          <w:p w14:paraId="43D86408" w14:textId="6D856BFD" w:rsidR="00742247" w:rsidRPr="00407D1B" w:rsidRDefault="008A71E9" w:rsidP="00CE5982">
            <w:pPr>
              <w:pStyle w:val="Tabletext1"/>
              <w:keepNext/>
            </w:pPr>
            <w:r>
              <w:t>n</w:t>
            </w:r>
            <w:r w:rsidR="00742247" w:rsidRPr="00407D1B">
              <w:t>=915</w:t>
            </w:r>
          </w:p>
        </w:tc>
        <w:tc>
          <w:tcPr>
            <w:tcW w:w="891" w:type="dxa"/>
            <w:tcBorders>
              <w:top w:val="nil"/>
              <w:left w:val="nil"/>
              <w:bottom w:val="single" w:sz="4" w:space="0" w:color="auto"/>
              <w:right w:val="single" w:sz="4" w:space="0" w:color="auto"/>
            </w:tcBorders>
            <w:shd w:val="clear" w:color="auto" w:fill="auto"/>
          </w:tcPr>
          <w:p w14:paraId="5F825368" w14:textId="77777777" w:rsidR="00742247" w:rsidRPr="00407D1B" w:rsidRDefault="00742247" w:rsidP="00CE5982">
            <w:pPr>
              <w:pStyle w:val="Tabletext1"/>
              <w:keepNext/>
            </w:pPr>
            <w:r w:rsidRPr="00407D1B">
              <w:t>Australia</w:t>
            </w:r>
          </w:p>
        </w:tc>
        <w:tc>
          <w:tcPr>
            <w:tcW w:w="1292" w:type="dxa"/>
            <w:tcBorders>
              <w:top w:val="nil"/>
              <w:left w:val="nil"/>
              <w:bottom w:val="single" w:sz="4" w:space="0" w:color="auto"/>
              <w:right w:val="nil"/>
            </w:tcBorders>
            <w:shd w:val="clear" w:color="auto" w:fill="auto"/>
          </w:tcPr>
          <w:p w14:paraId="25C6A815" w14:textId="77777777" w:rsidR="00742247" w:rsidRPr="00407D1B" w:rsidRDefault="00742247" w:rsidP="00CE5982">
            <w:pPr>
              <w:pStyle w:val="Tabletext1"/>
              <w:keepNext/>
            </w:pPr>
            <w:r>
              <w:t>Mean 67(</w:t>
            </w:r>
            <w:r w:rsidRPr="00407D1B">
              <w:t>age at diagnosis)</w:t>
            </w:r>
          </w:p>
        </w:tc>
        <w:tc>
          <w:tcPr>
            <w:tcW w:w="1118" w:type="dxa"/>
            <w:tcBorders>
              <w:top w:val="nil"/>
              <w:left w:val="single" w:sz="4" w:space="0" w:color="auto"/>
              <w:bottom w:val="single" w:sz="4" w:space="0" w:color="auto"/>
              <w:right w:val="single" w:sz="4" w:space="0" w:color="auto"/>
            </w:tcBorders>
            <w:shd w:val="clear" w:color="auto" w:fill="auto"/>
          </w:tcPr>
          <w:p w14:paraId="512AE54D" w14:textId="77777777" w:rsidR="00742247" w:rsidRPr="00407D1B" w:rsidRDefault="00742247" w:rsidP="00CE5982">
            <w:pPr>
              <w:pStyle w:val="Tabletext1"/>
              <w:keepNext/>
            </w:pPr>
            <w:r w:rsidRPr="00407D1B">
              <w:t>NR</w:t>
            </w:r>
          </w:p>
        </w:tc>
        <w:tc>
          <w:tcPr>
            <w:tcW w:w="1479" w:type="dxa"/>
            <w:tcBorders>
              <w:top w:val="nil"/>
              <w:left w:val="nil"/>
              <w:bottom w:val="single" w:sz="4" w:space="0" w:color="auto"/>
              <w:right w:val="single" w:sz="4" w:space="0" w:color="auto"/>
            </w:tcBorders>
            <w:shd w:val="clear" w:color="auto" w:fill="auto"/>
          </w:tcPr>
          <w:p w14:paraId="75AB933C" w14:textId="77777777" w:rsidR="00742247" w:rsidRPr="00407D1B" w:rsidRDefault="00742247" w:rsidP="00CE5982">
            <w:pPr>
              <w:pStyle w:val="Tabletext1"/>
              <w:keepNext/>
            </w:pPr>
            <w:r w:rsidRPr="00407D1B">
              <w:t>Median 6.5</w:t>
            </w:r>
          </w:p>
        </w:tc>
      </w:tr>
      <w:tr w:rsidR="00742247" w:rsidRPr="00ED6E90" w14:paraId="1C48C1A4"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tcPr>
          <w:p w14:paraId="71D3448E" w14:textId="66C12D89" w:rsidR="00742247" w:rsidRPr="00407D1B" w:rsidRDefault="008A71E9" w:rsidP="00CE5982">
            <w:pPr>
              <w:pStyle w:val="Tabletext1"/>
              <w:keepNext/>
            </w:pPr>
            <w:r>
              <w:t>Farrugia et al.</w:t>
            </w:r>
            <w:r w:rsidR="00742247" w:rsidRPr="00407D1B">
              <w:t xml:space="preserve"> Cancer Institute NSW (Sydney South West)</w:t>
            </w:r>
            <w:r w:rsidR="00742247">
              <w:t xml:space="preserve"> </w:t>
            </w:r>
            <w:r w:rsidR="008E0B00">
              <w:fldChar w:fldCharType="begin"/>
            </w:r>
            <w:r w:rsidR="008E0B00">
              <w:instrText xml:space="preserve"> ADDIN EN.CITE &lt;EndNote&gt;&lt;Cite&gt;&lt;Author&gt;Farrugia&lt;/Author&gt;&lt;Year&gt;Unk&lt;/Year&gt;&lt;RecNum&gt;143&lt;/RecNum&gt;&lt;DisplayText&gt;(Farrugia et al. Unk)&lt;/DisplayText&gt;&lt;record&gt;&lt;rec-number&gt;143&lt;/rec-number&gt;&lt;foreign-keys&gt;&lt;key app="EN" db-id="2p9terxr22fx91epzebpfdwuzrwtw2a2ep2t" timestamp="1472684636"&gt;143&lt;/key&gt;&lt;/foreign-keys&gt;&lt;ref-type name="Web Page"&gt;12&lt;/ref-type&gt;&lt;contributors&gt;&lt;authors&gt;&lt;author&gt;Farrugia, S.&lt;/author&gt;&lt;author&gt;Avery, S.&lt;/author&gt;&lt;author&gt;Duggan, K. &lt;/author&gt;&lt;/authors&gt;&lt;/contributors&gt;&lt;titles&gt;&lt;title&gt;Incidence, stage and treatment for Prostate Cancer Patients within Sydney South West Area Health Service public facilities&lt;/title&gt;&lt;/titles&gt;&lt;volume&gt;2016&lt;/volume&gt;&lt;number&gt;12 July&lt;/number&gt;&lt;dates&gt;&lt;year&gt;Unk&lt;/year&gt;&lt;/dates&gt;&lt;urls&gt;&lt;related-urls&gt;&lt;url&gt;http://www.swslhd.nsw.gov.au/cancer/pdf/ist_prostatepatients.pdf&lt;/url&gt;&lt;/related-urls&gt;&lt;/urls&gt;&lt;/record&gt;&lt;/Cite&gt;&lt;/EndNote&gt;</w:instrText>
            </w:r>
            <w:r w:rsidR="008E0B00">
              <w:fldChar w:fldCharType="separate"/>
            </w:r>
            <w:r w:rsidR="008E0B00">
              <w:rPr>
                <w:noProof/>
              </w:rPr>
              <w:t>(</w:t>
            </w:r>
            <w:hyperlink w:anchor="_ENREF_47" w:tooltip="Farrugia, Unk #143" w:history="1">
              <w:r w:rsidR="008E0B00">
                <w:rPr>
                  <w:noProof/>
                </w:rPr>
                <w:t>Farrugia et al. Unk</w:t>
              </w:r>
            </w:hyperlink>
            <w:r w:rsidR="008E0B00">
              <w:rPr>
                <w:noProof/>
              </w:rPr>
              <w:t>)</w:t>
            </w:r>
            <w:r w:rsidR="008E0B00">
              <w:fldChar w:fldCharType="end"/>
            </w:r>
          </w:p>
          <w:p w14:paraId="50F9EF46" w14:textId="34E2457C" w:rsidR="00742247" w:rsidRPr="00407D1B" w:rsidRDefault="008A71E9" w:rsidP="00CE5982">
            <w:pPr>
              <w:pStyle w:val="Tabletext1"/>
              <w:keepNext/>
            </w:pPr>
            <w:r>
              <w:t>n</w:t>
            </w:r>
            <w:r w:rsidR="00742247" w:rsidRPr="00407D1B">
              <w:t>=513</w:t>
            </w:r>
          </w:p>
        </w:tc>
        <w:tc>
          <w:tcPr>
            <w:tcW w:w="891" w:type="dxa"/>
            <w:tcBorders>
              <w:top w:val="nil"/>
              <w:left w:val="nil"/>
              <w:bottom w:val="single" w:sz="4" w:space="0" w:color="auto"/>
              <w:right w:val="single" w:sz="4" w:space="0" w:color="auto"/>
            </w:tcBorders>
            <w:shd w:val="clear" w:color="auto" w:fill="auto"/>
          </w:tcPr>
          <w:p w14:paraId="1F5D3BA8" w14:textId="77777777" w:rsidR="00742247" w:rsidRPr="00407D1B" w:rsidRDefault="00742247" w:rsidP="00CE5982">
            <w:pPr>
              <w:pStyle w:val="Tabletext1"/>
              <w:keepNext/>
            </w:pPr>
            <w:r w:rsidRPr="00407D1B">
              <w:t>Australia</w:t>
            </w:r>
          </w:p>
        </w:tc>
        <w:tc>
          <w:tcPr>
            <w:tcW w:w="1292" w:type="dxa"/>
            <w:tcBorders>
              <w:top w:val="nil"/>
              <w:left w:val="nil"/>
              <w:bottom w:val="single" w:sz="4" w:space="0" w:color="auto"/>
              <w:right w:val="nil"/>
            </w:tcBorders>
            <w:shd w:val="clear" w:color="auto" w:fill="auto"/>
          </w:tcPr>
          <w:p w14:paraId="56C64CBC" w14:textId="77777777" w:rsidR="00742247" w:rsidRPr="00407D1B" w:rsidRDefault="00742247" w:rsidP="00CE5982">
            <w:pPr>
              <w:pStyle w:val="Tabletext1"/>
              <w:keepNext/>
            </w:pPr>
            <w:r>
              <w:t>Mean 69 (</w:t>
            </w:r>
            <w:r w:rsidRPr="00407D1B">
              <w:t>age at diagnosis)</w:t>
            </w:r>
          </w:p>
        </w:tc>
        <w:tc>
          <w:tcPr>
            <w:tcW w:w="1118" w:type="dxa"/>
            <w:tcBorders>
              <w:top w:val="nil"/>
              <w:left w:val="single" w:sz="4" w:space="0" w:color="auto"/>
              <w:bottom w:val="single" w:sz="4" w:space="0" w:color="auto"/>
              <w:right w:val="single" w:sz="4" w:space="0" w:color="auto"/>
            </w:tcBorders>
            <w:shd w:val="clear" w:color="auto" w:fill="auto"/>
          </w:tcPr>
          <w:p w14:paraId="107AA4B0" w14:textId="77777777" w:rsidR="00742247" w:rsidRPr="00407D1B" w:rsidRDefault="00742247" w:rsidP="00CE5982">
            <w:pPr>
              <w:pStyle w:val="Tabletext1"/>
              <w:keepNext/>
            </w:pPr>
            <w:r w:rsidRPr="00407D1B">
              <w:t>NR</w:t>
            </w:r>
          </w:p>
        </w:tc>
        <w:tc>
          <w:tcPr>
            <w:tcW w:w="1479" w:type="dxa"/>
            <w:tcBorders>
              <w:top w:val="nil"/>
              <w:left w:val="nil"/>
              <w:bottom w:val="single" w:sz="4" w:space="0" w:color="auto"/>
              <w:right w:val="single" w:sz="4" w:space="0" w:color="auto"/>
            </w:tcBorders>
            <w:shd w:val="clear" w:color="auto" w:fill="auto"/>
          </w:tcPr>
          <w:p w14:paraId="4C0CA5FD" w14:textId="77777777" w:rsidR="00742247" w:rsidRPr="00407D1B" w:rsidRDefault="00742247" w:rsidP="00CE5982">
            <w:pPr>
              <w:pStyle w:val="Tabletext1"/>
              <w:keepNext/>
            </w:pPr>
            <w:r w:rsidRPr="00407D1B">
              <w:t>NR</w:t>
            </w:r>
          </w:p>
        </w:tc>
      </w:tr>
      <w:tr w:rsidR="00742247" w:rsidRPr="007279E2" w14:paraId="1B79C991" w14:textId="77777777" w:rsidTr="007279E2">
        <w:trPr>
          <w:trHeight w:val="397"/>
        </w:trPr>
        <w:tc>
          <w:tcPr>
            <w:tcW w:w="4359" w:type="dxa"/>
            <w:tcBorders>
              <w:top w:val="single" w:sz="4" w:space="0" w:color="auto"/>
              <w:left w:val="single" w:sz="4" w:space="0" w:color="auto"/>
              <w:bottom w:val="single" w:sz="4" w:space="0" w:color="auto"/>
            </w:tcBorders>
            <w:shd w:val="clear" w:color="auto" w:fill="auto"/>
          </w:tcPr>
          <w:p w14:paraId="2E39652E" w14:textId="77777777" w:rsidR="00742247" w:rsidRPr="007279E2" w:rsidRDefault="00742247" w:rsidP="00CE5982">
            <w:pPr>
              <w:pStyle w:val="Tableheading1"/>
              <w:keepNext/>
            </w:pPr>
            <w:r w:rsidRPr="007279E2">
              <w:t>Section B key trials</w:t>
            </w:r>
          </w:p>
        </w:tc>
        <w:tc>
          <w:tcPr>
            <w:tcW w:w="891" w:type="dxa"/>
            <w:tcBorders>
              <w:top w:val="single" w:sz="4" w:space="0" w:color="auto"/>
              <w:bottom w:val="single" w:sz="4" w:space="0" w:color="auto"/>
            </w:tcBorders>
            <w:shd w:val="clear" w:color="auto" w:fill="auto"/>
          </w:tcPr>
          <w:p w14:paraId="6AEB5CD1" w14:textId="77777777" w:rsidR="00742247" w:rsidRPr="007279E2" w:rsidRDefault="00742247" w:rsidP="00CE5982">
            <w:pPr>
              <w:pStyle w:val="Tableheading1"/>
              <w:keepNext/>
            </w:pPr>
          </w:p>
        </w:tc>
        <w:tc>
          <w:tcPr>
            <w:tcW w:w="1292" w:type="dxa"/>
            <w:tcBorders>
              <w:top w:val="single" w:sz="4" w:space="0" w:color="auto"/>
              <w:bottom w:val="single" w:sz="4" w:space="0" w:color="auto"/>
            </w:tcBorders>
            <w:shd w:val="clear" w:color="auto" w:fill="auto"/>
          </w:tcPr>
          <w:p w14:paraId="6254A639" w14:textId="77777777" w:rsidR="00742247" w:rsidRPr="007279E2" w:rsidRDefault="00742247" w:rsidP="00CE5982">
            <w:pPr>
              <w:pStyle w:val="Tableheading1"/>
              <w:keepNext/>
            </w:pPr>
          </w:p>
        </w:tc>
        <w:tc>
          <w:tcPr>
            <w:tcW w:w="1118" w:type="dxa"/>
            <w:tcBorders>
              <w:top w:val="single" w:sz="4" w:space="0" w:color="auto"/>
              <w:bottom w:val="single" w:sz="4" w:space="0" w:color="auto"/>
            </w:tcBorders>
            <w:shd w:val="clear" w:color="auto" w:fill="auto"/>
          </w:tcPr>
          <w:p w14:paraId="6479D2EA" w14:textId="77777777" w:rsidR="00742247" w:rsidRPr="007279E2" w:rsidRDefault="00742247" w:rsidP="00CE5982">
            <w:pPr>
              <w:pStyle w:val="Tableheading1"/>
              <w:keepNext/>
            </w:pPr>
          </w:p>
        </w:tc>
        <w:tc>
          <w:tcPr>
            <w:tcW w:w="1479" w:type="dxa"/>
            <w:tcBorders>
              <w:top w:val="single" w:sz="4" w:space="0" w:color="auto"/>
              <w:bottom w:val="single" w:sz="4" w:space="0" w:color="auto"/>
              <w:right w:val="single" w:sz="4" w:space="0" w:color="auto"/>
            </w:tcBorders>
            <w:shd w:val="clear" w:color="auto" w:fill="auto"/>
          </w:tcPr>
          <w:p w14:paraId="309D3EAA" w14:textId="77777777" w:rsidR="00742247" w:rsidRPr="007279E2" w:rsidRDefault="00742247" w:rsidP="00CE5982">
            <w:pPr>
              <w:pStyle w:val="Tableheading1"/>
              <w:keepNext/>
            </w:pPr>
          </w:p>
        </w:tc>
      </w:tr>
      <w:tr w:rsidR="00742247" w:rsidRPr="00ED6E90" w14:paraId="437AB06A"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2A366FEE" w14:textId="28EA9739" w:rsidR="00742247" w:rsidRPr="00ED6E90" w:rsidRDefault="00CA2D63" w:rsidP="00CE5982">
            <w:pPr>
              <w:pStyle w:val="Tabletext1"/>
              <w:keepNext/>
            </w:pPr>
            <w:r>
              <w:t>Baldisserotto</w:t>
            </w:r>
            <w:r w:rsidR="00CE5982">
              <w:t xml:space="preserve"> et al. (2016)</w:t>
            </w:r>
          </w:p>
          <w:p w14:paraId="0570D668" w14:textId="2FF7712B" w:rsidR="00742247" w:rsidRPr="00ED6E90" w:rsidRDefault="008A71E9" w:rsidP="00CE5982">
            <w:pPr>
              <w:pStyle w:val="Tabletext1"/>
              <w:keepNext/>
            </w:pPr>
            <w:r>
              <w:t>n</w:t>
            </w:r>
            <w:r w:rsidR="00742247" w:rsidRPr="00ED6E90">
              <w:t>=54</w:t>
            </w:r>
          </w:p>
        </w:tc>
        <w:tc>
          <w:tcPr>
            <w:tcW w:w="891" w:type="dxa"/>
            <w:tcBorders>
              <w:top w:val="nil"/>
              <w:left w:val="nil"/>
              <w:bottom w:val="single" w:sz="4" w:space="0" w:color="auto"/>
              <w:right w:val="single" w:sz="4" w:space="0" w:color="auto"/>
            </w:tcBorders>
            <w:shd w:val="clear" w:color="auto" w:fill="auto"/>
            <w:hideMark/>
          </w:tcPr>
          <w:p w14:paraId="54DDF832" w14:textId="77777777" w:rsidR="00742247" w:rsidRPr="00ED6E90" w:rsidRDefault="00742247" w:rsidP="00CE5982">
            <w:pPr>
              <w:pStyle w:val="Tabletext1"/>
              <w:keepNext/>
            </w:pPr>
            <w:r w:rsidRPr="00ED6E90">
              <w:t>Brazil</w:t>
            </w:r>
          </w:p>
        </w:tc>
        <w:tc>
          <w:tcPr>
            <w:tcW w:w="1292" w:type="dxa"/>
            <w:tcBorders>
              <w:top w:val="nil"/>
              <w:left w:val="nil"/>
              <w:bottom w:val="single" w:sz="4" w:space="0" w:color="auto"/>
              <w:right w:val="nil"/>
            </w:tcBorders>
          </w:tcPr>
          <w:p w14:paraId="62877AA4" w14:textId="77777777" w:rsidR="00742247" w:rsidRPr="00ED6E90" w:rsidRDefault="00742247" w:rsidP="00CE5982">
            <w:pPr>
              <w:pStyle w:val="Tabletext1"/>
              <w:keepNext/>
            </w:pPr>
            <w:r w:rsidRPr="00ED6E90">
              <w:t xml:space="preserve">Mean 66 </w:t>
            </w:r>
          </w:p>
        </w:tc>
        <w:tc>
          <w:tcPr>
            <w:tcW w:w="1118" w:type="dxa"/>
            <w:tcBorders>
              <w:top w:val="nil"/>
              <w:left w:val="single" w:sz="4" w:space="0" w:color="auto"/>
              <w:bottom w:val="single" w:sz="4" w:space="0" w:color="auto"/>
              <w:right w:val="single" w:sz="4" w:space="0" w:color="auto"/>
            </w:tcBorders>
            <w:shd w:val="clear" w:color="auto" w:fill="auto"/>
            <w:hideMark/>
          </w:tcPr>
          <w:p w14:paraId="0278D5AD" w14:textId="77777777" w:rsidR="00742247" w:rsidRPr="00ED6E90" w:rsidRDefault="00742247" w:rsidP="00CE5982">
            <w:pPr>
              <w:pStyle w:val="Tabletext1"/>
              <w:keepNext/>
            </w:pPr>
            <w:r w:rsidRPr="00ED6E90">
              <w:t>PSA, DRE</w:t>
            </w:r>
          </w:p>
        </w:tc>
        <w:tc>
          <w:tcPr>
            <w:tcW w:w="1479" w:type="dxa"/>
            <w:tcBorders>
              <w:top w:val="nil"/>
              <w:left w:val="nil"/>
              <w:bottom w:val="single" w:sz="4" w:space="0" w:color="auto"/>
              <w:right w:val="single" w:sz="4" w:space="0" w:color="auto"/>
            </w:tcBorders>
          </w:tcPr>
          <w:p w14:paraId="70A9F721" w14:textId="77777777" w:rsidR="00742247" w:rsidRPr="00ED6E90" w:rsidRDefault="00742247" w:rsidP="00CE5982">
            <w:pPr>
              <w:pStyle w:val="Tabletext1"/>
              <w:keepNext/>
            </w:pPr>
            <w:r w:rsidRPr="00ED6E90">
              <w:t>Mean 8.4</w:t>
            </w:r>
          </w:p>
        </w:tc>
      </w:tr>
      <w:tr w:rsidR="00742247" w:rsidRPr="00ED6E90" w14:paraId="6A651C40"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54CEB3D7" w14:textId="46F72834" w:rsidR="00742247" w:rsidRPr="00ED6E90" w:rsidRDefault="00CA2D63" w:rsidP="00CE5982">
            <w:pPr>
              <w:pStyle w:val="Tabletext1"/>
              <w:keepNext/>
            </w:pPr>
            <w:r>
              <w:t>Baur</w:t>
            </w:r>
            <w:r w:rsidR="00CE5982">
              <w:t xml:space="preserve"> et al. (</w:t>
            </w:r>
            <w:r>
              <w:t>2016</w:t>
            </w:r>
            <w:r w:rsidR="00CE5982">
              <w:t>)</w:t>
            </w:r>
            <w:r>
              <w:t xml:space="preserve"> </w:t>
            </w:r>
          </w:p>
          <w:p w14:paraId="18D61713" w14:textId="19B876CB" w:rsidR="00742247" w:rsidRPr="00ED6E90" w:rsidRDefault="008A71E9" w:rsidP="00CE5982">
            <w:pPr>
              <w:pStyle w:val="Tabletext1"/>
              <w:keepNext/>
            </w:pPr>
            <w:r>
              <w:t>n</w:t>
            </w:r>
            <w:r w:rsidR="00742247" w:rsidRPr="00ED6E90">
              <w:t>=45</w:t>
            </w:r>
          </w:p>
        </w:tc>
        <w:tc>
          <w:tcPr>
            <w:tcW w:w="891" w:type="dxa"/>
            <w:tcBorders>
              <w:top w:val="nil"/>
              <w:left w:val="nil"/>
              <w:bottom w:val="single" w:sz="4" w:space="0" w:color="auto"/>
              <w:right w:val="single" w:sz="4" w:space="0" w:color="auto"/>
            </w:tcBorders>
            <w:shd w:val="clear" w:color="auto" w:fill="auto"/>
            <w:hideMark/>
          </w:tcPr>
          <w:p w14:paraId="683FF0D1" w14:textId="77777777" w:rsidR="00742247" w:rsidRPr="00ED6E90" w:rsidRDefault="00742247" w:rsidP="00CE5982">
            <w:pPr>
              <w:pStyle w:val="Tabletext1"/>
              <w:keepNext/>
            </w:pPr>
            <w:r w:rsidRPr="00ED6E90">
              <w:t>Germany</w:t>
            </w:r>
          </w:p>
        </w:tc>
        <w:tc>
          <w:tcPr>
            <w:tcW w:w="1292" w:type="dxa"/>
            <w:tcBorders>
              <w:top w:val="nil"/>
              <w:left w:val="nil"/>
              <w:bottom w:val="single" w:sz="4" w:space="0" w:color="auto"/>
              <w:right w:val="nil"/>
            </w:tcBorders>
          </w:tcPr>
          <w:p w14:paraId="7806759D" w14:textId="77777777" w:rsidR="00742247" w:rsidRPr="00ED6E90" w:rsidRDefault="00742247" w:rsidP="00CE5982">
            <w:pPr>
              <w:pStyle w:val="Tabletext1"/>
              <w:keepNext/>
            </w:pPr>
            <w:r w:rsidRPr="00ED6E90">
              <w:t xml:space="preserve">Mean 66 </w:t>
            </w:r>
          </w:p>
        </w:tc>
        <w:tc>
          <w:tcPr>
            <w:tcW w:w="1118" w:type="dxa"/>
            <w:tcBorders>
              <w:top w:val="nil"/>
              <w:left w:val="single" w:sz="4" w:space="0" w:color="auto"/>
              <w:bottom w:val="single" w:sz="4" w:space="0" w:color="auto"/>
              <w:right w:val="single" w:sz="4" w:space="0" w:color="auto"/>
            </w:tcBorders>
            <w:shd w:val="clear" w:color="auto" w:fill="auto"/>
            <w:hideMark/>
          </w:tcPr>
          <w:p w14:paraId="2ADAF342" w14:textId="77777777" w:rsidR="00742247" w:rsidRPr="00ED6E90" w:rsidRDefault="00742247" w:rsidP="00CE5982">
            <w:pPr>
              <w:pStyle w:val="Tabletext1"/>
              <w:keepNext/>
            </w:pPr>
            <w:r w:rsidRPr="00ED6E90">
              <w:t>PSA, DRE, biopsy</w:t>
            </w:r>
          </w:p>
        </w:tc>
        <w:tc>
          <w:tcPr>
            <w:tcW w:w="1479" w:type="dxa"/>
            <w:tcBorders>
              <w:top w:val="nil"/>
              <w:left w:val="nil"/>
              <w:bottom w:val="single" w:sz="4" w:space="0" w:color="auto"/>
              <w:right w:val="single" w:sz="4" w:space="0" w:color="auto"/>
            </w:tcBorders>
          </w:tcPr>
          <w:p w14:paraId="2CB3021F" w14:textId="77777777" w:rsidR="00742247" w:rsidRPr="00ED6E90" w:rsidRDefault="00742247" w:rsidP="00CE5982">
            <w:pPr>
              <w:pStyle w:val="Tabletext1"/>
              <w:keepNext/>
            </w:pPr>
            <w:r w:rsidRPr="00ED6E90">
              <w:t>Mean 12.3</w:t>
            </w:r>
          </w:p>
        </w:tc>
      </w:tr>
      <w:tr w:rsidR="00742247" w:rsidRPr="00ED6E90" w14:paraId="2549D325"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43F9BDE8" w14:textId="3D09C609" w:rsidR="00742247" w:rsidRPr="00ED6E90" w:rsidRDefault="00CA2D63" w:rsidP="00CE5982">
            <w:pPr>
              <w:pStyle w:val="Tabletext1"/>
              <w:keepNext/>
            </w:pPr>
            <w:r>
              <w:t>Dikaios</w:t>
            </w:r>
            <w:r w:rsidR="00CE5982">
              <w:t xml:space="preserve"> et al. (</w:t>
            </w:r>
            <w:r>
              <w:t>2015</w:t>
            </w:r>
            <w:r w:rsidR="00CE5982">
              <w:t>)</w:t>
            </w:r>
          </w:p>
          <w:p w14:paraId="5EF75462" w14:textId="4AF60942" w:rsidR="00742247" w:rsidRPr="00ED6E90" w:rsidRDefault="00742247" w:rsidP="00CE5982">
            <w:pPr>
              <w:pStyle w:val="Tabletext1"/>
              <w:keepNext/>
            </w:pPr>
            <w:r w:rsidRPr="00ED6E90">
              <w:t>n=85</w:t>
            </w:r>
          </w:p>
        </w:tc>
        <w:tc>
          <w:tcPr>
            <w:tcW w:w="891" w:type="dxa"/>
            <w:tcBorders>
              <w:top w:val="nil"/>
              <w:left w:val="nil"/>
              <w:bottom w:val="single" w:sz="4" w:space="0" w:color="auto"/>
              <w:right w:val="single" w:sz="4" w:space="0" w:color="auto"/>
            </w:tcBorders>
            <w:shd w:val="clear" w:color="auto" w:fill="auto"/>
            <w:hideMark/>
          </w:tcPr>
          <w:p w14:paraId="516D0B0B" w14:textId="77777777" w:rsidR="00742247" w:rsidRPr="00ED6E90" w:rsidRDefault="00742247" w:rsidP="00CE5982">
            <w:pPr>
              <w:pStyle w:val="Tabletext1"/>
              <w:keepNext/>
            </w:pPr>
            <w:r w:rsidRPr="00ED6E90">
              <w:t>UK</w:t>
            </w:r>
          </w:p>
        </w:tc>
        <w:tc>
          <w:tcPr>
            <w:tcW w:w="1292" w:type="dxa"/>
            <w:tcBorders>
              <w:top w:val="nil"/>
              <w:left w:val="nil"/>
              <w:bottom w:val="single" w:sz="4" w:space="0" w:color="auto"/>
              <w:right w:val="nil"/>
            </w:tcBorders>
          </w:tcPr>
          <w:p w14:paraId="5F4D7DDC" w14:textId="77777777" w:rsidR="00742247" w:rsidRPr="00ED6E90" w:rsidRDefault="00742247" w:rsidP="00CE5982">
            <w:pPr>
              <w:pStyle w:val="Tabletext1"/>
              <w:keepNext/>
            </w:pPr>
            <w:r w:rsidRPr="00ED6E90">
              <w:t xml:space="preserve">Mean 63 </w:t>
            </w:r>
          </w:p>
        </w:tc>
        <w:tc>
          <w:tcPr>
            <w:tcW w:w="1118" w:type="dxa"/>
            <w:tcBorders>
              <w:top w:val="nil"/>
              <w:left w:val="single" w:sz="4" w:space="0" w:color="auto"/>
              <w:bottom w:val="single" w:sz="4" w:space="0" w:color="auto"/>
              <w:right w:val="single" w:sz="4" w:space="0" w:color="auto"/>
            </w:tcBorders>
            <w:shd w:val="clear" w:color="auto" w:fill="auto"/>
            <w:hideMark/>
          </w:tcPr>
          <w:p w14:paraId="3AE24B19" w14:textId="77777777" w:rsidR="00742247" w:rsidRPr="00ED6E90" w:rsidRDefault="00742247" w:rsidP="00CE5982">
            <w:pPr>
              <w:pStyle w:val="Tabletext1"/>
              <w:keepNext/>
            </w:pPr>
            <w:r w:rsidRPr="00ED6E90">
              <w:t>PSA, DRE</w:t>
            </w:r>
          </w:p>
        </w:tc>
        <w:tc>
          <w:tcPr>
            <w:tcW w:w="1479" w:type="dxa"/>
            <w:tcBorders>
              <w:top w:val="nil"/>
              <w:left w:val="nil"/>
              <w:bottom w:val="single" w:sz="4" w:space="0" w:color="auto"/>
              <w:right w:val="single" w:sz="4" w:space="0" w:color="auto"/>
            </w:tcBorders>
          </w:tcPr>
          <w:p w14:paraId="1667C052" w14:textId="77777777" w:rsidR="00742247" w:rsidRPr="00ED6E90" w:rsidRDefault="00742247" w:rsidP="00CE5982">
            <w:pPr>
              <w:pStyle w:val="Tabletext1"/>
              <w:keepNext/>
            </w:pPr>
            <w:r w:rsidRPr="00ED6E90">
              <w:t>Mean 8.66</w:t>
            </w:r>
          </w:p>
        </w:tc>
      </w:tr>
      <w:tr w:rsidR="00742247" w:rsidRPr="00ED6E90" w14:paraId="4E45ED88"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1C36059D" w14:textId="39042F0C" w:rsidR="00742247" w:rsidRPr="00ED6E90" w:rsidRDefault="00CA2D63" w:rsidP="00CE5982">
            <w:pPr>
              <w:pStyle w:val="Tabletext1"/>
              <w:keepNext/>
            </w:pPr>
            <w:r>
              <w:t>J</w:t>
            </w:r>
            <w:r w:rsidR="00CE5982">
              <w:t>ambor et al. (</w:t>
            </w:r>
            <w:r>
              <w:t>2015</w:t>
            </w:r>
            <w:r w:rsidR="00CE5982">
              <w:t>)</w:t>
            </w:r>
          </w:p>
          <w:p w14:paraId="5F822356" w14:textId="374CBC2A" w:rsidR="00742247" w:rsidRPr="00ED6E90" w:rsidRDefault="008A71E9" w:rsidP="00CE5982">
            <w:pPr>
              <w:pStyle w:val="Tabletext1"/>
              <w:keepNext/>
            </w:pPr>
            <w:r>
              <w:t>n</w:t>
            </w:r>
            <w:r w:rsidR="00742247" w:rsidRPr="00ED6E90">
              <w:t>=55</w:t>
            </w:r>
          </w:p>
        </w:tc>
        <w:tc>
          <w:tcPr>
            <w:tcW w:w="891" w:type="dxa"/>
            <w:tcBorders>
              <w:top w:val="nil"/>
              <w:left w:val="nil"/>
              <w:bottom w:val="single" w:sz="4" w:space="0" w:color="auto"/>
              <w:right w:val="single" w:sz="4" w:space="0" w:color="auto"/>
            </w:tcBorders>
            <w:shd w:val="clear" w:color="auto" w:fill="auto"/>
            <w:hideMark/>
          </w:tcPr>
          <w:p w14:paraId="1E928923" w14:textId="77777777" w:rsidR="00742247" w:rsidRPr="00ED6E90" w:rsidRDefault="00742247" w:rsidP="00CE5982">
            <w:pPr>
              <w:pStyle w:val="Tabletext1"/>
              <w:keepNext/>
            </w:pPr>
            <w:r w:rsidRPr="00ED6E90">
              <w:t>Finland</w:t>
            </w:r>
          </w:p>
        </w:tc>
        <w:tc>
          <w:tcPr>
            <w:tcW w:w="1292" w:type="dxa"/>
            <w:tcBorders>
              <w:top w:val="nil"/>
              <w:left w:val="nil"/>
              <w:bottom w:val="single" w:sz="4" w:space="0" w:color="auto"/>
              <w:right w:val="nil"/>
            </w:tcBorders>
          </w:tcPr>
          <w:p w14:paraId="76A3D6F5" w14:textId="77777777" w:rsidR="00742247" w:rsidRPr="00ED6E90" w:rsidRDefault="00742247" w:rsidP="00CE5982">
            <w:pPr>
              <w:pStyle w:val="Tabletext1"/>
              <w:keepNext/>
            </w:pPr>
            <w:r w:rsidRPr="00ED6E90">
              <w:t>Median 66</w:t>
            </w:r>
          </w:p>
        </w:tc>
        <w:tc>
          <w:tcPr>
            <w:tcW w:w="1118" w:type="dxa"/>
            <w:tcBorders>
              <w:top w:val="nil"/>
              <w:left w:val="single" w:sz="4" w:space="0" w:color="auto"/>
              <w:bottom w:val="single" w:sz="4" w:space="0" w:color="auto"/>
              <w:right w:val="single" w:sz="4" w:space="0" w:color="auto"/>
            </w:tcBorders>
            <w:shd w:val="clear" w:color="auto" w:fill="auto"/>
            <w:hideMark/>
          </w:tcPr>
          <w:p w14:paraId="067A6DA4" w14:textId="77777777" w:rsidR="00742247" w:rsidRPr="00ED6E90" w:rsidRDefault="00742247" w:rsidP="00CE5982">
            <w:pPr>
              <w:pStyle w:val="Tabletext1"/>
              <w:keepNext/>
            </w:pPr>
            <w:r w:rsidRPr="00ED6E90">
              <w:t>PSA, DRE</w:t>
            </w:r>
          </w:p>
        </w:tc>
        <w:tc>
          <w:tcPr>
            <w:tcW w:w="1479" w:type="dxa"/>
            <w:tcBorders>
              <w:top w:val="nil"/>
              <w:left w:val="nil"/>
              <w:bottom w:val="single" w:sz="4" w:space="0" w:color="auto"/>
              <w:right w:val="single" w:sz="4" w:space="0" w:color="auto"/>
            </w:tcBorders>
          </w:tcPr>
          <w:p w14:paraId="21CCF0FD" w14:textId="77777777" w:rsidR="00742247" w:rsidRPr="00ED6E90" w:rsidRDefault="00742247" w:rsidP="00CE5982">
            <w:pPr>
              <w:pStyle w:val="Tabletext1"/>
              <w:keepNext/>
            </w:pPr>
            <w:r w:rsidRPr="00ED6E90">
              <w:t>Median 7.4</w:t>
            </w:r>
          </w:p>
        </w:tc>
      </w:tr>
      <w:tr w:rsidR="00742247" w:rsidRPr="00ED6E90" w14:paraId="25D05B8A"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6BB64927" w14:textId="3046917B" w:rsidR="00742247" w:rsidRPr="00ED6E90" w:rsidRDefault="00CA2D63" w:rsidP="00CE5982">
            <w:pPr>
              <w:pStyle w:val="Tabletext1"/>
              <w:keepNext/>
            </w:pPr>
            <w:r>
              <w:t>Lista</w:t>
            </w:r>
            <w:r w:rsidR="00CE5982">
              <w:t xml:space="preserve"> et al. (</w:t>
            </w:r>
            <w:r>
              <w:t>2015</w:t>
            </w:r>
            <w:r w:rsidR="00CE5982">
              <w:t>)</w:t>
            </w:r>
          </w:p>
          <w:p w14:paraId="4B2159B3" w14:textId="1D218E2E" w:rsidR="00742247" w:rsidRPr="00ED6E90" w:rsidRDefault="00742247" w:rsidP="00CE5982">
            <w:pPr>
              <w:pStyle w:val="Tabletext1"/>
              <w:keepNext/>
            </w:pPr>
            <w:r w:rsidRPr="00ED6E90">
              <w:t>n=150</w:t>
            </w:r>
          </w:p>
        </w:tc>
        <w:tc>
          <w:tcPr>
            <w:tcW w:w="891" w:type="dxa"/>
            <w:tcBorders>
              <w:top w:val="nil"/>
              <w:left w:val="nil"/>
              <w:bottom w:val="single" w:sz="4" w:space="0" w:color="auto"/>
              <w:right w:val="single" w:sz="4" w:space="0" w:color="auto"/>
            </w:tcBorders>
            <w:shd w:val="clear" w:color="auto" w:fill="auto"/>
            <w:hideMark/>
          </w:tcPr>
          <w:p w14:paraId="597AFD85" w14:textId="77777777" w:rsidR="00742247" w:rsidRPr="00ED6E90" w:rsidRDefault="00742247" w:rsidP="00CE5982">
            <w:pPr>
              <w:pStyle w:val="Tabletext1"/>
              <w:keepNext/>
            </w:pPr>
            <w:r w:rsidRPr="00ED6E90">
              <w:t>Spain</w:t>
            </w:r>
          </w:p>
        </w:tc>
        <w:tc>
          <w:tcPr>
            <w:tcW w:w="1292" w:type="dxa"/>
            <w:tcBorders>
              <w:top w:val="nil"/>
              <w:left w:val="nil"/>
              <w:bottom w:val="single" w:sz="4" w:space="0" w:color="auto"/>
              <w:right w:val="nil"/>
            </w:tcBorders>
          </w:tcPr>
          <w:p w14:paraId="5E5CBAD2" w14:textId="77777777" w:rsidR="00742247" w:rsidRPr="00ED6E90" w:rsidRDefault="00742247" w:rsidP="00CE5982">
            <w:pPr>
              <w:pStyle w:val="Tabletext1"/>
              <w:keepNext/>
            </w:pPr>
            <w:r w:rsidRPr="00ED6E90">
              <w:t>Mean 66</w:t>
            </w:r>
          </w:p>
        </w:tc>
        <w:tc>
          <w:tcPr>
            <w:tcW w:w="1118" w:type="dxa"/>
            <w:tcBorders>
              <w:top w:val="nil"/>
              <w:left w:val="single" w:sz="4" w:space="0" w:color="auto"/>
              <w:bottom w:val="single" w:sz="4" w:space="0" w:color="auto"/>
              <w:right w:val="single" w:sz="4" w:space="0" w:color="auto"/>
            </w:tcBorders>
            <w:shd w:val="clear" w:color="auto" w:fill="auto"/>
            <w:hideMark/>
          </w:tcPr>
          <w:p w14:paraId="2677EC86" w14:textId="77777777" w:rsidR="00742247" w:rsidRPr="00ED6E90" w:rsidRDefault="00742247" w:rsidP="00CE5982">
            <w:pPr>
              <w:pStyle w:val="Tabletext1"/>
              <w:keepNext/>
            </w:pPr>
            <w:r w:rsidRPr="00ED6E90">
              <w:t>PSA, DRE, biopsy</w:t>
            </w:r>
          </w:p>
        </w:tc>
        <w:tc>
          <w:tcPr>
            <w:tcW w:w="1479" w:type="dxa"/>
            <w:tcBorders>
              <w:top w:val="nil"/>
              <w:left w:val="nil"/>
              <w:bottom w:val="single" w:sz="4" w:space="0" w:color="auto"/>
              <w:right w:val="single" w:sz="4" w:space="0" w:color="auto"/>
            </w:tcBorders>
          </w:tcPr>
          <w:p w14:paraId="61B9892D" w14:textId="77777777" w:rsidR="00742247" w:rsidRPr="00ED6E90" w:rsidRDefault="00742247" w:rsidP="00CE5982">
            <w:pPr>
              <w:pStyle w:val="Tabletext1"/>
              <w:keepNext/>
            </w:pPr>
            <w:r w:rsidRPr="00ED6E90">
              <w:t>Mean 11.3</w:t>
            </w:r>
          </w:p>
        </w:tc>
      </w:tr>
      <w:tr w:rsidR="00742247" w:rsidRPr="00ED6E90" w14:paraId="1570D18A"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45548EF4" w14:textId="582A17D7" w:rsidR="00742247" w:rsidRPr="00ED6E90" w:rsidRDefault="00CA2D63" w:rsidP="00CE5982">
            <w:pPr>
              <w:pStyle w:val="Tabletext1"/>
              <w:keepNext/>
            </w:pPr>
            <w:r>
              <w:t>Pokorny</w:t>
            </w:r>
            <w:r w:rsidR="00CE5982">
              <w:t xml:space="preserve"> et al. (</w:t>
            </w:r>
            <w:r>
              <w:t>2014</w:t>
            </w:r>
            <w:r w:rsidR="00CE5982">
              <w:t>)</w:t>
            </w:r>
          </w:p>
          <w:p w14:paraId="57FD0DF7" w14:textId="00D1DB40" w:rsidR="00742247" w:rsidRPr="00ED6E90" w:rsidRDefault="008A71E9" w:rsidP="00CE5982">
            <w:pPr>
              <w:pStyle w:val="Tabletext1"/>
              <w:keepNext/>
            </w:pPr>
            <w:r>
              <w:t>n</w:t>
            </w:r>
            <w:r w:rsidR="00742247" w:rsidRPr="00ED6E90">
              <w:t>=226, 3 withdrew</w:t>
            </w:r>
          </w:p>
        </w:tc>
        <w:tc>
          <w:tcPr>
            <w:tcW w:w="891" w:type="dxa"/>
            <w:tcBorders>
              <w:top w:val="nil"/>
              <w:left w:val="nil"/>
              <w:bottom w:val="single" w:sz="4" w:space="0" w:color="auto"/>
              <w:right w:val="single" w:sz="4" w:space="0" w:color="auto"/>
            </w:tcBorders>
            <w:shd w:val="clear" w:color="auto" w:fill="auto"/>
            <w:hideMark/>
          </w:tcPr>
          <w:p w14:paraId="220DA914" w14:textId="77777777" w:rsidR="00742247" w:rsidRPr="00ED6E90" w:rsidRDefault="00742247" w:rsidP="00CE5982">
            <w:pPr>
              <w:pStyle w:val="Tabletext1"/>
              <w:keepNext/>
            </w:pPr>
            <w:r w:rsidRPr="00ED6E90">
              <w:t>Australia</w:t>
            </w:r>
          </w:p>
        </w:tc>
        <w:tc>
          <w:tcPr>
            <w:tcW w:w="1292" w:type="dxa"/>
            <w:tcBorders>
              <w:top w:val="nil"/>
              <w:left w:val="nil"/>
              <w:bottom w:val="single" w:sz="4" w:space="0" w:color="auto"/>
              <w:right w:val="nil"/>
            </w:tcBorders>
          </w:tcPr>
          <w:p w14:paraId="011C30C6" w14:textId="77777777" w:rsidR="00742247" w:rsidRPr="00ED6E90" w:rsidRDefault="00742247" w:rsidP="00CE5982">
            <w:pPr>
              <w:pStyle w:val="Tabletext1"/>
              <w:keepNext/>
            </w:pPr>
            <w:r w:rsidRPr="00ED6E90">
              <w:t>Median 63</w:t>
            </w:r>
          </w:p>
        </w:tc>
        <w:tc>
          <w:tcPr>
            <w:tcW w:w="1118" w:type="dxa"/>
            <w:tcBorders>
              <w:top w:val="nil"/>
              <w:left w:val="single" w:sz="4" w:space="0" w:color="auto"/>
              <w:bottom w:val="single" w:sz="4" w:space="0" w:color="auto"/>
              <w:right w:val="single" w:sz="4" w:space="0" w:color="auto"/>
            </w:tcBorders>
            <w:shd w:val="clear" w:color="auto" w:fill="auto"/>
            <w:hideMark/>
          </w:tcPr>
          <w:p w14:paraId="3187BA80" w14:textId="77777777" w:rsidR="00742247" w:rsidRPr="00ED6E90" w:rsidRDefault="00742247" w:rsidP="00CE5982">
            <w:pPr>
              <w:pStyle w:val="Tabletext1"/>
              <w:keepNext/>
            </w:pPr>
            <w:r w:rsidRPr="00ED6E90">
              <w:t>PSA, DRE</w:t>
            </w:r>
          </w:p>
        </w:tc>
        <w:tc>
          <w:tcPr>
            <w:tcW w:w="1479" w:type="dxa"/>
            <w:tcBorders>
              <w:top w:val="nil"/>
              <w:left w:val="nil"/>
              <w:bottom w:val="single" w:sz="4" w:space="0" w:color="auto"/>
              <w:right w:val="single" w:sz="4" w:space="0" w:color="auto"/>
            </w:tcBorders>
          </w:tcPr>
          <w:p w14:paraId="3F0A9E89" w14:textId="77777777" w:rsidR="00742247" w:rsidRPr="00ED6E90" w:rsidRDefault="00742247" w:rsidP="00CE5982">
            <w:pPr>
              <w:pStyle w:val="Tabletext1"/>
              <w:keepNext/>
            </w:pPr>
            <w:r w:rsidRPr="00ED6E90">
              <w:t>Median 5.3</w:t>
            </w:r>
          </w:p>
        </w:tc>
      </w:tr>
      <w:tr w:rsidR="00742247" w:rsidRPr="00ED6E90" w14:paraId="0E3D61CC"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24235C3F" w14:textId="6BB672B4" w:rsidR="00742247" w:rsidRPr="00ED6E90" w:rsidRDefault="00CA2D63" w:rsidP="00CE5982">
            <w:pPr>
              <w:pStyle w:val="Tabletext1"/>
              <w:keepNext/>
            </w:pPr>
            <w:r>
              <w:t>Thompson</w:t>
            </w:r>
            <w:r w:rsidR="00CE5982">
              <w:t xml:space="preserve"> et al. (2</w:t>
            </w:r>
            <w:r>
              <w:t>014</w:t>
            </w:r>
            <w:r w:rsidR="00CE5982">
              <w:t>)</w:t>
            </w:r>
          </w:p>
          <w:p w14:paraId="7B96B0CE" w14:textId="38D71013" w:rsidR="00742247" w:rsidRPr="00ED6E90" w:rsidRDefault="00742247" w:rsidP="00CE5982">
            <w:pPr>
              <w:pStyle w:val="Tabletext1"/>
              <w:keepNext/>
            </w:pPr>
            <w:r w:rsidRPr="00ED6E90">
              <w:t>n=150</w:t>
            </w:r>
          </w:p>
        </w:tc>
        <w:tc>
          <w:tcPr>
            <w:tcW w:w="891" w:type="dxa"/>
            <w:tcBorders>
              <w:top w:val="nil"/>
              <w:left w:val="nil"/>
              <w:bottom w:val="single" w:sz="4" w:space="0" w:color="auto"/>
              <w:right w:val="single" w:sz="4" w:space="0" w:color="auto"/>
            </w:tcBorders>
            <w:shd w:val="clear" w:color="auto" w:fill="auto"/>
            <w:hideMark/>
          </w:tcPr>
          <w:p w14:paraId="5F09B975" w14:textId="77777777" w:rsidR="00742247" w:rsidRPr="00ED6E90" w:rsidRDefault="00742247" w:rsidP="00CE5982">
            <w:pPr>
              <w:pStyle w:val="Tabletext1"/>
              <w:keepNext/>
            </w:pPr>
            <w:r w:rsidRPr="00ED6E90">
              <w:t>Australia</w:t>
            </w:r>
          </w:p>
        </w:tc>
        <w:tc>
          <w:tcPr>
            <w:tcW w:w="1292" w:type="dxa"/>
            <w:tcBorders>
              <w:top w:val="nil"/>
              <w:left w:val="nil"/>
              <w:bottom w:val="single" w:sz="4" w:space="0" w:color="auto"/>
              <w:right w:val="nil"/>
            </w:tcBorders>
          </w:tcPr>
          <w:p w14:paraId="131CA9A1" w14:textId="77777777" w:rsidR="00742247" w:rsidRPr="00ED6E90" w:rsidRDefault="00742247" w:rsidP="00CE5982">
            <w:pPr>
              <w:pStyle w:val="Tabletext1"/>
              <w:keepNext/>
            </w:pPr>
            <w:r w:rsidRPr="00ED6E90">
              <w:t>Median 62</w:t>
            </w:r>
          </w:p>
        </w:tc>
        <w:tc>
          <w:tcPr>
            <w:tcW w:w="1118" w:type="dxa"/>
            <w:tcBorders>
              <w:top w:val="nil"/>
              <w:left w:val="single" w:sz="4" w:space="0" w:color="auto"/>
              <w:bottom w:val="single" w:sz="4" w:space="0" w:color="auto"/>
              <w:right w:val="single" w:sz="4" w:space="0" w:color="auto"/>
            </w:tcBorders>
            <w:shd w:val="clear" w:color="auto" w:fill="auto"/>
            <w:hideMark/>
          </w:tcPr>
          <w:p w14:paraId="4DA43D16" w14:textId="77777777" w:rsidR="00742247" w:rsidRPr="00ED6E90" w:rsidRDefault="00742247" w:rsidP="00CE5982">
            <w:pPr>
              <w:pStyle w:val="Tabletext1"/>
              <w:keepNext/>
            </w:pPr>
            <w:r w:rsidRPr="00ED6E90">
              <w:t>PSA, DRE</w:t>
            </w:r>
          </w:p>
        </w:tc>
        <w:tc>
          <w:tcPr>
            <w:tcW w:w="1479" w:type="dxa"/>
            <w:tcBorders>
              <w:top w:val="nil"/>
              <w:left w:val="nil"/>
              <w:bottom w:val="single" w:sz="4" w:space="0" w:color="auto"/>
              <w:right w:val="single" w:sz="4" w:space="0" w:color="auto"/>
            </w:tcBorders>
          </w:tcPr>
          <w:p w14:paraId="30C8464A" w14:textId="77777777" w:rsidR="00742247" w:rsidRPr="00ED6E90" w:rsidRDefault="00742247" w:rsidP="00CE5982">
            <w:pPr>
              <w:pStyle w:val="Tabletext1"/>
              <w:keepNext/>
            </w:pPr>
            <w:r w:rsidRPr="00ED6E90">
              <w:t>Median 5.6</w:t>
            </w:r>
          </w:p>
        </w:tc>
      </w:tr>
      <w:tr w:rsidR="00742247" w:rsidRPr="00ED6E90" w14:paraId="7836BB6D"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63DD8B93" w14:textId="082C6604" w:rsidR="00742247" w:rsidRPr="00ED6E90" w:rsidRDefault="00CA2D63" w:rsidP="00CE5982">
            <w:pPr>
              <w:pStyle w:val="Tabletext1"/>
              <w:keepNext/>
            </w:pPr>
            <w:r>
              <w:t>Thompson</w:t>
            </w:r>
            <w:r w:rsidR="00CE5982">
              <w:t xml:space="preserve"> et al. (</w:t>
            </w:r>
            <w:r>
              <w:t>2016</w:t>
            </w:r>
            <w:r w:rsidR="00CE5982">
              <w:t>)</w:t>
            </w:r>
          </w:p>
          <w:p w14:paraId="454076A5" w14:textId="3A6DE3A9" w:rsidR="00742247" w:rsidRPr="00ED6E90" w:rsidRDefault="008A71E9" w:rsidP="00CE5982">
            <w:pPr>
              <w:pStyle w:val="Tabletext1"/>
              <w:keepNext/>
            </w:pPr>
            <w:r>
              <w:t>n</w:t>
            </w:r>
            <w:r w:rsidR="00742247" w:rsidRPr="00ED6E90">
              <w:t>=344</w:t>
            </w:r>
          </w:p>
        </w:tc>
        <w:tc>
          <w:tcPr>
            <w:tcW w:w="891" w:type="dxa"/>
            <w:tcBorders>
              <w:top w:val="nil"/>
              <w:left w:val="nil"/>
              <w:bottom w:val="single" w:sz="4" w:space="0" w:color="auto"/>
              <w:right w:val="single" w:sz="4" w:space="0" w:color="auto"/>
            </w:tcBorders>
            <w:shd w:val="clear" w:color="auto" w:fill="auto"/>
            <w:hideMark/>
          </w:tcPr>
          <w:p w14:paraId="55147587" w14:textId="77777777" w:rsidR="00742247" w:rsidRPr="00ED6E90" w:rsidRDefault="00742247" w:rsidP="00CE5982">
            <w:pPr>
              <w:pStyle w:val="Tabletext1"/>
              <w:keepNext/>
            </w:pPr>
            <w:r w:rsidRPr="00ED6E90">
              <w:t>Australia</w:t>
            </w:r>
          </w:p>
        </w:tc>
        <w:tc>
          <w:tcPr>
            <w:tcW w:w="1292" w:type="dxa"/>
            <w:tcBorders>
              <w:top w:val="nil"/>
              <w:left w:val="nil"/>
              <w:bottom w:val="single" w:sz="4" w:space="0" w:color="auto"/>
              <w:right w:val="nil"/>
            </w:tcBorders>
          </w:tcPr>
          <w:p w14:paraId="0CED90DE" w14:textId="77777777" w:rsidR="00742247" w:rsidRPr="00ED6E90" w:rsidRDefault="00742247" w:rsidP="00CE5982">
            <w:pPr>
              <w:pStyle w:val="Tabletext1"/>
              <w:keepNext/>
            </w:pPr>
            <w:r w:rsidRPr="00ED6E90">
              <w:t>Median 63</w:t>
            </w:r>
          </w:p>
        </w:tc>
        <w:tc>
          <w:tcPr>
            <w:tcW w:w="1118" w:type="dxa"/>
            <w:tcBorders>
              <w:top w:val="nil"/>
              <w:left w:val="single" w:sz="4" w:space="0" w:color="auto"/>
              <w:bottom w:val="single" w:sz="4" w:space="0" w:color="auto"/>
              <w:right w:val="single" w:sz="4" w:space="0" w:color="auto"/>
            </w:tcBorders>
            <w:shd w:val="clear" w:color="auto" w:fill="auto"/>
            <w:hideMark/>
          </w:tcPr>
          <w:p w14:paraId="10DB3971" w14:textId="77777777" w:rsidR="00742247" w:rsidRPr="00ED6E90" w:rsidRDefault="00742247" w:rsidP="00CE5982">
            <w:pPr>
              <w:pStyle w:val="Tabletext1"/>
              <w:keepNext/>
            </w:pPr>
            <w:r w:rsidRPr="00ED6E90">
              <w:t>PSA, DRE</w:t>
            </w:r>
          </w:p>
        </w:tc>
        <w:tc>
          <w:tcPr>
            <w:tcW w:w="1479" w:type="dxa"/>
            <w:tcBorders>
              <w:top w:val="nil"/>
              <w:left w:val="nil"/>
              <w:bottom w:val="single" w:sz="4" w:space="0" w:color="auto"/>
              <w:right w:val="single" w:sz="4" w:space="0" w:color="auto"/>
            </w:tcBorders>
          </w:tcPr>
          <w:p w14:paraId="45375EA5" w14:textId="77777777" w:rsidR="00742247" w:rsidRPr="00ED6E90" w:rsidRDefault="00742247" w:rsidP="00CE5982">
            <w:pPr>
              <w:pStyle w:val="Tabletext1"/>
              <w:keepNext/>
            </w:pPr>
            <w:r w:rsidRPr="00ED6E90">
              <w:t>Median 5.2</w:t>
            </w:r>
          </w:p>
        </w:tc>
      </w:tr>
      <w:tr w:rsidR="00742247" w:rsidRPr="00ED6E90" w14:paraId="791AFF1E"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66C13C7B" w14:textId="2A283D43" w:rsidR="00742247" w:rsidRPr="00ED6E90" w:rsidRDefault="00CA2D63" w:rsidP="00CE5982">
            <w:pPr>
              <w:pStyle w:val="Tabletext1"/>
              <w:keepNext/>
            </w:pPr>
            <w:r>
              <w:t>Wang</w:t>
            </w:r>
            <w:r w:rsidR="00CE5982">
              <w:t xml:space="preserve"> et al. (</w:t>
            </w:r>
            <w:r>
              <w:t>2015</w:t>
            </w:r>
            <w:r w:rsidR="00CE5982">
              <w:t>)</w:t>
            </w:r>
          </w:p>
          <w:p w14:paraId="1E3A2C81" w14:textId="26184CE3" w:rsidR="00742247" w:rsidRPr="00ED6E90" w:rsidRDefault="00742247" w:rsidP="00CE5982">
            <w:pPr>
              <w:pStyle w:val="Tabletext1"/>
              <w:keepNext/>
            </w:pPr>
            <w:r w:rsidRPr="00ED6E90">
              <w:t>n=1</w:t>
            </w:r>
            <w:r w:rsidR="008A71E9">
              <w:t>,</w:t>
            </w:r>
            <w:r w:rsidRPr="00ED6E90">
              <w:t>113 (but only 586 biopsied within 3 months of MRI)</w:t>
            </w:r>
          </w:p>
        </w:tc>
        <w:tc>
          <w:tcPr>
            <w:tcW w:w="891" w:type="dxa"/>
            <w:tcBorders>
              <w:top w:val="nil"/>
              <w:left w:val="nil"/>
              <w:bottom w:val="single" w:sz="4" w:space="0" w:color="auto"/>
              <w:right w:val="single" w:sz="4" w:space="0" w:color="auto"/>
            </w:tcBorders>
            <w:shd w:val="clear" w:color="auto" w:fill="auto"/>
            <w:hideMark/>
          </w:tcPr>
          <w:p w14:paraId="38CA00F8" w14:textId="77777777" w:rsidR="00742247" w:rsidRPr="00ED6E90" w:rsidRDefault="00742247" w:rsidP="00CE5982">
            <w:pPr>
              <w:pStyle w:val="Tabletext1"/>
              <w:keepNext/>
            </w:pPr>
            <w:r w:rsidRPr="00ED6E90">
              <w:t>China</w:t>
            </w:r>
          </w:p>
        </w:tc>
        <w:tc>
          <w:tcPr>
            <w:tcW w:w="1292" w:type="dxa"/>
            <w:tcBorders>
              <w:top w:val="nil"/>
              <w:left w:val="nil"/>
              <w:bottom w:val="single" w:sz="4" w:space="0" w:color="auto"/>
              <w:right w:val="nil"/>
            </w:tcBorders>
          </w:tcPr>
          <w:p w14:paraId="3893F519" w14:textId="77777777" w:rsidR="00742247" w:rsidRPr="00ED6E90" w:rsidRDefault="00742247" w:rsidP="00CE5982">
            <w:pPr>
              <w:pStyle w:val="Tabletext1"/>
              <w:keepNext/>
            </w:pPr>
            <w:r w:rsidRPr="00ED6E90">
              <w:t>Mean 70</w:t>
            </w:r>
          </w:p>
        </w:tc>
        <w:tc>
          <w:tcPr>
            <w:tcW w:w="1118" w:type="dxa"/>
            <w:tcBorders>
              <w:top w:val="nil"/>
              <w:left w:val="single" w:sz="4" w:space="0" w:color="auto"/>
              <w:bottom w:val="single" w:sz="4" w:space="0" w:color="auto"/>
              <w:right w:val="single" w:sz="4" w:space="0" w:color="auto"/>
            </w:tcBorders>
            <w:shd w:val="clear" w:color="auto" w:fill="auto"/>
            <w:hideMark/>
          </w:tcPr>
          <w:p w14:paraId="1F2E931B" w14:textId="77777777" w:rsidR="00742247" w:rsidRPr="00ED6E90" w:rsidRDefault="00742247" w:rsidP="00CE5982">
            <w:pPr>
              <w:pStyle w:val="Tabletext1"/>
              <w:keepNext/>
            </w:pPr>
            <w:r w:rsidRPr="00ED6E90">
              <w:t>DRE, PSA</w:t>
            </w:r>
          </w:p>
        </w:tc>
        <w:tc>
          <w:tcPr>
            <w:tcW w:w="1479" w:type="dxa"/>
            <w:tcBorders>
              <w:top w:val="nil"/>
              <w:left w:val="nil"/>
              <w:bottom w:val="single" w:sz="4" w:space="0" w:color="auto"/>
              <w:right w:val="single" w:sz="4" w:space="0" w:color="auto"/>
            </w:tcBorders>
          </w:tcPr>
          <w:p w14:paraId="58CE302C" w14:textId="77777777" w:rsidR="00742247" w:rsidRPr="00ED6E90" w:rsidRDefault="00742247" w:rsidP="00CE5982">
            <w:pPr>
              <w:pStyle w:val="Tabletext1"/>
              <w:keepNext/>
            </w:pPr>
            <w:r w:rsidRPr="00ED6E90">
              <w:t>NR</w:t>
            </w:r>
          </w:p>
        </w:tc>
      </w:tr>
      <w:tr w:rsidR="00742247" w:rsidRPr="00ED6E90" w14:paraId="36AC308E" w14:textId="77777777" w:rsidTr="007279E2">
        <w:trPr>
          <w:trHeight w:val="397"/>
        </w:trPr>
        <w:tc>
          <w:tcPr>
            <w:tcW w:w="4359" w:type="dxa"/>
            <w:tcBorders>
              <w:top w:val="nil"/>
              <w:left w:val="single" w:sz="4" w:space="0" w:color="auto"/>
              <w:bottom w:val="single" w:sz="4" w:space="0" w:color="auto"/>
              <w:right w:val="single" w:sz="4" w:space="0" w:color="auto"/>
            </w:tcBorders>
            <w:shd w:val="clear" w:color="auto" w:fill="auto"/>
            <w:hideMark/>
          </w:tcPr>
          <w:p w14:paraId="1BBA1AC3" w14:textId="1661F159" w:rsidR="00742247" w:rsidRPr="00ED6E90" w:rsidRDefault="00CA2D63" w:rsidP="00CE5982">
            <w:pPr>
              <w:pStyle w:val="Tabletext1"/>
              <w:keepNext/>
            </w:pPr>
            <w:r>
              <w:t>Zhao</w:t>
            </w:r>
            <w:r w:rsidR="00CE5982">
              <w:t xml:space="preserve"> et al. (</w:t>
            </w:r>
            <w:r>
              <w:t>2016</w:t>
            </w:r>
            <w:r w:rsidR="00CE5982">
              <w:t>)</w:t>
            </w:r>
          </w:p>
          <w:p w14:paraId="4DA15DDE" w14:textId="544E50BA" w:rsidR="00742247" w:rsidRPr="00ED6E90" w:rsidRDefault="008A71E9" w:rsidP="00CE5982">
            <w:pPr>
              <w:pStyle w:val="Tabletext1"/>
              <w:keepNext/>
            </w:pPr>
            <w:r>
              <w:t>n=</w:t>
            </w:r>
            <w:r w:rsidR="00742247" w:rsidRPr="00ED6E90">
              <w:t>372</w:t>
            </w:r>
          </w:p>
        </w:tc>
        <w:tc>
          <w:tcPr>
            <w:tcW w:w="891" w:type="dxa"/>
            <w:tcBorders>
              <w:top w:val="nil"/>
              <w:left w:val="nil"/>
              <w:bottom w:val="single" w:sz="4" w:space="0" w:color="auto"/>
              <w:right w:val="single" w:sz="4" w:space="0" w:color="auto"/>
            </w:tcBorders>
            <w:shd w:val="clear" w:color="auto" w:fill="auto"/>
            <w:hideMark/>
          </w:tcPr>
          <w:p w14:paraId="429ADBE0" w14:textId="77777777" w:rsidR="00742247" w:rsidRPr="00ED6E90" w:rsidRDefault="00742247" w:rsidP="00CE5982">
            <w:pPr>
              <w:pStyle w:val="Tabletext1"/>
              <w:keepNext/>
            </w:pPr>
            <w:r w:rsidRPr="00ED6E90">
              <w:t>China</w:t>
            </w:r>
          </w:p>
        </w:tc>
        <w:tc>
          <w:tcPr>
            <w:tcW w:w="1292" w:type="dxa"/>
            <w:tcBorders>
              <w:top w:val="nil"/>
              <w:left w:val="nil"/>
              <w:bottom w:val="single" w:sz="4" w:space="0" w:color="auto"/>
              <w:right w:val="nil"/>
            </w:tcBorders>
          </w:tcPr>
          <w:p w14:paraId="49F1EC21" w14:textId="77777777" w:rsidR="00742247" w:rsidRPr="00ED6E90" w:rsidRDefault="00742247" w:rsidP="00CE5982">
            <w:pPr>
              <w:pStyle w:val="Tabletext1"/>
              <w:keepNext/>
            </w:pPr>
            <w:r w:rsidRPr="00ED6E90">
              <w:t>Mean 69</w:t>
            </w:r>
          </w:p>
        </w:tc>
        <w:tc>
          <w:tcPr>
            <w:tcW w:w="1118" w:type="dxa"/>
            <w:tcBorders>
              <w:top w:val="nil"/>
              <w:left w:val="single" w:sz="4" w:space="0" w:color="auto"/>
              <w:bottom w:val="single" w:sz="4" w:space="0" w:color="auto"/>
              <w:right w:val="single" w:sz="4" w:space="0" w:color="auto"/>
            </w:tcBorders>
            <w:shd w:val="clear" w:color="auto" w:fill="auto"/>
            <w:hideMark/>
          </w:tcPr>
          <w:p w14:paraId="60FC79F7" w14:textId="77777777" w:rsidR="00742247" w:rsidRPr="00ED6E90" w:rsidRDefault="00742247" w:rsidP="00CE5982">
            <w:pPr>
              <w:pStyle w:val="Tabletext1"/>
              <w:keepNext/>
            </w:pPr>
            <w:r w:rsidRPr="00ED6E90">
              <w:t>DRE, PSA</w:t>
            </w:r>
          </w:p>
        </w:tc>
        <w:tc>
          <w:tcPr>
            <w:tcW w:w="1479" w:type="dxa"/>
            <w:tcBorders>
              <w:top w:val="nil"/>
              <w:left w:val="nil"/>
              <w:bottom w:val="single" w:sz="4" w:space="0" w:color="auto"/>
              <w:right w:val="single" w:sz="4" w:space="0" w:color="auto"/>
            </w:tcBorders>
          </w:tcPr>
          <w:p w14:paraId="50DFD99D" w14:textId="77777777" w:rsidR="00742247" w:rsidRPr="00ED6E90" w:rsidRDefault="00742247" w:rsidP="00CE5982">
            <w:pPr>
              <w:pStyle w:val="Tabletext1"/>
              <w:keepNext/>
            </w:pPr>
            <w:r w:rsidRPr="00ED6E90">
              <w:t>Mean 15.0</w:t>
            </w:r>
          </w:p>
        </w:tc>
      </w:tr>
    </w:tbl>
    <w:p w14:paraId="06CF8D3C" w14:textId="5F4AF4C1" w:rsidR="00742247" w:rsidRPr="00ED6E90" w:rsidRDefault="00742247" w:rsidP="00413B4A">
      <w:pPr>
        <w:pStyle w:val="TableNotes"/>
      </w:pPr>
      <w:r w:rsidRPr="00ED6E90">
        <w:t>DRE</w:t>
      </w:r>
      <w:r w:rsidR="008A71E9">
        <w:t xml:space="preserve"> =</w:t>
      </w:r>
      <w:r w:rsidRPr="00ED6E90">
        <w:t xml:space="preserve"> digital rectal examination</w:t>
      </w:r>
      <w:r w:rsidR="008A71E9">
        <w:t>,</w:t>
      </w:r>
      <w:r w:rsidRPr="00ED6E90">
        <w:t xml:space="preserve"> NR</w:t>
      </w:r>
      <w:r w:rsidR="008A71E9">
        <w:t xml:space="preserve"> =</w:t>
      </w:r>
      <w:r w:rsidRPr="00ED6E90">
        <w:t xml:space="preserve"> not reported</w:t>
      </w:r>
      <w:r w:rsidR="008A71E9">
        <w:t xml:space="preserve">, </w:t>
      </w:r>
      <w:r w:rsidRPr="00ED6E90">
        <w:t>PSA</w:t>
      </w:r>
      <w:r w:rsidR="008A71E9">
        <w:t xml:space="preserve"> =</w:t>
      </w:r>
      <w:r w:rsidRPr="00ED6E90">
        <w:t xml:space="preserve"> prostate-specific antigen.</w:t>
      </w:r>
    </w:p>
    <w:p w14:paraId="6F170A94" w14:textId="7E0F5174" w:rsidR="00742247" w:rsidRDefault="00742247" w:rsidP="00742247">
      <w:r w:rsidRPr="00AF4069">
        <w:t>Section B included 10</w:t>
      </w:r>
      <w:r w:rsidRPr="00ED6E90">
        <w:t xml:space="preserve"> key studies </w:t>
      </w:r>
      <w:r w:rsidR="00A6420A">
        <w:t>that included</w:t>
      </w:r>
      <w:r w:rsidRPr="00ED6E90">
        <w:t xml:space="preserve"> </w:t>
      </w:r>
      <w:r>
        <w:t>Population 1</w:t>
      </w:r>
      <w:r w:rsidR="00A6420A">
        <w:t xml:space="preserve">, of these </w:t>
      </w:r>
      <w:r w:rsidRPr="00ED6E90">
        <w:t xml:space="preserve">three </w:t>
      </w:r>
      <w:r w:rsidR="00A6420A">
        <w:t xml:space="preserve">were </w:t>
      </w:r>
      <w:r>
        <w:t xml:space="preserve">conducted </w:t>
      </w:r>
      <w:r w:rsidRPr="00ED6E90">
        <w:t>in Australia.</w:t>
      </w:r>
      <w:r>
        <w:t xml:space="preserve"> </w:t>
      </w:r>
      <w:r w:rsidRPr="00ED6E90">
        <w:t xml:space="preserve">Therefore, a substantial part of the clinical data was collected in Australia. </w:t>
      </w:r>
      <w:r>
        <w:t>In general, f</w:t>
      </w:r>
      <w:r w:rsidRPr="00B82E0F">
        <w:t>or the three Australian studies</w:t>
      </w:r>
      <w:r w:rsidR="00CE5982">
        <w:t xml:space="preserve"> </w:t>
      </w:r>
      <w:r w:rsidR="008E0B00">
        <w:fldChar w:fldCharType="begin">
          <w:fldData xml:space="preserve">PEVuZE5vdGU+PENpdGU+PEF1dGhvcj5Qb2tvcm55PC9BdXRob3I+PFllYXI+MjAxNDwvWWVhcj48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cGFnZXM+NjctNzQ8L3BhZ2VzPjx2b2x1bWU+MTkyPC92b2x1bWU+PG51bWJlcj4xPC9udW1iZXI+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=
</w:fldData>
        </w:fldChar>
      </w:r>
      <w:r w:rsidR="008E0B00">
        <w:instrText xml:space="preserve"> ADDIN EN.CITE </w:instrText>
      </w:r>
      <w:r w:rsidR="008E0B00">
        <w:fldChar w:fldCharType="begin">
          <w:fldData xml:space="preserve">PEVuZE5vdGU+PENpdGU+PEF1dGhvcj5Qb2tvcm55PC9BdXRob3I+PFllYXI+MjAxNDwvWWVhcj48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=
</w:fldData>
        </w:fldChar>
      </w:r>
      <w:r w:rsidR="008E0B00">
        <w:instrText xml:space="preserve"> ADDIN EN.CITE.DATA </w:instrText>
      </w:r>
      <w:r w:rsidR="008E0B00">
        <w:fldChar w:fldCharType="end"/>
      </w:r>
      <w:r w:rsidR="008E0B00">
        <w:fldChar w:fldCharType="separate"/>
      </w:r>
      <w:r w:rsidR="008E0B00">
        <w:rPr>
          <w:noProof/>
        </w:rPr>
        <w:t>(</w:t>
      </w:r>
      <w:hyperlink w:anchor="_ENREF_115" w:tooltip="Pokorny, 2014 #51" w:history="1">
        <w:r w:rsidR="008E0B00">
          <w:rPr>
            <w:noProof/>
          </w:rPr>
          <w:t>Pokorny et al. 2014</w:t>
        </w:r>
      </w:hyperlink>
      <w:r w:rsidR="008E0B00">
        <w:rPr>
          <w:noProof/>
        </w:rPr>
        <w:t xml:space="preserve">; </w:t>
      </w:r>
      <w:hyperlink w:anchor="_ENREF_161" w:tooltip="Thompson, 2014 #58" w:history="1">
        <w:r w:rsidR="008E0B00">
          <w:rPr>
            <w:noProof/>
          </w:rPr>
          <w:t>Thompson et al. 2014</w:t>
        </w:r>
      </w:hyperlink>
      <w:r w:rsidR="008E0B00">
        <w:rPr>
          <w:noProof/>
        </w:rPr>
        <w:t xml:space="preserve">; </w:t>
      </w:r>
      <w:hyperlink w:anchor="_ENREF_162" w:tooltip="Thompson, 2016 #59" w:history="1">
        <w:r w:rsidR="008E0B00">
          <w:rPr>
            <w:noProof/>
          </w:rPr>
          <w:t>Thompson et al. 2016</w:t>
        </w:r>
      </w:hyperlink>
      <w:r w:rsidR="008E0B00">
        <w:rPr>
          <w:noProof/>
        </w:rPr>
        <w:t>)</w:t>
      </w:r>
      <w:r w:rsidR="008E0B00">
        <w:fldChar w:fldCharType="end"/>
      </w:r>
      <w:r w:rsidRPr="00B82E0F">
        <w:t xml:space="preserve"> </w:t>
      </w:r>
      <w:r w:rsidR="0090193D">
        <w:t xml:space="preserve">the pooled estimate of </w:t>
      </w:r>
      <w:r>
        <w:t>sensitivity (</w:t>
      </w:r>
      <w:r w:rsidRPr="00B82E0F">
        <w:t>54.3%</w:t>
      </w:r>
      <w:r>
        <w:t>,</w:t>
      </w:r>
      <w:r w:rsidRPr="00B82E0F">
        <w:t xml:space="preserve"> 95% </w:t>
      </w:r>
      <w:r>
        <w:t xml:space="preserve">CI </w:t>
      </w:r>
      <w:r w:rsidR="002F2195">
        <w:t>[</w:t>
      </w:r>
      <w:r w:rsidRPr="00B82E0F">
        <w:t>38.3</w:t>
      </w:r>
      <w:r w:rsidR="002F2195">
        <w:t>,</w:t>
      </w:r>
      <w:r>
        <w:t xml:space="preserve"> </w:t>
      </w:r>
      <w:r w:rsidR="002F2195">
        <w:t>69.5]</w:t>
      </w:r>
      <w:r w:rsidRPr="00B82E0F">
        <w:t>)</w:t>
      </w:r>
      <w:r>
        <w:t xml:space="preserve"> was lower than </w:t>
      </w:r>
      <w:r w:rsidR="0090193D">
        <w:t xml:space="preserve">pooled estimate of </w:t>
      </w:r>
      <w:r>
        <w:t>sensitivity demonstrated overall in the key clinical studies (</w:t>
      </w:r>
      <w:r w:rsidRPr="00B82E0F">
        <w:t xml:space="preserve">73.4%, 95% CI </w:t>
      </w:r>
      <w:r w:rsidR="002F2195">
        <w:t>[</w:t>
      </w:r>
      <w:r w:rsidRPr="00B82E0F">
        <w:t>57.0%</w:t>
      </w:r>
      <w:r w:rsidR="002F2195">
        <w:t>, 85.1]</w:t>
      </w:r>
      <w:r w:rsidRPr="00B82E0F">
        <w:t xml:space="preserve">). The specificity in the Australian studies </w:t>
      </w:r>
      <w:r>
        <w:t>(</w:t>
      </w:r>
      <w:r w:rsidRPr="00B82E0F">
        <w:t>87.2%</w:t>
      </w:r>
      <w:r>
        <w:t xml:space="preserve">, 95% CI </w:t>
      </w:r>
      <w:r w:rsidR="002F2195">
        <w:t>[4.8, 94]</w:t>
      </w:r>
      <w:r>
        <w:t xml:space="preserve">) was higher than specificity in the key </w:t>
      </w:r>
      <w:r>
        <w:lastRenderedPageBreak/>
        <w:t>clinical studies (</w:t>
      </w:r>
      <w:r w:rsidRPr="00B82E0F">
        <w:t xml:space="preserve">77.1%, 95% CI </w:t>
      </w:r>
      <w:r w:rsidR="002F2195">
        <w:t>[</w:t>
      </w:r>
      <w:r w:rsidRPr="00B82E0F">
        <w:t>63.5</w:t>
      </w:r>
      <w:r w:rsidR="002F2195">
        <w:t>, 86.7]</w:t>
      </w:r>
      <w:r w:rsidRPr="00B82E0F">
        <w:t>).</w:t>
      </w:r>
      <w:r>
        <w:t xml:space="preserve"> To test the impact of this on the ICER, a sensitivity analysis was performed using accuracy results from the sub selection of Australian studies (sensitivity analysis B, see </w:t>
      </w:r>
      <w:r w:rsidR="0090193D">
        <w:t>Sub</w:t>
      </w:r>
      <w:r>
        <w:t>section D.6).</w:t>
      </w:r>
    </w:p>
    <w:p w14:paraId="61FDAF5F" w14:textId="5ED972E7" w:rsidR="00742247" w:rsidRPr="00ED6E90" w:rsidRDefault="00742247" w:rsidP="00742247">
      <w:r>
        <w:t>Although the a</w:t>
      </w:r>
      <w:r w:rsidRPr="00ED6E90">
        <w:t xml:space="preserve">ge of the expected </w:t>
      </w:r>
      <w:r>
        <w:t xml:space="preserve">Australian Population 1 is unknown, the </w:t>
      </w:r>
      <w:r w:rsidRPr="00ED6E90">
        <w:t xml:space="preserve">mean age at diagnosis of prostate cancer was </w:t>
      </w:r>
      <w:r>
        <w:t xml:space="preserve">between </w:t>
      </w:r>
      <w:r w:rsidRPr="00ED6E90">
        <w:t>66-69</w:t>
      </w:r>
      <w:r w:rsidR="0090193D">
        <w:t xml:space="preserve"> </w:t>
      </w:r>
      <w:r>
        <w:t>years</w:t>
      </w:r>
      <w:r w:rsidRPr="00ED6E90">
        <w:t xml:space="preserve"> in the Australian registries. </w:t>
      </w:r>
      <w:r>
        <w:t>The m</w:t>
      </w:r>
      <w:r w:rsidRPr="00ED6E90">
        <w:t>ean age of the key study population</w:t>
      </w:r>
      <w:r>
        <w:t>s</w:t>
      </w:r>
      <w:r w:rsidRPr="00ED6E90">
        <w:t xml:space="preserve"> ranged between 62 and 70. The</w:t>
      </w:r>
      <w:r>
        <w:t>refore, the</w:t>
      </w:r>
      <w:r w:rsidRPr="00ED6E90">
        <w:t xml:space="preserve"> age of the expected MBS population lies within this range.</w:t>
      </w:r>
    </w:p>
    <w:p w14:paraId="5C3DC705" w14:textId="77777777" w:rsidR="00742247" w:rsidRPr="00ED6E90" w:rsidRDefault="00742247" w:rsidP="00742247">
      <w:r w:rsidRPr="00ED6E90">
        <w:t xml:space="preserve">The key studies differed in the tests participants received prior to mpMRI. In all studies patients had received PSA and DRE. This is consistent with the clinical management algorithm for the MBS population, which requires PSA/DRE in order to undergo mpMRI. In two studies, patients </w:t>
      </w:r>
      <w:r>
        <w:t>received</w:t>
      </w:r>
      <w:r w:rsidRPr="00ED6E90">
        <w:t xml:space="preserve"> biopsy (negative result)</w:t>
      </w:r>
      <w:r>
        <w:t xml:space="preserve"> in addition to PSA/DRE</w:t>
      </w:r>
      <w:r w:rsidRPr="00ED6E90">
        <w:t>. A proportion of the expected MBS population may also have had a previous biopsy with negative result and subsequent follow-up with PSA testing.</w:t>
      </w:r>
    </w:p>
    <w:p w14:paraId="49090027" w14:textId="798330A4" w:rsidR="00742247" w:rsidRPr="00ED6E90" w:rsidRDefault="00742247" w:rsidP="00742247">
      <w:r w:rsidRPr="00ED6E90">
        <w:t>In the key clinical studies that reported median P</w:t>
      </w:r>
      <w:r>
        <w:t>SA levels these ranged from 5.2</w:t>
      </w:r>
      <w:r w:rsidRPr="008D0452">
        <w:t>ng/ml</w:t>
      </w:r>
      <w:r w:rsidRPr="00ED6E90">
        <w:t xml:space="preserve"> to 7.4</w:t>
      </w:r>
      <w:r w:rsidRPr="008D0452">
        <w:t>ng/ml</w:t>
      </w:r>
      <w:r w:rsidRPr="00ED6E90">
        <w:t xml:space="preserve">. </w:t>
      </w:r>
      <w:r w:rsidR="00A6420A">
        <w:t>I</w:t>
      </w:r>
      <w:r w:rsidR="00A6420A" w:rsidRPr="00ED6E90">
        <w:t>n the</w:t>
      </w:r>
      <w:r w:rsidR="00A6420A">
        <w:t xml:space="preserve"> Australian registries, m</w:t>
      </w:r>
      <w:r w:rsidRPr="00ED6E90">
        <w:t xml:space="preserve">edian PSA levels (at diagnosis) </w:t>
      </w:r>
      <w:r>
        <w:t>were 6.5</w:t>
      </w:r>
      <w:r w:rsidRPr="008D0452">
        <w:t>ng/ml</w:t>
      </w:r>
      <w:r w:rsidRPr="00ED6E90">
        <w:t xml:space="preserve"> (South Australia) and 6.8</w:t>
      </w:r>
      <w:r w:rsidR="00B3596A">
        <w:t xml:space="preserve"> </w:t>
      </w:r>
      <w:r w:rsidRPr="008D0452">
        <w:t>ng/ml</w:t>
      </w:r>
      <w:r w:rsidRPr="00ED6E90">
        <w:t xml:space="preserve"> (Victoria) which is within the range of key </w:t>
      </w:r>
      <w:r>
        <w:t>trial</w:t>
      </w:r>
      <w:r w:rsidRPr="00ED6E90">
        <w:t xml:space="preserve"> values.</w:t>
      </w:r>
    </w:p>
    <w:p w14:paraId="7957C33D" w14:textId="22B03C67" w:rsidR="00742247" w:rsidRPr="00ED6E90" w:rsidRDefault="00742247" w:rsidP="00742247">
      <w:r w:rsidRPr="00ED6E90">
        <w:t>According to the proposed clinical algorithm, the expected MBS population will be pre</w:t>
      </w:r>
      <w:r w:rsidR="00A6420A">
        <w:t>-</w:t>
      </w:r>
      <w:r w:rsidRPr="00ED6E90">
        <w:t>select</w:t>
      </w:r>
      <w:r>
        <w:t>ed</w:t>
      </w:r>
      <w:r w:rsidR="008A71E9">
        <w:t xml:space="preserve"> before undergoing mpMRI (P</w:t>
      </w:r>
      <w:r w:rsidR="000C6F09">
        <w:t xml:space="preserve">SA </w:t>
      </w:r>
      <w:r w:rsidR="00697396">
        <w:t>3</w:t>
      </w:r>
      <w:r w:rsidR="008A71E9">
        <w:t>&gt;</w:t>
      </w:r>
      <w:r w:rsidR="00FC20D8">
        <w:t>ng/ml</w:t>
      </w:r>
      <w:r w:rsidRPr="00ED6E90">
        <w:t xml:space="preserve"> or lower level if &lt;50 years of age, or positive family history, or free/total ratio &lt;25%). </w:t>
      </w:r>
      <w:r w:rsidR="00A6420A">
        <w:t xml:space="preserve">In many </w:t>
      </w:r>
      <w:r w:rsidRPr="00ED6E90">
        <w:t xml:space="preserve">of the key clinical studies it was </w:t>
      </w:r>
      <w:r w:rsidR="00A6420A">
        <w:t>un</w:t>
      </w:r>
      <w:r w:rsidRPr="00ED6E90">
        <w:t xml:space="preserve">clear </w:t>
      </w:r>
      <w:r>
        <w:t>whether</w:t>
      </w:r>
      <w:r w:rsidRPr="00ED6E90">
        <w:t xml:space="preserve"> the study populations would meet these criteria. Therefore, baseline prostate cancer risk in the study populations may differ from the baseline risk in the expected MBS population. This is not expected to impact the economic evaluation, since test sensitivity and specificity are independent of disease prevalence. The economic model</w:t>
      </w:r>
      <w:r>
        <w:t xml:space="preserve"> in Section D</w:t>
      </w:r>
      <w:r w:rsidRPr="00ED6E90">
        <w:t xml:space="preserve"> used Australian prevalence data. However, different pre-selection may result in different tumour characteristics (e.g. tumour size), which may impact test accuracy</w:t>
      </w:r>
      <w:r>
        <w:t>.</w:t>
      </w:r>
    </w:p>
    <w:p w14:paraId="36E9EAA8" w14:textId="69D34B42" w:rsidR="00742247" w:rsidRPr="00ED6E90" w:rsidRDefault="00742247" w:rsidP="00742247">
      <w:r w:rsidRPr="00ED6E90">
        <w:t xml:space="preserve">In conclusion, comparison of population characteristics between the key clinical studies and Australian registry data did not identify </w:t>
      </w:r>
      <w:r>
        <w:t xml:space="preserve">any </w:t>
      </w:r>
      <w:r w:rsidR="00F37274">
        <w:t>consequential</w:t>
      </w:r>
      <w:r w:rsidRPr="00ED6E90">
        <w:t xml:space="preserve"> applicability issues. However, differences in patient pre-selection for mpMRI may impact test accuracy.</w:t>
      </w:r>
      <w:r>
        <w:t xml:space="preserve"> Since </w:t>
      </w:r>
      <w:r w:rsidR="00F37274">
        <w:t>the extent of this impact is unknown,</w:t>
      </w:r>
      <w:r>
        <w:t xml:space="preserve"> sensitivity analyses were performed to evaluate the impact of reduced</w:t>
      </w:r>
      <w:r w:rsidR="00F37274">
        <w:t xml:space="preserve"> and </w:t>
      </w:r>
      <w:r>
        <w:t>increased test accuracy on the cost-effectiveness of mpMRI. Sensitivity analyses were also performe</w:t>
      </w:r>
      <w:r w:rsidR="00F37274">
        <w:t>d for accuracy based on the sub-</w:t>
      </w:r>
      <w:r>
        <w:t>selection of Australian studies only.</w:t>
      </w:r>
    </w:p>
    <w:p w14:paraId="46DBED4C" w14:textId="77777777" w:rsidR="00742247" w:rsidRDefault="00742247" w:rsidP="00742247">
      <w:pPr>
        <w:pStyle w:val="Heading3"/>
        <w:rPr>
          <w:rFonts w:cs="AdvGulliv-R"/>
          <w:color w:val="000000"/>
        </w:rPr>
      </w:pPr>
      <w:bookmarkStart w:id="425" w:name="_Toc457383603"/>
      <w:bookmarkStart w:id="426" w:name="_Toc459987851"/>
      <w:bookmarkStart w:id="427" w:name="_Toc460513971"/>
      <w:r>
        <w:t>Population 1:</w:t>
      </w:r>
      <w:r w:rsidRPr="0009623C">
        <w:t xml:space="preserve"> </w:t>
      </w:r>
      <w:r>
        <w:t>intervention</w:t>
      </w:r>
      <w:r w:rsidRPr="0009623C">
        <w:t xml:space="preserve"> characteristics</w:t>
      </w:r>
      <w:bookmarkEnd w:id="425"/>
      <w:bookmarkEnd w:id="426"/>
      <w:bookmarkEnd w:id="427"/>
      <w:r>
        <w:rPr>
          <w:rFonts w:cs="AdvGulliv-R"/>
          <w:color w:val="000000"/>
        </w:rPr>
        <w:t xml:space="preserve"> </w:t>
      </w:r>
    </w:p>
    <w:p w14:paraId="7E2B5446" w14:textId="77777777" w:rsidR="00742247" w:rsidRPr="00CE0C5A" w:rsidRDefault="00742247" w:rsidP="00742247">
      <w:r w:rsidRPr="00CE0C5A">
        <w:t>The following intervention characteristics were assessed</w:t>
      </w:r>
      <w:r>
        <w:t xml:space="preserve"> in Population 1</w:t>
      </w:r>
      <w:r w:rsidRPr="00CE0C5A">
        <w:t xml:space="preserve">: type of MRI machine, use of an endorectal coil, type of imaging (T1, T2, DCE, DWI), type of contrast, PI-RADS cut-off value and reader experience (see </w:t>
      </w:r>
      <w:r w:rsidRPr="00CE0C5A">
        <w:fldChar w:fldCharType="begin"/>
      </w:r>
      <w:r w:rsidRPr="00CE0C5A">
        <w:instrText xml:space="preserve"> REF _Ref455135915 \h </w:instrText>
      </w:r>
      <w:r>
        <w:instrText xml:space="preserve"> \* MERGEFORMAT </w:instrText>
      </w:r>
      <w:r w:rsidRPr="00CE0C5A">
        <w:fldChar w:fldCharType="separate"/>
      </w:r>
      <w:r w:rsidR="0029649D">
        <w:t>Table 41</w:t>
      </w:r>
      <w:r w:rsidRPr="00CE0C5A">
        <w:fldChar w:fldCharType="end"/>
      </w:r>
      <w:r w:rsidRPr="00CE0C5A">
        <w:t>).</w:t>
      </w:r>
      <w:r>
        <w:t xml:space="preserve"> </w:t>
      </w:r>
    </w:p>
    <w:p w14:paraId="5F4CEF33" w14:textId="77777777" w:rsidR="00742247" w:rsidRDefault="00742247" w:rsidP="00742247">
      <w:pPr>
        <w:pStyle w:val="Caption"/>
        <w:ind w:left="1134" w:hanging="1134"/>
      </w:pPr>
      <w:bookmarkStart w:id="428" w:name="_Ref455135915"/>
      <w:bookmarkStart w:id="429" w:name="_Toc457383663"/>
      <w:bookmarkStart w:id="430" w:name="_Toc459987901"/>
      <w:bookmarkStart w:id="431" w:name="_Toc460514541"/>
      <w:r>
        <w:lastRenderedPageBreak/>
        <w:t xml:space="preserve">Table </w:t>
      </w:r>
      <w:fldSimple w:instr=" SEQ Table \* ARABIC ">
        <w:r w:rsidR="0029649D">
          <w:rPr>
            <w:noProof/>
          </w:rPr>
          <w:t>41</w:t>
        </w:r>
      </w:fldSimple>
      <w:bookmarkEnd w:id="428"/>
      <w:r>
        <w:tab/>
        <w:t>Intervention (mpMRI) characteristics, comparison between key clinical studies and the expected MBS Population 1</w:t>
      </w:r>
      <w:bookmarkEnd w:id="429"/>
      <w:bookmarkEnd w:id="430"/>
      <w:bookmarkEnd w:id="431"/>
    </w:p>
    <w:tbl>
      <w:tblPr>
        <w:tblStyle w:val="TableGrid"/>
        <w:tblW w:w="0" w:type="auto"/>
        <w:tblInd w:w="130" w:type="dxa"/>
        <w:tblCellMar>
          <w:left w:w="28" w:type="dxa"/>
          <w:right w:w="28" w:type="dxa"/>
        </w:tblCellMar>
        <w:tblLook w:val="04A0" w:firstRow="1" w:lastRow="0" w:firstColumn="1" w:lastColumn="0" w:noHBand="0" w:noVBand="1"/>
        <w:tblDescription w:val="Intervention (mpMRI) characteristics, comparison between key clinical studies and the expected MBS Population 1"/>
      </w:tblPr>
      <w:tblGrid>
        <w:gridCol w:w="1626"/>
        <w:gridCol w:w="477"/>
        <w:gridCol w:w="1088"/>
        <w:gridCol w:w="999"/>
        <w:gridCol w:w="2628"/>
        <w:gridCol w:w="2134"/>
      </w:tblGrid>
      <w:tr w:rsidR="00742247" w:rsidRPr="007279E2" w14:paraId="0F1332F9" w14:textId="77777777" w:rsidTr="00B13C1D">
        <w:trPr>
          <w:trHeight w:val="397"/>
          <w:tblHeader/>
        </w:trPr>
        <w:tc>
          <w:tcPr>
            <w:tcW w:w="0" w:type="auto"/>
          </w:tcPr>
          <w:p w14:paraId="2581556A" w14:textId="2E94B57C" w:rsidR="00742247" w:rsidRPr="007279E2" w:rsidRDefault="00742247" w:rsidP="00B13C1D">
            <w:pPr>
              <w:pStyle w:val="Tableheading1"/>
            </w:pPr>
            <w:r w:rsidRPr="007279E2">
              <w:t xml:space="preserve">Study ID </w:t>
            </w:r>
            <w:r w:rsidR="00AE3374">
              <w:t>(n)</w:t>
            </w:r>
          </w:p>
        </w:tc>
        <w:tc>
          <w:tcPr>
            <w:tcW w:w="0" w:type="auto"/>
          </w:tcPr>
          <w:p w14:paraId="6DB68DD6" w14:textId="77777777" w:rsidR="00742247" w:rsidRPr="007279E2" w:rsidRDefault="00742247" w:rsidP="00B13C1D">
            <w:pPr>
              <w:pStyle w:val="Tableheading1"/>
              <w:rPr>
                <w:rFonts w:cs="Calibri"/>
                <w:bCs/>
                <w:color w:val="000000"/>
              </w:rPr>
            </w:pPr>
            <w:r w:rsidRPr="007279E2">
              <w:rPr>
                <w:rFonts w:cs="Calibri"/>
                <w:bCs/>
                <w:color w:val="000000"/>
              </w:rPr>
              <w:t>MRI type</w:t>
            </w:r>
          </w:p>
        </w:tc>
        <w:tc>
          <w:tcPr>
            <w:tcW w:w="0" w:type="auto"/>
          </w:tcPr>
          <w:p w14:paraId="0F6C2BC7" w14:textId="77777777" w:rsidR="00742247" w:rsidRPr="007279E2" w:rsidRDefault="00742247" w:rsidP="00B13C1D">
            <w:pPr>
              <w:pStyle w:val="Tableheading1"/>
              <w:rPr>
                <w:rFonts w:cs="Calibri"/>
                <w:bCs/>
                <w:color w:val="000000"/>
              </w:rPr>
            </w:pPr>
            <w:r w:rsidRPr="007279E2">
              <w:rPr>
                <w:rFonts w:cs="Calibri"/>
                <w:bCs/>
                <w:color w:val="000000"/>
              </w:rPr>
              <w:t>Endorectal coil used Y/N</w:t>
            </w:r>
          </w:p>
        </w:tc>
        <w:tc>
          <w:tcPr>
            <w:tcW w:w="0" w:type="auto"/>
          </w:tcPr>
          <w:p w14:paraId="43D82D76" w14:textId="77777777" w:rsidR="00742247" w:rsidRPr="007279E2" w:rsidRDefault="00742247" w:rsidP="00B13C1D">
            <w:pPr>
              <w:pStyle w:val="Tableheading1"/>
              <w:rPr>
                <w:rFonts w:cs="Calibri"/>
                <w:bCs/>
                <w:color w:val="000000"/>
              </w:rPr>
            </w:pPr>
            <w:r w:rsidRPr="007279E2">
              <w:rPr>
                <w:rFonts w:cs="Calibri"/>
                <w:bCs/>
                <w:color w:val="000000"/>
              </w:rPr>
              <w:t>Type of imaging</w:t>
            </w:r>
          </w:p>
        </w:tc>
        <w:tc>
          <w:tcPr>
            <w:tcW w:w="0" w:type="auto"/>
          </w:tcPr>
          <w:p w14:paraId="5754DC3C" w14:textId="77777777" w:rsidR="00742247" w:rsidRPr="007279E2" w:rsidRDefault="00742247" w:rsidP="00B13C1D">
            <w:pPr>
              <w:pStyle w:val="Tableheading1"/>
              <w:rPr>
                <w:rFonts w:cs="Calibri"/>
                <w:bCs/>
                <w:color w:val="000000"/>
              </w:rPr>
            </w:pPr>
            <w:r w:rsidRPr="007279E2">
              <w:rPr>
                <w:rFonts w:cs="Calibri"/>
                <w:bCs/>
                <w:color w:val="000000"/>
              </w:rPr>
              <w:t>Contrast</w:t>
            </w:r>
          </w:p>
        </w:tc>
        <w:tc>
          <w:tcPr>
            <w:tcW w:w="0" w:type="auto"/>
          </w:tcPr>
          <w:p w14:paraId="6D91D7DD" w14:textId="77777777" w:rsidR="00742247" w:rsidRPr="007279E2" w:rsidRDefault="00742247" w:rsidP="00B13C1D">
            <w:pPr>
              <w:pStyle w:val="Tableheading1"/>
              <w:rPr>
                <w:rFonts w:cs="Calibri"/>
                <w:bCs/>
                <w:color w:val="000000"/>
              </w:rPr>
            </w:pPr>
            <w:r w:rsidRPr="007279E2">
              <w:rPr>
                <w:rFonts w:cs="Calibri"/>
                <w:bCs/>
                <w:color w:val="000000"/>
              </w:rPr>
              <w:t>Reader experience</w:t>
            </w:r>
          </w:p>
        </w:tc>
      </w:tr>
      <w:tr w:rsidR="00B13C1D" w:rsidRPr="00CE0C5A" w14:paraId="79864BA0" w14:textId="77777777" w:rsidTr="00B13C1D">
        <w:trPr>
          <w:trHeight w:val="397"/>
        </w:trPr>
        <w:tc>
          <w:tcPr>
            <w:tcW w:w="0" w:type="auto"/>
          </w:tcPr>
          <w:p w14:paraId="26E0BE70" w14:textId="77777777" w:rsidR="00B13C1D" w:rsidRPr="00ED6E90" w:rsidRDefault="00B13C1D" w:rsidP="00B13C1D">
            <w:pPr>
              <w:pStyle w:val="Tabletext1"/>
            </w:pPr>
            <w:r>
              <w:t>Baldisserotto et al. (2016)</w:t>
            </w:r>
          </w:p>
          <w:p w14:paraId="38B2FC88" w14:textId="16F68B62" w:rsidR="00B13C1D" w:rsidRPr="00CE0C5A" w:rsidRDefault="00B13C1D" w:rsidP="00B13C1D">
            <w:pPr>
              <w:pStyle w:val="Tabletext1"/>
            </w:pPr>
            <w:r>
              <w:t>n</w:t>
            </w:r>
            <w:r w:rsidRPr="00ED6E90">
              <w:t>=54</w:t>
            </w:r>
          </w:p>
        </w:tc>
        <w:tc>
          <w:tcPr>
            <w:tcW w:w="0" w:type="auto"/>
          </w:tcPr>
          <w:p w14:paraId="458EC167" w14:textId="77777777" w:rsidR="00B13C1D" w:rsidRPr="00CE0C5A" w:rsidRDefault="00B13C1D" w:rsidP="00B13C1D">
            <w:pPr>
              <w:pStyle w:val="Tabletext1"/>
              <w:rPr>
                <w:rFonts w:cs="Calibri"/>
                <w:color w:val="000000"/>
              </w:rPr>
            </w:pPr>
            <w:r w:rsidRPr="00CE0C5A">
              <w:rPr>
                <w:rFonts w:cs="Calibri"/>
                <w:color w:val="000000"/>
              </w:rPr>
              <w:t>3</w:t>
            </w:r>
          </w:p>
        </w:tc>
        <w:tc>
          <w:tcPr>
            <w:tcW w:w="0" w:type="auto"/>
          </w:tcPr>
          <w:p w14:paraId="109E57A6" w14:textId="77777777" w:rsidR="00B13C1D" w:rsidRPr="00CE0C5A" w:rsidRDefault="00B13C1D" w:rsidP="00B13C1D">
            <w:pPr>
              <w:pStyle w:val="Tabletext1"/>
              <w:rPr>
                <w:rFonts w:cs="Calibri"/>
                <w:color w:val="000000"/>
              </w:rPr>
            </w:pPr>
            <w:r w:rsidRPr="00CE0C5A">
              <w:rPr>
                <w:rFonts w:cs="Calibri"/>
                <w:color w:val="000000"/>
              </w:rPr>
              <w:t>N</w:t>
            </w:r>
          </w:p>
        </w:tc>
        <w:tc>
          <w:tcPr>
            <w:tcW w:w="0" w:type="auto"/>
          </w:tcPr>
          <w:p w14:paraId="25953CDE" w14:textId="77777777" w:rsidR="00B13C1D" w:rsidRPr="00CE0C5A" w:rsidRDefault="00B13C1D" w:rsidP="00B13C1D">
            <w:pPr>
              <w:pStyle w:val="Tabletext1"/>
              <w:rPr>
                <w:rFonts w:cs="Calibri"/>
                <w:color w:val="000000"/>
              </w:rPr>
            </w:pPr>
            <w:r w:rsidRPr="00CE0C5A">
              <w:rPr>
                <w:rFonts w:cs="Calibri"/>
                <w:color w:val="000000"/>
              </w:rPr>
              <w:t>T2W, DWI, DCE</w:t>
            </w:r>
          </w:p>
        </w:tc>
        <w:tc>
          <w:tcPr>
            <w:tcW w:w="0" w:type="auto"/>
          </w:tcPr>
          <w:p w14:paraId="694CE803" w14:textId="77777777" w:rsidR="00B13C1D" w:rsidRPr="00CE0C5A" w:rsidRDefault="00B13C1D" w:rsidP="00B13C1D">
            <w:pPr>
              <w:pStyle w:val="Tabletext1"/>
              <w:rPr>
                <w:rFonts w:cs="Calibri"/>
                <w:color w:val="000000"/>
              </w:rPr>
            </w:pPr>
            <w:r w:rsidRPr="00CE0C5A">
              <w:rPr>
                <w:rFonts w:cs="Calibri"/>
                <w:color w:val="000000"/>
              </w:rPr>
              <w:t>NR</w:t>
            </w:r>
          </w:p>
        </w:tc>
        <w:tc>
          <w:tcPr>
            <w:tcW w:w="0" w:type="auto"/>
          </w:tcPr>
          <w:p w14:paraId="466DB35A" w14:textId="53E95533" w:rsidR="00B13C1D" w:rsidRPr="00CE0C5A" w:rsidRDefault="00B13C1D" w:rsidP="00B13C1D">
            <w:pPr>
              <w:pStyle w:val="Tabletext1"/>
              <w:rPr>
                <w:rFonts w:cs="Calibri"/>
                <w:color w:val="000000"/>
              </w:rPr>
            </w:pPr>
            <w:r w:rsidRPr="00CE0C5A">
              <w:rPr>
                <w:rFonts w:cs="Calibri"/>
                <w:color w:val="000000"/>
              </w:rPr>
              <w:t>2 uroradiologists, 1 with 10 years’ experience, 1 with 1 year post-residency experience</w:t>
            </w:r>
          </w:p>
        </w:tc>
      </w:tr>
      <w:tr w:rsidR="00B13C1D" w:rsidRPr="00CE0C5A" w14:paraId="12726610" w14:textId="77777777" w:rsidTr="00B13C1D">
        <w:trPr>
          <w:trHeight w:val="397"/>
        </w:trPr>
        <w:tc>
          <w:tcPr>
            <w:tcW w:w="0" w:type="auto"/>
          </w:tcPr>
          <w:p w14:paraId="46A4A267" w14:textId="77777777" w:rsidR="00B13C1D" w:rsidRPr="00ED6E90" w:rsidRDefault="00B13C1D" w:rsidP="00B13C1D">
            <w:pPr>
              <w:pStyle w:val="Tabletext1"/>
            </w:pPr>
            <w:r>
              <w:t xml:space="preserve">Baur et al. (2016) </w:t>
            </w:r>
          </w:p>
          <w:p w14:paraId="75DC46A5" w14:textId="34F71F5D" w:rsidR="00B13C1D" w:rsidRPr="00CE0C5A" w:rsidRDefault="00B13C1D" w:rsidP="00B13C1D">
            <w:pPr>
              <w:pStyle w:val="Tabletext1"/>
            </w:pPr>
            <w:r>
              <w:t>n</w:t>
            </w:r>
            <w:r w:rsidRPr="00ED6E90">
              <w:t>=45</w:t>
            </w:r>
          </w:p>
        </w:tc>
        <w:tc>
          <w:tcPr>
            <w:tcW w:w="0" w:type="auto"/>
          </w:tcPr>
          <w:p w14:paraId="1E8F16B0" w14:textId="77777777" w:rsidR="00B13C1D" w:rsidRPr="00CE0C5A" w:rsidRDefault="00B13C1D" w:rsidP="00B13C1D">
            <w:pPr>
              <w:pStyle w:val="Tabletext1"/>
              <w:rPr>
                <w:rFonts w:cs="Calibri"/>
                <w:color w:val="000000"/>
              </w:rPr>
            </w:pPr>
            <w:r w:rsidRPr="00CE0C5A">
              <w:rPr>
                <w:rFonts w:cs="Calibri"/>
                <w:color w:val="000000"/>
              </w:rPr>
              <w:t>3</w:t>
            </w:r>
          </w:p>
        </w:tc>
        <w:tc>
          <w:tcPr>
            <w:tcW w:w="0" w:type="auto"/>
          </w:tcPr>
          <w:p w14:paraId="7266233E" w14:textId="77777777" w:rsidR="00B13C1D" w:rsidRPr="00CE0C5A" w:rsidRDefault="00B13C1D" w:rsidP="00B13C1D">
            <w:pPr>
              <w:pStyle w:val="Tabletext1"/>
              <w:rPr>
                <w:rFonts w:cs="Calibri"/>
                <w:color w:val="000000"/>
              </w:rPr>
            </w:pPr>
            <w:r w:rsidRPr="00CE0C5A">
              <w:rPr>
                <w:rFonts w:cs="Calibri"/>
                <w:color w:val="000000"/>
              </w:rPr>
              <w:t>N</w:t>
            </w:r>
          </w:p>
        </w:tc>
        <w:tc>
          <w:tcPr>
            <w:tcW w:w="0" w:type="auto"/>
          </w:tcPr>
          <w:p w14:paraId="53630266" w14:textId="77777777" w:rsidR="00B13C1D" w:rsidRPr="00CE0C5A" w:rsidRDefault="00B13C1D" w:rsidP="00B13C1D">
            <w:pPr>
              <w:pStyle w:val="Tabletext1"/>
              <w:rPr>
                <w:rFonts w:cs="Calibri"/>
                <w:color w:val="000000"/>
              </w:rPr>
            </w:pPr>
            <w:r w:rsidRPr="00CE0C5A">
              <w:rPr>
                <w:rFonts w:cs="Calibri"/>
                <w:color w:val="000000"/>
              </w:rPr>
              <w:t>T2W, DWI, DCE</w:t>
            </w:r>
          </w:p>
        </w:tc>
        <w:tc>
          <w:tcPr>
            <w:tcW w:w="0" w:type="auto"/>
          </w:tcPr>
          <w:p w14:paraId="185FED15" w14:textId="77777777" w:rsidR="00B13C1D" w:rsidRPr="00CE0C5A" w:rsidRDefault="00B13C1D" w:rsidP="00B13C1D">
            <w:pPr>
              <w:pStyle w:val="Tabletext1"/>
              <w:rPr>
                <w:rFonts w:cs="Calibri"/>
                <w:color w:val="000000"/>
              </w:rPr>
            </w:pPr>
            <w:r w:rsidRPr="00CE0C5A">
              <w:rPr>
                <w:rFonts w:cs="Calibri"/>
                <w:color w:val="000000"/>
              </w:rPr>
              <w:t>Gadobutrol</w:t>
            </w:r>
          </w:p>
        </w:tc>
        <w:tc>
          <w:tcPr>
            <w:tcW w:w="0" w:type="auto"/>
          </w:tcPr>
          <w:p w14:paraId="3316F2EE" w14:textId="22291286" w:rsidR="00B13C1D" w:rsidRPr="00CE0C5A" w:rsidRDefault="00B13C1D" w:rsidP="00B13C1D">
            <w:pPr>
              <w:pStyle w:val="Tabletext1"/>
              <w:rPr>
                <w:rFonts w:cs="Calibri"/>
                <w:color w:val="000000"/>
              </w:rPr>
            </w:pPr>
            <w:r w:rsidRPr="00CE0C5A">
              <w:rPr>
                <w:rFonts w:cs="Calibri"/>
                <w:color w:val="000000"/>
              </w:rPr>
              <w:t>2 readers with 3 and 5 years’ experience in prostate imaging</w:t>
            </w:r>
          </w:p>
        </w:tc>
      </w:tr>
      <w:tr w:rsidR="00B13C1D" w:rsidRPr="00CE0C5A" w14:paraId="48ED5D17" w14:textId="77777777" w:rsidTr="00B13C1D">
        <w:trPr>
          <w:trHeight w:val="397"/>
        </w:trPr>
        <w:tc>
          <w:tcPr>
            <w:tcW w:w="0" w:type="auto"/>
          </w:tcPr>
          <w:p w14:paraId="12D77362" w14:textId="77777777" w:rsidR="00B13C1D" w:rsidRPr="00ED6E90" w:rsidRDefault="00B13C1D" w:rsidP="00B13C1D">
            <w:pPr>
              <w:pStyle w:val="Tabletext1"/>
            </w:pPr>
            <w:r>
              <w:t>Dikaios et al. (2015)</w:t>
            </w:r>
          </w:p>
          <w:p w14:paraId="374D805C" w14:textId="6E723158" w:rsidR="00B13C1D" w:rsidRPr="00CE0C5A" w:rsidRDefault="00B13C1D" w:rsidP="00B13C1D">
            <w:pPr>
              <w:pStyle w:val="Tabletext1"/>
            </w:pPr>
            <w:r w:rsidRPr="00ED6E90">
              <w:t>n=85</w:t>
            </w:r>
          </w:p>
        </w:tc>
        <w:tc>
          <w:tcPr>
            <w:tcW w:w="0" w:type="auto"/>
          </w:tcPr>
          <w:p w14:paraId="334214CD" w14:textId="77777777" w:rsidR="00B13C1D" w:rsidRPr="00CE0C5A" w:rsidRDefault="00B13C1D" w:rsidP="00B13C1D">
            <w:pPr>
              <w:pStyle w:val="Tabletext1"/>
              <w:rPr>
                <w:rFonts w:cs="Calibri"/>
                <w:color w:val="000000"/>
              </w:rPr>
            </w:pPr>
            <w:r w:rsidRPr="00CE0C5A">
              <w:rPr>
                <w:rFonts w:cs="Calibri"/>
                <w:color w:val="000000"/>
              </w:rPr>
              <w:t>1.5</w:t>
            </w:r>
          </w:p>
        </w:tc>
        <w:tc>
          <w:tcPr>
            <w:tcW w:w="0" w:type="auto"/>
          </w:tcPr>
          <w:p w14:paraId="0924CBFA" w14:textId="77777777" w:rsidR="00B13C1D" w:rsidRPr="00CE0C5A" w:rsidRDefault="00B13C1D" w:rsidP="00B13C1D">
            <w:pPr>
              <w:pStyle w:val="Tabletext1"/>
              <w:rPr>
                <w:rFonts w:cs="Calibri"/>
                <w:color w:val="000000"/>
              </w:rPr>
            </w:pPr>
            <w:r w:rsidRPr="00CE0C5A">
              <w:rPr>
                <w:rFonts w:cs="Calibri"/>
                <w:color w:val="000000"/>
              </w:rPr>
              <w:t>N</w:t>
            </w:r>
          </w:p>
        </w:tc>
        <w:tc>
          <w:tcPr>
            <w:tcW w:w="0" w:type="auto"/>
          </w:tcPr>
          <w:p w14:paraId="63B1DE94" w14:textId="77777777" w:rsidR="00B13C1D" w:rsidRPr="00CE0C5A" w:rsidRDefault="00B13C1D" w:rsidP="00B13C1D">
            <w:pPr>
              <w:pStyle w:val="Tabletext1"/>
              <w:rPr>
                <w:rFonts w:cs="Calibri"/>
                <w:color w:val="000000"/>
              </w:rPr>
            </w:pPr>
            <w:r w:rsidRPr="00CE0C5A">
              <w:rPr>
                <w:rFonts w:cs="Calibri"/>
                <w:color w:val="000000"/>
              </w:rPr>
              <w:t>T2W, DWI, DCE</w:t>
            </w:r>
          </w:p>
        </w:tc>
        <w:tc>
          <w:tcPr>
            <w:tcW w:w="0" w:type="auto"/>
          </w:tcPr>
          <w:p w14:paraId="39B4CCC7" w14:textId="77777777" w:rsidR="00B13C1D" w:rsidRPr="00CE0C5A" w:rsidRDefault="00B13C1D" w:rsidP="00B13C1D">
            <w:pPr>
              <w:pStyle w:val="Tabletext1"/>
              <w:rPr>
                <w:rFonts w:cs="Calibri"/>
                <w:color w:val="000000"/>
              </w:rPr>
            </w:pPr>
            <w:r w:rsidRPr="00CE0C5A">
              <w:rPr>
                <w:rFonts w:cs="Calibri"/>
                <w:color w:val="000000"/>
              </w:rPr>
              <w:t>Gadolinium contrast</w:t>
            </w:r>
          </w:p>
        </w:tc>
        <w:tc>
          <w:tcPr>
            <w:tcW w:w="0" w:type="auto"/>
          </w:tcPr>
          <w:p w14:paraId="6820AF2E" w14:textId="77777777" w:rsidR="00B13C1D" w:rsidRPr="00CE0C5A" w:rsidRDefault="00B13C1D" w:rsidP="00B13C1D">
            <w:pPr>
              <w:pStyle w:val="Tabletext1"/>
              <w:rPr>
                <w:rFonts w:cs="Calibri"/>
                <w:color w:val="000000"/>
              </w:rPr>
            </w:pPr>
            <w:r w:rsidRPr="00CE0C5A">
              <w:rPr>
                <w:rFonts w:cs="Calibri"/>
                <w:color w:val="000000"/>
              </w:rPr>
              <w:t>2 radiologists with 5 and 7 years mp</w:t>
            </w:r>
            <w:r>
              <w:rPr>
                <w:rFonts w:cs="Calibri"/>
                <w:color w:val="000000"/>
              </w:rPr>
              <w:t xml:space="preserve"> </w:t>
            </w:r>
            <w:r w:rsidRPr="00CE0C5A">
              <w:rPr>
                <w:rFonts w:cs="Calibri"/>
                <w:color w:val="000000"/>
              </w:rPr>
              <w:t>MRI experience</w:t>
            </w:r>
          </w:p>
        </w:tc>
      </w:tr>
      <w:tr w:rsidR="00B13C1D" w:rsidRPr="00CE0C5A" w14:paraId="204D932C" w14:textId="77777777" w:rsidTr="00B13C1D">
        <w:trPr>
          <w:trHeight w:val="397"/>
        </w:trPr>
        <w:tc>
          <w:tcPr>
            <w:tcW w:w="0" w:type="auto"/>
          </w:tcPr>
          <w:p w14:paraId="68227A0B" w14:textId="77777777" w:rsidR="00B13C1D" w:rsidRPr="00ED6E90" w:rsidRDefault="00B13C1D" w:rsidP="00B13C1D">
            <w:pPr>
              <w:pStyle w:val="Tabletext1"/>
            </w:pPr>
            <w:r>
              <w:t>Jambor et al. (2015)</w:t>
            </w:r>
          </w:p>
          <w:p w14:paraId="3CED60BE" w14:textId="0DB0F188" w:rsidR="00B13C1D" w:rsidRPr="00CE0C5A" w:rsidRDefault="00B13C1D" w:rsidP="00B13C1D">
            <w:pPr>
              <w:pStyle w:val="Tabletext1"/>
            </w:pPr>
            <w:r>
              <w:t>n</w:t>
            </w:r>
            <w:r w:rsidRPr="00ED6E90">
              <w:t>=55</w:t>
            </w:r>
          </w:p>
        </w:tc>
        <w:tc>
          <w:tcPr>
            <w:tcW w:w="0" w:type="auto"/>
          </w:tcPr>
          <w:p w14:paraId="79A53A94" w14:textId="77777777" w:rsidR="00B13C1D" w:rsidRPr="00CE0C5A" w:rsidRDefault="00B13C1D" w:rsidP="00B13C1D">
            <w:pPr>
              <w:pStyle w:val="Tabletext1"/>
              <w:rPr>
                <w:rFonts w:cs="Calibri"/>
                <w:color w:val="000000"/>
              </w:rPr>
            </w:pPr>
            <w:r w:rsidRPr="00CE0C5A">
              <w:rPr>
                <w:rFonts w:cs="Calibri"/>
                <w:color w:val="000000"/>
              </w:rPr>
              <w:t>3</w:t>
            </w:r>
          </w:p>
        </w:tc>
        <w:tc>
          <w:tcPr>
            <w:tcW w:w="0" w:type="auto"/>
          </w:tcPr>
          <w:p w14:paraId="52C52CA3" w14:textId="77777777" w:rsidR="00B13C1D" w:rsidRPr="00CE0C5A" w:rsidRDefault="00B13C1D" w:rsidP="00B13C1D">
            <w:pPr>
              <w:pStyle w:val="Tabletext1"/>
              <w:rPr>
                <w:rFonts w:cs="Calibri"/>
                <w:color w:val="000000"/>
              </w:rPr>
            </w:pPr>
            <w:r w:rsidRPr="00CE0C5A">
              <w:rPr>
                <w:rFonts w:cs="Calibri"/>
                <w:color w:val="000000"/>
              </w:rPr>
              <w:t>N</w:t>
            </w:r>
          </w:p>
        </w:tc>
        <w:tc>
          <w:tcPr>
            <w:tcW w:w="0" w:type="auto"/>
          </w:tcPr>
          <w:p w14:paraId="714E4034" w14:textId="77777777" w:rsidR="00B13C1D" w:rsidRPr="00CE0C5A" w:rsidRDefault="00B13C1D" w:rsidP="00B13C1D">
            <w:pPr>
              <w:pStyle w:val="Tabletext1"/>
              <w:rPr>
                <w:rFonts w:cs="Calibri"/>
                <w:color w:val="000000"/>
              </w:rPr>
            </w:pPr>
            <w:r w:rsidRPr="00CE0C5A">
              <w:rPr>
                <w:rFonts w:cs="Calibri"/>
                <w:color w:val="000000"/>
              </w:rPr>
              <w:t>T2W, DWI, DCE</w:t>
            </w:r>
          </w:p>
        </w:tc>
        <w:tc>
          <w:tcPr>
            <w:tcW w:w="0" w:type="auto"/>
          </w:tcPr>
          <w:p w14:paraId="620206AC" w14:textId="77777777" w:rsidR="00B13C1D" w:rsidRPr="00CE0C5A" w:rsidRDefault="00B13C1D" w:rsidP="00B13C1D">
            <w:pPr>
              <w:pStyle w:val="Tabletext1"/>
              <w:rPr>
                <w:rFonts w:cs="Calibri"/>
                <w:color w:val="000000"/>
              </w:rPr>
            </w:pPr>
            <w:r w:rsidRPr="00CE0C5A">
              <w:rPr>
                <w:rFonts w:cs="Calibri"/>
                <w:color w:val="000000"/>
              </w:rPr>
              <w:t>Dotarem or Gadovist</w:t>
            </w:r>
          </w:p>
        </w:tc>
        <w:tc>
          <w:tcPr>
            <w:tcW w:w="0" w:type="auto"/>
          </w:tcPr>
          <w:p w14:paraId="02C6D106" w14:textId="77777777" w:rsidR="00B13C1D" w:rsidRPr="00CE0C5A" w:rsidRDefault="00B13C1D" w:rsidP="00B13C1D">
            <w:pPr>
              <w:pStyle w:val="Tabletext1"/>
              <w:rPr>
                <w:rFonts w:cs="Calibri"/>
                <w:color w:val="000000"/>
              </w:rPr>
            </w:pPr>
            <w:r w:rsidRPr="00CE0C5A">
              <w:rPr>
                <w:rFonts w:cs="Calibri"/>
                <w:color w:val="000000"/>
              </w:rPr>
              <w:t>NR</w:t>
            </w:r>
          </w:p>
        </w:tc>
      </w:tr>
      <w:tr w:rsidR="00B13C1D" w:rsidRPr="00CE0C5A" w14:paraId="4F4E8BBC" w14:textId="77777777" w:rsidTr="00B13C1D">
        <w:trPr>
          <w:trHeight w:val="397"/>
        </w:trPr>
        <w:tc>
          <w:tcPr>
            <w:tcW w:w="0" w:type="auto"/>
          </w:tcPr>
          <w:p w14:paraId="139743A7" w14:textId="77777777" w:rsidR="00B13C1D" w:rsidRPr="00ED6E90" w:rsidRDefault="00B13C1D" w:rsidP="00B13C1D">
            <w:pPr>
              <w:pStyle w:val="Tabletext1"/>
            </w:pPr>
            <w:r>
              <w:t>Lista et al. (2015)</w:t>
            </w:r>
          </w:p>
          <w:p w14:paraId="1E647987" w14:textId="2D0B0A8D" w:rsidR="00B13C1D" w:rsidRPr="00CE0C5A" w:rsidRDefault="00B13C1D" w:rsidP="00B13C1D">
            <w:pPr>
              <w:pStyle w:val="Tabletext1"/>
            </w:pPr>
            <w:r w:rsidRPr="00ED6E90">
              <w:t>n=150</w:t>
            </w:r>
          </w:p>
        </w:tc>
        <w:tc>
          <w:tcPr>
            <w:tcW w:w="0" w:type="auto"/>
          </w:tcPr>
          <w:p w14:paraId="0F96E70B" w14:textId="77777777" w:rsidR="00B13C1D" w:rsidRPr="00CE0C5A" w:rsidRDefault="00B13C1D" w:rsidP="00B13C1D">
            <w:pPr>
              <w:pStyle w:val="Tabletext1"/>
              <w:rPr>
                <w:rFonts w:cs="Calibri"/>
                <w:color w:val="000000"/>
              </w:rPr>
            </w:pPr>
            <w:r w:rsidRPr="00CE0C5A">
              <w:rPr>
                <w:rFonts w:cs="Calibri"/>
                <w:color w:val="000000"/>
              </w:rPr>
              <w:t>1.5</w:t>
            </w:r>
          </w:p>
        </w:tc>
        <w:tc>
          <w:tcPr>
            <w:tcW w:w="0" w:type="auto"/>
          </w:tcPr>
          <w:p w14:paraId="2B2A50E9" w14:textId="77777777" w:rsidR="00B13C1D" w:rsidRPr="00CE0C5A" w:rsidRDefault="00B13C1D" w:rsidP="00B13C1D">
            <w:pPr>
              <w:pStyle w:val="Tabletext1"/>
              <w:rPr>
                <w:rFonts w:cs="Calibri"/>
                <w:color w:val="000000"/>
              </w:rPr>
            </w:pPr>
            <w:r>
              <w:rPr>
                <w:rFonts w:cs="Calibri"/>
                <w:color w:val="000000"/>
              </w:rPr>
              <w:t>Y</w:t>
            </w:r>
          </w:p>
        </w:tc>
        <w:tc>
          <w:tcPr>
            <w:tcW w:w="0" w:type="auto"/>
          </w:tcPr>
          <w:p w14:paraId="116ED22A" w14:textId="77777777" w:rsidR="00B13C1D" w:rsidRPr="00CE0C5A" w:rsidRDefault="00B13C1D" w:rsidP="00B13C1D">
            <w:pPr>
              <w:pStyle w:val="Tabletext1"/>
              <w:rPr>
                <w:rFonts w:cs="Calibri"/>
                <w:color w:val="000000"/>
              </w:rPr>
            </w:pPr>
            <w:r w:rsidRPr="00CE0C5A">
              <w:rPr>
                <w:rFonts w:cs="Calibri"/>
                <w:color w:val="000000"/>
              </w:rPr>
              <w:t>T2W, DWI, DCE</w:t>
            </w:r>
          </w:p>
        </w:tc>
        <w:tc>
          <w:tcPr>
            <w:tcW w:w="0" w:type="auto"/>
          </w:tcPr>
          <w:p w14:paraId="63814EBA" w14:textId="77777777" w:rsidR="00B13C1D" w:rsidRPr="00CE0C5A" w:rsidRDefault="00B13C1D" w:rsidP="00B13C1D">
            <w:pPr>
              <w:pStyle w:val="Tabletext1"/>
              <w:rPr>
                <w:rFonts w:cs="Calibri"/>
                <w:color w:val="000000"/>
              </w:rPr>
            </w:pPr>
            <w:r w:rsidRPr="00CE0C5A">
              <w:rPr>
                <w:rFonts w:cs="Calibri"/>
                <w:color w:val="000000"/>
              </w:rPr>
              <w:t>NR</w:t>
            </w:r>
          </w:p>
        </w:tc>
        <w:tc>
          <w:tcPr>
            <w:tcW w:w="0" w:type="auto"/>
          </w:tcPr>
          <w:p w14:paraId="72B61B9F" w14:textId="77777777" w:rsidR="00B13C1D" w:rsidRPr="00CE0C5A" w:rsidRDefault="00B13C1D" w:rsidP="00B13C1D">
            <w:pPr>
              <w:pStyle w:val="Tabletext1"/>
              <w:rPr>
                <w:rFonts w:cs="Calibri"/>
                <w:color w:val="000000"/>
              </w:rPr>
            </w:pPr>
            <w:r w:rsidRPr="00CE0C5A">
              <w:rPr>
                <w:rFonts w:cs="Calibri"/>
                <w:color w:val="000000"/>
              </w:rPr>
              <w:t>NR</w:t>
            </w:r>
          </w:p>
        </w:tc>
      </w:tr>
      <w:tr w:rsidR="00B13C1D" w:rsidRPr="00CE0C5A" w14:paraId="06E289A9" w14:textId="77777777" w:rsidTr="00B13C1D">
        <w:trPr>
          <w:trHeight w:val="397"/>
        </w:trPr>
        <w:tc>
          <w:tcPr>
            <w:tcW w:w="0" w:type="auto"/>
          </w:tcPr>
          <w:p w14:paraId="7A93ED8B" w14:textId="77777777" w:rsidR="00B13C1D" w:rsidRPr="00ED6E90" w:rsidRDefault="00B13C1D" w:rsidP="00B13C1D">
            <w:pPr>
              <w:pStyle w:val="Tabletext1"/>
            </w:pPr>
            <w:r>
              <w:t>Pokorny et al. (2014)</w:t>
            </w:r>
          </w:p>
          <w:p w14:paraId="08EA8194" w14:textId="180CE77B" w:rsidR="00B13C1D" w:rsidRPr="00CE0C5A" w:rsidRDefault="00B13C1D" w:rsidP="00B13C1D">
            <w:pPr>
              <w:pStyle w:val="Tabletext1"/>
            </w:pPr>
            <w:r>
              <w:t>n</w:t>
            </w:r>
            <w:r w:rsidRPr="00ED6E90">
              <w:t>=226, 3 withdrew</w:t>
            </w:r>
          </w:p>
        </w:tc>
        <w:tc>
          <w:tcPr>
            <w:tcW w:w="0" w:type="auto"/>
          </w:tcPr>
          <w:p w14:paraId="2779AD76" w14:textId="77777777" w:rsidR="00B13C1D" w:rsidRPr="00CE0C5A" w:rsidRDefault="00B13C1D" w:rsidP="00B13C1D">
            <w:pPr>
              <w:pStyle w:val="Tabletext1"/>
              <w:rPr>
                <w:rFonts w:cs="Calibri"/>
                <w:color w:val="000000"/>
              </w:rPr>
            </w:pPr>
            <w:r w:rsidRPr="00CE0C5A">
              <w:rPr>
                <w:rFonts w:cs="Calibri"/>
                <w:color w:val="000000"/>
              </w:rPr>
              <w:t>3</w:t>
            </w:r>
          </w:p>
        </w:tc>
        <w:tc>
          <w:tcPr>
            <w:tcW w:w="0" w:type="auto"/>
          </w:tcPr>
          <w:p w14:paraId="02003F2B" w14:textId="77777777" w:rsidR="00B13C1D" w:rsidRPr="00CE0C5A" w:rsidRDefault="00B13C1D" w:rsidP="00B13C1D">
            <w:pPr>
              <w:pStyle w:val="Tabletext1"/>
              <w:rPr>
                <w:rFonts w:cs="Calibri"/>
                <w:color w:val="000000"/>
              </w:rPr>
            </w:pPr>
            <w:r w:rsidRPr="00CE0C5A">
              <w:rPr>
                <w:rFonts w:cs="Calibri"/>
                <w:color w:val="000000"/>
              </w:rPr>
              <w:t>N</w:t>
            </w:r>
          </w:p>
        </w:tc>
        <w:tc>
          <w:tcPr>
            <w:tcW w:w="0" w:type="auto"/>
          </w:tcPr>
          <w:p w14:paraId="5E840A0B" w14:textId="77777777" w:rsidR="00B13C1D" w:rsidRPr="00CE0C5A" w:rsidRDefault="00B13C1D" w:rsidP="00B13C1D">
            <w:pPr>
              <w:pStyle w:val="Tabletext1"/>
              <w:rPr>
                <w:rFonts w:cs="Calibri"/>
                <w:color w:val="000000"/>
              </w:rPr>
            </w:pPr>
            <w:r w:rsidRPr="00CE0C5A">
              <w:rPr>
                <w:rFonts w:cs="Calibri"/>
                <w:color w:val="000000"/>
              </w:rPr>
              <w:t>NR</w:t>
            </w:r>
          </w:p>
        </w:tc>
        <w:tc>
          <w:tcPr>
            <w:tcW w:w="0" w:type="auto"/>
          </w:tcPr>
          <w:p w14:paraId="0A823566" w14:textId="77777777" w:rsidR="00B13C1D" w:rsidRPr="00CE0C5A" w:rsidRDefault="00B13C1D" w:rsidP="00B13C1D">
            <w:pPr>
              <w:pStyle w:val="Tabletext1"/>
              <w:rPr>
                <w:rFonts w:cs="Calibri"/>
                <w:color w:val="000000"/>
              </w:rPr>
            </w:pPr>
            <w:r w:rsidRPr="00CE0C5A">
              <w:rPr>
                <w:rFonts w:cs="Calibri"/>
                <w:color w:val="000000"/>
              </w:rPr>
              <w:t>NR</w:t>
            </w:r>
          </w:p>
        </w:tc>
        <w:tc>
          <w:tcPr>
            <w:tcW w:w="0" w:type="auto"/>
          </w:tcPr>
          <w:p w14:paraId="404735AA" w14:textId="537C7B76" w:rsidR="00B13C1D" w:rsidRPr="00CE0C5A" w:rsidRDefault="00B13C1D" w:rsidP="00B13C1D">
            <w:pPr>
              <w:pStyle w:val="Tabletext1"/>
              <w:rPr>
                <w:rFonts w:cs="Calibri"/>
                <w:color w:val="000000"/>
              </w:rPr>
            </w:pPr>
            <w:r w:rsidRPr="00CE0C5A">
              <w:rPr>
                <w:rFonts w:cs="Calibri"/>
                <w:color w:val="000000"/>
              </w:rPr>
              <w:t>3 radiologists with: 1 year, 1 year and 19 years’ experience respectively in consensus</w:t>
            </w:r>
          </w:p>
        </w:tc>
      </w:tr>
      <w:tr w:rsidR="00B13C1D" w:rsidRPr="00CE0C5A" w14:paraId="3B21422A" w14:textId="77777777" w:rsidTr="00B13C1D">
        <w:trPr>
          <w:trHeight w:val="397"/>
        </w:trPr>
        <w:tc>
          <w:tcPr>
            <w:tcW w:w="0" w:type="auto"/>
          </w:tcPr>
          <w:p w14:paraId="5A31007E" w14:textId="77777777" w:rsidR="00B13C1D" w:rsidRPr="00ED6E90" w:rsidRDefault="00B13C1D" w:rsidP="00B13C1D">
            <w:pPr>
              <w:pStyle w:val="Tabletext1"/>
            </w:pPr>
            <w:r>
              <w:t>Thompson et al. (2014)</w:t>
            </w:r>
          </w:p>
          <w:p w14:paraId="7C6EC9F6" w14:textId="24ECB745" w:rsidR="00B13C1D" w:rsidRPr="00CE0C5A" w:rsidRDefault="00B13C1D" w:rsidP="00B13C1D">
            <w:pPr>
              <w:pStyle w:val="Tabletext1"/>
            </w:pPr>
            <w:r w:rsidRPr="00ED6E90">
              <w:t>n=150</w:t>
            </w:r>
          </w:p>
        </w:tc>
        <w:tc>
          <w:tcPr>
            <w:tcW w:w="0" w:type="auto"/>
          </w:tcPr>
          <w:p w14:paraId="4146ECFC" w14:textId="77777777" w:rsidR="00B13C1D" w:rsidRPr="00CE0C5A" w:rsidRDefault="00B13C1D" w:rsidP="00B13C1D">
            <w:pPr>
              <w:pStyle w:val="Tabletext1"/>
              <w:rPr>
                <w:rFonts w:cs="Calibri"/>
                <w:color w:val="000000"/>
              </w:rPr>
            </w:pPr>
            <w:r w:rsidRPr="00CE0C5A">
              <w:rPr>
                <w:rFonts w:cs="Calibri"/>
                <w:color w:val="000000"/>
              </w:rPr>
              <w:t>1.5 or 3.0</w:t>
            </w:r>
          </w:p>
        </w:tc>
        <w:tc>
          <w:tcPr>
            <w:tcW w:w="0" w:type="auto"/>
          </w:tcPr>
          <w:p w14:paraId="58FE5ABC" w14:textId="77777777" w:rsidR="00B13C1D" w:rsidRPr="00CE0C5A" w:rsidRDefault="00B13C1D" w:rsidP="00B13C1D">
            <w:pPr>
              <w:pStyle w:val="Tabletext1"/>
              <w:rPr>
                <w:rFonts w:cs="Calibri"/>
                <w:color w:val="000000"/>
              </w:rPr>
            </w:pPr>
            <w:r w:rsidRPr="00CE0C5A">
              <w:rPr>
                <w:rFonts w:cs="Calibri"/>
                <w:color w:val="000000"/>
              </w:rPr>
              <w:t>N</w:t>
            </w:r>
          </w:p>
        </w:tc>
        <w:tc>
          <w:tcPr>
            <w:tcW w:w="0" w:type="auto"/>
          </w:tcPr>
          <w:p w14:paraId="30EBBA4F" w14:textId="77777777" w:rsidR="00B13C1D" w:rsidRPr="00CE0C5A" w:rsidRDefault="00B13C1D" w:rsidP="00B13C1D">
            <w:pPr>
              <w:pStyle w:val="Tabletext1"/>
              <w:rPr>
                <w:rFonts w:cs="Calibri"/>
                <w:color w:val="000000"/>
              </w:rPr>
            </w:pPr>
            <w:r w:rsidRPr="00CE0C5A">
              <w:rPr>
                <w:rFonts w:cs="Calibri"/>
                <w:color w:val="000000"/>
              </w:rPr>
              <w:t>T2W, DWI, DCE</w:t>
            </w:r>
          </w:p>
        </w:tc>
        <w:tc>
          <w:tcPr>
            <w:tcW w:w="0" w:type="auto"/>
          </w:tcPr>
          <w:p w14:paraId="5E5744A2" w14:textId="77777777" w:rsidR="00B13C1D" w:rsidRPr="00CE0C5A" w:rsidRDefault="00B13C1D" w:rsidP="00B13C1D">
            <w:pPr>
              <w:pStyle w:val="Tabletext1"/>
              <w:rPr>
                <w:rFonts w:cs="Calibri"/>
                <w:color w:val="000000"/>
              </w:rPr>
            </w:pPr>
            <w:r w:rsidRPr="00CE0C5A">
              <w:rPr>
                <w:rFonts w:cs="Calibri"/>
                <w:color w:val="000000"/>
              </w:rPr>
              <w:t>Gadolinum diethylenetriaminepentaacetice acid</w:t>
            </w:r>
          </w:p>
        </w:tc>
        <w:tc>
          <w:tcPr>
            <w:tcW w:w="0" w:type="auto"/>
          </w:tcPr>
          <w:p w14:paraId="54F0F62F" w14:textId="77777777" w:rsidR="00B13C1D" w:rsidRPr="00CE0C5A" w:rsidRDefault="00B13C1D" w:rsidP="00B13C1D">
            <w:pPr>
              <w:pStyle w:val="Tabletext1"/>
              <w:rPr>
                <w:rFonts w:cs="Calibri"/>
                <w:color w:val="000000"/>
              </w:rPr>
            </w:pPr>
            <w:r w:rsidRPr="00CE0C5A">
              <w:rPr>
                <w:rFonts w:cs="Calibri"/>
                <w:color w:val="000000"/>
              </w:rPr>
              <w:t>2 radiologists with &gt;1000 prior prostate mpMRIs</w:t>
            </w:r>
          </w:p>
        </w:tc>
      </w:tr>
      <w:tr w:rsidR="00B13C1D" w:rsidRPr="00CE0C5A" w14:paraId="4CC03EA2" w14:textId="77777777" w:rsidTr="00B13C1D">
        <w:trPr>
          <w:trHeight w:val="397"/>
        </w:trPr>
        <w:tc>
          <w:tcPr>
            <w:tcW w:w="0" w:type="auto"/>
          </w:tcPr>
          <w:p w14:paraId="2965C67D" w14:textId="77777777" w:rsidR="00B13C1D" w:rsidRPr="00ED6E90" w:rsidRDefault="00B13C1D" w:rsidP="00B13C1D">
            <w:pPr>
              <w:pStyle w:val="Tabletext1"/>
            </w:pPr>
            <w:r>
              <w:t>Thompson et al. (2016)</w:t>
            </w:r>
          </w:p>
          <w:p w14:paraId="012EB5B3" w14:textId="407C61E8" w:rsidR="00B13C1D" w:rsidRPr="00CE0C5A" w:rsidRDefault="00B13C1D" w:rsidP="00B13C1D">
            <w:pPr>
              <w:pStyle w:val="Tabletext1"/>
            </w:pPr>
            <w:r>
              <w:t>n</w:t>
            </w:r>
            <w:r w:rsidRPr="00ED6E90">
              <w:t>=344</w:t>
            </w:r>
          </w:p>
        </w:tc>
        <w:tc>
          <w:tcPr>
            <w:tcW w:w="0" w:type="auto"/>
          </w:tcPr>
          <w:p w14:paraId="77FD3824" w14:textId="77777777" w:rsidR="00B13C1D" w:rsidRPr="00CE0C5A" w:rsidRDefault="00B13C1D" w:rsidP="00B13C1D">
            <w:pPr>
              <w:pStyle w:val="Tabletext1"/>
              <w:rPr>
                <w:rFonts w:cs="Calibri"/>
                <w:color w:val="000000"/>
              </w:rPr>
            </w:pPr>
            <w:r w:rsidRPr="00CE0C5A">
              <w:rPr>
                <w:rFonts w:cs="Calibri"/>
                <w:color w:val="000000"/>
              </w:rPr>
              <w:t>1.5 or 3.0</w:t>
            </w:r>
          </w:p>
        </w:tc>
        <w:tc>
          <w:tcPr>
            <w:tcW w:w="0" w:type="auto"/>
          </w:tcPr>
          <w:p w14:paraId="485FAC0C" w14:textId="77777777" w:rsidR="00B13C1D" w:rsidRPr="00CE0C5A" w:rsidRDefault="00B13C1D" w:rsidP="00B13C1D">
            <w:pPr>
              <w:pStyle w:val="Tabletext1"/>
              <w:rPr>
                <w:rFonts w:cs="Calibri"/>
                <w:color w:val="000000"/>
              </w:rPr>
            </w:pPr>
            <w:r w:rsidRPr="00CE0C5A">
              <w:rPr>
                <w:rFonts w:cs="Calibri"/>
                <w:color w:val="000000"/>
              </w:rPr>
              <w:t>N</w:t>
            </w:r>
          </w:p>
        </w:tc>
        <w:tc>
          <w:tcPr>
            <w:tcW w:w="0" w:type="auto"/>
          </w:tcPr>
          <w:p w14:paraId="19582E0A" w14:textId="77777777" w:rsidR="00B13C1D" w:rsidRPr="00CE0C5A" w:rsidRDefault="00B13C1D" w:rsidP="00B13C1D">
            <w:pPr>
              <w:pStyle w:val="Tabletext1"/>
              <w:rPr>
                <w:rFonts w:cs="Calibri"/>
                <w:color w:val="000000"/>
              </w:rPr>
            </w:pPr>
            <w:r w:rsidRPr="00CE0C5A">
              <w:rPr>
                <w:rFonts w:cs="Calibri"/>
                <w:color w:val="000000"/>
              </w:rPr>
              <w:t>T2W,DWI</w:t>
            </w:r>
            <w:r>
              <w:rPr>
                <w:rFonts w:cs="Calibri"/>
                <w:color w:val="000000"/>
              </w:rPr>
              <w:t xml:space="preserve">, </w:t>
            </w:r>
            <w:r w:rsidRPr="00CE0C5A">
              <w:rPr>
                <w:rFonts w:cs="Calibri"/>
                <w:color w:val="000000"/>
              </w:rPr>
              <w:t>DCE</w:t>
            </w:r>
          </w:p>
        </w:tc>
        <w:tc>
          <w:tcPr>
            <w:tcW w:w="0" w:type="auto"/>
          </w:tcPr>
          <w:p w14:paraId="66EAFBC3" w14:textId="77777777" w:rsidR="00B13C1D" w:rsidRPr="00CE0C5A" w:rsidRDefault="00B13C1D" w:rsidP="00B13C1D">
            <w:pPr>
              <w:pStyle w:val="Tabletext1"/>
              <w:rPr>
                <w:rFonts w:cs="Calibri"/>
                <w:color w:val="000000"/>
              </w:rPr>
            </w:pPr>
            <w:r w:rsidRPr="00CE0C5A">
              <w:rPr>
                <w:rFonts w:cs="Calibri"/>
                <w:color w:val="000000"/>
              </w:rPr>
              <w:t>Gadolinum diethylenetriaminepentaacetice acid</w:t>
            </w:r>
          </w:p>
        </w:tc>
        <w:tc>
          <w:tcPr>
            <w:tcW w:w="0" w:type="auto"/>
          </w:tcPr>
          <w:p w14:paraId="5FC968A4" w14:textId="77777777" w:rsidR="00B13C1D" w:rsidRPr="00CE0C5A" w:rsidRDefault="00B13C1D" w:rsidP="00B13C1D">
            <w:pPr>
              <w:pStyle w:val="Tabletext1"/>
              <w:rPr>
                <w:rFonts w:cs="Calibri"/>
                <w:color w:val="000000"/>
              </w:rPr>
            </w:pPr>
            <w:r w:rsidRPr="00CE0C5A">
              <w:rPr>
                <w:rFonts w:cs="Calibri"/>
                <w:color w:val="000000"/>
              </w:rPr>
              <w:t>2 radiologists with &gt;1000 prior prostate mpMRIs</w:t>
            </w:r>
          </w:p>
        </w:tc>
      </w:tr>
      <w:tr w:rsidR="00B13C1D" w:rsidRPr="00CE0C5A" w14:paraId="2274E539" w14:textId="77777777" w:rsidTr="00B13C1D">
        <w:trPr>
          <w:trHeight w:val="397"/>
        </w:trPr>
        <w:tc>
          <w:tcPr>
            <w:tcW w:w="0" w:type="auto"/>
          </w:tcPr>
          <w:p w14:paraId="60D7C8C7" w14:textId="77777777" w:rsidR="00B13C1D" w:rsidRPr="00ED6E90" w:rsidRDefault="00B13C1D" w:rsidP="00B13C1D">
            <w:pPr>
              <w:pStyle w:val="Tabletext1"/>
            </w:pPr>
            <w:r>
              <w:t>Wang et al. (2015)</w:t>
            </w:r>
          </w:p>
          <w:p w14:paraId="6DD85D6F" w14:textId="513E619E" w:rsidR="00B13C1D" w:rsidRPr="00CE0C5A" w:rsidRDefault="00B13C1D" w:rsidP="00B13C1D">
            <w:pPr>
              <w:pStyle w:val="Tabletext1"/>
            </w:pPr>
            <w:r w:rsidRPr="00ED6E90">
              <w:t>n=1</w:t>
            </w:r>
            <w:r>
              <w:t>,</w:t>
            </w:r>
            <w:r w:rsidRPr="00ED6E90">
              <w:t>113 (but only 586 biopsied within 3 months of MRI)</w:t>
            </w:r>
          </w:p>
        </w:tc>
        <w:tc>
          <w:tcPr>
            <w:tcW w:w="0" w:type="auto"/>
          </w:tcPr>
          <w:p w14:paraId="208567A2" w14:textId="77777777" w:rsidR="00B13C1D" w:rsidRPr="00CE0C5A" w:rsidRDefault="00B13C1D" w:rsidP="00B13C1D">
            <w:pPr>
              <w:pStyle w:val="Tabletext1"/>
              <w:rPr>
                <w:rFonts w:cs="Calibri"/>
                <w:color w:val="000000"/>
              </w:rPr>
            </w:pPr>
            <w:r w:rsidRPr="00CE0C5A">
              <w:rPr>
                <w:rFonts w:cs="Calibri"/>
                <w:color w:val="000000"/>
              </w:rPr>
              <w:t>1.5</w:t>
            </w:r>
          </w:p>
        </w:tc>
        <w:tc>
          <w:tcPr>
            <w:tcW w:w="0" w:type="auto"/>
          </w:tcPr>
          <w:p w14:paraId="38E57284" w14:textId="77777777" w:rsidR="00B13C1D" w:rsidRPr="00CE0C5A" w:rsidRDefault="00B13C1D" w:rsidP="00B13C1D">
            <w:pPr>
              <w:pStyle w:val="Tabletext1"/>
              <w:rPr>
                <w:rFonts w:cs="Calibri"/>
                <w:color w:val="000000"/>
              </w:rPr>
            </w:pPr>
            <w:r>
              <w:rPr>
                <w:rFonts w:cs="Calibri"/>
                <w:color w:val="000000"/>
              </w:rPr>
              <w:t>Y</w:t>
            </w:r>
          </w:p>
        </w:tc>
        <w:tc>
          <w:tcPr>
            <w:tcW w:w="0" w:type="auto"/>
          </w:tcPr>
          <w:p w14:paraId="5567026D" w14:textId="77777777" w:rsidR="00B13C1D" w:rsidRPr="00CE0C5A" w:rsidRDefault="00B13C1D" w:rsidP="00B13C1D">
            <w:pPr>
              <w:pStyle w:val="Tabletext1"/>
              <w:rPr>
                <w:rFonts w:cs="Calibri"/>
                <w:color w:val="000000"/>
              </w:rPr>
            </w:pPr>
            <w:r w:rsidRPr="00CE0C5A">
              <w:rPr>
                <w:rFonts w:cs="Calibri"/>
                <w:color w:val="000000"/>
              </w:rPr>
              <w:t>T2W, DWI, DCE</w:t>
            </w:r>
          </w:p>
        </w:tc>
        <w:tc>
          <w:tcPr>
            <w:tcW w:w="0" w:type="auto"/>
          </w:tcPr>
          <w:p w14:paraId="6BD4EC95" w14:textId="77777777" w:rsidR="00B13C1D" w:rsidRPr="00CE0C5A" w:rsidRDefault="00B13C1D" w:rsidP="00B13C1D">
            <w:pPr>
              <w:pStyle w:val="Tabletext1"/>
              <w:rPr>
                <w:rFonts w:cs="Calibri"/>
                <w:color w:val="000000"/>
              </w:rPr>
            </w:pPr>
            <w:r w:rsidRPr="00CE0C5A">
              <w:rPr>
                <w:rFonts w:cs="Calibri"/>
                <w:color w:val="000000"/>
              </w:rPr>
              <w:t>Gadopentetic dimeglumine</w:t>
            </w:r>
          </w:p>
        </w:tc>
        <w:tc>
          <w:tcPr>
            <w:tcW w:w="0" w:type="auto"/>
          </w:tcPr>
          <w:p w14:paraId="6284F9ED" w14:textId="0232B7CD" w:rsidR="00B13C1D" w:rsidRPr="00CE0C5A" w:rsidRDefault="00B13C1D" w:rsidP="00B13C1D">
            <w:pPr>
              <w:pStyle w:val="Tabletext1"/>
              <w:rPr>
                <w:rFonts w:cs="Calibri"/>
                <w:color w:val="000000"/>
              </w:rPr>
            </w:pPr>
            <w:r w:rsidRPr="00CE0C5A">
              <w:rPr>
                <w:rFonts w:cs="Calibri"/>
                <w:color w:val="000000"/>
              </w:rPr>
              <w:t>2 radiologists with 10 and 3 years’ experience</w:t>
            </w:r>
          </w:p>
        </w:tc>
      </w:tr>
      <w:tr w:rsidR="00B13C1D" w:rsidRPr="00CE0C5A" w14:paraId="11DF36F1" w14:textId="77777777" w:rsidTr="00B13C1D">
        <w:trPr>
          <w:trHeight w:val="397"/>
        </w:trPr>
        <w:tc>
          <w:tcPr>
            <w:tcW w:w="0" w:type="auto"/>
          </w:tcPr>
          <w:p w14:paraId="1CC229E4" w14:textId="77777777" w:rsidR="00B13C1D" w:rsidRPr="00ED6E90" w:rsidRDefault="00B13C1D" w:rsidP="00B13C1D">
            <w:pPr>
              <w:pStyle w:val="Tabletext1"/>
            </w:pPr>
            <w:r>
              <w:t>Zhao et al. (2016)</w:t>
            </w:r>
          </w:p>
          <w:p w14:paraId="4F7648A2" w14:textId="5FCDD4C3" w:rsidR="00B13C1D" w:rsidRPr="00CE0C5A" w:rsidRDefault="00B13C1D" w:rsidP="00B13C1D">
            <w:pPr>
              <w:pStyle w:val="Tabletext1"/>
            </w:pPr>
            <w:r>
              <w:t>n=</w:t>
            </w:r>
            <w:r w:rsidRPr="00ED6E90">
              <w:t>372</w:t>
            </w:r>
          </w:p>
        </w:tc>
        <w:tc>
          <w:tcPr>
            <w:tcW w:w="0" w:type="auto"/>
          </w:tcPr>
          <w:p w14:paraId="07CD4BD7" w14:textId="77777777" w:rsidR="00B13C1D" w:rsidRPr="00CE0C5A" w:rsidRDefault="00B13C1D" w:rsidP="00B13C1D">
            <w:pPr>
              <w:pStyle w:val="Tabletext1"/>
              <w:rPr>
                <w:rFonts w:cs="Calibri"/>
                <w:color w:val="000000"/>
              </w:rPr>
            </w:pPr>
            <w:r w:rsidRPr="00CE0C5A">
              <w:rPr>
                <w:rFonts w:cs="Calibri"/>
                <w:color w:val="000000"/>
              </w:rPr>
              <w:t>3</w:t>
            </w:r>
          </w:p>
        </w:tc>
        <w:tc>
          <w:tcPr>
            <w:tcW w:w="0" w:type="auto"/>
          </w:tcPr>
          <w:p w14:paraId="69E33A8A" w14:textId="77777777" w:rsidR="00B13C1D" w:rsidRPr="00CE0C5A" w:rsidRDefault="00B13C1D" w:rsidP="00B13C1D">
            <w:pPr>
              <w:pStyle w:val="Tabletext1"/>
              <w:rPr>
                <w:rFonts w:cs="Calibri"/>
                <w:color w:val="000000"/>
              </w:rPr>
            </w:pPr>
            <w:r w:rsidRPr="00CE0C5A">
              <w:rPr>
                <w:rFonts w:cs="Calibri"/>
                <w:color w:val="000000"/>
              </w:rPr>
              <w:t>N</w:t>
            </w:r>
          </w:p>
        </w:tc>
        <w:tc>
          <w:tcPr>
            <w:tcW w:w="0" w:type="auto"/>
          </w:tcPr>
          <w:p w14:paraId="4D49AC41" w14:textId="77777777" w:rsidR="00B13C1D" w:rsidRPr="00CE0C5A" w:rsidRDefault="00B13C1D" w:rsidP="00B13C1D">
            <w:pPr>
              <w:pStyle w:val="Tabletext1"/>
              <w:rPr>
                <w:rFonts w:cs="Calibri"/>
                <w:color w:val="000000"/>
              </w:rPr>
            </w:pPr>
            <w:r w:rsidRPr="00CE0C5A">
              <w:rPr>
                <w:rFonts w:cs="Calibri"/>
                <w:color w:val="000000"/>
              </w:rPr>
              <w:t>T2W, DWI, DCE</w:t>
            </w:r>
          </w:p>
        </w:tc>
        <w:tc>
          <w:tcPr>
            <w:tcW w:w="0" w:type="auto"/>
          </w:tcPr>
          <w:p w14:paraId="1E621793" w14:textId="77777777" w:rsidR="00B13C1D" w:rsidRPr="00CE0C5A" w:rsidRDefault="00B13C1D" w:rsidP="00B13C1D">
            <w:pPr>
              <w:pStyle w:val="Tabletext1"/>
              <w:rPr>
                <w:rFonts w:cs="Calibri"/>
                <w:color w:val="000000"/>
              </w:rPr>
            </w:pPr>
            <w:r w:rsidRPr="00CE0C5A">
              <w:rPr>
                <w:rFonts w:cs="Calibri"/>
                <w:color w:val="000000"/>
              </w:rPr>
              <w:t>NR</w:t>
            </w:r>
          </w:p>
        </w:tc>
        <w:tc>
          <w:tcPr>
            <w:tcW w:w="0" w:type="auto"/>
          </w:tcPr>
          <w:p w14:paraId="342F33B3" w14:textId="77777777" w:rsidR="00B13C1D" w:rsidRPr="00CE0C5A" w:rsidRDefault="00B13C1D" w:rsidP="00B13C1D">
            <w:pPr>
              <w:pStyle w:val="Tabletext1"/>
              <w:rPr>
                <w:rFonts w:cs="Calibri"/>
                <w:color w:val="000000"/>
              </w:rPr>
            </w:pPr>
            <w:r w:rsidRPr="00CE0C5A">
              <w:rPr>
                <w:rFonts w:cs="Calibri"/>
                <w:color w:val="000000"/>
              </w:rPr>
              <w:t>2 radiologists experienced in PI-RADS v2</w:t>
            </w:r>
          </w:p>
        </w:tc>
      </w:tr>
    </w:tbl>
    <w:p w14:paraId="3B4B7805" w14:textId="73D119F9" w:rsidR="00742247" w:rsidRPr="00CE0C5A" w:rsidRDefault="00742247" w:rsidP="00413B4A">
      <w:pPr>
        <w:pStyle w:val="TableNotes"/>
      </w:pPr>
      <w:r w:rsidRPr="00CE0C5A">
        <w:t>DCE</w:t>
      </w:r>
      <w:r w:rsidR="008A71E9">
        <w:t xml:space="preserve"> =</w:t>
      </w:r>
      <w:r w:rsidRPr="00CE0C5A">
        <w:t xml:space="preserve"> dynamic-contrast enhanced</w:t>
      </w:r>
      <w:r w:rsidR="008A71E9">
        <w:t xml:space="preserve">, </w:t>
      </w:r>
      <w:r w:rsidRPr="00CE0C5A">
        <w:t>DWI</w:t>
      </w:r>
      <w:r w:rsidR="008A71E9">
        <w:t xml:space="preserve"> =</w:t>
      </w:r>
      <w:r w:rsidRPr="00CE0C5A">
        <w:t xml:space="preserve"> diffusion weighted imaging</w:t>
      </w:r>
      <w:r w:rsidR="008A71E9">
        <w:t>,</w:t>
      </w:r>
      <w:r w:rsidRPr="00CE0C5A">
        <w:t xml:space="preserve"> T2W</w:t>
      </w:r>
      <w:r w:rsidR="008A71E9">
        <w:t xml:space="preserve"> = T2 weighted</w:t>
      </w:r>
      <w:r w:rsidR="008A71E9" w:rsidRPr="00F64012">
        <w:t>, PI-RADS =</w:t>
      </w:r>
      <w:r w:rsidR="00332F68" w:rsidRPr="00F64012">
        <w:t xml:space="preserve"> Prostate</w:t>
      </w:r>
      <w:r w:rsidR="00332F68" w:rsidRPr="003130E5">
        <w:t xml:space="preserve"> imaging reported and data system</w:t>
      </w:r>
      <w:r w:rsidR="008A71E9">
        <w:t>, mpMRI = multiparametric MRI, MRI = magnetic resonance imaging, NR =not reported.</w:t>
      </w:r>
    </w:p>
    <w:p w14:paraId="3F418740" w14:textId="69C7F4A9" w:rsidR="00742247" w:rsidRDefault="00742247" w:rsidP="00742247">
      <w:pPr>
        <w:rPr>
          <w:rFonts w:cs="AdvGulliv-R"/>
          <w:color w:val="000000"/>
        </w:rPr>
      </w:pPr>
      <w:r>
        <w:rPr>
          <w:rFonts w:cs="AdvGulliv-R"/>
          <w:color w:val="000000"/>
        </w:rPr>
        <w:t>The key clinical studies used a variety of MRI scanners, both 1.5 and 3.0 Tesla</w:t>
      </w:r>
      <w:r w:rsidR="00F37274">
        <w:rPr>
          <w:rFonts w:cs="AdvGulliv-R"/>
          <w:color w:val="000000"/>
        </w:rPr>
        <w:t xml:space="preserve">, both of which are currently available in </w:t>
      </w:r>
      <w:r>
        <w:rPr>
          <w:rFonts w:cs="AdvGulliv-R"/>
          <w:color w:val="000000"/>
        </w:rPr>
        <w:t>Australia</w:t>
      </w:r>
      <w:r w:rsidR="00B13C1D">
        <w:rPr>
          <w:rFonts w:cs="AdvGulliv-R"/>
          <w:color w:val="000000"/>
        </w:rPr>
        <w:t xml:space="preserve"> </w:t>
      </w:r>
      <w:r w:rsidR="008E0B00">
        <w:rPr>
          <w:rFonts w:cs="AdvGulliv-R"/>
          <w:color w:val="000000"/>
        </w:rPr>
        <w:fldChar w:fldCharType="begin"/>
      </w:r>
      <w:r w:rsidR="008E0B00">
        <w:rPr>
          <w:rFonts w:cs="AdvGulliv-R"/>
          <w:color w:val="000000"/>
        </w:rPr>
        <w:instrText xml:space="preserve"> ADDIN EN.CITE &lt;EndNote&gt;&lt;Cite&gt;&lt;Author&gt;HealthPACT&lt;/Author&gt;&lt;Year&gt;2015&lt;/Year&gt;&lt;RecNum&gt;11&lt;/RecNum&gt;&lt;DisplayText&gt;(HealthPACT 2015)&lt;/DisplayText&gt;&lt;record&gt;&lt;rec-number&gt;11&lt;/rec-number&gt;&lt;foreign-keys&gt;&lt;key app="EN" db-id="2p9terxr22fx91epzebpfdwuzrwtw2a2ep2t" timestamp="1472684600"&gt;11&lt;/key&gt;&lt;/foreign-keys&gt;&lt;ref-type name="Web Page"&gt;12&lt;/ref-type&gt;&lt;contributors&gt;&lt;authors&gt;&lt;author&gt;HealthPACT&lt;/author&gt;&lt;/authors&gt;&lt;/contributors&gt;&lt;titles&gt;&lt;title&gt;MRI screening for prostate cancer&lt;/title&gt;&lt;/titles&gt;&lt;volume&gt;2016&lt;/volume&gt;&lt;number&gt;1 September&lt;/number&gt;&lt;dates&gt;&lt;year&gt;2015&lt;/year&gt;&lt;/dates&gt;&lt;pub-location&gt;Brisbane, Australia&lt;/pub-location&gt;&lt;publisher&gt;State of Queensland (Queensland Department of Health)&lt;/publisher&gt;&lt;urls&gt;&lt;related-urls&gt;&lt;url&gt;https://www.health.qld.gov.au/healthpact/docs/briefs/WP203.pdf&lt;/url&gt;&lt;/related-urls&gt;&lt;/urls&gt;&lt;access-date&gt;22 Jul 2016&lt;/access-date&gt;&lt;/record&gt;&lt;/Cite&gt;&lt;/EndNote&gt;</w:instrText>
      </w:r>
      <w:r w:rsidR="008E0B00">
        <w:rPr>
          <w:rFonts w:cs="AdvGulliv-R"/>
          <w:color w:val="000000"/>
        </w:rPr>
        <w:fldChar w:fldCharType="separate"/>
      </w:r>
      <w:r w:rsidR="008E0B00">
        <w:rPr>
          <w:rFonts w:cs="AdvGulliv-R"/>
          <w:noProof/>
          <w:color w:val="000000"/>
        </w:rPr>
        <w:t>(</w:t>
      </w:r>
      <w:hyperlink w:anchor="_ENREF_61" w:tooltip="HealthPACT, 2015 #11" w:history="1">
        <w:r w:rsidR="008E0B00">
          <w:rPr>
            <w:rFonts w:cs="AdvGulliv-R"/>
            <w:noProof/>
            <w:color w:val="000000"/>
          </w:rPr>
          <w:t>HealthPACT 2015</w:t>
        </w:r>
      </w:hyperlink>
      <w:r w:rsidR="008E0B00">
        <w:rPr>
          <w:rFonts w:cs="AdvGulliv-R"/>
          <w:noProof/>
          <w:color w:val="000000"/>
        </w:rPr>
        <w:t>)</w:t>
      </w:r>
      <w:r w:rsidR="008E0B00">
        <w:rPr>
          <w:rFonts w:cs="AdvGulliv-R"/>
          <w:color w:val="000000"/>
        </w:rPr>
        <w:fldChar w:fldCharType="end"/>
      </w:r>
      <w:r>
        <w:rPr>
          <w:rFonts w:cs="AdvGulliv-R"/>
          <w:color w:val="000000"/>
        </w:rPr>
        <w:t xml:space="preserve">. Only 2 out of the 10 key studies used an endorectal coil for mpMRI. This is consistent with the expected MBS population, where an endorectal coil will likely be used in only few cases </w:t>
      </w:r>
      <w:r w:rsidR="008E0B00">
        <w:rPr>
          <w:rFonts w:cs="AdvGulliv-R"/>
          <w:color w:val="000000"/>
        </w:rPr>
        <w:fldChar w:fldCharType="begin"/>
      </w:r>
      <w:r w:rsidR="008E0B00">
        <w:rPr>
          <w:rFonts w:cs="AdvGulliv-R"/>
          <w:color w:val="000000"/>
        </w:rPr>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rPr>
          <w:rFonts w:cs="AdvGulliv-R"/>
          <w:color w:val="000000"/>
        </w:rPr>
        <w:fldChar w:fldCharType="separate"/>
      </w:r>
      <w:r w:rsidR="008E0B00">
        <w:rPr>
          <w:rFonts w:cs="AdvGulliv-R"/>
          <w:noProof/>
          <w:color w:val="000000"/>
        </w:rPr>
        <w:t>(</w:t>
      </w:r>
      <w:hyperlink w:anchor="_ENREF_9" w:tooltip="Applicant, 2016 #9" w:history="1">
        <w:r w:rsidR="008E0B00">
          <w:rPr>
            <w:rFonts w:cs="AdvGulliv-R"/>
            <w:noProof/>
            <w:color w:val="000000"/>
          </w:rPr>
          <w:t>Applicant 2016</w:t>
        </w:r>
      </w:hyperlink>
      <w:r w:rsidR="008E0B00">
        <w:rPr>
          <w:rFonts w:cs="AdvGulliv-R"/>
          <w:noProof/>
          <w:color w:val="000000"/>
        </w:rPr>
        <w:t>)</w:t>
      </w:r>
      <w:r w:rsidR="008E0B00">
        <w:rPr>
          <w:rFonts w:cs="AdvGulliv-R"/>
          <w:color w:val="000000"/>
        </w:rPr>
        <w:fldChar w:fldCharType="end"/>
      </w:r>
      <w:r>
        <w:rPr>
          <w:rFonts w:cs="AdvGulliv-R"/>
          <w:color w:val="000000"/>
        </w:rPr>
        <w:t>.</w:t>
      </w:r>
    </w:p>
    <w:p w14:paraId="4FEE7711" w14:textId="2632BF72" w:rsidR="00742247" w:rsidRDefault="00742247" w:rsidP="00742247">
      <w:pPr>
        <w:rPr>
          <w:rFonts w:cs="AdvGulliv-R"/>
          <w:color w:val="000000"/>
        </w:rPr>
      </w:pPr>
      <w:r>
        <w:rPr>
          <w:rFonts w:cs="AdvGulliv-R"/>
          <w:color w:val="000000"/>
        </w:rPr>
        <w:t xml:space="preserve">The Protocol defines </w:t>
      </w:r>
      <w:r w:rsidR="00F37274">
        <w:rPr>
          <w:rFonts w:cs="AdvGulliv-R"/>
          <w:color w:val="000000"/>
        </w:rPr>
        <w:t>mp</w:t>
      </w:r>
      <w:r>
        <w:rPr>
          <w:rFonts w:cs="AdvGulliv-R"/>
          <w:color w:val="000000"/>
        </w:rPr>
        <w:t>MRI to use three pulse sequences</w:t>
      </w:r>
      <w:r w:rsidR="00F37274">
        <w:rPr>
          <w:rFonts w:cs="AdvGulliv-R"/>
          <w:color w:val="000000"/>
        </w:rPr>
        <w:t xml:space="preserve"> </w:t>
      </w:r>
      <w:r>
        <w:rPr>
          <w:rFonts w:cs="AdvGulliv-R"/>
          <w:color w:val="000000"/>
        </w:rPr>
        <w:t>T2W</w:t>
      </w:r>
      <w:r w:rsidR="00F37274">
        <w:rPr>
          <w:rFonts w:cs="AdvGulliv-R"/>
          <w:color w:val="000000"/>
        </w:rPr>
        <w:t>,</w:t>
      </w:r>
      <w:r>
        <w:rPr>
          <w:rFonts w:cs="AdvGulliv-R"/>
          <w:color w:val="000000"/>
        </w:rPr>
        <w:t xml:space="preserve"> DWI</w:t>
      </w:r>
      <w:r w:rsidR="00F37274">
        <w:rPr>
          <w:rFonts w:cs="AdvGulliv-R"/>
          <w:color w:val="000000"/>
        </w:rPr>
        <w:t xml:space="preserve">, </w:t>
      </w:r>
      <w:r>
        <w:rPr>
          <w:rFonts w:cs="AdvGulliv-R"/>
          <w:color w:val="000000"/>
        </w:rPr>
        <w:t>DCE. Each of the key clinical studies used these same techniques</w:t>
      </w:r>
      <w:r w:rsidR="00F37274">
        <w:rPr>
          <w:rFonts w:cs="AdvGulliv-R"/>
          <w:color w:val="000000"/>
        </w:rPr>
        <w:t>; noting</w:t>
      </w:r>
      <w:r>
        <w:rPr>
          <w:rFonts w:cs="AdvGulliv-R"/>
          <w:color w:val="000000"/>
        </w:rPr>
        <w:t xml:space="preserve"> Pokorny et al. </w:t>
      </w:r>
      <w:r w:rsidR="00F37274">
        <w:rPr>
          <w:rFonts w:cs="AdvGulliv-R"/>
          <w:color w:val="000000"/>
        </w:rPr>
        <w:t>(</w:t>
      </w:r>
      <w:r>
        <w:rPr>
          <w:rFonts w:cs="AdvGulliv-R"/>
          <w:color w:val="000000"/>
        </w:rPr>
        <w:t>2014) did not explicitly report the type of mpMRI imaging. The type of contrast</w:t>
      </w:r>
      <w:r w:rsidR="00F37274">
        <w:rPr>
          <w:rFonts w:cs="AdvGulliv-R"/>
          <w:color w:val="000000"/>
        </w:rPr>
        <w:t xml:space="preserve"> agent </w:t>
      </w:r>
      <w:r>
        <w:rPr>
          <w:rFonts w:cs="AdvGulliv-R"/>
          <w:color w:val="000000"/>
        </w:rPr>
        <w:t>use</w:t>
      </w:r>
      <w:r w:rsidR="00F37274">
        <w:rPr>
          <w:rFonts w:cs="AdvGulliv-R"/>
          <w:color w:val="000000"/>
        </w:rPr>
        <w:t>d was not consistently reported, but,</w:t>
      </w:r>
      <w:r>
        <w:rPr>
          <w:rFonts w:cs="AdvGulliv-R"/>
          <w:color w:val="000000"/>
        </w:rPr>
        <w:t xml:space="preserve"> </w:t>
      </w:r>
      <w:r w:rsidR="00F37274">
        <w:rPr>
          <w:rFonts w:cs="AdvGulliv-R"/>
          <w:color w:val="000000"/>
        </w:rPr>
        <w:t xml:space="preserve">when defined, </w:t>
      </w:r>
      <w:r>
        <w:rPr>
          <w:rFonts w:cs="AdvGulliv-R"/>
          <w:color w:val="000000"/>
        </w:rPr>
        <w:t>a gadolinium contrast agent</w:t>
      </w:r>
      <w:r w:rsidR="00F37274">
        <w:rPr>
          <w:rFonts w:cs="AdvGulliv-R"/>
          <w:color w:val="000000"/>
        </w:rPr>
        <w:t xml:space="preserve"> was used;</w:t>
      </w:r>
      <w:r>
        <w:rPr>
          <w:rFonts w:cs="AdvGulliv-R"/>
          <w:color w:val="000000"/>
        </w:rPr>
        <w:t xml:space="preserve"> </w:t>
      </w:r>
      <w:r w:rsidR="00F37274">
        <w:rPr>
          <w:rFonts w:cs="AdvGulliv-R"/>
          <w:color w:val="000000"/>
        </w:rPr>
        <w:t xml:space="preserve">this is </w:t>
      </w:r>
      <w:r>
        <w:rPr>
          <w:rFonts w:cs="AdvGulliv-R"/>
          <w:color w:val="000000"/>
        </w:rPr>
        <w:t xml:space="preserve">consistent with </w:t>
      </w:r>
      <w:r w:rsidR="00F37274">
        <w:rPr>
          <w:rFonts w:cs="AdvGulliv-R"/>
          <w:color w:val="000000"/>
        </w:rPr>
        <w:t xml:space="preserve">the </w:t>
      </w:r>
      <w:r>
        <w:rPr>
          <w:rFonts w:cs="AdvGulliv-R"/>
          <w:color w:val="000000"/>
        </w:rPr>
        <w:t>expected MBS population.</w:t>
      </w:r>
    </w:p>
    <w:p w14:paraId="0A5AB8B2" w14:textId="7AB079B9" w:rsidR="00742247" w:rsidRDefault="00742247" w:rsidP="00742247">
      <w:pPr>
        <w:rPr>
          <w:rFonts w:cs="AdvGulliv-R"/>
          <w:color w:val="000000"/>
        </w:rPr>
      </w:pPr>
      <w:r>
        <w:rPr>
          <w:rFonts w:cs="AdvGulliv-R"/>
          <w:color w:val="000000"/>
        </w:rPr>
        <w:lastRenderedPageBreak/>
        <w:t xml:space="preserve">The PI-RADS cut-off value differed between studies. As the proposed clinical management algorithm prescribes </w:t>
      </w:r>
      <w:r w:rsidRPr="00AF4069">
        <w:rPr>
          <w:rFonts w:cs="AdvGulliv-R"/>
          <w:color w:val="000000"/>
        </w:rPr>
        <w:t xml:space="preserve">PI-RADS </w:t>
      </w:r>
      <w:r w:rsidRPr="00AF4069">
        <w:rPr>
          <w:rFonts w:cs="Calibri"/>
          <w:color w:val="000000"/>
        </w:rPr>
        <w:t>≥</w:t>
      </w:r>
      <w:r w:rsidRPr="00AF4069">
        <w:rPr>
          <w:rFonts w:cs="AdvGulliv-R"/>
          <w:color w:val="000000"/>
        </w:rPr>
        <w:t>4 as cut-off, only key studies using this cu</w:t>
      </w:r>
      <w:r w:rsidR="001262BE">
        <w:rPr>
          <w:rFonts w:cs="AdvGulliv-R"/>
          <w:color w:val="000000"/>
        </w:rPr>
        <w:t>t-off value were included (see Subs</w:t>
      </w:r>
      <w:r w:rsidRPr="00AF4069">
        <w:rPr>
          <w:rFonts w:cs="AdvGulliv-R"/>
          <w:color w:val="000000"/>
        </w:rPr>
        <w:t>ection B.3).</w:t>
      </w:r>
    </w:p>
    <w:p w14:paraId="556C3F42" w14:textId="57AD685E" w:rsidR="00742247" w:rsidRDefault="00742247" w:rsidP="00742247">
      <w:pPr>
        <w:rPr>
          <w:rFonts w:cs="AdvGulliv-R"/>
          <w:color w:val="000000"/>
        </w:rPr>
      </w:pPr>
      <w:r>
        <w:rPr>
          <w:rFonts w:cs="AdvGulliv-R"/>
          <w:color w:val="000000"/>
        </w:rPr>
        <w:t>Reader experience differed between the key clinical studies</w:t>
      </w:r>
      <w:r w:rsidR="00055C87">
        <w:rPr>
          <w:rFonts w:cs="AdvGulliv-R"/>
          <w:color w:val="000000"/>
        </w:rPr>
        <w:t xml:space="preserve">, but </w:t>
      </w:r>
      <w:r>
        <w:rPr>
          <w:rFonts w:cs="AdvGulliv-R"/>
          <w:color w:val="000000"/>
        </w:rPr>
        <w:t xml:space="preserve">was generally reported to be substantial. Study results may therefore reflect </w:t>
      </w:r>
      <w:r w:rsidR="00055C87">
        <w:rPr>
          <w:rFonts w:cs="AdvGulliv-R"/>
          <w:color w:val="000000"/>
        </w:rPr>
        <w:t xml:space="preserve">that </w:t>
      </w:r>
      <w:r>
        <w:rPr>
          <w:rFonts w:cs="AdvGulliv-R"/>
          <w:color w:val="000000"/>
        </w:rPr>
        <w:t xml:space="preserve">mpMRI accuracy </w:t>
      </w:r>
      <w:r w:rsidR="00055C87">
        <w:rPr>
          <w:rFonts w:cs="AdvGulliv-R"/>
          <w:color w:val="000000"/>
        </w:rPr>
        <w:t xml:space="preserve">is </w:t>
      </w:r>
      <w:r>
        <w:rPr>
          <w:rFonts w:cs="AdvGulliv-R"/>
          <w:color w:val="000000"/>
        </w:rPr>
        <w:t xml:space="preserve">conditional on sufficient reader experience. </w:t>
      </w:r>
      <w:r w:rsidR="00495240">
        <w:rPr>
          <w:rFonts w:cs="AdvGulliv-R"/>
          <w:color w:val="000000"/>
        </w:rPr>
        <w:t xml:space="preserve">If items for </w:t>
      </w:r>
      <w:r>
        <w:rPr>
          <w:rFonts w:cs="AdvGulliv-R"/>
          <w:color w:val="000000"/>
        </w:rPr>
        <w:t xml:space="preserve">prostate mpMRI </w:t>
      </w:r>
      <w:r w:rsidR="00495240">
        <w:rPr>
          <w:rFonts w:cs="AdvGulliv-R"/>
          <w:color w:val="000000"/>
        </w:rPr>
        <w:t>are listed on</w:t>
      </w:r>
      <w:r>
        <w:rPr>
          <w:rFonts w:cs="AdvGulliv-R"/>
          <w:color w:val="000000"/>
        </w:rPr>
        <w:t xml:space="preserve"> the MBS, the average </w:t>
      </w:r>
      <w:r w:rsidR="00697396">
        <w:rPr>
          <w:rFonts w:cs="AdvGulliv-R"/>
          <w:color w:val="000000"/>
        </w:rPr>
        <w:t>Australian</w:t>
      </w:r>
      <w:r w:rsidR="00FF5B44">
        <w:rPr>
          <w:rFonts w:cs="AdvGulliv-R"/>
          <w:color w:val="000000"/>
        </w:rPr>
        <w:t xml:space="preserve"> </w:t>
      </w:r>
      <w:r>
        <w:rPr>
          <w:rFonts w:cs="AdvGulliv-R"/>
          <w:color w:val="000000"/>
        </w:rPr>
        <w:t xml:space="preserve">reader experience may be lower than in the key clinical studies, given that the studies were likely performed by early adopters. </w:t>
      </w:r>
      <w:r w:rsidR="00697396">
        <w:rPr>
          <w:rFonts w:cs="AdvGulliv-R"/>
          <w:color w:val="000000"/>
        </w:rPr>
        <w:t xml:space="preserve">It should be noted that the general Australian reader experience is likely to be lower, and therefore their </w:t>
      </w:r>
      <w:r w:rsidR="000C6F09">
        <w:rPr>
          <w:rFonts w:cs="AdvGulliv-R"/>
          <w:color w:val="000000"/>
        </w:rPr>
        <w:t xml:space="preserve">initial </w:t>
      </w:r>
      <w:r w:rsidR="00697396">
        <w:rPr>
          <w:rFonts w:cs="AdvGulliv-R"/>
          <w:color w:val="000000"/>
        </w:rPr>
        <w:t xml:space="preserve">accuracy may also be lower. Similarly, if </w:t>
      </w:r>
      <w:r>
        <w:rPr>
          <w:rFonts w:cs="AdvGulliv-R"/>
          <w:color w:val="000000"/>
        </w:rPr>
        <w:t>case accuracy increases over time, cost-effectiveness will also increase over</w:t>
      </w:r>
      <w:r w:rsidR="00055C87">
        <w:rPr>
          <w:rFonts w:cs="AdvGulliv-R"/>
          <w:color w:val="000000"/>
        </w:rPr>
        <w:t xml:space="preserve"> time. The results from the base-</w:t>
      </w:r>
      <w:r>
        <w:rPr>
          <w:rFonts w:cs="AdvGulliv-R"/>
          <w:color w:val="000000"/>
        </w:rPr>
        <w:t>case economic evaluation may therefore reflect longer-term cost-effectiveness instead of initial cost-effectiveness.</w:t>
      </w:r>
    </w:p>
    <w:p w14:paraId="34C3A277" w14:textId="5F3AB3E1" w:rsidR="00742247" w:rsidRDefault="00742247" w:rsidP="00742247">
      <w:pPr>
        <w:rPr>
          <w:rFonts w:cs="AdvGulliv-R"/>
          <w:color w:val="000000"/>
        </w:rPr>
      </w:pPr>
      <w:r>
        <w:rPr>
          <w:rFonts w:cs="AdvGulliv-R"/>
          <w:color w:val="000000"/>
        </w:rPr>
        <w:t xml:space="preserve">In conclusion, comparison of intervention characteristics between the key clinical studies and the expected MBS population did not identify any overt applicability issues. To ensure applicability to the intended MBS population, only studies using PI-RADS </w:t>
      </w:r>
      <w:r>
        <w:rPr>
          <w:rFonts w:cs="Calibri"/>
          <w:color w:val="000000"/>
        </w:rPr>
        <w:t>≥</w:t>
      </w:r>
      <w:r>
        <w:rPr>
          <w:rFonts w:cs="AdvGulliv-R"/>
          <w:color w:val="000000"/>
        </w:rPr>
        <w:t>4 as a cu</w:t>
      </w:r>
      <w:r w:rsidR="008A71E9">
        <w:rPr>
          <w:rFonts w:cs="AdvGulliv-R"/>
          <w:color w:val="000000"/>
        </w:rPr>
        <w:t>t-off were included.</w:t>
      </w:r>
      <w:r w:rsidR="00AB4C23">
        <w:rPr>
          <w:rFonts w:cs="AdvGulliv-R"/>
          <w:color w:val="000000"/>
        </w:rPr>
        <w:t xml:space="preserve"> The</w:t>
      </w:r>
      <w:r w:rsidR="008A71E9">
        <w:rPr>
          <w:rFonts w:cs="AdvGulliv-R"/>
          <w:color w:val="000000"/>
        </w:rPr>
        <w:t xml:space="preserve"> mpMRI cost-</w:t>
      </w:r>
      <w:r>
        <w:rPr>
          <w:rFonts w:cs="AdvGulliv-R"/>
          <w:color w:val="000000"/>
        </w:rPr>
        <w:t>effectiveness results may be conditional on sufficient reader experience since the accuracy studies generally used experienced readers.</w:t>
      </w:r>
      <w:r w:rsidRPr="00CE0C5A">
        <w:t xml:space="preserve"> </w:t>
      </w:r>
      <w:r>
        <w:t xml:space="preserve">This issue was addressed by performing sensitivity analyses to evaluate the </w:t>
      </w:r>
      <w:r w:rsidR="00AB4C23">
        <w:t xml:space="preserve">impact of reduced and </w:t>
      </w:r>
      <w:r w:rsidRPr="00AF4069">
        <w:t xml:space="preserve">increased test accuracy on the cost-effectiveness of mpMRI (see </w:t>
      </w:r>
      <w:r w:rsidR="001262BE">
        <w:t>Sub</w:t>
      </w:r>
      <w:r w:rsidRPr="00AF4069">
        <w:t>section D.6).</w:t>
      </w:r>
    </w:p>
    <w:p w14:paraId="503C80C0" w14:textId="77777777" w:rsidR="00742247" w:rsidRDefault="00742247" w:rsidP="00742247">
      <w:pPr>
        <w:pStyle w:val="Heading3"/>
      </w:pPr>
      <w:bookmarkStart w:id="432" w:name="_Toc457383604"/>
      <w:bookmarkStart w:id="433" w:name="_Toc459987852"/>
      <w:bookmarkStart w:id="434" w:name="_Toc460513972"/>
      <w:r>
        <w:t>Population 2: (men with low or intermediate risk prostate cancer under active surveillance):</w:t>
      </w:r>
      <w:r w:rsidRPr="0009623C">
        <w:t xml:space="preserve"> </w:t>
      </w:r>
      <w:r>
        <w:t>patient</w:t>
      </w:r>
      <w:r w:rsidRPr="0009623C">
        <w:t xml:space="preserve"> characteristics</w:t>
      </w:r>
      <w:bookmarkEnd w:id="432"/>
      <w:bookmarkEnd w:id="433"/>
      <w:bookmarkEnd w:id="434"/>
    </w:p>
    <w:p w14:paraId="3C243791" w14:textId="77777777" w:rsidR="00742247" w:rsidRPr="0009623C" w:rsidRDefault="00742247" w:rsidP="00742247">
      <w:pPr>
        <w:rPr>
          <w:rFonts w:cs="AdvGulliv-R"/>
          <w:color w:val="000000"/>
        </w:rPr>
      </w:pPr>
      <w:r>
        <w:rPr>
          <w:rFonts w:cs="AdvGulliv-R"/>
          <w:color w:val="000000"/>
        </w:rPr>
        <w:t>In Population 2, t</w:t>
      </w:r>
      <w:r w:rsidRPr="0009623C">
        <w:rPr>
          <w:rFonts w:cs="AdvGulliv-R"/>
          <w:color w:val="000000"/>
        </w:rPr>
        <w:t>he following p</w:t>
      </w:r>
      <w:r>
        <w:rPr>
          <w:rFonts w:cs="AdvGulliv-R"/>
          <w:color w:val="000000"/>
        </w:rPr>
        <w:t>atient</w:t>
      </w:r>
      <w:r w:rsidRPr="0009623C">
        <w:rPr>
          <w:rFonts w:cs="AdvGulliv-R"/>
          <w:color w:val="000000"/>
        </w:rPr>
        <w:t xml:space="preserve"> characteristics were assessed: country, age, prior tests</w:t>
      </w:r>
      <w:r>
        <w:rPr>
          <w:rFonts w:cs="AdvGulliv-R"/>
          <w:color w:val="000000"/>
        </w:rPr>
        <w:t xml:space="preserve">, </w:t>
      </w:r>
      <w:r w:rsidRPr="0009623C">
        <w:rPr>
          <w:rFonts w:cs="AdvGulliv-R"/>
          <w:color w:val="000000"/>
        </w:rPr>
        <w:t xml:space="preserve">PSA </w:t>
      </w:r>
      <w:r>
        <w:rPr>
          <w:rFonts w:cs="AdvGulliv-R"/>
          <w:color w:val="000000"/>
        </w:rPr>
        <w:t xml:space="preserve">level and Gleason score </w:t>
      </w:r>
      <w:r w:rsidRPr="0009623C">
        <w:rPr>
          <w:rFonts w:cs="AdvGulliv-R"/>
          <w:color w:val="000000"/>
        </w:rPr>
        <w:t>(see</w:t>
      </w:r>
      <w:r>
        <w:rPr>
          <w:rFonts w:cs="AdvGulliv-R"/>
          <w:color w:val="000000"/>
        </w:rPr>
        <w:t xml:space="preserve"> </w:t>
      </w:r>
      <w:r>
        <w:rPr>
          <w:rFonts w:cs="AdvGulliv-R"/>
          <w:color w:val="000000"/>
        </w:rPr>
        <w:fldChar w:fldCharType="begin"/>
      </w:r>
      <w:r>
        <w:rPr>
          <w:rFonts w:cs="AdvGulliv-R"/>
          <w:color w:val="000000"/>
        </w:rPr>
        <w:instrText xml:space="preserve"> REF _Ref455142031 \h  \* MERGEFORMAT </w:instrText>
      </w:r>
      <w:r>
        <w:rPr>
          <w:rFonts w:cs="AdvGulliv-R"/>
          <w:color w:val="000000"/>
        </w:rPr>
      </w:r>
      <w:r>
        <w:rPr>
          <w:rFonts w:cs="AdvGulliv-R"/>
          <w:color w:val="000000"/>
        </w:rPr>
        <w:fldChar w:fldCharType="separate"/>
      </w:r>
      <w:r w:rsidR="0029649D" w:rsidRPr="0029649D">
        <w:rPr>
          <w:rFonts w:cs="AdvGulliv-R"/>
          <w:color w:val="000000"/>
        </w:rPr>
        <w:t>Table 42</w:t>
      </w:r>
      <w:r>
        <w:rPr>
          <w:rFonts w:cs="AdvGulliv-R"/>
          <w:color w:val="000000"/>
        </w:rPr>
        <w:fldChar w:fldCharType="end"/>
      </w:r>
      <w:r w:rsidRPr="0009623C">
        <w:rPr>
          <w:rFonts w:cs="AdvGulliv-R"/>
          <w:color w:val="000000"/>
        </w:rPr>
        <w:t xml:space="preserve">). </w:t>
      </w:r>
    </w:p>
    <w:p w14:paraId="16313273" w14:textId="77777777" w:rsidR="00742247" w:rsidRDefault="00742247" w:rsidP="00742247">
      <w:pPr>
        <w:pStyle w:val="Caption"/>
        <w:ind w:left="1134" w:hanging="1134"/>
      </w:pPr>
      <w:bookmarkStart w:id="435" w:name="_Ref455142031"/>
      <w:bookmarkStart w:id="436" w:name="_Toc457383664"/>
      <w:bookmarkStart w:id="437" w:name="_Toc459987902"/>
      <w:bookmarkStart w:id="438" w:name="_Toc460514542"/>
      <w:r w:rsidRPr="00167825">
        <w:t xml:space="preserve">Table </w:t>
      </w:r>
      <w:fldSimple w:instr=" SEQ Table \* ARABIC ">
        <w:r w:rsidR="0029649D">
          <w:rPr>
            <w:noProof/>
          </w:rPr>
          <w:t>42</w:t>
        </w:r>
      </w:fldSimple>
      <w:bookmarkEnd w:id="435"/>
      <w:r>
        <w:tab/>
      </w:r>
      <w:r w:rsidRPr="00167825">
        <w:t xml:space="preserve">Population characteristics, comparison between key clinical studies and the expected MBS </w:t>
      </w:r>
      <w:r>
        <w:t>Population 2</w:t>
      </w:r>
      <w:bookmarkEnd w:id="436"/>
      <w:bookmarkEnd w:id="437"/>
      <w:bookmarkEnd w:id="438"/>
    </w:p>
    <w:tbl>
      <w:tblPr>
        <w:tblW w:w="9112" w:type="dxa"/>
        <w:tblInd w:w="130" w:type="dxa"/>
        <w:tblCellMar>
          <w:left w:w="28" w:type="dxa"/>
          <w:right w:w="28" w:type="dxa"/>
        </w:tblCellMar>
        <w:tblLook w:val="04A0" w:firstRow="1" w:lastRow="0" w:firstColumn="1" w:lastColumn="0" w:noHBand="0" w:noVBand="1"/>
      </w:tblPr>
      <w:tblGrid>
        <w:gridCol w:w="2162"/>
        <w:gridCol w:w="809"/>
        <w:gridCol w:w="1947"/>
        <w:gridCol w:w="1031"/>
        <w:gridCol w:w="1964"/>
        <w:gridCol w:w="1199"/>
      </w:tblGrid>
      <w:tr w:rsidR="00742247" w:rsidRPr="00AE3374" w14:paraId="06ED291D" w14:textId="77777777" w:rsidTr="00324D6F">
        <w:trPr>
          <w:trHeight w:val="397"/>
          <w:tblHead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869126E" w14:textId="53BA50DF" w:rsidR="00742247" w:rsidRPr="00AE3374" w:rsidRDefault="00742247" w:rsidP="008A2119">
            <w:pPr>
              <w:pStyle w:val="Tableheading1"/>
            </w:pPr>
            <w:r w:rsidRPr="00AE3374">
              <w:t xml:space="preserve">Study ID </w:t>
            </w:r>
            <w:r w:rsidR="00AE3374">
              <w:t>(n)</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14:paraId="71F5100D" w14:textId="77777777" w:rsidR="00742247" w:rsidRPr="00AE3374" w:rsidRDefault="00742247" w:rsidP="008A2119">
            <w:pPr>
              <w:pStyle w:val="Tableheading1"/>
            </w:pPr>
            <w:r w:rsidRPr="00AE3374">
              <w:t>Country</w:t>
            </w:r>
          </w:p>
        </w:tc>
        <w:tc>
          <w:tcPr>
            <w:tcW w:w="1947" w:type="dxa"/>
            <w:tcBorders>
              <w:top w:val="single" w:sz="4" w:space="0" w:color="auto"/>
              <w:left w:val="nil"/>
              <w:bottom w:val="single" w:sz="4" w:space="0" w:color="auto"/>
              <w:right w:val="single" w:sz="4" w:space="0" w:color="auto"/>
            </w:tcBorders>
            <w:shd w:val="clear" w:color="auto" w:fill="auto"/>
            <w:hideMark/>
          </w:tcPr>
          <w:p w14:paraId="6175B9EF" w14:textId="77777777" w:rsidR="00742247" w:rsidRPr="00AE3374" w:rsidRDefault="00742247" w:rsidP="008A2119">
            <w:pPr>
              <w:pStyle w:val="Tableheading1"/>
            </w:pPr>
            <w:r w:rsidRPr="00AE3374">
              <w:t>Age</w:t>
            </w:r>
          </w:p>
        </w:tc>
        <w:tc>
          <w:tcPr>
            <w:tcW w:w="0" w:type="auto"/>
            <w:tcBorders>
              <w:top w:val="single" w:sz="4" w:space="0" w:color="auto"/>
              <w:left w:val="nil"/>
              <w:bottom w:val="single" w:sz="4" w:space="0" w:color="auto"/>
              <w:right w:val="single" w:sz="4" w:space="0" w:color="auto"/>
            </w:tcBorders>
          </w:tcPr>
          <w:p w14:paraId="7C6ADF5C" w14:textId="77777777" w:rsidR="00742247" w:rsidRPr="00AE3374" w:rsidRDefault="00742247" w:rsidP="008A2119">
            <w:pPr>
              <w:pStyle w:val="Tableheading1"/>
            </w:pPr>
            <w:r w:rsidRPr="00AE3374">
              <w:t>Prior tests</w:t>
            </w:r>
          </w:p>
        </w:tc>
        <w:tc>
          <w:tcPr>
            <w:tcW w:w="0" w:type="auto"/>
            <w:tcBorders>
              <w:top w:val="single" w:sz="4" w:space="0" w:color="auto"/>
              <w:left w:val="nil"/>
              <w:bottom w:val="single" w:sz="4" w:space="0" w:color="auto"/>
              <w:right w:val="single" w:sz="4" w:space="0" w:color="auto"/>
            </w:tcBorders>
            <w:shd w:val="clear" w:color="auto" w:fill="auto"/>
            <w:hideMark/>
          </w:tcPr>
          <w:p w14:paraId="2B07CEF3" w14:textId="77777777" w:rsidR="00742247" w:rsidRPr="00AE3374" w:rsidRDefault="00742247" w:rsidP="008A2119">
            <w:pPr>
              <w:pStyle w:val="Tableheading1"/>
            </w:pPr>
            <w:r w:rsidRPr="00AE3374">
              <w:t>PSA level</w:t>
            </w:r>
          </w:p>
        </w:tc>
        <w:tc>
          <w:tcPr>
            <w:tcW w:w="0" w:type="auto"/>
            <w:tcBorders>
              <w:top w:val="single" w:sz="4" w:space="0" w:color="auto"/>
              <w:left w:val="nil"/>
              <w:bottom w:val="single" w:sz="4" w:space="0" w:color="auto"/>
              <w:right w:val="single" w:sz="4" w:space="0" w:color="auto"/>
            </w:tcBorders>
            <w:shd w:val="clear" w:color="auto" w:fill="auto"/>
            <w:hideMark/>
          </w:tcPr>
          <w:p w14:paraId="659B03C9" w14:textId="77777777" w:rsidR="00742247" w:rsidRPr="00AE3374" w:rsidRDefault="00742247" w:rsidP="008A2119">
            <w:pPr>
              <w:pStyle w:val="Tableheading1"/>
            </w:pPr>
            <w:r w:rsidRPr="00AE3374">
              <w:t>Gleason score</w:t>
            </w:r>
          </w:p>
        </w:tc>
      </w:tr>
      <w:tr w:rsidR="00742247" w:rsidRPr="00AE3374" w14:paraId="0CECE16A" w14:textId="77777777" w:rsidTr="00324D6F">
        <w:trPr>
          <w:trHeight w:val="397"/>
        </w:trPr>
        <w:tc>
          <w:tcPr>
            <w:tcW w:w="0" w:type="auto"/>
            <w:tcBorders>
              <w:top w:val="single" w:sz="4" w:space="0" w:color="auto"/>
              <w:left w:val="single" w:sz="4" w:space="0" w:color="auto"/>
              <w:bottom w:val="single" w:sz="4" w:space="0" w:color="auto"/>
            </w:tcBorders>
            <w:shd w:val="clear" w:color="auto" w:fill="auto"/>
          </w:tcPr>
          <w:p w14:paraId="534EF103" w14:textId="77777777" w:rsidR="00742247" w:rsidRPr="00AE3374" w:rsidRDefault="00742247" w:rsidP="008A2119">
            <w:pPr>
              <w:pStyle w:val="Tableheading1"/>
            </w:pPr>
            <w:r w:rsidRPr="00AE3374">
              <w:t>Australian registry data</w:t>
            </w:r>
          </w:p>
        </w:tc>
        <w:tc>
          <w:tcPr>
            <w:tcW w:w="798" w:type="dxa"/>
            <w:tcBorders>
              <w:top w:val="single" w:sz="4" w:space="0" w:color="auto"/>
              <w:bottom w:val="single" w:sz="4" w:space="0" w:color="auto"/>
            </w:tcBorders>
            <w:shd w:val="clear" w:color="auto" w:fill="auto"/>
          </w:tcPr>
          <w:p w14:paraId="1680D1C4" w14:textId="77777777" w:rsidR="00742247" w:rsidRPr="00AE3374" w:rsidRDefault="00742247" w:rsidP="008A2119">
            <w:pPr>
              <w:pStyle w:val="Tableheading1"/>
            </w:pPr>
          </w:p>
        </w:tc>
        <w:tc>
          <w:tcPr>
            <w:tcW w:w="1947" w:type="dxa"/>
            <w:tcBorders>
              <w:top w:val="single" w:sz="4" w:space="0" w:color="auto"/>
              <w:bottom w:val="single" w:sz="4" w:space="0" w:color="auto"/>
            </w:tcBorders>
            <w:shd w:val="clear" w:color="auto" w:fill="auto"/>
          </w:tcPr>
          <w:p w14:paraId="66FBFF3A" w14:textId="77777777" w:rsidR="00742247" w:rsidRPr="00AE3374" w:rsidRDefault="00742247" w:rsidP="008A2119">
            <w:pPr>
              <w:pStyle w:val="Tableheading1"/>
            </w:pPr>
          </w:p>
        </w:tc>
        <w:tc>
          <w:tcPr>
            <w:tcW w:w="0" w:type="auto"/>
            <w:tcBorders>
              <w:top w:val="single" w:sz="4" w:space="0" w:color="auto"/>
              <w:bottom w:val="single" w:sz="4" w:space="0" w:color="auto"/>
            </w:tcBorders>
          </w:tcPr>
          <w:p w14:paraId="6C7B48A8" w14:textId="77777777" w:rsidR="00742247" w:rsidRPr="00AE3374" w:rsidRDefault="00742247" w:rsidP="008A2119">
            <w:pPr>
              <w:pStyle w:val="Tableheading1"/>
            </w:pPr>
          </w:p>
        </w:tc>
        <w:tc>
          <w:tcPr>
            <w:tcW w:w="0" w:type="auto"/>
            <w:tcBorders>
              <w:top w:val="single" w:sz="4" w:space="0" w:color="auto"/>
              <w:bottom w:val="single" w:sz="4" w:space="0" w:color="auto"/>
            </w:tcBorders>
            <w:shd w:val="clear" w:color="auto" w:fill="auto"/>
          </w:tcPr>
          <w:p w14:paraId="509F4725" w14:textId="77777777" w:rsidR="00742247" w:rsidRPr="00AE3374" w:rsidRDefault="00742247" w:rsidP="008A2119">
            <w:pPr>
              <w:pStyle w:val="Tableheading1"/>
            </w:pPr>
          </w:p>
        </w:tc>
        <w:tc>
          <w:tcPr>
            <w:tcW w:w="0" w:type="auto"/>
            <w:tcBorders>
              <w:top w:val="single" w:sz="4" w:space="0" w:color="auto"/>
              <w:bottom w:val="single" w:sz="4" w:space="0" w:color="auto"/>
              <w:right w:val="single" w:sz="4" w:space="0" w:color="auto"/>
            </w:tcBorders>
            <w:shd w:val="clear" w:color="auto" w:fill="auto"/>
          </w:tcPr>
          <w:p w14:paraId="097948DC" w14:textId="77777777" w:rsidR="00742247" w:rsidRPr="00AE3374" w:rsidRDefault="00742247" w:rsidP="008A2119">
            <w:pPr>
              <w:pStyle w:val="Tableheading1"/>
            </w:pPr>
          </w:p>
        </w:tc>
      </w:tr>
      <w:tr w:rsidR="00742247" w:rsidRPr="00A6509D" w14:paraId="73F20DA8" w14:textId="77777777" w:rsidTr="00324D6F">
        <w:trPr>
          <w:trHeight w:val="397"/>
        </w:trPr>
        <w:tc>
          <w:tcPr>
            <w:tcW w:w="0" w:type="auto"/>
            <w:tcBorders>
              <w:top w:val="nil"/>
              <w:left w:val="single" w:sz="4" w:space="0" w:color="auto"/>
              <w:bottom w:val="single" w:sz="4" w:space="0" w:color="auto"/>
              <w:right w:val="single" w:sz="4" w:space="0" w:color="auto"/>
            </w:tcBorders>
            <w:shd w:val="clear" w:color="auto" w:fill="auto"/>
          </w:tcPr>
          <w:p w14:paraId="7690498A" w14:textId="0BB6D793" w:rsidR="00742247" w:rsidRPr="00A6509D" w:rsidRDefault="00742247" w:rsidP="00A6509D">
            <w:pPr>
              <w:pStyle w:val="Tabletext1"/>
            </w:pPr>
            <w:r w:rsidRPr="00A6509D">
              <w:t xml:space="preserve">Victorian Prostate Cancer Clinical Registry, </w:t>
            </w:r>
            <w:r w:rsidR="008E0B00">
              <w:fldChar w:fldCharType="begin">
                <w:fldData xml:space="preserve">PEVuZE5vdGU+PENpdGU+PEF1dGhvcj5XZWVyYWtvb248L0F1dGhvcj48WWVhcj4yMDE1PC9ZZWFy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</w:fldData>
              </w:fldChar>
            </w:r>
            <w:r w:rsidR="008E0B00">
              <w:instrText xml:space="preserve"> ADDIN EN.CITE </w:instrText>
            </w:r>
            <w:r w:rsidR="008E0B00">
              <w:fldChar w:fldCharType="begin">
                <w:fldData xml:space="preserve">PEVuZE5vdGU+PENpdGU+PEF1dGhvcj5XZWVyYWtvb248L0F1dGhvcj48WWVhcj4yMDE1PC9ZZWFy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</w:fldData>
              </w:fldChar>
            </w:r>
            <w:r w:rsidR="008E0B00">
              <w:instrText xml:space="preserve"> ADDIN EN.CITE.DATA </w:instrText>
            </w:r>
            <w:r w:rsidR="008E0B00">
              <w:fldChar w:fldCharType="end"/>
            </w:r>
            <w:r w:rsidR="008E0B00">
              <w:fldChar w:fldCharType="separate"/>
            </w:r>
            <w:r w:rsidR="008E0B00">
              <w:rPr>
                <w:noProof/>
              </w:rPr>
              <w:t>(</w:t>
            </w:r>
            <w:hyperlink w:anchor="_ENREF_178" w:tooltip="Weerakoon, 2015 #15" w:history="1">
              <w:r w:rsidR="008E0B00">
                <w:rPr>
                  <w:noProof/>
                </w:rPr>
                <w:t>Weerakoon et al. 2015</w:t>
              </w:r>
            </w:hyperlink>
            <w:r w:rsidR="008E0B00">
              <w:rPr>
                <w:noProof/>
              </w:rPr>
              <w:t>)</w:t>
            </w:r>
            <w:r w:rsidR="008E0B00">
              <w:fldChar w:fldCharType="end"/>
            </w:r>
          </w:p>
          <w:p w14:paraId="18622F84" w14:textId="49BB0FF3" w:rsidR="00742247" w:rsidRPr="00A6509D" w:rsidRDefault="008A71E9" w:rsidP="00A6509D">
            <w:pPr>
              <w:pStyle w:val="Tabletext1"/>
            </w:pPr>
            <w:r w:rsidRPr="00A6509D">
              <w:t>n</w:t>
            </w:r>
            <w:r w:rsidR="00742247" w:rsidRPr="00A6509D">
              <w:t xml:space="preserve">=980 </w:t>
            </w:r>
          </w:p>
        </w:tc>
        <w:tc>
          <w:tcPr>
            <w:tcW w:w="798" w:type="dxa"/>
            <w:tcBorders>
              <w:top w:val="nil"/>
              <w:left w:val="single" w:sz="4" w:space="0" w:color="auto"/>
              <w:bottom w:val="single" w:sz="4" w:space="0" w:color="auto"/>
              <w:right w:val="single" w:sz="4" w:space="0" w:color="auto"/>
            </w:tcBorders>
            <w:shd w:val="clear" w:color="auto" w:fill="auto"/>
          </w:tcPr>
          <w:p w14:paraId="09C5A283" w14:textId="77777777" w:rsidR="00742247" w:rsidRPr="00A6509D" w:rsidRDefault="00742247" w:rsidP="00A6509D">
            <w:pPr>
              <w:pStyle w:val="Tabletext1"/>
            </w:pPr>
            <w:r w:rsidRPr="00A6509D">
              <w:t>Australia</w:t>
            </w:r>
          </w:p>
        </w:tc>
        <w:tc>
          <w:tcPr>
            <w:tcW w:w="1947" w:type="dxa"/>
            <w:tcBorders>
              <w:top w:val="nil"/>
              <w:left w:val="nil"/>
              <w:bottom w:val="single" w:sz="4" w:space="0" w:color="auto"/>
              <w:right w:val="single" w:sz="4" w:space="0" w:color="auto"/>
            </w:tcBorders>
            <w:shd w:val="clear" w:color="auto" w:fill="auto"/>
          </w:tcPr>
          <w:p w14:paraId="7DF840F8" w14:textId="77777777" w:rsidR="00742247" w:rsidRPr="00A6509D" w:rsidRDefault="00742247" w:rsidP="00A6509D">
            <w:pPr>
              <w:pStyle w:val="Tabletext1"/>
            </w:pPr>
            <w:r w:rsidRPr="00A6509D">
              <w:t>Median 66</w:t>
            </w:r>
          </w:p>
        </w:tc>
        <w:tc>
          <w:tcPr>
            <w:tcW w:w="0" w:type="auto"/>
            <w:tcBorders>
              <w:top w:val="nil"/>
              <w:left w:val="nil"/>
              <w:bottom w:val="single" w:sz="4" w:space="0" w:color="auto"/>
              <w:right w:val="single" w:sz="4" w:space="0" w:color="auto"/>
            </w:tcBorders>
            <w:shd w:val="clear" w:color="auto" w:fill="auto"/>
          </w:tcPr>
          <w:p w14:paraId="37E171F1" w14:textId="77777777" w:rsidR="00742247" w:rsidRPr="00A6509D" w:rsidRDefault="00742247" w:rsidP="00A6509D">
            <w:pPr>
              <w:pStyle w:val="Tabletext1"/>
            </w:pPr>
            <w:r w:rsidRPr="00A6509D">
              <w:t>NR</w:t>
            </w:r>
          </w:p>
        </w:tc>
        <w:tc>
          <w:tcPr>
            <w:tcW w:w="0" w:type="auto"/>
            <w:tcBorders>
              <w:top w:val="nil"/>
              <w:left w:val="nil"/>
              <w:bottom w:val="single" w:sz="4" w:space="0" w:color="auto"/>
              <w:right w:val="single" w:sz="4" w:space="0" w:color="auto"/>
            </w:tcBorders>
            <w:shd w:val="clear" w:color="auto" w:fill="auto"/>
          </w:tcPr>
          <w:p w14:paraId="5EDCEA2A" w14:textId="0986596F" w:rsidR="00742247" w:rsidRPr="00A6509D" w:rsidRDefault="00742247" w:rsidP="00A6509D">
            <w:pPr>
              <w:pStyle w:val="Tabletext1"/>
            </w:pPr>
            <w:r w:rsidRPr="00A6509D">
              <w:t>Reported per risk category</w:t>
            </w:r>
            <w:r w:rsidR="00324D6F" w:rsidRPr="00A6509D">
              <w:t>.</w:t>
            </w:r>
          </w:p>
        </w:tc>
        <w:tc>
          <w:tcPr>
            <w:tcW w:w="0" w:type="auto"/>
            <w:tcBorders>
              <w:top w:val="nil"/>
              <w:left w:val="nil"/>
              <w:bottom w:val="single" w:sz="4" w:space="0" w:color="auto"/>
              <w:right w:val="single" w:sz="4" w:space="0" w:color="auto"/>
            </w:tcBorders>
            <w:shd w:val="clear" w:color="auto" w:fill="auto"/>
          </w:tcPr>
          <w:p w14:paraId="5C102F43" w14:textId="0221A6C2" w:rsidR="00742247" w:rsidRPr="00A6509D" w:rsidRDefault="00742247" w:rsidP="00A6509D">
            <w:pPr>
              <w:pStyle w:val="Tabletext1"/>
            </w:pPr>
            <w:r w:rsidRPr="00A6509D">
              <w:t>Reported per risk category</w:t>
            </w:r>
            <w:r w:rsidR="00324D6F" w:rsidRPr="00A6509D">
              <w:t>.</w:t>
            </w:r>
          </w:p>
        </w:tc>
      </w:tr>
      <w:tr w:rsidR="00742247" w:rsidRPr="00AE3374" w14:paraId="736F4B2F" w14:textId="77777777" w:rsidTr="00324D6F">
        <w:trPr>
          <w:trHeight w:val="397"/>
        </w:trPr>
        <w:tc>
          <w:tcPr>
            <w:tcW w:w="0" w:type="auto"/>
            <w:tcBorders>
              <w:top w:val="single" w:sz="4" w:space="0" w:color="auto"/>
              <w:left w:val="single" w:sz="4" w:space="0" w:color="auto"/>
              <w:bottom w:val="single" w:sz="4" w:space="0" w:color="auto"/>
            </w:tcBorders>
            <w:shd w:val="clear" w:color="auto" w:fill="auto"/>
          </w:tcPr>
          <w:p w14:paraId="2802CA96" w14:textId="77777777" w:rsidR="00742247" w:rsidRPr="00AE3374" w:rsidRDefault="00742247" w:rsidP="00A6509D">
            <w:pPr>
              <w:pStyle w:val="Tableheading1"/>
            </w:pPr>
            <w:r w:rsidRPr="00AE3374">
              <w:t>Section B key trials</w:t>
            </w:r>
          </w:p>
        </w:tc>
        <w:tc>
          <w:tcPr>
            <w:tcW w:w="798" w:type="dxa"/>
            <w:tcBorders>
              <w:top w:val="single" w:sz="4" w:space="0" w:color="auto"/>
              <w:bottom w:val="single" w:sz="4" w:space="0" w:color="auto"/>
            </w:tcBorders>
            <w:shd w:val="clear" w:color="auto" w:fill="auto"/>
          </w:tcPr>
          <w:p w14:paraId="0E22AD31" w14:textId="77777777" w:rsidR="00742247" w:rsidRPr="00AE3374" w:rsidRDefault="00742247" w:rsidP="00A6509D">
            <w:pPr>
              <w:pStyle w:val="Tableheading1"/>
            </w:pPr>
          </w:p>
        </w:tc>
        <w:tc>
          <w:tcPr>
            <w:tcW w:w="1947" w:type="dxa"/>
            <w:tcBorders>
              <w:top w:val="single" w:sz="4" w:space="0" w:color="auto"/>
              <w:bottom w:val="single" w:sz="4" w:space="0" w:color="auto"/>
            </w:tcBorders>
            <w:shd w:val="clear" w:color="auto" w:fill="auto"/>
          </w:tcPr>
          <w:p w14:paraId="635AFC54" w14:textId="77777777" w:rsidR="00742247" w:rsidRPr="00AE3374" w:rsidRDefault="00742247" w:rsidP="00A6509D">
            <w:pPr>
              <w:pStyle w:val="Tableheading1"/>
            </w:pPr>
          </w:p>
        </w:tc>
        <w:tc>
          <w:tcPr>
            <w:tcW w:w="0" w:type="auto"/>
            <w:tcBorders>
              <w:top w:val="single" w:sz="4" w:space="0" w:color="auto"/>
              <w:bottom w:val="single" w:sz="4" w:space="0" w:color="auto"/>
            </w:tcBorders>
            <w:shd w:val="clear" w:color="auto" w:fill="auto"/>
          </w:tcPr>
          <w:p w14:paraId="348EFFF4" w14:textId="77777777" w:rsidR="00742247" w:rsidRPr="00AE3374" w:rsidRDefault="00742247" w:rsidP="00A6509D">
            <w:pPr>
              <w:pStyle w:val="Tableheading1"/>
            </w:pPr>
          </w:p>
        </w:tc>
        <w:tc>
          <w:tcPr>
            <w:tcW w:w="0" w:type="auto"/>
            <w:tcBorders>
              <w:top w:val="single" w:sz="4" w:space="0" w:color="auto"/>
              <w:bottom w:val="single" w:sz="4" w:space="0" w:color="auto"/>
            </w:tcBorders>
            <w:shd w:val="clear" w:color="auto" w:fill="auto"/>
          </w:tcPr>
          <w:p w14:paraId="6CFDFA85" w14:textId="77777777" w:rsidR="00742247" w:rsidRPr="00AE3374" w:rsidRDefault="00742247" w:rsidP="00A6509D">
            <w:pPr>
              <w:pStyle w:val="Tableheading1"/>
            </w:pPr>
          </w:p>
        </w:tc>
        <w:tc>
          <w:tcPr>
            <w:tcW w:w="0" w:type="auto"/>
            <w:tcBorders>
              <w:top w:val="single" w:sz="4" w:space="0" w:color="auto"/>
              <w:bottom w:val="single" w:sz="4" w:space="0" w:color="auto"/>
              <w:right w:val="single" w:sz="4" w:space="0" w:color="auto"/>
            </w:tcBorders>
            <w:shd w:val="clear" w:color="auto" w:fill="auto"/>
          </w:tcPr>
          <w:p w14:paraId="6680BA13" w14:textId="77777777" w:rsidR="00742247" w:rsidRPr="00AE3374" w:rsidRDefault="00742247" w:rsidP="00A6509D">
            <w:pPr>
              <w:pStyle w:val="Tableheading1"/>
            </w:pPr>
          </w:p>
        </w:tc>
      </w:tr>
      <w:tr w:rsidR="00742247" w:rsidRPr="00D67F58" w14:paraId="00488289" w14:textId="77777777" w:rsidTr="00324D6F">
        <w:trPr>
          <w:trHeight w:val="397"/>
        </w:trPr>
        <w:tc>
          <w:tcPr>
            <w:tcW w:w="0" w:type="auto"/>
            <w:tcBorders>
              <w:top w:val="nil"/>
              <w:left w:val="single" w:sz="4" w:space="0" w:color="auto"/>
              <w:bottom w:val="single" w:sz="4" w:space="0" w:color="auto"/>
              <w:right w:val="single" w:sz="4" w:space="0" w:color="auto"/>
            </w:tcBorders>
            <w:shd w:val="clear" w:color="auto" w:fill="auto"/>
          </w:tcPr>
          <w:p w14:paraId="0FA43394" w14:textId="6C0B4C5F" w:rsidR="00742247" w:rsidRPr="00D67F58" w:rsidRDefault="00CA2D63" w:rsidP="00A6509D">
            <w:pPr>
              <w:pStyle w:val="Tabletext1"/>
            </w:pPr>
            <w:r>
              <w:t>Abd-Alazeez</w:t>
            </w:r>
            <w:r w:rsidR="008A2119">
              <w:t xml:space="preserve"> et al. (</w:t>
            </w:r>
            <w:r>
              <w:t>2014</w:t>
            </w:r>
            <w:r w:rsidR="008A2119">
              <w:t>)</w:t>
            </w:r>
          </w:p>
          <w:p w14:paraId="295B5EA7" w14:textId="04661565" w:rsidR="00742247" w:rsidRPr="00D67F58" w:rsidRDefault="008A71E9" w:rsidP="00A6509D">
            <w:pPr>
              <w:pStyle w:val="Tabletext1"/>
            </w:pPr>
            <w:r>
              <w:t>n</w:t>
            </w:r>
            <w:r w:rsidR="00742247" w:rsidRPr="00D67F58">
              <w:t>=137</w:t>
            </w:r>
          </w:p>
        </w:tc>
        <w:tc>
          <w:tcPr>
            <w:tcW w:w="798" w:type="dxa"/>
            <w:tcBorders>
              <w:top w:val="nil"/>
              <w:left w:val="single" w:sz="4" w:space="0" w:color="auto"/>
              <w:bottom w:val="single" w:sz="4" w:space="0" w:color="auto"/>
              <w:right w:val="single" w:sz="4" w:space="0" w:color="auto"/>
            </w:tcBorders>
            <w:shd w:val="clear" w:color="auto" w:fill="auto"/>
            <w:hideMark/>
          </w:tcPr>
          <w:p w14:paraId="314AF4C0" w14:textId="77777777" w:rsidR="00742247" w:rsidRPr="00D67F58" w:rsidRDefault="00742247" w:rsidP="00A6509D">
            <w:pPr>
              <w:pStyle w:val="Tabletext1"/>
            </w:pPr>
            <w:r w:rsidRPr="00D67F58">
              <w:t>UK</w:t>
            </w:r>
          </w:p>
        </w:tc>
        <w:tc>
          <w:tcPr>
            <w:tcW w:w="1947" w:type="dxa"/>
            <w:tcBorders>
              <w:top w:val="nil"/>
              <w:left w:val="nil"/>
              <w:bottom w:val="single" w:sz="4" w:space="0" w:color="auto"/>
              <w:right w:val="single" w:sz="4" w:space="0" w:color="auto"/>
            </w:tcBorders>
            <w:shd w:val="clear" w:color="auto" w:fill="auto"/>
            <w:hideMark/>
          </w:tcPr>
          <w:p w14:paraId="239C398D" w14:textId="77777777" w:rsidR="00742247" w:rsidRPr="00D67F58" w:rsidRDefault="00742247" w:rsidP="00A6509D">
            <w:pPr>
              <w:pStyle w:val="Tabletext1"/>
            </w:pPr>
            <w:r w:rsidRPr="00D67F58">
              <w:t>Mean between 59 and 63, dependent on mpMRI outcome.</w:t>
            </w:r>
          </w:p>
        </w:tc>
        <w:tc>
          <w:tcPr>
            <w:tcW w:w="0" w:type="auto"/>
            <w:tcBorders>
              <w:top w:val="nil"/>
              <w:left w:val="nil"/>
              <w:bottom w:val="single" w:sz="4" w:space="0" w:color="auto"/>
              <w:right w:val="single" w:sz="4" w:space="0" w:color="auto"/>
            </w:tcBorders>
          </w:tcPr>
          <w:p w14:paraId="3B589ADC" w14:textId="77777777" w:rsidR="00742247" w:rsidRPr="00D67F58" w:rsidRDefault="00742247" w:rsidP="00A6509D">
            <w:pPr>
              <w:pStyle w:val="Tabletext1"/>
            </w:pPr>
            <w:r w:rsidRPr="00D67F58">
              <w:t>Prior biopsy, PSA</w:t>
            </w:r>
          </w:p>
        </w:tc>
        <w:tc>
          <w:tcPr>
            <w:tcW w:w="0" w:type="auto"/>
            <w:tcBorders>
              <w:top w:val="nil"/>
              <w:left w:val="nil"/>
              <w:bottom w:val="single" w:sz="4" w:space="0" w:color="auto"/>
              <w:right w:val="single" w:sz="4" w:space="0" w:color="auto"/>
            </w:tcBorders>
            <w:shd w:val="clear" w:color="auto" w:fill="auto"/>
            <w:hideMark/>
          </w:tcPr>
          <w:p w14:paraId="5139AC15" w14:textId="77777777" w:rsidR="00742247" w:rsidRPr="00D67F58" w:rsidRDefault="00742247" w:rsidP="00A6509D">
            <w:pPr>
              <w:pStyle w:val="Tabletext1"/>
            </w:pPr>
            <w:r w:rsidRPr="00D67F58">
              <w:t>Median between 5 and 8, dependent on mpMRI outcome.</w:t>
            </w:r>
          </w:p>
        </w:tc>
        <w:tc>
          <w:tcPr>
            <w:tcW w:w="0" w:type="auto"/>
            <w:tcBorders>
              <w:top w:val="nil"/>
              <w:left w:val="nil"/>
              <w:bottom w:val="single" w:sz="4" w:space="0" w:color="auto"/>
              <w:right w:val="single" w:sz="4" w:space="0" w:color="auto"/>
            </w:tcBorders>
            <w:shd w:val="clear" w:color="auto" w:fill="auto"/>
            <w:hideMark/>
          </w:tcPr>
          <w:p w14:paraId="2C8B8A61" w14:textId="7BA0FF06" w:rsidR="00742247" w:rsidRPr="00D67F58" w:rsidRDefault="00324D6F" w:rsidP="00A6509D">
            <w:pPr>
              <w:pStyle w:val="Tabletext1"/>
            </w:pPr>
            <w:r>
              <w:t>A</w:t>
            </w:r>
            <w:r w:rsidR="00742247" w:rsidRPr="00D67F58">
              <w:t>ll 3+3</w:t>
            </w:r>
          </w:p>
        </w:tc>
      </w:tr>
      <w:tr w:rsidR="00742247" w:rsidRPr="00D67F58" w14:paraId="43D8BC02" w14:textId="77777777" w:rsidTr="00324D6F">
        <w:trPr>
          <w:trHeight w:val="397"/>
        </w:trPr>
        <w:tc>
          <w:tcPr>
            <w:tcW w:w="0" w:type="auto"/>
            <w:tcBorders>
              <w:top w:val="nil"/>
              <w:left w:val="single" w:sz="4" w:space="0" w:color="auto"/>
              <w:bottom w:val="single" w:sz="4" w:space="0" w:color="auto"/>
              <w:right w:val="single" w:sz="4" w:space="0" w:color="auto"/>
            </w:tcBorders>
            <w:shd w:val="clear" w:color="auto" w:fill="auto"/>
          </w:tcPr>
          <w:p w14:paraId="78C46655" w14:textId="46FEBFE7" w:rsidR="00742247" w:rsidRPr="00D67F58" w:rsidRDefault="008A2119" w:rsidP="00A6509D">
            <w:pPr>
              <w:pStyle w:val="Tabletext1"/>
            </w:pPr>
            <w:r>
              <w:t>Almeida et al. (</w:t>
            </w:r>
            <w:r w:rsidR="00CA2D63">
              <w:t>2016</w:t>
            </w:r>
            <w:r>
              <w:t>)</w:t>
            </w:r>
            <w:r w:rsidR="00CA2D63">
              <w:t xml:space="preserve"> </w:t>
            </w:r>
          </w:p>
          <w:p w14:paraId="2196BD4C" w14:textId="142DEC31" w:rsidR="00742247" w:rsidRPr="00D67F58" w:rsidRDefault="00742247" w:rsidP="00A6509D">
            <w:pPr>
              <w:pStyle w:val="Tabletext1"/>
            </w:pPr>
            <w:r w:rsidRPr="00D67F58">
              <w:t>n=73</w:t>
            </w:r>
          </w:p>
        </w:tc>
        <w:tc>
          <w:tcPr>
            <w:tcW w:w="798" w:type="dxa"/>
            <w:tcBorders>
              <w:top w:val="nil"/>
              <w:left w:val="single" w:sz="4" w:space="0" w:color="auto"/>
              <w:bottom w:val="single" w:sz="4" w:space="0" w:color="auto"/>
              <w:right w:val="single" w:sz="4" w:space="0" w:color="auto"/>
            </w:tcBorders>
            <w:shd w:val="clear" w:color="auto" w:fill="auto"/>
            <w:hideMark/>
          </w:tcPr>
          <w:p w14:paraId="2EE8DC69" w14:textId="77777777" w:rsidR="00742247" w:rsidRPr="00D67F58" w:rsidRDefault="00742247" w:rsidP="00A6509D">
            <w:pPr>
              <w:pStyle w:val="Tabletext1"/>
            </w:pPr>
            <w:r w:rsidRPr="00D67F58">
              <w:t>Italy</w:t>
            </w:r>
          </w:p>
        </w:tc>
        <w:tc>
          <w:tcPr>
            <w:tcW w:w="1947" w:type="dxa"/>
            <w:tcBorders>
              <w:top w:val="nil"/>
              <w:left w:val="nil"/>
              <w:bottom w:val="single" w:sz="4" w:space="0" w:color="auto"/>
              <w:right w:val="single" w:sz="4" w:space="0" w:color="auto"/>
            </w:tcBorders>
            <w:shd w:val="clear" w:color="auto" w:fill="auto"/>
            <w:hideMark/>
          </w:tcPr>
          <w:p w14:paraId="365C6CC8" w14:textId="77777777" w:rsidR="00742247" w:rsidRPr="00D67F58" w:rsidRDefault="00742247" w:rsidP="00A6509D">
            <w:pPr>
              <w:pStyle w:val="Tabletext1"/>
            </w:pPr>
            <w:r w:rsidRPr="00D67F58">
              <w:t>Mean 63</w:t>
            </w:r>
          </w:p>
        </w:tc>
        <w:tc>
          <w:tcPr>
            <w:tcW w:w="0" w:type="auto"/>
            <w:tcBorders>
              <w:top w:val="nil"/>
              <w:left w:val="nil"/>
              <w:bottom w:val="single" w:sz="4" w:space="0" w:color="auto"/>
              <w:right w:val="single" w:sz="4" w:space="0" w:color="auto"/>
            </w:tcBorders>
          </w:tcPr>
          <w:p w14:paraId="12C5F6D2" w14:textId="77777777" w:rsidR="00742247" w:rsidRPr="00D67F58" w:rsidRDefault="00742247" w:rsidP="00A6509D">
            <w:pPr>
              <w:pStyle w:val="Tabletext1"/>
            </w:pPr>
            <w:r w:rsidRPr="00D67F58">
              <w:t>Prior biopsy, PSA</w:t>
            </w:r>
          </w:p>
        </w:tc>
        <w:tc>
          <w:tcPr>
            <w:tcW w:w="0" w:type="auto"/>
            <w:tcBorders>
              <w:top w:val="nil"/>
              <w:left w:val="nil"/>
              <w:bottom w:val="single" w:sz="4" w:space="0" w:color="auto"/>
              <w:right w:val="single" w:sz="4" w:space="0" w:color="auto"/>
            </w:tcBorders>
            <w:shd w:val="clear" w:color="auto" w:fill="auto"/>
            <w:hideMark/>
          </w:tcPr>
          <w:p w14:paraId="4F9A98AD" w14:textId="77777777" w:rsidR="00742247" w:rsidRPr="00D67F58" w:rsidRDefault="00742247" w:rsidP="00A6509D">
            <w:pPr>
              <w:pStyle w:val="Tabletext1"/>
            </w:pPr>
            <w:r w:rsidRPr="00D67F58">
              <w:t>Mean 6.0</w:t>
            </w:r>
          </w:p>
        </w:tc>
        <w:tc>
          <w:tcPr>
            <w:tcW w:w="0" w:type="auto"/>
            <w:tcBorders>
              <w:top w:val="nil"/>
              <w:left w:val="nil"/>
              <w:bottom w:val="single" w:sz="4" w:space="0" w:color="auto"/>
              <w:right w:val="single" w:sz="4" w:space="0" w:color="auto"/>
            </w:tcBorders>
            <w:shd w:val="clear" w:color="auto" w:fill="auto"/>
            <w:hideMark/>
          </w:tcPr>
          <w:p w14:paraId="78DFFC23" w14:textId="40CAC554" w:rsidR="00742247" w:rsidRPr="00D67F58" w:rsidRDefault="00742247" w:rsidP="00A6509D">
            <w:pPr>
              <w:pStyle w:val="Tabletext1"/>
            </w:pPr>
            <w:r w:rsidRPr="00D67F58">
              <w:t>≤6</w:t>
            </w:r>
          </w:p>
        </w:tc>
      </w:tr>
      <w:tr w:rsidR="00742247" w:rsidRPr="00D67F58" w14:paraId="1BB5DFD2" w14:textId="77777777" w:rsidTr="00324D6F">
        <w:trPr>
          <w:trHeight w:val="397"/>
        </w:trPr>
        <w:tc>
          <w:tcPr>
            <w:tcW w:w="0" w:type="auto"/>
            <w:tcBorders>
              <w:top w:val="nil"/>
              <w:left w:val="single" w:sz="4" w:space="0" w:color="auto"/>
              <w:bottom w:val="single" w:sz="4" w:space="0" w:color="auto"/>
              <w:right w:val="single" w:sz="4" w:space="0" w:color="auto"/>
            </w:tcBorders>
            <w:shd w:val="clear" w:color="auto" w:fill="auto"/>
          </w:tcPr>
          <w:p w14:paraId="6CB164C7" w14:textId="4BD41FC7" w:rsidR="00742247" w:rsidRPr="00D67F58" w:rsidRDefault="008A2119" w:rsidP="00A6509D">
            <w:pPr>
              <w:pStyle w:val="Tabletext1"/>
            </w:pPr>
            <w:r>
              <w:lastRenderedPageBreak/>
              <w:t>de Cobelli et al. (</w:t>
            </w:r>
            <w:r w:rsidR="00CA2D63">
              <w:t>2015</w:t>
            </w:r>
            <w:r>
              <w:t>)</w:t>
            </w:r>
            <w:r w:rsidR="00CA2D63">
              <w:t xml:space="preserve"> </w:t>
            </w:r>
          </w:p>
          <w:p w14:paraId="6C740E24" w14:textId="2CF5A956" w:rsidR="00742247" w:rsidRPr="00D67F58" w:rsidRDefault="008A71E9" w:rsidP="00A6509D">
            <w:pPr>
              <w:pStyle w:val="Tabletext1"/>
            </w:pPr>
            <w:r>
              <w:t>n=</w:t>
            </w:r>
            <w:r w:rsidR="00742247" w:rsidRPr="00D67F58">
              <w:t>223</w:t>
            </w:r>
          </w:p>
        </w:tc>
        <w:tc>
          <w:tcPr>
            <w:tcW w:w="798" w:type="dxa"/>
            <w:tcBorders>
              <w:top w:val="nil"/>
              <w:left w:val="single" w:sz="4" w:space="0" w:color="auto"/>
              <w:bottom w:val="single" w:sz="4" w:space="0" w:color="auto"/>
              <w:right w:val="single" w:sz="4" w:space="0" w:color="auto"/>
            </w:tcBorders>
            <w:shd w:val="clear" w:color="auto" w:fill="auto"/>
            <w:hideMark/>
          </w:tcPr>
          <w:p w14:paraId="3B4F71D7" w14:textId="77777777" w:rsidR="00742247" w:rsidRPr="00D67F58" w:rsidRDefault="00742247" w:rsidP="00A6509D">
            <w:pPr>
              <w:pStyle w:val="Tabletext1"/>
            </w:pPr>
            <w:r w:rsidRPr="00D67F58">
              <w:t>Italy</w:t>
            </w:r>
          </w:p>
        </w:tc>
        <w:tc>
          <w:tcPr>
            <w:tcW w:w="1947" w:type="dxa"/>
            <w:tcBorders>
              <w:top w:val="nil"/>
              <w:left w:val="nil"/>
              <w:bottom w:val="single" w:sz="4" w:space="0" w:color="auto"/>
              <w:right w:val="single" w:sz="4" w:space="0" w:color="auto"/>
            </w:tcBorders>
            <w:shd w:val="clear" w:color="auto" w:fill="auto"/>
            <w:hideMark/>
          </w:tcPr>
          <w:p w14:paraId="71CF1B32" w14:textId="77777777" w:rsidR="00742247" w:rsidRPr="00D67F58" w:rsidRDefault="00742247" w:rsidP="00A6509D">
            <w:pPr>
              <w:pStyle w:val="Tabletext1"/>
            </w:pPr>
            <w:r w:rsidRPr="00D67F58">
              <w:t>Mean 63</w:t>
            </w:r>
          </w:p>
        </w:tc>
        <w:tc>
          <w:tcPr>
            <w:tcW w:w="0" w:type="auto"/>
            <w:tcBorders>
              <w:top w:val="nil"/>
              <w:left w:val="nil"/>
              <w:bottom w:val="single" w:sz="4" w:space="0" w:color="auto"/>
              <w:right w:val="single" w:sz="4" w:space="0" w:color="auto"/>
            </w:tcBorders>
          </w:tcPr>
          <w:p w14:paraId="3153420E" w14:textId="77777777" w:rsidR="00742247" w:rsidRPr="00D67F58" w:rsidRDefault="00742247" w:rsidP="00A6509D">
            <w:pPr>
              <w:pStyle w:val="Tabletext1"/>
            </w:pPr>
            <w:r w:rsidRPr="00D67F58">
              <w:t>Prior biopsy, PSA</w:t>
            </w:r>
          </w:p>
        </w:tc>
        <w:tc>
          <w:tcPr>
            <w:tcW w:w="0" w:type="auto"/>
            <w:tcBorders>
              <w:top w:val="nil"/>
              <w:left w:val="nil"/>
              <w:bottom w:val="single" w:sz="4" w:space="0" w:color="auto"/>
              <w:right w:val="single" w:sz="4" w:space="0" w:color="auto"/>
            </w:tcBorders>
            <w:shd w:val="clear" w:color="auto" w:fill="auto"/>
            <w:hideMark/>
          </w:tcPr>
          <w:p w14:paraId="6219D459" w14:textId="77777777" w:rsidR="00742247" w:rsidRPr="00D67F58" w:rsidRDefault="00742247" w:rsidP="00A6509D">
            <w:pPr>
              <w:pStyle w:val="Tabletext1"/>
            </w:pPr>
            <w:r w:rsidRPr="00D67F58">
              <w:t>Mean 6.0</w:t>
            </w:r>
          </w:p>
        </w:tc>
        <w:tc>
          <w:tcPr>
            <w:tcW w:w="0" w:type="auto"/>
            <w:tcBorders>
              <w:top w:val="nil"/>
              <w:left w:val="nil"/>
              <w:bottom w:val="single" w:sz="4" w:space="0" w:color="auto"/>
              <w:right w:val="single" w:sz="4" w:space="0" w:color="auto"/>
            </w:tcBorders>
            <w:shd w:val="clear" w:color="auto" w:fill="auto"/>
            <w:hideMark/>
          </w:tcPr>
          <w:p w14:paraId="13F43C31" w14:textId="3A8B544A" w:rsidR="00742247" w:rsidRPr="00D67F58" w:rsidRDefault="00742247" w:rsidP="00A6509D">
            <w:pPr>
              <w:pStyle w:val="Tabletext1"/>
            </w:pPr>
            <w:r w:rsidRPr="00D67F58">
              <w:t>≤6</w:t>
            </w:r>
          </w:p>
        </w:tc>
      </w:tr>
      <w:tr w:rsidR="00742247" w:rsidRPr="00D67F58" w14:paraId="13186508" w14:textId="77777777" w:rsidTr="00324D6F">
        <w:trPr>
          <w:trHeight w:val="397"/>
        </w:trPr>
        <w:tc>
          <w:tcPr>
            <w:tcW w:w="0" w:type="auto"/>
            <w:tcBorders>
              <w:top w:val="nil"/>
              <w:left w:val="single" w:sz="4" w:space="0" w:color="auto"/>
              <w:bottom w:val="single" w:sz="4" w:space="0" w:color="auto"/>
              <w:right w:val="single" w:sz="4" w:space="0" w:color="auto"/>
            </w:tcBorders>
            <w:shd w:val="clear" w:color="auto" w:fill="auto"/>
          </w:tcPr>
          <w:p w14:paraId="2B5841B9" w14:textId="30FCFEE0" w:rsidR="00742247" w:rsidRPr="00D67F58" w:rsidRDefault="00CA2D63" w:rsidP="00A6509D">
            <w:pPr>
              <w:pStyle w:val="Tabletext1"/>
            </w:pPr>
            <w:r>
              <w:t>Flavell</w:t>
            </w:r>
            <w:r w:rsidR="008A2119">
              <w:t xml:space="preserve"> et al. (</w:t>
            </w:r>
            <w:r>
              <w:t>2014</w:t>
            </w:r>
            <w:r w:rsidR="008A2119">
              <w:t>)</w:t>
            </w:r>
          </w:p>
          <w:p w14:paraId="73DE2627" w14:textId="02E861CD" w:rsidR="00742247" w:rsidRPr="00D67F58" w:rsidRDefault="00742247" w:rsidP="00A6509D">
            <w:pPr>
              <w:pStyle w:val="Tabletext1"/>
            </w:pPr>
            <w:r w:rsidRPr="00D67F58">
              <w:t>n=64</w:t>
            </w:r>
          </w:p>
        </w:tc>
        <w:tc>
          <w:tcPr>
            <w:tcW w:w="798" w:type="dxa"/>
            <w:tcBorders>
              <w:top w:val="nil"/>
              <w:left w:val="single" w:sz="4" w:space="0" w:color="auto"/>
              <w:bottom w:val="single" w:sz="4" w:space="0" w:color="auto"/>
              <w:right w:val="single" w:sz="4" w:space="0" w:color="auto"/>
            </w:tcBorders>
            <w:shd w:val="clear" w:color="auto" w:fill="auto"/>
            <w:hideMark/>
          </w:tcPr>
          <w:p w14:paraId="2C6A9F1B" w14:textId="77777777" w:rsidR="00742247" w:rsidRPr="00D67F58" w:rsidRDefault="00742247" w:rsidP="00A6509D">
            <w:pPr>
              <w:pStyle w:val="Tabletext1"/>
            </w:pPr>
            <w:r w:rsidRPr="00D67F58">
              <w:t>USA</w:t>
            </w:r>
          </w:p>
        </w:tc>
        <w:tc>
          <w:tcPr>
            <w:tcW w:w="1947" w:type="dxa"/>
            <w:tcBorders>
              <w:top w:val="nil"/>
              <w:left w:val="nil"/>
              <w:bottom w:val="single" w:sz="4" w:space="0" w:color="auto"/>
              <w:right w:val="single" w:sz="4" w:space="0" w:color="auto"/>
            </w:tcBorders>
            <w:shd w:val="clear" w:color="auto" w:fill="auto"/>
            <w:hideMark/>
          </w:tcPr>
          <w:p w14:paraId="116688BB" w14:textId="77777777" w:rsidR="00742247" w:rsidRPr="00D67F58" w:rsidRDefault="00742247" w:rsidP="00A6509D">
            <w:pPr>
              <w:pStyle w:val="Tabletext1"/>
            </w:pPr>
            <w:r w:rsidRPr="00D67F58">
              <w:t>Median 61</w:t>
            </w:r>
          </w:p>
        </w:tc>
        <w:tc>
          <w:tcPr>
            <w:tcW w:w="0" w:type="auto"/>
            <w:tcBorders>
              <w:top w:val="nil"/>
              <w:left w:val="nil"/>
              <w:bottom w:val="single" w:sz="4" w:space="0" w:color="auto"/>
              <w:right w:val="single" w:sz="4" w:space="0" w:color="auto"/>
            </w:tcBorders>
          </w:tcPr>
          <w:p w14:paraId="25983112" w14:textId="77777777" w:rsidR="00742247" w:rsidRPr="00D67F58" w:rsidRDefault="00742247" w:rsidP="00A6509D">
            <w:pPr>
              <w:pStyle w:val="Tabletext1"/>
            </w:pPr>
            <w:r w:rsidRPr="00D67F58">
              <w:t>PSA, biopsy</w:t>
            </w:r>
          </w:p>
        </w:tc>
        <w:tc>
          <w:tcPr>
            <w:tcW w:w="0" w:type="auto"/>
            <w:tcBorders>
              <w:top w:val="nil"/>
              <w:left w:val="nil"/>
              <w:bottom w:val="single" w:sz="4" w:space="0" w:color="auto"/>
              <w:right w:val="single" w:sz="4" w:space="0" w:color="auto"/>
            </w:tcBorders>
            <w:shd w:val="clear" w:color="auto" w:fill="auto"/>
            <w:hideMark/>
          </w:tcPr>
          <w:p w14:paraId="5A9F4FC9" w14:textId="77777777" w:rsidR="00742247" w:rsidRPr="00D67F58" w:rsidRDefault="00742247" w:rsidP="00A6509D">
            <w:pPr>
              <w:pStyle w:val="Tabletext1"/>
            </w:pPr>
            <w:r w:rsidRPr="00D67F58">
              <w:t>Median 4.7</w:t>
            </w:r>
          </w:p>
        </w:tc>
        <w:tc>
          <w:tcPr>
            <w:tcW w:w="0" w:type="auto"/>
            <w:tcBorders>
              <w:top w:val="nil"/>
              <w:left w:val="nil"/>
              <w:bottom w:val="single" w:sz="4" w:space="0" w:color="auto"/>
              <w:right w:val="single" w:sz="4" w:space="0" w:color="auto"/>
            </w:tcBorders>
            <w:shd w:val="clear" w:color="auto" w:fill="auto"/>
            <w:hideMark/>
          </w:tcPr>
          <w:p w14:paraId="2CC4C077" w14:textId="2E3C433F" w:rsidR="00742247" w:rsidRPr="00D67F58" w:rsidRDefault="00324D6F" w:rsidP="00A6509D">
            <w:pPr>
              <w:pStyle w:val="Tabletext1"/>
            </w:pPr>
            <w:r>
              <w:t>A</w:t>
            </w:r>
            <w:r w:rsidR="00742247" w:rsidRPr="00D67F58">
              <w:t>ll 3+3</w:t>
            </w:r>
          </w:p>
        </w:tc>
      </w:tr>
      <w:tr w:rsidR="00742247" w:rsidRPr="00D67F58" w14:paraId="1C0DD60B" w14:textId="77777777" w:rsidTr="00324D6F">
        <w:trPr>
          <w:trHeight w:val="397"/>
        </w:trPr>
        <w:tc>
          <w:tcPr>
            <w:tcW w:w="0" w:type="auto"/>
            <w:tcBorders>
              <w:top w:val="nil"/>
              <w:left w:val="single" w:sz="4" w:space="0" w:color="auto"/>
              <w:bottom w:val="single" w:sz="4" w:space="0" w:color="auto"/>
              <w:right w:val="single" w:sz="4" w:space="0" w:color="auto"/>
            </w:tcBorders>
            <w:shd w:val="clear" w:color="auto" w:fill="auto"/>
          </w:tcPr>
          <w:p w14:paraId="29E8A88B" w14:textId="35114A66" w:rsidR="00742247" w:rsidRPr="00D67F58" w:rsidRDefault="008A2119" w:rsidP="00A6509D">
            <w:pPr>
              <w:pStyle w:val="Tabletext1"/>
            </w:pPr>
            <w:r>
              <w:t>Porpiglia et al. (</w:t>
            </w:r>
            <w:r w:rsidR="00CA2D63">
              <w:t>2015</w:t>
            </w:r>
            <w:r>
              <w:t>)</w:t>
            </w:r>
            <w:r w:rsidR="00CA2D63">
              <w:t xml:space="preserve"> </w:t>
            </w:r>
          </w:p>
          <w:p w14:paraId="5D969EA8" w14:textId="70793078" w:rsidR="00742247" w:rsidRPr="00D67F58" w:rsidRDefault="008A71E9" w:rsidP="00A6509D">
            <w:pPr>
              <w:pStyle w:val="Tabletext1"/>
            </w:pPr>
            <w:r>
              <w:t>n</w:t>
            </w:r>
            <w:r w:rsidR="00742247" w:rsidRPr="00D67F58">
              <w:t>=120</w:t>
            </w:r>
          </w:p>
        </w:tc>
        <w:tc>
          <w:tcPr>
            <w:tcW w:w="798" w:type="dxa"/>
            <w:tcBorders>
              <w:top w:val="nil"/>
              <w:left w:val="single" w:sz="4" w:space="0" w:color="auto"/>
              <w:bottom w:val="single" w:sz="4" w:space="0" w:color="auto"/>
              <w:right w:val="single" w:sz="4" w:space="0" w:color="auto"/>
            </w:tcBorders>
            <w:shd w:val="clear" w:color="auto" w:fill="auto"/>
            <w:hideMark/>
          </w:tcPr>
          <w:p w14:paraId="76517BC7" w14:textId="77777777" w:rsidR="00742247" w:rsidRPr="00D67F58" w:rsidRDefault="00742247" w:rsidP="00A6509D">
            <w:pPr>
              <w:pStyle w:val="Tabletext1"/>
            </w:pPr>
            <w:r w:rsidRPr="00D67F58">
              <w:t>Italy</w:t>
            </w:r>
          </w:p>
        </w:tc>
        <w:tc>
          <w:tcPr>
            <w:tcW w:w="1947" w:type="dxa"/>
            <w:tcBorders>
              <w:top w:val="nil"/>
              <w:left w:val="nil"/>
              <w:bottom w:val="single" w:sz="4" w:space="0" w:color="auto"/>
              <w:right w:val="single" w:sz="4" w:space="0" w:color="auto"/>
            </w:tcBorders>
            <w:shd w:val="clear" w:color="auto" w:fill="auto"/>
            <w:hideMark/>
          </w:tcPr>
          <w:p w14:paraId="2F067EF3" w14:textId="77777777" w:rsidR="00742247" w:rsidRPr="00D67F58" w:rsidRDefault="00742247" w:rsidP="00A6509D">
            <w:pPr>
              <w:pStyle w:val="Tabletext1"/>
            </w:pPr>
            <w:r w:rsidRPr="00D67F58">
              <w:t>Median 65 or 66, dependent on cancer significance.</w:t>
            </w:r>
          </w:p>
        </w:tc>
        <w:tc>
          <w:tcPr>
            <w:tcW w:w="0" w:type="auto"/>
            <w:tcBorders>
              <w:top w:val="nil"/>
              <w:left w:val="nil"/>
              <w:bottom w:val="single" w:sz="4" w:space="0" w:color="auto"/>
              <w:right w:val="single" w:sz="4" w:space="0" w:color="auto"/>
            </w:tcBorders>
          </w:tcPr>
          <w:p w14:paraId="2740FB48" w14:textId="77777777" w:rsidR="00742247" w:rsidRPr="00D67F58" w:rsidRDefault="00742247" w:rsidP="00A6509D">
            <w:pPr>
              <w:pStyle w:val="Tabletext1"/>
            </w:pPr>
            <w:r w:rsidRPr="00D67F58">
              <w:t>PSA, PHI, PCA3, biopsy</w:t>
            </w:r>
          </w:p>
        </w:tc>
        <w:tc>
          <w:tcPr>
            <w:tcW w:w="0" w:type="auto"/>
            <w:tcBorders>
              <w:top w:val="nil"/>
              <w:left w:val="nil"/>
              <w:bottom w:val="single" w:sz="4" w:space="0" w:color="auto"/>
              <w:right w:val="single" w:sz="4" w:space="0" w:color="auto"/>
            </w:tcBorders>
            <w:shd w:val="clear" w:color="auto" w:fill="auto"/>
            <w:hideMark/>
          </w:tcPr>
          <w:p w14:paraId="02F4CC2E" w14:textId="77777777" w:rsidR="00742247" w:rsidRPr="00D67F58" w:rsidRDefault="00742247" w:rsidP="00A6509D">
            <w:pPr>
              <w:pStyle w:val="Tabletext1"/>
            </w:pPr>
            <w:r w:rsidRPr="00D67F58">
              <w:t>Median 5.8 or 7.0, dependent on cancer significance.</w:t>
            </w:r>
          </w:p>
        </w:tc>
        <w:tc>
          <w:tcPr>
            <w:tcW w:w="0" w:type="auto"/>
            <w:tcBorders>
              <w:top w:val="nil"/>
              <w:left w:val="nil"/>
              <w:bottom w:val="single" w:sz="4" w:space="0" w:color="auto"/>
              <w:right w:val="single" w:sz="4" w:space="0" w:color="auto"/>
            </w:tcBorders>
            <w:shd w:val="clear" w:color="auto" w:fill="auto"/>
            <w:hideMark/>
          </w:tcPr>
          <w:p w14:paraId="0449BE15" w14:textId="06AC6946" w:rsidR="00742247" w:rsidRPr="00D67F58" w:rsidRDefault="00324D6F" w:rsidP="00A6509D">
            <w:pPr>
              <w:pStyle w:val="Tabletext1"/>
            </w:pPr>
            <w:r>
              <w:t>A</w:t>
            </w:r>
            <w:r w:rsidR="00742247" w:rsidRPr="00D67F58">
              <w:t>ll ≤6</w:t>
            </w:r>
          </w:p>
        </w:tc>
      </w:tr>
      <w:tr w:rsidR="00742247" w:rsidRPr="00D67F58" w14:paraId="6884BF6C" w14:textId="77777777" w:rsidTr="00324D6F">
        <w:trPr>
          <w:trHeight w:val="397"/>
        </w:trPr>
        <w:tc>
          <w:tcPr>
            <w:tcW w:w="0" w:type="auto"/>
            <w:tcBorders>
              <w:top w:val="nil"/>
              <w:left w:val="single" w:sz="4" w:space="0" w:color="auto"/>
              <w:bottom w:val="single" w:sz="4" w:space="0" w:color="auto"/>
              <w:right w:val="single" w:sz="4" w:space="0" w:color="auto"/>
            </w:tcBorders>
            <w:shd w:val="clear" w:color="auto" w:fill="auto"/>
          </w:tcPr>
          <w:p w14:paraId="59D92720" w14:textId="18916D8A" w:rsidR="00742247" w:rsidRPr="00D67F58" w:rsidRDefault="008A2119" w:rsidP="00A6509D">
            <w:pPr>
              <w:pStyle w:val="Tabletext1"/>
            </w:pPr>
            <w:r>
              <w:t>Recabal et al. (</w:t>
            </w:r>
            <w:r w:rsidR="00CA2D63">
              <w:t>2016</w:t>
            </w:r>
            <w:r>
              <w:t>)</w:t>
            </w:r>
            <w:r w:rsidR="00CA2D63">
              <w:t xml:space="preserve"> </w:t>
            </w:r>
          </w:p>
          <w:p w14:paraId="7ABEE597" w14:textId="2539EECF" w:rsidR="00742247" w:rsidRPr="00D67F58" w:rsidRDefault="00742247" w:rsidP="00A6509D">
            <w:pPr>
              <w:pStyle w:val="Tabletext1"/>
            </w:pPr>
            <w:r w:rsidRPr="00D67F58">
              <w:t>n=206</w:t>
            </w:r>
          </w:p>
        </w:tc>
        <w:tc>
          <w:tcPr>
            <w:tcW w:w="798" w:type="dxa"/>
            <w:tcBorders>
              <w:top w:val="nil"/>
              <w:left w:val="single" w:sz="4" w:space="0" w:color="auto"/>
              <w:bottom w:val="single" w:sz="4" w:space="0" w:color="auto"/>
              <w:right w:val="single" w:sz="4" w:space="0" w:color="auto"/>
            </w:tcBorders>
            <w:shd w:val="clear" w:color="auto" w:fill="auto"/>
            <w:hideMark/>
          </w:tcPr>
          <w:p w14:paraId="087AD270" w14:textId="77777777" w:rsidR="00742247" w:rsidRPr="00D67F58" w:rsidRDefault="00742247" w:rsidP="00A6509D">
            <w:pPr>
              <w:pStyle w:val="Tabletext1"/>
            </w:pPr>
            <w:r w:rsidRPr="00D67F58">
              <w:t>USA</w:t>
            </w:r>
          </w:p>
        </w:tc>
        <w:tc>
          <w:tcPr>
            <w:tcW w:w="1947" w:type="dxa"/>
            <w:tcBorders>
              <w:top w:val="nil"/>
              <w:left w:val="nil"/>
              <w:bottom w:val="single" w:sz="4" w:space="0" w:color="auto"/>
              <w:right w:val="single" w:sz="4" w:space="0" w:color="auto"/>
            </w:tcBorders>
            <w:shd w:val="clear" w:color="auto" w:fill="auto"/>
            <w:hideMark/>
          </w:tcPr>
          <w:p w14:paraId="6AE7BA79" w14:textId="77777777" w:rsidR="00742247" w:rsidRPr="00D67F58" w:rsidRDefault="00742247" w:rsidP="00A6509D">
            <w:pPr>
              <w:pStyle w:val="Tabletext1"/>
            </w:pPr>
            <w:r w:rsidRPr="00D67F58">
              <w:t>Median 63</w:t>
            </w:r>
          </w:p>
        </w:tc>
        <w:tc>
          <w:tcPr>
            <w:tcW w:w="0" w:type="auto"/>
            <w:tcBorders>
              <w:top w:val="nil"/>
              <w:left w:val="nil"/>
              <w:bottom w:val="single" w:sz="4" w:space="0" w:color="auto"/>
              <w:right w:val="single" w:sz="4" w:space="0" w:color="auto"/>
            </w:tcBorders>
          </w:tcPr>
          <w:p w14:paraId="56E99F1A" w14:textId="77777777" w:rsidR="00742247" w:rsidRPr="00D67F58" w:rsidRDefault="00742247" w:rsidP="00A6509D">
            <w:pPr>
              <w:pStyle w:val="Tabletext1"/>
            </w:pPr>
            <w:r w:rsidRPr="00D67F58">
              <w:t>PSA, PHI, biopsy</w:t>
            </w:r>
          </w:p>
        </w:tc>
        <w:tc>
          <w:tcPr>
            <w:tcW w:w="0" w:type="auto"/>
            <w:tcBorders>
              <w:top w:val="nil"/>
              <w:left w:val="single" w:sz="4" w:space="0" w:color="auto"/>
              <w:bottom w:val="single" w:sz="4" w:space="0" w:color="auto"/>
              <w:right w:val="single" w:sz="4" w:space="0" w:color="auto"/>
            </w:tcBorders>
            <w:shd w:val="clear" w:color="auto" w:fill="auto"/>
            <w:hideMark/>
          </w:tcPr>
          <w:p w14:paraId="5B899EE8" w14:textId="77777777" w:rsidR="00742247" w:rsidRPr="00D67F58" w:rsidRDefault="00742247" w:rsidP="00A6509D">
            <w:pPr>
              <w:pStyle w:val="Tabletext1"/>
            </w:pPr>
            <w:r w:rsidRPr="00D67F58">
              <w:t>Median 5.2</w:t>
            </w:r>
          </w:p>
        </w:tc>
        <w:tc>
          <w:tcPr>
            <w:tcW w:w="0" w:type="auto"/>
            <w:tcBorders>
              <w:top w:val="nil"/>
              <w:left w:val="nil"/>
              <w:bottom w:val="single" w:sz="4" w:space="0" w:color="auto"/>
              <w:right w:val="single" w:sz="4" w:space="0" w:color="auto"/>
            </w:tcBorders>
            <w:shd w:val="clear" w:color="auto" w:fill="auto"/>
            <w:hideMark/>
          </w:tcPr>
          <w:p w14:paraId="49A20ACA" w14:textId="442639DB" w:rsidR="00742247" w:rsidRPr="00D67F58" w:rsidRDefault="00324D6F" w:rsidP="00A6509D">
            <w:pPr>
              <w:pStyle w:val="Tabletext1"/>
            </w:pPr>
            <w:r>
              <w:t>A</w:t>
            </w:r>
            <w:r w:rsidR="00742247" w:rsidRPr="00D67F58">
              <w:t>ll ≤6</w:t>
            </w:r>
          </w:p>
        </w:tc>
      </w:tr>
    </w:tbl>
    <w:p w14:paraId="47B07C7C" w14:textId="755BA6F4" w:rsidR="00742247" w:rsidRPr="005D5653" w:rsidRDefault="00742247" w:rsidP="00413B4A">
      <w:pPr>
        <w:pStyle w:val="TableNotes"/>
      </w:pPr>
      <w:r w:rsidRPr="005D5653">
        <w:t>PCA3</w:t>
      </w:r>
      <w:r w:rsidR="00165382">
        <w:t xml:space="preserve"> = prostate cancer gene 3; PHI =</w:t>
      </w:r>
      <w:r w:rsidRPr="005D5653">
        <w:t xml:space="preserve"> prostate health index; </w:t>
      </w:r>
      <w:r w:rsidR="00165382">
        <w:rPr>
          <w:rFonts w:cs="AdvGulliv-R"/>
          <w:color w:val="000000"/>
        </w:rPr>
        <w:t>PSA =</w:t>
      </w:r>
      <w:r w:rsidR="008A71E9">
        <w:rPr>
          <w:rFonts w:cs="AdvGulliv-R"/>
          <w:color w:val="000000"/>
        </w:rPr>
        <w:t xml:space="preserve"> prostate-specific antigen, mpMRI = multiparametric MRI.</w:t>
      </w:r>
    </w:p>
    <w:p w14:paraId="368D04D9" w14:textId="691F8177" w:rsidR="00742247" w:rsidRDefault="00742247" w:rsidP="00742247">
      <w:pPr>
        <w:rPr>
          <w:rFonts w:cs="AdvGulliv-R"/>
          <w:color w:val="000000"/>
        </w:rPr>
      </w:pPr>
      <w:r w:rsidRPr="0009623C">
        <w:rPr>
          <w:rFonts w:cs="AdvGulliv-R"/>
          <w:color w:val="000000"/>
        </w:rPr>
        <w:t xml:space="preserve">Section B included </w:t>
      </w:r>
      <w:r>
        <w:rPr>
          <w:rFonts w:cs="AdvGulliv-R"/>
          <w:color w:val="000000"/>
        </w:rPr>
        <w:t>6</w:t>
      </w:r>
      <w:r w:rsidRPr="0009623C">
        <w:rPr>
          <w:rFonts w:cs="AdvGulliv-R"/>
          <w:color w:val="000000"/>
        </w:rPr>
        <w:t xml:space="preserve"> key studies </w:t>
      </w:r>
      <w:r w:rsidR="00324D6F">
        <w:rPr>
          <w:rFonts w:cs="AdvGulliv-R"/>
          <w:color w:val="000000"/>
        </w:rPr>
        <w:t>that included</w:t>
      </w:r>
      <w:r w:rsidRPr="0009623C">
        <w:rPr>
          <w:rFonts w:cs="AdvGulliv-R"/>
          <w:color w:val="000000"/>
        </w:rPr>
        <w:t xml:space="preserve"> </w:t>
      </w:r>
      <w:r>
        <w:rPr>
          <w:rFonts w:cs="AdvGulliv-R"/>
          <w:color w:val="000000"/>
        </w:rPr>
        <w:t xml:space="preserve">Population 2. The studies were conducted in UK, Italy and the USA. Information about the Australian </w:t>
      </w:r>
      <w:r w:rsidR="00CA1DDA">
        <w:rPr>
          <w:rFonts w:cs="AdvGulliv-R"/>
          <w:color w:val="000000"/>
        </w:rPr>
        <w:t>AS</w:t>
      </w:r>
      <w:r>
        <w:rPr>
          <w:rFonts w:cs="AdvGulliv-R"/>
          <w:color w:val="000000"/>
        </w:rPr>
        <w:t xml:space="preserve"> population was obtained from a publication by the Victorian Prostate Cancer Registry</w:t>
      </w:r>
      <w:r w:rsidR="00DA242C">
        <w:rPr>
          <w:rFonts w:cs="AdvGulliv-R"/>
          <w:color w:val="000000"/>
        </w:rPr>
        <w:t xml:space="preserve"> </w:t>
      </w:r>
      <w:r w:rsidR="008E0B00">
        <w:rPr>
          <w:rFonts w:cs="AdvGulliv-R"/>
          <w:color w:val="000000"/>
        </w:rPr>
        <w:fldChar w:fldCharType="begin">
          <w:fldData xml:space="preserve">PEVuZE5vdGU+PENpdGU+PEF1dGhvcj5XZWVyYWtvb248L0F1dGhvcj48WWVhcj4yMDE1PC9ZZWFy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</w:fldData>
        </w:fldChar>
      </w:r>
      <w:r w:rsidR="008E0B00">
        <w:rPr>
          <w:rFonts w:cs="AdvGulliv-R"/>
          <w:color w:val="000000"/>
        </w:rPr>
        <w:instrText xml:space="preserve"> ADDIN EN.CITE </w:instrText>
      </w:r>
      <w:r w:rsidR="008E0B00">
        <w:rPr>
          <w:rFonts w:cs="AdvGulliv-R"/>
          <w:color w:val="000000"/>
        </w:rPr>
        <w:fldChar w:fldCharType="begin">
          <w:fldData xml:space="preserve">PEVuZE5vdGU+PENpdGU+PEF1dGhvcj5XZWVyYWtvb248L0F1dGhvcj48WWVhcj4yMDE1PC9ZZWFy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</w:fldData>
        </w:fldChar>
      </w:r>
      <w:r w:rsidR="008E0B00">
        <w:rPr>
          <w:rFonts w:cs="AdvGulliv-R"/>
          <w:color w:val="000000"/>
        </w:rPr>
        <w:instrText xml:space="preserve"> ADDIN EN.CITE.DATA </w:instrText>
      </w:r>
      <w:r w:rsidR="008E0B00">
        <w:rPr>
          <w:rFonts w:cs="AdvGulliv-R"/>
          <w:color w:val="000000"/>
        </w:rPr>
      </w:r>
      <w:r w:rsidR="008E0B00">
        <w:rPr>
          <w:rFonts w:cs="AdvGulliv-R"/>
          <w:color w:val="000000"/>
        </w:rPr>
        <w:fldChar w:fldCharType="end"/>
      </w:r>
      <w:r w:rsidR="008E0B00">
        <w:rPr>
          <w:rFonts w:cs="AdvGulliv-R"/>
          <w:color w:val="000000"/>
        </w:rPr>
      </w:r>
      <w:r w:rsidR="008E0B00">
        <w:rPr>
          <w:rFonts w:cs="AdvGulliv-R"/>
          <w:color w:val="000000"/>
        </w:rPr>
        <w:fldChar w:fldCharType="separate"/>
      </w:r>
      <w:r w:rsidR="008E0B00">
        <w:rPr>
          <w:rFonts w:cs="AdvGulliv-R"/>
          <w:noProof/>
          <w:color w:val="000000"/>
        </w:rPr>
        <w:t>(</w:t>
      </w:r>
      <w:hyperlink w:anchor="_ENREF_178" w:tooltip="Weerakoon, 2015 #15" w:history="1">
        <w:r w:rsidR="008E0B00">
          <w:rPr>
            <w:rFonts w:cs="AdvGulliv-R"/>
            <w:noProof/>
            <w:color w:val="000000"/>
          </w:rPr>
          <w:t>Weerakoon et al. 2015</w:t>
        </w:r>
      </w:hyperlink>
      <w:r w:rsidR="008E0B00">
        <w:rPr>
          <w:rFonts w:cs="AdvGulliv-R"/>
          <w:noProof/>
          <w:color w:val="000000"/>
        </w:rPr>
        <w:t>)</w:t>
      </w:r>
      <w:r w:rsidR="008E0B00">
        <w:rPr>
          <w:rFonts w:cs="AdvGulliv-R"/>
          <w:color w:val="000000"/>
        </w:rPr>
        <w:fldChar w:fldCharType="end"/>
      </w:r>
      <w:r>
        <w:rPr>
          <w:rFonts w:cs="AdvGulliv-R"/>
          <w:color w:val="000000"/>
        </w:rPr>
        <w:t xml:space="preserve">. The median age within </w:t>
      </w:r>
      <w:r w:rsidR="00324D6F">
        <w:rPr>
          <w:rFonts w:cs="AdvGulliv-R"/>
          <w:color w:val="000000"/>
        </w:rPr>
        <w:t>the</w:t>
      </w:r>
      <w:r w:rsidR="008F01F6">
        <w:rPr>
          <w:rFonts w:cs="AdvGulliv-R"/>
          <w:color w:val="000000"/>
        </w:rPr>
        <w:t xml:space="preserve"> Australian </w:t>
      </w:r>
      <w:r w:rsidR="00324D6F">
        <w:rPr>
          <w:rFonts w:cs="AdvGulliv-R"/>
          <w:color w:val="000000"/>
        </w:rPr>
        <w:t xml:space="preserve">registry </w:t>
      </w:r>
      <w:r w:rsidR="008F01F6">
        <w:rPr>
          <w:rFonts w:cs="AdvGulliv-R"/>
          <w:color w:val="000000"/>
        </w:rPr>
        <w:t xml:space="preserve">was 66 </w:t>
      </w:r>
      <w:r>
        <w:rPr>
          <w:rFonts w:cs="AdvGulliv-R"/>
          <w:color w:val="000000"/>
        </w:rPr>
        <w:t xml:space="preserve">years. The key clinical studies that reported median age </w:t>
      </w:r>
      <w:r w:rsidR="00CA1DDA">
        <w:rPr>
          <w:rFonts w:cs="AdvGulliv-R"/>
          <w:color w:val="000000"/>
        </w:rPr>
        <w:t>included</w:t>
      </w:r>
      <w:r w:rsidR="008F01F6">
        <w:rPr>
          <w:rFonts w:cs="AdvGulliv-R"/>
          <w:color w:val="000000"/>
        </w:rPr>
        <w:t xml:space="preserve"> values between 61 and 66 </w:t>
      </w:r>
      <w:r>
        <w:rPr>
          <w:rFonts w:cs="AdvGulliv-R"/>
          <w:color w:val="000000"/>
        </w:rPr>
        <w:t xml:space="preserve">years. Weerakoon et al. </w:t>
      </w:r>
      <w:r w:rsidR="00DA242C">
        <w:rPr>
          <w:rFonts w:cs="AdvGulliv-R"/>
          <w:color w:val="000000"/>
        </w:rPr>
        <w:t>(2015)</w:t>
      </w:r>
      <w:r>
        <w:rPr>
          <w:rFonts w:cs="AdvGulliv-R"/>
          <w:color w:val="000000"/>
        </w:rPr>
        <w:t xml:space="preserve"> reported that there are patients included in the Australian registry who received </w:t>
      </w:r>
      <w:r w:rsidR="00CA1DDA">
        <w:rPr>
          <w:rFonts w:cs="AdvGulliv-R"/>
          <w:color w:val="000000"/>
        </w:rPr>
        <w:t>AS</w:t>
      </w:r>
      <w:r>
        <w:rPr>
          <w:rFonts w:cs="AdvGulliv-R"/>
          <w:color w:val="000000"/>
        </w:rPr>
        <w:t xml:space="preserve"> despite having significant (intermediate to high risk) cancer. This population is not included in the proposed MBS item for </w:t>
      </w:r>
      <w:r w:rsidR="00AB1EEA">
        <w:rPr>
          <w:rFonts w:cs="AdvGulliv-R"/>
          <w:color w:val="000000"/>
        </w:rPr>
        <w:t>AS</w:t>
      </w:r>
      <w:r>
        <w:rPr>
          <w:rFonts w:cs="AdvGulliv-R"/>
          <w:color w:val="000000"/>
        </w:rPr>
        <w:t xml:space="preserve"> with mpMRI. The economic evaluation assumed the use of mpMRI in Population 2 for low to intermediate risk patients only, consistent with the proposed indication and the clinical trials.</w:t>
      </w:r>
    </w:p>
    <w:p w14:paraId="5AFFCC60" w14:textId="0558FCE7" w:rsidR="00742247" w:rsidRDefault="00742247" w:rsidP="00742247">
      <w:pPr>
        <w:rPr>
          <w:rFonts w:cs="AdvGulliv-R"/>
          <w:color w:val="000000"/>
        </w:rPr>
      </w:pPr>
      <w:r>
        <w:rPr>
          <w:rFonts w:cs="AdvGulliv-R"/>
          <w:color w:val="000000"/>
        </w:rPr>
        <w:t xml:space="preserve">In all key clinical studies </w:t>
      </w:r>
      <w:r w:rsidR="00CA1DDA">
        <w:rPr>
          <w:rFonts w:cs="AdvGulliv-R"/>
          <w:color w:val="000000"/>
        </w:rPr>
        <w:t>for</w:t>
      </w:r>
      <w:r>
        <w:rPr>
          <w:rFonts w:cs="AdvGulliv-R"/>
          <w:color w:val="000000"/>
        </w:rPr>
        <w:t xml:space="preserve"> Population 2, patients previously received PSA testing and biopsy, consistent with the expected MBS population. In two studies, </w:t>
      </w:r>
      <w:r w:rsidR="00324D6F">
        <w:rPr>
          <w:rFonts w:cs="AdvGulliv-R"/>
          <w:color w:val="000000"/>
        </w:rPr>
        <w:t>additional</w:t>
      </w:r>
      <w:r>
        <w:rPr>
          <w:rFonts w:cs="AdvGulliv-R"/>
          <w:color w:val="000000"/>
        </w:rPr>
        <w:t xml:space="preserve"> tests were performed (e.g. prostate health index), but patients were not selected </w:t>
      </w:r>
      <w:r w:rsidR="00CA1DDA">
        <w:rPr>
          <w:rFonts w:cs="AdvGulliv-R"/>
          <w:color w:val="000000"/>
        </w:rPr>
        <w:t>for</w:t>
      </w:r>
      <w:r>
        <w:rPr>
          <w:rFonts w:cs="AdvGulliv-R"/>
          <w:color w:val="000000"/>
        </w:rPr>
        <w:t xml:space="preserve"> mpMRI based on these results.</w:t>
      </w:r>
    </w:p>
    <w:p w14:paraId="22506D06" w14:textId="687CA9BD" w:rsidR="00742247" w:rsidRDefault="00742247" w:rsidP="00742247">
      <w:pPr>
        <w:rPr>
          <w:rFonts w:cs="AdvGulliv-R"/>
          <w:color w:val="000000"/>
        </w:rPr>
      </w:pPr>
      <w:r>
        <w:rPr>
          <w:rFonts w:cs="AdvGulliv-R"/>
          <w:color w:val="000000"/>
        </w:rPr>
        <w:t>Median PSA score ranged between 4.7 and 8</w:t>
      </w:r>
      <w:r w:rsidRPr="008D0452">
        <w:t>ng/ml</w:t>
      </w:r>
      <w:r w:rsidRPr="00C3720E">
        <w:t xml:space="preserve"> </w:t>
      </w:r>
      <w:r>
        <w:rPr>
          <w:rFonts w:cs="AdvGulliv-R"/>
          <w:color w:val="000000"/>
        </w:rPr>
        <w:t xml:space="preserve">in the key clinical studies. Mean or median PSA score was not reported for the </w:t>
      </w:r>
      <w:r w:rsidR="00CA1DDA">
        <w:rPr>
          <w:rFonts w:cs="AdvGulliv-R"/>
          <w:color w:val="000000"/>
        </w:rPr>
        <w:t>AS</w:t>
      </w:r>
      <w:r>
        <w:rPr>
          <w:rFonts w:cs="AdvGulliv-R"/>
          <w:color w:val="000000"/>
        </w:rPr>
        <w:t xml:space="preserve"> population in the </w:t>
      </w:r>
      <w:r w:rsidR="00CA1DDA">
        <w:rPr>
          <w:rFonts w:cs="AdvGulliv-R"/>
          <w:color w:val="000000"/>
        </w:rPr>
        <w:t xml:space="preserve">Australian </w:t>
      </w:r>
      <w:r>
        <w:rPr>
          <w:rFonts w:cs="AdvGulliv-R"/>
          <w:color w:val="000000"/>
        </w:rPr>
        <w:t>registry.</w:t>
      </w:r>
      <w:r w:rsidR="00CA1DDA">
        <w:rPr>
          <w:rFonts w:cs="AdvGulliv-R"/>
          <w:color w:val="000000"/>
        </w:rPr>
        <w:t xml:space="preserve"> A</w:t>
      </w:r>
      <w:r>
        <w:rPr>
          <w:rFonts w:cs="AdvGulliv-R"/>
          <w:color w:val="000000"/>
        </w:rPr>
        <w:t xml:space="preserve"> </w:t>
      </w:r>
      <w:r w:rsidR="00324D6F">
        <w:rPr>
          <w:rFonts w:cs="AdvGulliv-R"/>
          <w:color w:val="000000"/>
        </w:rPr>
        <w:t>PSA &lt;</w:t>
      </w:r>
      <w:r>
        <w:rPr>
          <w:rFonts w:cs="AdvGulliv-R"/>
          <w:color w:val="000000"/>
        </w:rPr>
        <w:t>10</w:t>
      </w:r>
      <w:r w:rsidRPr="008D0452">
        <w:t>ng/ml</w:t>
      </w:r>
      <w:r>
        <w:rPr>
          <w:rFonts w:cs="AdvGulliv-R"/>
          <w:color w:val="000000"/>
        </w:rPr>
        <w:t xml:space="preserve"> was reported for 100</w:t>
      </w:r>
      <w:r w:rsidR="00324D6F">
        <w:rPr>
          <w:rFonts w:cs="AdvGulliv-R"/>
          <w:color w:val="000000"/>
        </w:rPr>
        <w:t xml:space="preserve"> per cent</w:t>
      </w:r>
      <w:r>
        <w:rPr>
          <w:rFonts w:cs="AdvGulliv-R"/>
          <w:color w:val="000000"/>
        </w:rPr>
        <w:t xml:space="preserve"> of the low risk cancer patients and 54</w:t>
      </w:r>
      <w:r w:rsidR="00324D6F">
        <w:rPr>
          <w:rFonts w:cs="AdvGulliv-R"/>
          <w:color w:val="000000"/>
        </w:rPr>
        <w:t xml:space="preserve"> per cent</w:t>
      </w:r>
      <w:r>
        <w:rPr>
          <w:rFonts w:cs="AdvGulliv-R"/>
          <w:color w:val="000000"/>
        </w:rPr>
        <w:t xml:space="preserve"> of the intermediate risk cancer patients under </w:t>
      </w:r>
      <w:r w:rsidR="00CA1DDA">
        <w:rPr>
          <w:rFonts w:cs="AdvGulliv-R"/>
          <w:color w:val="000000"/>
        </w:rPr>
        <w:t>AS</w:t>
      </w:r>
      <w:r>
        <w:rPr>
          <w:rFonts w:cs="AdvGulliv-R"/>
          <w:color w:val="000000"/>
        </w:rPr>
        <w:t xml:space="preserve">. Gleason score was </w:t>
      </w:r>
      <w:r w:rsidRPr="005D5653">
        <w:rPr>
          <w:rFonts w:cs="AdvGulliv-R"/>
          <w:color w:val="000000"/>
        </w:rPr>
        <w:t>≤6 in all key clinical studies</w:t>
      </w:r>
      <w:r>
        <w:rPr>
          <w:rFonts w:cs="AdvGulliv-R"/>
          <w:color w:val="000000"/>
        </w:rPr>
        <w:t xml:space="preserve"> and for all of the low risk patients enrolled in the Australian registry. However, it was higher for 64</w:t>
      </w:r>
      <w:r w:rsidR="00CA1DDA">
        <w:rPr>
          <w:rFonts w:cs="AdvGulliv-R"/>
          <w:color w:val="000000"/>
        </w:rPr>
        <w:t xml:space="preserve"> per cent</w:t>
      </w:r>
      <w:r>
        <w:rPr>
          <w:rFonts w:cs="AdvGulliv-R"/>
          <w:color w:val="000000"/>
        </w:rPr>
        <w:t xml:space="preserve"> of the intermediate risk patients receiving </w:t>
      </w:r>
      <w:r w:rsidR="00CA1DDA">
        <w:rPr>
          <w:rFonts w:cs="AdvGulliv-R"/>
          <w:color w:val="000000"/>
        </w:rPr>
        <w:t>AS</w:t>
      </w:r>
      <w:r>
        <w:rPr>
          <w:rFonts w:cs="AdvGulliv-R"/>
          <w:color w:val="000000"/>
        </w:rPr>
        <w:t xml:space="preserve"> in the Australian registry. While the </w:t>
      </w:r>
      <w:r w:rsidR="00CA1DDA">
        <w:rPr>
          <w:rFonts w:cs="AdvGulliv-R"/>
          <w:color w:val="000000"/>
        </w:rPr>
        <w:t>AS</w:t>
      </w:r>
      <w:r>
        <w:rPr>
          <w:rFonts w:cs="AdvGulliv-R"/>
          <w:color w:val="000000"/>
        </w:rPr>
        <w:t xml:space="preserve"> population in the key clinical studies is from low risk men, the </w:t>
      </w:r>
      <w:r w:rsidR="00CA1DDA">
        <w:rPr>
          <w:rFonts w:cs="AdvGulliv-R"/>
          <w:color w:val="000000"/>
        </w:rPr>
        <w:t>AS</w:t>
      </w:r>
      <w:r>
        <w:rPr>
          <w:rFonts w:cs="AdvGulliv-R"/>
          <w:color w:val="000000"/>
        </w:rPr>
        <w:t xml:space="preserve"> population in Australian clinical practice includes intermediate risk men (and some high risk men) as well. This may reduce the applicability of the accuracy results.</w:t>
      </w:r>
      <w:r w:rsidR="00CA1DDA">
        <w:rPr>
          <w:rFonts w:cs="AdvGulliv-R"/>
          <w:color w:val="000000"/>
        </w:rPr>
        <w:t xml:space="preserve"> It is important to note that</w:t>
      </w:r>
      <w:r>
        <w:rPr>
          <w:rFonts w:cs="AdvGulliv-R"/>
          <w:color w:val="000000"/>
        </w:rPr>
        <w:t xml:space="preserve"> men with intermediate to high risk prostate cancer are not eligible for mpMRI under the requested MBS listing.</w:t>
      </w:r>
    </w:p>
    <w:p w14:paraId="0273331C" w14:textId="2ED37A03" w:rsidR="00742247" w:rsidRDefault="00742247" w:rsidP="00742247">
      <w:pPr>
        <w:rPr>
          <w:rFonts w:cs="AdvGulliv-R"/>
          <w:color w:val="000000"/>
        </w:rPr>
      </w:pPr>
      <w:r>
        <w:rPr>
          <w:rFonts w:cs="AdvGulliv-R"/>
          <w:color w:val="000000"/>
        </w:rPr>
        <w:t xml:space="preserve">In conclusion, population characteristics in the key clinical studies are similar to the expected MBS population with low to intermediate risk cancer. However, the Australian </w:t>
      </w:r>
      <w:r w:rsidR="00CA1DDA">
        <w:rPr>
          <w:rFonts w:cs="AdvGulliv-R"/>
          <w:color w:val="000000"/>
        </w:rPr>
        <w:t>AS</w:t>
      </w:r>
      <w:r>
        <w:rPr>
          <w:rFonts w:cs="AdvGulliv-R"/>
          <w:color w:val="000000"/>
        </w:rPr>
        <w:t xml:space="preserve"> population </w:t>
      </w:r>
      <w:r w:rsidR="00CA1DDA">
        <w:rPr>
          <w:rFonts w:cs="AdvGulliv-R"/>
          <w:color w:val="000000"/>
        </w:rPr>
        <w:t>includes</w:t>
      </w:r>
      <w:r>
        <w:rPr>
          <w:rFonts w:cs="AdvGulliv-R"/>
          <w:color w:val="000000"/>
        </w:rPr>
        <w:t xml:space="preserve"> a higher proportion of men with intermediate and high risk cancer. Given their different characteristics, the mpMRI accuracy results may not be applicable to th</w:t>
      </w:r>
      <w:r w:rsidR="00CA1DDA">
        <w:rPr>
          <w:rFonts w:cs="AdvGulliv-R"/>
          <w:color w:val="000000"/>
        </w:rPr>
        <w:t>e</w:t>
      </w:r>
      <w:r>
        <w:rPr>
          <w:rFonts w:cs="AdvGulliv-R"/>
          <w:color w:val="000000"/>
        </w:rPr>
        <w:t xml:space="preserve"> population at higher risk of cancer progression</w:t>
      </w:r>
      <w:r w:rsidR="00CA1DDA">
        <w:rPr>
          <w:rFonts w:cs="AdvGulliv-R"/>
          <w:color w:val="000000"/>
        </w:rPr>
        <w:t>; however, high risk men are in</w:t>
      </w:r>
      <w:r>
        <w:rPr>
          <w:rFonts w:cs="AdvGulliv-R"/>
          <w:color w:val="000000"/>
        </w:rPr>
        <w:t xml:space="preserve">eligible for </w:t>
      </w:r>
      <w:r w:rsidR="00AB1EEA">
        <w:rPr>
          <w:rFonts w:cs="AdvGulliv-R"/>
          <w:color w:val="000000"/>
        </w:rPr>
        <w:t>AS</w:t>
      </w:r>
      <w:r>
        <w:rPr>
          <w:rFonts w:cs="AdvGulliv-R"/>
          <w:color w:val="000000"/>
        </w:rPr>
        <w:t xml:space="preserve"> with mpMRI.</w:t>
      </w:r>
    </w:p>
    <w:p w14:paraId="187C67EE" w14:textId="77777777" w:rsidR="00742247" w:rsidRPr="0009623C" w:rsidRDefault="00742247" w:rsidP="00742247">
      <w:pPr>
        <w:pStyle w:val="Heading3"/>
      </w:pPr>
      <w:bookmarkStart w:id="439" w:name="_Toc457383605"/>
      <w:bookmarkStart w:id="440" w:name="_Toc459987853"/>
      <w:bookmarkStart w:id="441" w:name="_Toc460513973"/>
      <w:r>
        <w:lastRenderedPageBreak/>
        <w:t>Population 2:</w:t>
      </w:r>
      <w:r w:rsidRPr="0009623C">
        <w:t xml:space="preserve"> </w:t>
      </w:r>
      <w:r>
        <w:t>intervention</w:t>
      </w:r>
      <w:r w:rsidRPr="0009623C">
        <w:t xml:space="preserve"> characteristics</w:t>
      </w:r>
      <w:bookmarkEnd w:id="439"/>
      <w:bookmarkEnd w:id="440"/>
      <w:bookmarkEnd w:id="441"/>
    </w:p>
    <w:p w14:paraId="77ABD620" w14:textId="280B2458" w:rsidR="00742247" w:rsidRDefault="00742247" w:rsidP="00742247">
      <w:pPr>
        <w:rPr>
          <w:rFonts w:cs="AdvGulliv-R"/>
          <w:color w:val="000000"/>
        </w:rPr>
      </w:pPr>
      <w:r>
        <w:rPr>
          <w:rFonts w:cs="AdvGulliv-R"/>
          <w:color w:val="000000"/>
        </w:rPr>
        <w:t>In Population 2, t</w:t>
      </w:r>
      <w:r w:rsidRPr="0009623C">
        <w:rPr>
          <w:rFonts w:cs="AdvGulliv-R"/>
          <w:color w:val="000000"/>
        </w:rPr>
        <w:t xml:space="preserve">he following </w:t>
      </w:r>
      <w:r>
        <w:rPr>
          <w:rFonts w:cs="AdvGulliv-R"/>
          <w:color w:val="000000"/>
        </w:rPr>
        <w:t>intervention</w:t>
      </w:r>
      <w:r w:rsidRPr="0009623C">
        <w:rPr>
          <w:rFonts w:cs="AdvGulliv-R"/>
          <w:color w:val="000000"/>
        </w:rPr>
        <w:t xml:space="preserve"> </w:t>
      </w:r>
      <w:r>
        <w:rPr>
          <w:rFonts w:cs="AdvGulliv-R"/>
          <w:color w:val="000000"/>
        </w:rPr>
        <w:t>characteristics were assessed: type of MRI machine, use of an endorectal coil, type of imaging (T1, T2, DCE, DW</w:t>
      </w:r>
      <w:r w:rsidR="006656C0">
        <w:rPr>
          <w:rFonts w:cs="AdvGulliv-R"/>
          <w:color w:val="000000"/>
        </w:rPr>
        <w:t>I</w:t>
      </w:r>
      <w:r>
        <w:rPr>
          <w:rFonts w:cs="AdvGulliv-R"/>
          <w:color w:val="000000"/>
        </w:rPr>
        <w:t xml:space="preserve">), type of contrast, PI-RADS cut-off value and reader experience </w:t>
      </w:r>
      <w:r w:rsidRPr="0009623C">
        <w:rPr>
          <w:rFonts w:cs="AdvGulliv-R"/>
          <w:color w:val="000000"/>
        </w:rPr>
        <w:t>(see</w:t>
      </w:r>
      <w:r>
        <w:rPr>
          <w:rFonts w:cs="AdvGulliv-R"/>
          <w:color w:val="000000"/>
        </w:rPr>
        <w:t xml:space="preserve"> </w:t>
      </w:r>
      <w:r>
        <w:rPr>
          <w:rFonts w:cs="AdvGulliv-R"/>
          <w:color w:val="000000"/>
        </w:rPr>
        <w:fldChar w:fldCharType="begin"/>
      </w:r>
      <w:r>
        <w:rPr>
          <w:rFonts w:cs="AdvGulliv-R"/>
          <w:color w:val="000000"/>
        </w:rPr>
        <w:instrText xml:space="preserve"> REF _Ref455147107 \h  \* MERGEFORMAT </w:instrText>
      </w:r>
      <w:r>
        <w:rPr>
          <w:rFonts w:cs="AdvGulliv-R"/>
          <w:color w:val="000000"/>
        </w:rPr>
      </w:r>
      <w:r>
        <w:rPr>
          <w:rFonts w:cs="AdvGulliv-R"/>
          <w:color w:val="000000"/>
        </w:rPr>
        <w:fldChar w:fldCharType="separate"/>
      </w:r>
      <w:r w:rsidR="0029649D" w:rsidRPr="0029649D">
        <w:rPr>
          <w:rFonts w:cs="AdvGulliv-R"/>
          <w:color w:val="000000"/>
        </w:rPr>
        <w:t>Table 43</w:t>
      </w:r>
      <w:r>
        <w:rPr>
          <w:rFonts w:cs="AdvGulliv-R"/>
          <w:color w:val="000000"/>
        </w:rPr>
        <w:fldChar w:fldCharType="end"/>
      </w:r>
      <w:r w:rsidRPr="0009623C">
        <w:rPr>
          <w:rFonts w:cs="AdvGulliv-R"/>
          <w:color w:val="000000"/>
        </w:rPr>
        <w:t xml:space="preserve">). </w:t>
      </w:r>
    </w:p>
    <w:p w14:paraId="0DF9C671" w14:textId="77777777" w:rsidR="00742247" w:rsidRPr="00407D1B" w:rsidRDefault="00742247" w:rsidP="00742247">
      <w:pPr>
        <w:pStyle w:val="Caption"/>
        <w:ind w:left="1134" w:hanging="1134"/>
      </w:pPr>
      <w:bookmarkStart w:id="442" w:name="_Ref455147107"/>
      <w:bookmarkStart w:id="443" w:name="_Toc457383665"/>
      <w:bookmarkStart w:id="444" w:name="_Toc459987903"/>
      <w:bookmarkStart w:id="445" w:name="_Toc460514543"/>
      <w:r w:rsidRPr="00407D1B">
        <w:t xml:space="preserve">Table </w:t>
      </w:r>
      <w:fldSimple w:instr=" SEQ Table \* ARABIC ">
        <w:r w:rsidR="0029649D">
          <w:rPr>
            <w:noProof/>
          </w:rPr>
          <w:t>43</w:t>
        </w:r>
      </w:fldSimple>
      <w:bookmarkEnd w:id="442"/>
      <w:r>
        <w:tab/>
      </w:r>
      <w:r w:rsidRPr="00407D1B">
        <w:t xml:space="preserve">Intervention (mpMRI) characteristics, comparison between key clinical studies and the expected MBS </w:t>
      </w:r>
      <w:r>
        <w:t>Population 2</w:t>
      </w:r>
      <w:bookmarkEnd w:id="443"/>
      <w:bookmarkEnd w:id="444"/>
      <w:bookmarkEnd w:id="445"/>
    </w:p>
    <w:tbl>
      <w:tblPr>
        <w:tblStyle w:val="TableGrid"/>
        <w:tblW w:w="9112" w:type="dxa"/>
        <w:tblInd w:w="130" w:type="dxa"/>
        <w:tblCellMar>
          <w:left w:w="28" w:type="dxa"/>
          <w:right w:w="28" w:type="dxa"/>
        </w:tblCellMar>
        <w:tblLook w:val="04A0" w:firstRow="1" w:lastRow="0" w:firstColumn="1" w:lastColumn="0" w:noHBand="0" w:noVBand="1"/>
        <w:tblDescription w:val="Intervention (mpMRI) characteristics, comparison between key clinical studies and the expected MBS Population 2"/>
      </w:tblPr>
      <w:tblGrid>
        <w:gridCol w:w="1305"/>
        <w:gridCol w:w="590"/>
        <w:gridCol w:w="1391"/>
        <w:gridCol w:w="1280"/>
        <w:gridCol w:w="1618"/>
        <w:gridCol w:w="2928"/>
      </w:tblGrid>
      <w:tr w:rsidR="00742247" w:rsidRPr="00AE3374" w14:paraId="0C31C665" w14:textId="77777777" w:rsidTr="00AE3374">
        <w:trPr>
          <w:trHeight w:val="397"/>
          <w:tblHeader/>
        </w:trPr>
        <w:tc>
          <w:tcPr>
            <w:tcW w:w="0" w:type="auto"/>
          </w:tcPr>
          <w:p w14:paraId="423EA847" w14:textId="77777777" w:rsidR="00742247" w:rsidRPr="00AE3374" w:rsidRDefault="00742247" w:rsidP="00313DFD">
            <w:pPr>
              <w:pStyle w:val="Tableheading1"/>
            </w:pPr>
            <w:r w:rsidRPr="00AE3374">
              <w:t>Study ID [N]</w:t>
            </w:r>
          </w:p>
        </w:tc>
        <w:tc>
          <w:tcPr>
            <w:tcW w:w="0" w:type="auto"/>
          </w:tcPr>
          <w:p w14:paraId="78CA93B7" w14:textId="77777777" w:rsidR="00742247" w:rsidRPr="00AE3374" w:rsidRDefault="00742247" w:rsidP="00313DFD">
            <w:pPr>
              <w:pStyle w:val="Tableheading1"/>
              <w:rPr>
                <w:bCs/>
                <w:color w:val="000000"/>
              </w:rPr>
            </w:pPr>
            <w:r w:rsidRPr="00AE3374">
              <w:rPr>
                <w:bCs/>
                <w:color w:val="000000"/>
              </w:rPr>
              <w:t>MRI type</w:t>
            </w:r>
          </w:p>
        </w:tc>
        <w:tc>
          <w:tcPr>
            <w:tcW w:w="0" w:type="auto"/>
          </w:tcPr>
          <w:p w14:paraId="0E91D137" w14:textId="51565890" w:rsidR="00742247" w:rsidRPr="00AE3374" w:rsidRDefault="00742247" w:rsidP="00313DFD">
            <w:pPr>
              <w:pStyle w:val="Tableheading1"/>
              <w:rPr>
                <w:bCs/>
                <w:color w:val="000000"/>
              </w:rPr>
            </w:pPr>
            <w:r w:rsidRPr="00AE3374">
              <w:rPr>
                <w:bCs/>
                <w:color w:val="000000"/>
              </w:rPr>
              <w:t xml:space="preserve">Endorectal coil used </w:t>
            </w:r>
            <w:r w:rsidR="00CA1DDA">
              <w:rPr>
                <w:bCs/>
                <w:color w:val="000000"/>
              </w:rPr>
              <w:t>Y/N</w:t>
            </w:r>
            <w:r w:rsidRPr="00AE3374">
              <w:rPr>
                <w:bCs/>
                <w:color w:val="000000"/>
              </w:rPr>
              <w:t>?</w:t>
            </w:r>
          </w:p>
        </w:tc>
        <w:tc>
          <w:tcPr>
            <w:tcW w:w="0" w:type="auto"/>
          </w:tcPr>
          <w:p w14:paraId="0B13D684" w14:textId="77777777" w:rsidR="00742247" w:rsidRPr="00AE3374" w:rsidRDefault="00742247" w:rsidP="00313DFD">
            <w:pPr>
              <w:pStyle w:val="Tableheading1"/>
              <w:rPr>
                <w:bCs/>
                <w:color w:val="000000"/>
              </w:rPr>
            </w:pPr>
            <w:r w:rsidRPr="00AE3374">
              <w:rPr>
                <w:rFonts w:cs="Calibri"/>
                <w:bCs/>
                <w:color w:val="000000"/>
              </w:rPr>
              <w:t>Type of imaging</w:t>
            </w:r>
          </w:p>
        </w:tc>
        <w:tc>
          <w:tcPr>
            <w:tcW w:w="0" w:type="auto"/>
          </w:tcPr>
          <w:p w14:paraId="13194DE3" w14:textId="77777777" w:rsidR="00742247" w:rsidRPr="00AE3374" w:rsidRDefault="00742247" w:rsidP="00313DFD">
            <w:pPr>
              <w:pStyle w:val="Tableheading1"/>
              <w:rPr>
                <w:bCs/>
                <w:color w:val="000000"/>
              </w:rPr>
            </w:pPr>
            <w:r w:rsidRPr="00AE3374">
              <w:rPr>
                <w:bCs/>
                <w:color w:val="000000"/>
              </w:rPr>
              <w:t>Contrast</w:t>
            </w:r>
          </w:p>
        </w:tc>
        <w:tc>
          <w:tcPr>
            <w:tcW w:w="0" w:type="auto"/>
          </w:tcPr>
          <w:p w14:paraId="4CCDBF54" w14:textId="77777777" w:rsidR="00742247" w:rsidRPr="00AE3374" w:rsidRDefault="00742247" w:rsidP="00313DFD">
            <w:pPr>
              <w:pStyle w:val="Tableheading1"/>
              <w:rPr>
                <w:bCs/>
                <w:color w:val="000000"/>
              </w:rPr>
            </w:pPr>
            <w:r w:rsidRPr="00AE3374">
              <w:rPr>
                <w:bCs/>
                <w:color w:val="000000"/>
              </w:rPr>
              <w:t>Reader experience</w:t>
            </w:r>
          </w:p>
        </w:tc>
      </w:tr>
      <w:tr w:rsidR="00313DFD" w:rsidRPr="004D2058" w14:paraId="2C912DB5" w14:textId="77777777" w:rsidTr="00AE3374">
        <w:trPr>
          <w:trHeight w:val="397"/>
        </w:trPr>
        <w:tc>
          <w:tcPr>
            <w:tcW w:w="0" w:type="auto"/>
          </w:tcPr>
          <w:p w14:paraId="278ECC53" w14:textId="77777777" w:rsidR="00313DFD" w:rsidRPr="00D67F58" w:rsidRDefault="00313DFD" w:rsidP="00313DFD">
            <w:pPr>
              <w:pStyle w:val="Tabletext1"/>
            </w:pPr>
            <w:r>
              <w:t>Abd-Alazeez et al. (2014)</w:t>
            </w:r>
          </w:p>
          <w:p w14:paraId="244D1F3E" w14:textId="2C4165C5" w:rsidR="00313DFD" w:rsidRPr="004D2058" w:rsidRDefault="00313DFD" w:rsidP="00313DFD">
            <w:pPr>
              <w:pStyle w:val="Tabletext1"/>
            </w:pPr>
            <w:r>
              <w:t>n</w:t>
            </w:r>
            <w:r w:rsidRPr="00D67F58">
              <w:t>=137</w:t>
            </w:r>
          </w:p>
        </w:tc>
        <w:tc>
          <w:tcPr>
            <w:tcW w:w="0" w:type="auto"/>
          </w:tcPr>
          <w:p w14:paraId="3DB4414D" w14:textId="77777777" w:rsidR="00313DFD" w:rsidRPr="004D2058" w:rsidRDefault="00313DFD" w:rsidP="00313DFD">
            <w:pPr>
              <w:pStyle w:val="Tabletext1"/>
              <w:rPr>
                <w:color w:val="000000"/>
              </w:rPr>
            </w:pPr>
            <w:r w:rsidRPr="004D2058">
              <w:rPr>
                <w:color w:val="000000"/>
              </w:rPr>
              <w:t>1.5 or 3.0</w:t>
            </w:r>
          </w:p>
        </w:tc>
        <w:tc>
          <w:tcPr>
            <w:tcW w:w="0" w:type="auto"/>
          </w:tcPr>
          <w:p w14:paraId="4739EE28" w14:textId="77777777" w:rsidR="00313DFD" w:rsidRPr="004D2058" w:rsidRDefault="00313DFD" w:rsidP="00313DFD">
            <w:pPr>
              <w:pStyle w:val="Tabletext1"/>
              <w:rPr>
                <w:color w:val="000000"/>
              </w:rPr>
            </w:pPr>
            <w:r w:rsidRPr="004D2058">
              <w:rPr>
                <w:color w:val="000000"/>
              </w:rPr>
              <w:t>N</w:t>
            </w:r>
          </w:p>
        </w:tc>
        <w:tc>
          <w:tcPr>
            <w:tcW w:w="0" w:type="auto"/>
          </w:tcPr>
          <w:p w14:paraId="14723D71" w14:textId="77777777" w:rsidR="00313DFD" w:rsidRPr="004D2058" w:rsidRDefault="00313DFD" w:rsidP="00313DFD">
            <w:pPr>
              <w:pStyle w:val="Tabletext1"/>
              <w:rPr>
                <w:color w:val="000000"/>
              </w:rPr>
            </w:pPr>
            <w:r w:rsidRPr="004D2058">
              <w:rPr>
                <w:color w:val="000000"/>
              </w:rPr>
              <w:t>T2W, DWI, DCE</w:t>
            </w:r>
          </w:p>
        </w:tc>
        <w:tc>
          <w:tcPr>
            <w:tcW w:w="0" w:type="auto"/>
          </w:tcPr>
          <w:p w14:paraId="7DABC168" w14:textId="77777777" w:rsidR="00313DFD" w:rsidRPr="004D2058" w:rsidRDefault="00313DFD" w:rsidP="00313DFD">
            <w:pPr>
              <w:pStyle w:val="Tabletext1"/>
              <w:rPr>
                <w:color w:val="000000"/>
              </w:rPr>
            </w:pPr>
            <w:r w:rsidRPr="004D2058">
              <w:rPr>
                <w:color w:val="000000"/>
              </w:rPr>
              <w:t>meglumine gadoterate</w:t>
            </w:r>
          </w:p>
        </w:tc>
        <w:tc>
          <w:tcPr>
            <w:tcW w:w="0" w:type="auto"/>
          </w:tcPr>
          <w:p w14:paraId="4127BD2D" w14:textId="77777777" w:rsidR="00313DFD" w:rsidRPr="004D2058" w:rsidRDefault="00313DFD" w:rsidP="00313DFD">
            <w:pPr>
              <w:pStyle w:val="Tabletext1"/>
              <w:rPr>
                <w:color w:val="000000"/>
              </w:rPr>
            </w:pPr>
            <w:r w:rsidRPr="004D2058">
              <w:rPr>
                <w:color w:val="000000"/>
              </w:rPr>
              <w:t>5 radiologists who have experience reporting at least 100 mpMRIs per year</w:t>
            </w:r>
          </w:p>
        </w:tc>
      </w:tr>
      <w:tr w:rsidR="00313DFD" w:rsidRPr="004D2058" w14:paraId="3FBBE02D" w14:textId="77777777" w:rsidTr="00AE3374">
        <w:trPr>
          <w:trHeight w:val="397"/>
        </w:trPr>
        <w:tc>
          <w:tcPr>
            <w:tcW w:w="0" w:type="auto"/>
          </w:tcPr>
          <w:p w14:paraId="2128E9A2" w14:textId="77777777" w:rsidR="00313DFD" w:rsidRPr="00D67F58" w:rsidRDefault="00313DFD" w:rsidP="00313DFD">
            <w:pPr>
              <w:pStyle w:val="Tabletext1"/>
            </w:pPr>
            <w:r>
              <w:t xml:space="preserve">Almeida et al. (2016) </w:t>
            </w:r>
          </w:p>
          <w:p w14:paraId="244D9FFE" w14:textId="3997B8F4" w:rsidR="00313DFD" w:rsidRPr="004D2058" w:rsidRDefault="00313DFD" w:rsidP="00313DFD">
            <w:pPr>
              <w:pStyle w:val="Tabletext1"/>
            </w:pPr>
            <w:r w:rsidRPr="00D67F58">
              <w:t>n=73</w:t>
            </w:r>
          </w:p>
        </w:tc>
        <w:tc>
          <w:tcPr>
            <w:tcW w:w="0" w:type="auto"/>
          </w:tcPr>
          <w:p w14:paraId="50FF8CD1" w14:textId="77777777" w:rsidR="00313DFD" w:rsidRPr="004D2058" w:rsidRDefault="00313DFD" w:rsidP="00313DFD">
            <w:pPr>
              <w:pStyle w:val="Tabletext1"/>
              <w:rPr>
                <w:color w:val="000000"/>
              </w:rPr>
            </w:pPr>
            <w:r w:rsidRPr="004D2058">
              <w:rPr>
                <w:color w:val="000000"/>
              </w:rPr>
              <w:t>1.5</w:t>
            </w:r>
          </w:p>
        </w:tc>
        <w:tc>
          <w:tcPr>
            <w:tcW w:w="0" w:type="auto"/>
          </w:tcPr>
          <w:p w14:paraId="76CA1AF2" w14:textId="77777777" w:rsidR="00313DFD" w:rsidRPr="004D2058" w:rsidRDefault="00313DFD" w:rsidP="00313DFD">
            <w:pPr>
              <w:pStyle w:val="Tabletext1"/>
            </w:pPr>
            <w:r w:rsidRPr="004D2058">
              <w:t>N</w:t>
            </w:r>
          </w:p>
        </w:tc>
        <w:tc>
          <w:tcPr>
            <w:tcW w:w="0" w:type="auto"/>
          </w:tcPr>
          <w:p w14:paraId="42789AC5" w14:textId="77777777" w:rsidR="00313DFD" w:rsidRPr="004D2058" w:rsidRDefault="00313DFD" w:rsidP="00313DFD">
            <w:pPr>
              <w:pStyle w:val="Tabletext1"/>
              <w:rPr>
                <w:color w:val="000000"/>
              </w:rPr>
            </w:pPr>
            <w:r w:rsidRPr="004D2058">
              <w:rPr>
                <w:color w:val="000000"/>
              </w:rPr>
              <w:t>T2W, DWI, DCE</w:t>
            </w:r>
          </w:p>
        </w:tc>
        <w:tc>
          <w:tcPr>
            <w:tcW w:w="0" w:type="auto"/>
          </w:tcPr>
          <w:p w14:paraId="27D63DC7" w14:textId="77777777" w:rsidR="00313DFD" w:rsidRPr="004D2058" w:rsidRDefault="00313DFD" w:rsidP="00313DFD">
            <w:pPr>
              <w:pStyle w:val="Tabletext1"/>
              <w:rPr>
                <w:color w:val="000000"/>
              </w:rPr>
            </w:pPr>
            <w:r w:rsidRPr="004D2058">
              <w:rPr>
                <w:color w:val="000000"/>
              </w:rPr>
              <w:t>gadopentetate dimeglumine</w:t>
            </w:r>
          </w:p>
        </w:tc>
        <w:tc>
          <w:tcPr>
            <w:tcW w:w="0" w:type="auto"/>
          </w:tcPr>
          <w:p w14:paraId="610CB656" w14:textId="77777777" w:rsidR="00313DFD" w:rsidRPr="004D2058" w:rsidRDefault="00313DFD" w:rsidP="00313DFD">
            <w:pPr>
              <w:pStyle w:val="Tabletext1"/>
              <w:rPr>
                <w:color w:val="000000"/>
              </w:rPr>
            </w:pPr>
            <w:r w:rsidRPr="004D2058">
              <w:rPr>
                <w:color w:val="000000"/>
              </w:rPr>
              <w:t>2 radiologists experienced in prostate MRI in consensus</w:t>
            </w:r>
          </w:p>
        </w:tc>
      </w:tr>
      <w:tr w:rsidR="00313DFD" w:rsidRPr="004D2058" w14:paraId="32034EE3" w14:textId="77777777" w:rsidTr="00AE3374">
        <w:trPr>
          <w:trHeight w:val="397"/>
        </w:trPr>
        <w:tc>
          <w:tcPr>
            <w:tcW w:w="0" w:type="auto"/>
          </w:tcPr>
          <w:p w14:paraId="543F206F" w14:textId="77777777" w:rsidR="00313DFD" w:rsidRPr="00D67F58" w:rsidRDefault="00313DFD" w:rsidP="00313DFD">
            <w:pPr>
              <w:pStyle w:val="Tabletext1"/>
            </w:pPr>
            <w:r>
              <w:t xml:space="preserve">de Cobelli et al. (2015) </w:t>
            </w:r>
          </w:p>
          <w:p w14:paraId="397131EE" w14:textId="14CC1D97" w:rsidR="00313DFD" w:rsidRPr="004D2058" w:rsidRDefault="00313DFD" w:rsidP="00313DFD">
            <w:pPr>
              <w:pStyle w:val="Tabletext1"/>
            </w:pPr>
            <w:r>
              <w:t>n=</w:t>
            </w:r>
            <w:r w:rsidRPr="00D67F58">
              <w:t>223</w:t>
            </w:r>
          </w:p>
        </w:tc>
        <w:tc>
          <w:tcPr>
            <w:tcW w:w="0" w:type="auto"/>
          </w:tcPr>
          <w:p w14:paraId="469538CC" w14:textId="77777777" w:rsidR="00313DFD" w:rsidRPr="004D2058" w:rsidRDefault="00313DFD" w:rsidP="00313DFD">
            <w:pPr>
              <w:pStyle w:val="Tabletext1"/>
              <w:rPr>
                <w:color w:val="000000"/>
              </w:rPr>
            </w:pPr>
            <w:r w:rsidRPr="004D2058">
              <w:rPr>
                <w:color w:val="000000"/>
              </w:rPr>
              <w:t>1.5</w:t>
            </w:r>
          </w:p>
        </w:tc>
        <w:tc>
          <w:tcPr>
            <w:tcW w:w="0" w:type="auto"/>
          </w:tcPr>
          <w:p w14:paraId="65B0D2EF" w14:textId="77777777" w:rsidR="00313DFD" w:rsidRPr="004D2058" w:rsidRDefault="00313DFD" w:rsidP="00313DFD">
            <w:pPr>
              <w:pStyle w:val="Tabletext1"/>
              <w:rPr>
                <w:color w:val="000000"/>
              </w:rPr>
            </w:pPr>
            <w:r w:rsidRPr="004D2058">
              <w:rPr>
                <w:color w:val="000000"/>
              </w:rPr>
              <w:t>Y</w:t>
            </w:r>
          </w:p>
        </w:tc>
        <w:tc>
          <w:tcPr>
            <w:tcW w:w="0" w:type="auto"/>
          </w:tcPr>
          <w:p w14:paraId="4B98F915" w14:textId="77777777" w:rsidR="00313DFD" w:rsidRPr="004D2058" w:rsidRDefault="00313DFD" w:rsidP="00313DFD">
            <w:pPr>
              <w:pStyle w:val="Tabletext1"/>
              <w:rPr>
                <w:color w:val="000000"/>
              </w:rPr>
            </w:pPr>
            <w:r w:rsidRPr="004D2058">
              <w:rPr>
                <w:color w:val="000000"/>
              </w:rPr>
              <w:t>T2W, DWI, DCE</w:t>
            </w:r>
          </w:p>
        </w:tc>
        <w:tc>
          <w:tcPr>
            <w:tcW w:w="0" w:type="auto"/>
          </w:tcPr>
          <w:p w14:paraId="469887CD" w14:textId="77777777" w:rsidR="00313DFD" w:rsidRPr="004D2058" w:rsidRDefault="00313DFD" w:rsidP="00313DFD">
            <w:pPr>
              <w:pStyle w:val="Tabletext1"/>
              <w:rPr>
                <w:color w:val="000000"/>
              </w:rPr>
            </w:pPr>
            <w:r w:rsidRPr="004D2058">
              <w:rPr>
                <w:color w:val="000000"/>
              </w:rPr>
              <w:t>gadopentetate dimeglumine</w:t>
            </w:r>
          </w:p>
        </w:tc>
        <w:tc>
          <w:tcPr>
            <w:tcW w:w="0" w:type="auto"/>
          </w:tcPr>
          <w:p w14:paraId="649E8FE6" w14:textId="77777777" w:rsidR="00313DFD" w:rsidRPr="004D2058" w:rsidRDefault="00313DFD" w:rsidP="00313DFD">
            <w:pPr>
              <w:pStyle w:val="Tabletext1"/>
              <w:rPr>
                <w:color w:val="000000"/>
              </w:rPr>
            </w:pPr>
            <w:r w:rsidRPr="004D2058">
              <w:rPr>
                <w:color w:val="000000"/>
              </w:rPr>
              <w:t>NR</w:t>
            </w:r>
          </w:p>
        </w:tc>
      </w:tr>
      <w:tr w:rsidR="00313DFD" w:rsidRPr="004D2058" w14:paraId="78B8ABA3" w14:textId="77777777" w:rsidTr="00AE3374">
        <w:trPr>
          <w:trHeight w:val="397"/>
        </w:trPr>
        <w:tc>
          <w:tcPr>
            <w:tcW w:w="0" w:type="auto"/>
          </w:tcPr>
          <w:p w14:paraId="5F7187C5" w14:textId="77777777" w:rsidR="00313DFD" w:rsidRPr="00D67F58" w:rsidRDefault="00313DFD" w:rsidP="00313DFD">
            <w:pPr>
              <w:pStyle w:val="Tabletext1"/>
            </w:pPr>
            <w:r>
              <w:t>Flavell et al. (2014)</w:t>
            </w:r>
          </w:p>
          <w:p w14:paraId="52C0B9DE" w14:textId="21728C46" w:rsidR="00313DFD" w:rsidRPr="004D2058" w:rsidRDefault="00313DFD" w:rsidP="00313DFD">
            <w:pPr>
              <w:pStyle w:val="Tabletext1"/>
            </w:pPr>
            <w:r w:rsidRPr="00D67F58">
              <w:t>n=64</w:t>
            </w:r>
          </w:p>
        </w:tc>
        <w:tc>
          <w:tcPr>
            <w:tcW w:w="0" w:type="auto"/>
          </w:tcPr>
          <w:p w14:paraId="46A755F6" w14:textId="77777777" w:rsidR="00313DFD" w:rsidRPr="004D2058" w:rsidRDefault="00313DFD" w:rsidP="00313DFD">
            <w:pPr>
              <w:pStyle w:val="Tabletext1"/>
              <w:rPr>
                <w:color w:val="000000"/>
              </w:rPr>
            </w:pPr>
            <w:r w:rsidRPr="004D2058">
              <w:rPr>
                <w:color w:val="000000"/>
              </w:rPr>
              <w:t>1.5 or 3.0</w:t>
            </w:r>
          </w:p>
        </w:tc>
        <w:tc>
          <w:tcPr>
            <w:tcW w:w="0" w:type="auto"/>
          </w:tcPr>
          <w:p w14:paraId="1C998FD1" w14:textId="77777777" w:rsidR="00313DFD" w:rsidRPr="004D2058" w:rsidRDefault="00313DFD" w:rsidP="00313DFD">
            <w:pPr>
              <w:pStyle w:val="Tabletext1"/>
              <w:rPr>
                <w:color w:val="000000"/>
              </w:rPr>
            </w:pPr>
            <w:r w:rsidRPr="004D2058">
              <w:rPr>
                <w:color w:val="000000"/>
              </w:rPr>
              <w:t>Y</w:t>
            </w:r>
          </w:p>
        </w:tc>
        <w:tc>
          <w:tcPr>
            <w:tcW w:w="0" w:type="auto"/>
          </w:tcPr>
          <w:p w14:paraId="4A2F0969" w14:textId="77777777" w:rsidR="00313DFD" w:rsidRPr="004D2058" w:rsidRDefault="00313DFD" w:rsidP="00313DFD">
            <w:pPr>
              <w:pStyle w:val="Tabletext1"/>
              <w:rPr>
                <w:color w:val="000000"/>
              </w:rPr>
            </w:pPr>
            <w:r w:rsidRPr="004D2058">
              <w:rPr>
                <w:color w:val="000000"/>
              </w:rPr>
              <w:t>T1W, T2W, DWI - not DCE</w:t>
            </w:r>
          </w:p>
        </w:tc>
        <w:tc>
          <w:tcPr>
            <w:tcW w:w="0" w:type="auto"/>
          </w:tcPr>
          <w:p w14:paraId="0988DBBD" w14:textId="77777777" w:rsidR="00313DFD" w:rsidRPr="004D2058" w:rsidRDefault="00313DFD" w:rsidP="00313DFD">
            <w:pPr>
              <w:pStyle w:val="Tabletext1"/>
              <w:rPr>
                <w:color w:val="000000"/>
              </w:rPr>
            </w:pPr>
            <w:r w:rsidRPr="004D2058">
              <w:rPr>
                <w:color w:val="000000"/>
              </w:rPr>
              <w:t>NA</w:t>
            </w:r>
          </w:p>
        </w:tc>
        <w:tc>
          <w:tcPr>
            <w:tcW w:w="0" w:type="auto"/>
          </w:tcPr>
          <w:p w14:paraId="626285EC" w14:textId="77777777" w:rsidR="00313DFD" w:rsidRPr="004D2058" w:rsidRDefault="00313DFD" w:rsidP="00313DFD">
            <w:pPr>
              <w:pStyle w:val="Tabletext1"/>
              <w:rPr>
                <w:color w:val="000000"/>
              </w:rPr>
            </w:pPr>
            <w:r w:rsidRPr="004D2058">
              <w:rPr>
                <w:color w:val="000000"/>
              </w:rPr>
              <w:t>2 radiologists with 2 and 15 years experience in consensus</w:t>
            </w:r>
          </w:p>
        </w:tc>
      </w:tr>
      <w:tr w:rsidR="00313DFD" w:rsidRPr="004D2058" w14:paraId="5F43CA41" w14:textId="77777777" w:rsidTr="00AE3374">
        <w:trPr>
          <w:trHeight w:val="397"/>
        </w:trPr>
        <w:tc>
          <w:tcPr>
            <w:tcW w:w="0" w:type="auto"/>
          </w:tcPr>
          <w:p w14:paraId="3123D71C" w14:textId="77777777" w:rsidR="00313DFD" w:rsidRPr="00D67F58" w:rsidRDefault="00313DFD" w:rsidP="00313DFD">
            <w:pPr>
              <w:pStyle w:val="Tabletext1"/>
            </w:pPr>
            <w:r>
              <w:t xml:space="preserve">Porpiglia et al. (2015) </w:t>
            </w:r>
          </w:p>
          <w:p w14:paraId="38F2E41F" w14:textId="47002B48" w:rsidR="00313DFD" w:rsidRPr="004D2058" w:rsidRDefault="00313DFD" w:rsidP="00313DFD">
            <w:pPr>
              <w:pStyle w:val="Tabletext1"/>
            </w:pPr>
            <w:r>
              <w:t>n</w:t>
            </w:r>
            <w:r w:rsidRPr="00D67F58">
              <w:t>=120</w:t>
            </w:r>
          </w:p>
        </w:tc>
        <w:tc>
          <w:tcPr>
            <w:tcW w:w="0" w:type="auto"/>
          </w:tcPr>
          <w:p w14:paraId="59265D5D" w14:textId="77777777" w:rsidR="00313DFD" w:rsidRPr="004D2058" w:rsidRDefault="00313DFD" w:rsidP="00313DFD">
            <w:pPr>
              <w:pStyle w:val="Tabletext1"/>
              <w:rPr>
                <w:color w:val="000000"/>
              </w:rPr>
            </w:pPr>
            <w:r w:rsidRPr="004D2058">
              <w:rPr>
                <w:color w:val="000000"/>
              </w:rPr>
              <w:t>1.5</w:t>
            </w:r>
          </w:p>
        </w:tc>
        <w:tc>
          <w:tcPr>
            <w:tcW w:w="0" w:type="auto"/>
          </w:tcPr>
          <w:p w14:paraId="2FD8AC67" w14:textId="77777777" w:rsidR="00313DFD" w:rsidRPr="004D2058" w:rsidRDefault="00313DFD" w:rsidP="00313DFD">
            <w:pPr>
              <w:pStyle w:val="Tabletext1"/>
              <w:rPr>
                <w:color w:val="000000"/>
              </w:rPr>
            </w:pPr>
            <w:r w:rsidRPr="004D2058">
              <w:rPr>
                <w:color w:val="000000"/>
              </w:rPr>
              <w:t>Y</w:t>
            </w:r>
          </w:p>
        </w:tc>
        <w:tc>
          <w:tcPr>
            <w:tcW w:w="0" w:type="auto"/>
          </w:tcPr>
          <w:p w14:paraId="265AA950" w14:textId="77777777" w:rsidR="00313DFD" w:rsidRPr="004D2058" w:rsidRDefault="00313DFD" w:rsidP="00313DFD">
            <w:pPr>
              <w:pStyle w:val="Tabletext1"/>
              <w:rPr>
                <w:color w:val="000000"/>
              </w:rPr>
            </w:pPr>
            <w:r w:rsidRPr="004D2058">
              <w:rPr>
                <w:color w:val="000000"/>
              </w:rPr>
              <w:t>T1W, T2W, DWI, DCE</w:t>
            </w:r>
          </w:p>
        </w:tc>
        <w:tc>
          <w:tcPr>
            <w:tcW w:w="0" w:type="auto"/>
          </w:tcPr>
          <w:p w14:paraId="7F1E16E2" w14:textId="77777777" w:rsidR="00313DFD" w:rsidRPr="004D2058" w:rsidRDefault="00313DFD" w:rsidP="00313DFD">
            <w:pPr>
              <w:pStyle w:val="Tabletext1"/>
              <w:rPr>
                <w:color w:val="000000"/>
              </w:rPr>
            </w:pPr>
            <w:r w:rsidRPr="004D2058">
              <w:rPr>
                <w:color w:val="000000"/>
              </w:rPr>
              <w:t>NR</w:t>
            </w:r>
          </w:p>
        </w:tc>
        <w:tc>
          <w:tcPr>
            <w:tcW w:w="0" w:type="auto"/>
          </w:tcPr>
          <w:p w14:paraId="4060DE7A" w14:textId="77777777" w:rsidR="00313DFD" w:rsidRPr="004D2058" w:rsidRDefault="00313DFD" w:rsidP="00313DFD">
            <w:pPr>
              <w:pStyle w:val="Tabletext1"/>
              <w:rPr>
                <w:color w:val="000000"/>
              </w:rPr>
            </w:pPr>
            <w:r w:rsidRPr="004D2058">
              <w:rPr>
                <w:color w:val="000000"/>
              </w:rPr>
              <w:t>2 experienced radiologists</w:t>
            </w:r>
          </w:p>
        </w:tc>
      </w:tr>
      <w:tr w:rsidR="00313DFD" w:rsidRPr="004D2058" w14:paraId="3FF8608D" w14:textId="77777777" w:rsidTr="00AE3374">
        <w:trPr>
          <w:trHeight w:val="397"/>
        </w:trPr>
        <w:tc>
          <w:tcPr>
            <w:tcW w:w="0" w:type="auto"/>
          </w:tcPr>
          <w:p w14:paraId="69AAF8FF" w14:textId="77777777" w:rsidR="00313DFD" w:rsidRPr="00D67F58" w:rsidRDefault="00313DFD" w:rsidP="00313DFD">
            <w:pPr>
              <w:pStyle w:val="Tabletext1"/>
            </w:pPr>
            <w:r>
              <w:t xml:space="preserve">Recabal et al. (2016) </w:t>
            </w:r>
          </w:p>
          <w:p w14:paraId="601D8F01" w14:textId="5F1F3237" w:rsidR="00313DFD" w:rsidRPr="004D2058" w:rsidRDefault="00313DFD" w:rsidP="00313DFD">
            <w:pPr>
              <w:pStyle w:val="Tabletext1"/>
            </w:pPr>
            <w:r w:rsidRPr="00D67F58">
              <w:t>n=206</w:t>
            </w:r>
          </w:p>
        </w:tc>
        <w:tc>
          <w:tcPr>
            <w:tcW w:w="0" w:type="auto"/>
          </w:tcPr>
          <w:p w14:paraId="6903F214" w14:textId="77777777" w:rsidR="00313DFD" w:rsidRPr="004D2058" w:rsidRDefault="00313DFD" w:rsidP="00313DFD">
            <w:pPr>
              <w:pStyle w:val="Tabletext1"/>
              <w:rPr>
                <w:color w:val="000000"/>
              </w:rPr>
            </w:pPr>
            <w:r w:rsidRPr="004D2058">
              <w:rPr>
                <w:color w:val="000000"/>
              </w:rPr>
              <w:t>1.5 or 3.0</w:t>
            </w:r>
          </w:p>
        </w:tc>
        <w:tc>
          <w:tcPr>
            <w:tcW w:w="0" w:type="auto"/>
          </w:tcPr>
          <w:p w14:paraId="576AC580" w14:textId="576A9BF8" w:rsidR="00313DFD" w:rsidRPr="004D2058" w:rsidRDefault="00313DFD" w:rsidP="00313DFD">
            <w:pPr>
              <w:pStyle w:val="Tabletext1"/>
              <w:rPr>
                <w:color w:val="000000"/>
              </w:rPr>
            </w:pPr>
            <w:r>
              <w:rPr>
                <w:color w:val="000000"/>
              </w:rPr>
              <w:t>Y and N</w:t>
            </w:r>
          </w:p>
        </w:tc>
        <w:tc>
          <w:tcPr>
            <w:tcW w:w="0" w:type="auto"/>
          </w:tcPr>
          <w:p w14:paraId="3627B058" w14:textId="77777777" w:rsidR="00313DFD" w:rsidRPr="004D2058" w:rsidRDefault="00313DFD" w:rsidP="00313DFD">
            <w:pPr>
              <w:pStyle w:val="Tabletext1"/>
              <w:rPr>
                <w:color w:val="000000"/>
              </w:rPr>
            </w:pPr>
            <w:r w:rsidRPr="004D2058">
              <w:rPr>
                <w:color w:val="000000"/>
              </w:rPr>
              <w:t>T1W, T2W, DWI, DCE</w:t>
            </w:r>
          </w:p>
        </w:tc>
        <w:tc>
          <w:tcPr>
            <w:tcW w:w="0" w:type="auto"/>
          </w:tcPr>
          <w:p w14:paraId="2BA4E893" w14:textId="77777777" w:rsidR="00313DFD" w:rsidRPr="004D2058" w:rsidRDefault="00313DFD" w:rsidP="00313DFD">
            <w:pPr>
              <w:pStyle w:val="Tabletext1"/>
              <w:rPr>
                <w:color w:val="000000"/>
              </w:rPr>
            </w:pPr>
            <w:r w:rsidRPr="004D2058">
              <w:rPr>
                <w:color w:val="000000"/>
              </w:rPr>
              <w:t>NR</w:t>
            </w:r>
          </w:p>
        </w:tc>
        <w:tc>
          <w:tcPr>
            <w:tcW w:w="0" w:type="auto"/>
          </w:tcPr>
          <w:p w14:paraId="707B299D" w14:textId="77777777" w:rsidR="00313DFD" w:rsidRPr="004D2058" w:rsidRDefault="00313DFD" w:rsidP="00313DFD">
            <w:pPr>
              <w:pStyle w:val="Tabletext1"/>
              <w:rPr>
                <w:color w:val="000000"/>
              </w:rPr>
            </w:pPr>
            <w:r w:rsidRPr="004D2058">
              <w:rPr>
                <w:color w:val="000000"/>
              </w:rPr>
              <w:t>6 radiologists with 6 to 15 years experience</w:t>
            </w:r>
          </w:p>
        </w:tc>
      </w:tr>
    </w:tbl>
    <w:p w14:paraId="369CC615" w14:textId="3E9FBCD4" w:rsidR="00742247" w:rsidRPr="004D2058" w:rsidRDefault="00742247" w:rsidP="00413B4A">
      <w:pPr>
        <w:pStyle w:val="TableNotes"/>
      </w:pPr>
      <w:r w:rsidRPr="004D2058">
        <w:t>DCE</w:t>
      </w:r>
      <w:r w:rsidR="008A71E9">
        <w:t xml:space="preserve"> =</w:t>
      </w:r>
      <w:r w:rsidRPr="004D2058">
        <w:t xml:space="preserve"> dynamic-contrast enhanced</w:t>
      </w:r>
      <w:r w:rsidR="008A71E9">
        <w:t>,</w:t>
      </w:r>
      <w:r w:rsidRPr="004D2058">
        <w:t xml:space="preserve"> DWI</w:t>
      </w:r>
      <w:r w:rsidR="008A71E9">
        <w:t xml:space="preserve"> =</w:t>
      </w:r>
      <w:r w:rsidRPr="004D2058">
        <w:t xml:space="preserve"> diffusion weighted imaging</w:t>
      </w:r>
      <w:r w:rsidR="008A71E9">
        <w:t>,</w:t>
      </w:r>
      <w:r w:rsidRPr="004D2058">
        <w:t xml:space="preserve"> </w:t>
      </w:r>
      <w:r w:rsidRPr="004C2856">
        <w:t>MRI</w:t>
      </w:r>
      <w:r w:rsidR="008A71E9">
        <w:t xml:space="preserve"> =</w:t>
      </w:r>
      <w:r w:rsidRPr="004C2856">
        <w:t xml:space="preserve"> magnetic resonance imaging</w:t>
      </w:r>
      <w:r w:rsidR="008A71E9">
        <w:t xml:space="preserve">, </w:t>
      </w:r>
      <w:r w:rsidRPr="004D2058">
        <w:t>T2W</w:t>
      </w:r>
      <w:r w:rsidR="008A71E9">
        <w:t xml:space="preserve"> =</w:t>
      </w:r>
      <w:r w:rsidRPr="004D2058">
        <w:t xml:space="preserve"> T2 weighted</w:t>
      </w:r>
      <w:r w:rsidR="008A71E9">
        <w:t xml:space="preserve">, </w:t>
      </w:r>
      <w:r w:rsidR="008A71E9" w:rsidRPr="004D2058">
        <w:t>T</w:t>
      </w:r>
      <w:r w:rsidR="008A71E9">
        <w:t>1</w:t>
      </w:r>
      <w:r w:rsidR="008A71E9" w:rsidRPr="004D2058">
        <w:t>W</w:t>
      </w:r>
      <w:r w:rsidR="008A71E9">
        <w:t xml:space="preserve"> =</w:t>
      </w:r>
      <w:r w:rsidR="008A71E9" w:rsidRPr="004D2058">
        <w:t xml:space="preserve"> T</w:t>
      </w:r>
      <w:r w:rsidR="008A71E9">
        <w:t>1</w:t>
      </w:r>
      <w:r w:rsidR="008A71E9" w:rsidRPr="004D2058">
        <w:t xml:space="preserve"> weighted</w:t>
      </w:r>
      <w:r w:rsidR="00AF4481">
        <w:t>, NR = not reported</w:t>
      </w:r>
      <w:r w:rsidRPr="004D2058">
        <w:t>.</w:t>
      </w:r>
    </w:p>
    <w:p w14:paraId="28A38B0D" w14:textId="0A8118C3" w:rsidR="00742247" w:rsidRDefault="00742247" w:rsidP="00742247">
      <w:pPr>
        <w:rPr>
          <w:rFonts w:cs="AdvGulliv-R"/>
          <w:color w:val="000000"/>
        </w:rPr>
      </w:pPr>
      <w:r>
        <w:rPr>
          <w:rFonts w:cs="AdvGulliv-R"/>
          <w:color w:val="000000"/>
        </w:rPr>
        <w:t>As with Population 1, the key clinical studies in Population 2 used</w:t>
      </w:r>
      <w:r w:rsidR="00CC20A8">
        <w:rPr>
          <w:rFonts w:cs="AdvGulliv-R"/>
          <w:color w:val="000000"/>
        </w:rPr>
        <w:t xml:space="preserve"> 1.5 and</w:t>
      </w:r>
      <w:r w:rsidR="00786595">
        <w:rPr>
          <w:rFonts w:cs="AdvGulliv-R"/>
          <w:color w:val="000000"/>
        </w:rPr>
        <w:t>/or</w:t>
      </w:r>
      <w:r w:rsidR="00CC20A8">
        <w:rPr>
          <w:rFonts w:cs="AdvGulliv-R"/>
          <w:color w:val="000000"/>
        </w:rPr>
        <w:t xml:space="preserve"> 3.0T</w:t>
      </w:r>
      <w:r w:rsidR="00786595">
        <w:rPr>
          <w:rFonts w:cs="AdvGulliv-R"/>
          <w:color w:val="000000"/>
        </w:rPr>
        <w:t xml:space="preserve"> scanner</w:t>
      </w:r>
      <w:r w:rsidR="006656C0">
        <w:rPr>
          <w:rFonts w:cs="AdvGulliv-R"/>
          <w:color w:val="000000"/>
        </w:rPr>
        <w:t xml:space="preserve">, </w:t>
      </w:r>
      <w:r w:rsidR="00786595">
        <w:rPr>
          <w:rFonts w:cs="AdvGulliv-R"/>
          <w:color w:val="000000"/>
        </w:rPr>
        <w:t>both</w:t>
      </w:r>
      <w:r w:rsidR="006656C0">
        <w:rPr>
          <w:rFonts w:cs="AdvGulliv-R"/>
          <w:color w:val="000000"/>
        </w:rPr>
        <w:t xml:space="preserve"> are currently available in Australia</w:t>
      </w:r>
      <w:r>
        <w:rPr>
          <w:rFonts w:cs="AdvGulliv-R"/>
          <w:color w:val="000000"/>
        </w:rPr>
        <w:t xml:space="preserve"> </w:t>
      </w:r>
      <w:r w:rsidR="008E0B00">
        <w:rPr>
          <w:rFonts w:cs="AdvGulliv-R"/>
          <w:color w:val="000000"/>
        </w:rPr>
        <w:fldChar w:fldCharType="begin"/>
      </w:r>
      <w:r w:rsidR="008E0B00">
        <w:rPr>
          <w:rFonts w:cs="AdvGulliv-R"/>
          <w:color w:val="000000"/>
        </w:rPr>
        <w:instrText xml:space="preserve"> ADDIN EN.CITE &lt;EndNote&gt;&lt;Cite&gt;&lt;Author&gt;HealthPACT&lt;/Author&gt;&lt;Year&gt;2015&lt;/Year&gt;&lt;RecNum&gt;11&lt;/RecNum&gt;&lt;DisplayText&gt;(HealthPACT 2015)&lt;/DisplayText&gt;&lt;record&gt;&lt;rec-number&gt;11&lt;/rec-number&gt;&lt;foreign-keys&gt;&lt;key app="EN" db-id="2p9terxr22fx91epzebpfdwuzrwtw2a2ep2t" timestamp="1472684600"&gt;11&lt;/key&gt;&lt;/foreign-keys&gt;&lt;ref-type name="Web Page"&gt;12&lt;/ref-type&gt;&lt;contributors&gt;&lt;authors&gt;&lt;author&gt;HealthPACT&lt;/author&gt;&lt;/authors&gt;&lt;/contributors&gt;&lt;titles&gt;&lt;title&gt;MRI screening for prostate cancer&lt;/title&gt;&lt;/titles&gt;&lt;volume&gt;2016&lt;/volume&gt;&lt;number&gt;1 September&lt;/number&gt;&lt;dates&gt;&lt;year&gt;2015&lt;/year&gt;&lt;/dates&gt;&lt;pub-location&gt;Brisbane, Australia&lt;/pub-location&gt;&lt;publisher&gt;State of Queensland (Queensland Department of Health)&lt;/publisher&gt;&lt;urls&gt;&lt;related-urls&gt;&lt;url&gt;https://www.health.qld.gov.au/healthpact/docs/briefs/WP203.pdf&lt;/url&gt;&lt;/related-urls&gt;&lt;/urls&gt;&lt;access-date&gt;22 Jul 2016&lt;/access-date&gt;&lt;/record&gt;&lt;/Cite&gt;&lt;/EndNote&gt;</w:instrText>
      </w:r>
      <w:r w:rsidR="008E0B00">
        <w:rPr>
          <w:rFonts w:cs="AdvGulliv-R"/>
          <w:color w:val="000000"/>
        </w:rPr>
        <w:fldChar w:fldCharType="separate"/>
      </w:r>
      <w:r w:rsidR="008E0B00">
        <w:rPr>
          <w:rFonts w:cs="AdvGulliv-R"/>
          <w:noProof/>
          <w:color w:val="000000"/>
        </w:rPr>
        <w:t>(</w:t>
      </w:r>
      <w:hyperlink w:anchor="_ENREF_61" w:tooltip="HealthPACT, 2015 #11" w:history="1">
        <w:r w:rsidR="008E0B00">
          <w:rPr>
            <w:rFonts w:cs="AdvGulliv-R"/>
            <w:noProof/>
            <w:color w:val="000000"/>
          </w:rPr>
          <w:t>HealthPACT 2015</w:t>
        </w:r>
      </w:hyperlink>
      <w:r w:rsidR="008E0B00">
        <w:rPr>
          <w:rFonts w:cs="AdvGulliv-R"/>
          <w:noProof/>
          <w:color w:val="000000"/>
        </w:rPr>
        <w:t>)</w:t>
      </w:r>
      <w:r w:rsidR="008E0B00">
        <w:rPr>
          <w:rFonts w:cs="AdvGulliv-R"/>
          <w:color w:val="000000"/>
        </w:rPr>
        <w:fldChar w:fldCharType="end"/>
      </w:r>
      <w:r>
        <w:rPr>
          <w:rFonts w:cs="AdvGulliv-R"/>
          <w:color w:val="000000"/>
        </w:rPr>
        <w:t>. In the studies for Population 2, the use of an endorectal coil was more common than in the studies for Population 1.</w:t>
      </w:r>
    </w:p>
    <w:p w14:paraId="251A4A24" w14:textId="524CFD51" w:rsidR="00742247" w:rsidRDefault="006656C0" w:rsidP="00742247">
      <w:pPr>
        <w:rPr>
          <w:rFonts w:cs="AdvGulliv-R"/>
          <w:color w:val="000000"/>
        </w:rPr>
      </w:pPr>
      <w:r>
        <w:rPr>
          <w:rFonts w:cs="AdvGulliv-R"/>
          <w:color w:val="000000"/>
        </w:rPr>
        <w:t>Three</w:t>
      </w:r>
      <w:r w:rsidR="00742247">
        <w:rPr>
          <w:rFonts w:cs="AdvGulliv-R"/>
          <w:color w:val="000000"/>
        </w:rPr>
        <w:t xml:space="preserve"> of</w:t>
      </w:r>
      <w:r>
        <w:rPr>
          <w:rFonts w:cs="AdvGulliv-R"/>
          <w:color w:val="000000"/>
        </w:rPr>
        <w:t xml:space="preserve"> six</w:t>
      </w:r>
      <w:r w:rsidR="00742247">
        <w:rPr>
          <w:rFonts w:cs="AdvGulliv-R"/>
          <w:color w:val="000000"/>
        </w:rPr>
        <w:t xml:space="preserve"> studies </w:t>
      </w:r>
      <w:r>
        <w:rPr>
          <w:rFonts w:cs="AdvGulliv-R"/>
          <w:color w:val="000000"/>
        </w:rPr>
        <w:t>used imaging techniques</w:t>
      </w:r>
      <w:r w:rsidR="00742247">
        <w:rPr>
          <w:rFonts w:cs="AdvGulliv-R"/>
          <w:color w:val="000000"/>
        </w:rPr>
        <w:t xml:space="preserve"> </w:t>
      </w:r>
      <w:r>
        <w:rPr>
          <w:rFonts w:cs="AdvGulliv-R"/>
          <w:color w:val="000000"/>
        </w:rPr>
        <w:t xml:space="preserve">(T2W, DCE, DWI) </w:t>
      </w:r>
      <w:r w:rsidR="00742247">
        <w:rPr>
          <w:rFonts w:cs="AdvGulliv-R"/>
          <w:color w:val="000000"/>
        </w:rPr>
        <w:t xml:space="preserve">consistent with </w:t>
      </w:r>
      <w:r>
        <w:rPr>
          <w:rFonts w:cs="AdvGulliv-R"/>
          <w:color w:val="000000"/>
        </w:rPr>
        <w:t xml:space="preserve">the </w:t>
      </w:r>
      <w:r w:rsidR="00742247">
        <w:rPr>
          <w:rFonts w:cs="AdvGulliv-R"/>
          <w:color w:val="000000"/>
        </w:rPr>
        <w:t xml:space="preserve">expected MBS population. The other studies </w:t>
      </w:r>
      <w:r>
        <w:rPr>
          <w:rFonts w:cs="AdvGulliv-R"/>
          <w:color w:val="000000"/>
        </w:rPr>
        <w:t>also</w:t>
      </w:r>
      <w:r w:rsidR="00742247">
        <w:rPr>
          <w:rFonts w:cs="AdvGulliv-R"/>
          <w:color w:val="000000"/>
        </w:rPr>
        <w:t xml:space="preserve"> used T1W imaging</w:t>
      </w:r>
      <w:r>
        <w:rPr>
          <w:rFonts w:cs="AdvGulliv-R"/>
          <w:color w:val="000000"/>
        </w:rPr>
        <w:t>;</w:t>
      </w:r>
      <w:r w:rsidR="00742247">
        <w:rPr>
          <w:rFonts w:cs="AdvGulliv-R"/>
          <w:color w:val="000000"/>
        </w:rPr>
        <w:t xml:space="preserve"> and</w:t>
      </w:r>
      <w:r>
        <w:rPr>
          <w:rFonts w:cs="AdvGulliv-R"/>
          <w:color w:val="000000"/>
        </w:rPr>
        <w:t>,</w:t>
      </w:r>
      <w:r w:rsidR="00742247">
        <w:rPr>
          <w:rFonts w:cs="AdvGulliv-R"/>
          <w:color w:val="000000"/>
        </w:rPr>
        <w:t xml:space="preserve"> one study Flavell et al. 2</w:t>
      </w:r>
      <w:r>
        <w:rPr>
          <w:rFonts w:cs="AdvGulliv-R"/>
          <w:color w:val="000000"/>
        </w:rPr>
        <w:t>(</w:t>
      </w:r>
      <w:r w:rsidR="00742247">
        <w:rPr>
          <w:rFonts w:cs="AdvGulliv-R"/>
          <w:color w:val="000000"/>
        </w:rPr>
        <w:t xml:space="preserve">014) did not include DCE, which may reduce test accuracy. </w:t>
      </w:r>
      <w:r>
        <w:rPr>
          <w:rFonts w:cs="AdvGulliv-R"/>
          <w:color w:val="000000"/>
        </w:rPr>
        <w:t>The type of contrast agent used was not consistently reported, but, when defined, a gadolinium contrast agent was used; this is consistent with the expected MBS population.</w:t>
      </w:r>
    </w:p>
    <w:p w14:paraId="7C9B0770" w14:textId="0C72C075" w:rsidR="00742247" w:rsidRDefault="00742247" w:rsidP="00742247">
      <w:pPr>
        <w:rPr>
          <w:rFonts w:cs="AdvGulliv-R"/>
          <w:color w:val="000000"/>
        </w:rPr>
      </w:pPr>
      <w:r>
        <w:rPr>
          <w:rFonts w:cs="AdvGulliv-R"/>
          <w:color w:val="000000"/>
        </w:rPr>
        <w:t xml:space="preserve">PI-RADS cut-off value differed between studies. However, the proposed clinical management algorithm prescribes PI-RADS </w:t>
      </w:r>
      <w:r>
        <w:rPr>
          <w:rFonts w:cs="Calibri"/>
          <w:color w:val="000000"/>
        </w:rPr>
        <w:t>≥</w:t>
      </w:r>
      <w:r>
        <w:rPr>
          <w:rFonts w:cs="AdvGulliv-R"/>
          <w:color w:val="000000"/>
        </w:rPr>
        <w:t xml:space="preserve">4 as cut-off. Therefore, consistent with the approach in Population 1, only key studies using this same cut-off value were included (see </w:t>
      </w:r>
      <w:r w:rsidR="00CC20A8">
        <w:rPr>
          <w:rFonts w:cs="AdvGulliv-R"/>
          <w:color w:val="000000"/>
        </w:rPr>
        <w:t>Sub</w:t>
      </w:r>
      <w:r>
        <w:rPr>
          <w:rFonts w:cs="AdvGulliv-R"/>
          <w:color w:val="000000"/>
        </w:rPr>
        <w:t xml:space="preserve">section </w:t>
      </w:r>
      <w:r w:rsidRPr="00DD4B67">
        <w:rPr>
          <w:rFonts w:cs="AdvGulliv-R"/>
          <w:color w:val="000000"/>
        </w:rPr>
        <w:t>B.3</w:t>
      </w:r>
      <w:r>
        <w:rPr>
          <w:rFonts w:cs="AdvGulliv-R"/>
          <w:color w:val="000000"/>
        </w:rPr>
        <w:t>).</w:t>
      </w:r>
    </w:p>
    <w:p w14:paraId="62795503" w14:textId="77777777" w:rsidR="00742247" w:rsidRDefault="00742247" w:rsidP="00742247">
      <w:pPr>
        <w:rPr>
          <w:rFonts w:cs="AdvGulliv-R"/>
          <w:color w:val="000000"/>
        </w:rPr>
      </w:pPr>
      <w:r>
        <w:rPr>
          <w:rFonts w:cs="AdvGulliv-R"/>
          <w:color w:val="000000"/>
        </w:rPr>
        <w:lastRenderedPageBreak/>
        <w:t>Similar to the studies in Population 1, reader experience differed between key studies and was generally reported to be substantial. The results from the economic evaluation may therefore reflect longer-term cost-effectiveness instead of initial cost-effectiveness.</w:t>
      </w:r>
    </w:p>
    <w:p w14:paraId="63BF418F" w14:textId="4803DC0F" w:rsidR="00742247" w:rsidRPr="00D81E4E" w:rsidRDefault="00742247" w:rsidP="00742247">
      <w:pPr>
        <w:rPr>
          <w:rFonts w:cs="AdvGulliv-R"/>
          <w:color w:val="000000"/>
        </w:rPr>
      </w:pPr>
      <w:r>
        <w:rPr>
          <w:rFonts w:cs="AdvGulliv-R"/>
          <w:color w:val="000000"/>
        </w:rPr>
        <w:t xml:space="preserve">In conclusion, comparison of intervention characteristics between the key clinical studies and the expected MBS population did not identify overt applicability issues. To ensure applicability, only studies using PI-RADS </w:t>
      </w:r>
      <w:r>
        <w:rPr>
          <w:rFonts w:cs="Calibri"/>
          <w:color w:val="000000"/>
        </w:rPr>
        <w:t>≥</w:t>
      </w:r>
      <w:r>
        <w:rPr>
          <w:rFonts w:cs="AdvGulliv-R"/>
          <w:color w:val="000000"/>
        </w:rPr>
        <w:t>4 as cut-of</w:t>
      </w:r>
      <w:r w:rsidR="00CC20A8">
        <w:rPr>
          <w:rFonts w:cs="AdvGulliv-R"/>
          <w:color w:val="000000"/>
        </w:rPr>
        <w:t>f were included. The mpMRI cost-</w:t>
      </w:r>
      <w:r>
        <w:rPr>
          <w:rFonts w:cs="AdvGulliv-R"/>
          <w:color w:val="000000"/>
        </w:rPr>
        <w:t>effectiveness results may be conditional on sufficient reader experience since the accuracy studies generally used experienced readers.</w:t>
      </w:r>
      <w:r w:rsidRPr="00CE0C5A">
        <w:t xml:space="preserve"> </w:t>
      </w:r>
      <w:r>
        <w:t>This issue was addressed by performing sensitivity analyses to evaluate the impact of reduced</w:t>
      </w:r>
      <w:r w:rsidR="006656C0">
        <w:t xml:space="preserve"> and </w:t>
      </w:r>
      <w:r>
        <w:t xml:space="preserve">increased test accuracy on the cost-effectiveness of </w:t>
      </w:r>
      <w:r w:rsidR="00CC20A8">
        <w:t>mpMRI (see Subs</w:t>
      </w:r>
      <w:r w:rsidRPr="00DD4B67">
        <w:t>ection D.6).</w:t>
      </w:r>
    </w:p>
    <w:p w14:paraId="3B42F340" w14:textId="77777777" w:rsidR="00742247" w:rsidRDefault="00742247" w:rsidP="00742247">
      <w:pPr>
        <w:pStyle w:val="Heading2"/>
        <w:numPr>
          <w:ilvl w:val="2"/>
          <w:numId w:val="19"/>
        </w:numPr>
        <w:jc w:val="left"/>
      </w:pPr>
      <w:bookmarkStart w:id="446" w:name="_Toc395200789"/>
      <w:bookmarkStart w:id="447" w:name="_Toc457383606"/>
      <w:bookmarkStart w:id="448" w:name="_Toc459987854"/>
      <w:bookmarkStart w:id="449" w:name="_Toc460513974"/>
      <w:r>
        <w:t>Extrapolation translation issues</w:t>
      </w:r>
      <w:bookmarkEnd w:id="446"/>
      <w:bookmarkEnd w:id="447"/>
      <w:bookmarkEnd w:id="448"/>
      <w:bookmarkEnd w:id="449"/>
    </w:p>
    <w:p w14:paraId="127AB219" w14:textId="44700C2F" w:rsidR="00742247" w:rsidRDefault="00742247" w:rsidP="00742247">
      <w:r>
        <w:t xml:space="preserve">This section considers the impact of mpMRI on the prognosis of </w:t>
      </w:r>
      <w:r w:rsidR="00E57F12">
        <w:t>PCa</w:t>
      </w:r>
      <w:r>
        <w:t xml:space="preserve"> patients.</w:t>
      </w:r>
    </w:p>
    <w:p w14:paraId="080F2661" w14:textId="4ED78D5A" w:rsidR="00742247" w:rsidRDefault="00742247" w:rsidP="00742247">
      <w:r>
        <w:t xml:space="preserve">None of the key accuracy studies discussed in </w:t>
      </w:r>
      <w:r w:rsidR="006B5463">
        <w:t>S</w:t>
      </w:r>
      <w:r>
        <w:t xml:space="preserve">ection B measured the impact of mpMRI on </w:t>
      </w:r>
      <w:r w:rsidR="00E57F12">
        <w:t>PCa</w:t>
      </w:r>
      <w:r>
        <w:t xml:space="preserve"> progression and/or mortality. Prognostic information was therefore sourced from other literature, aligning with the sources used in the evaluation of </w:t>
      </w:r>
      <w:r w:rsidR="00E57F12">
        <w:t>MRIGB</w:t>
      </w:r>
      <w:r>
        <w:t xml:space="preserve"> procedures for diagnosis of PCa (CA 1424). Probability of developing cancer whilst receiving PSA screening (9.7%) </w:t>
      </w:r>
      <w:r w:rsidRPr="00C71ED9">
        <w:t>was obtained from</w:t>
      </w:r>
      <w:r w:rsidR="006B5463">
        <w:t xml:space="preserve"> </w:t>
      </w:r>
      <w:r w:rsidR="008E0B00">
        <w:fldChar w:fldCharType="begin"/>
      </w:r>
      <w:r w:rsidR="008E0B00">
        <w:instrText xml:space="preserve"> ADDIN EN.CITE &lt;EndNote&gt;&lt;Cite&gt;&lt;Author&gt;Gann&lt;/Author&gt;&lt;Year&gt;2010&lt;/Year&gt;&lt;RecNum&gt;2&lt;/RecNum&gt;&lt;DisplayText&gt;(Gann et al. 2010)&lt;/DisplayText&gt;&lt;record&gt;&lt;rec-number&gt;2&lt;/rec-number&gt;&lt;foreign-keys&gt;&lt;key app="EN" db-id="2p9terxr22fx91epzebpfdwuzrwtw2a2ep2t" timestamp="1472684599"&gt;2&lt;/key&gt;&lt;/foreign-keys&gt;&lt;ref-type name="Journal Article"&gt;17&lt;/ref-type&gt;&lt;contributors&gt;&lt;authors&gt;&lt;author&gt;Gann, Peter H&lt;/author&gt;&lt;author&gt;Fought, Angela&lt;/author&gt;&lt;author&gt;Deaton, Ryan&lt;/author&gt;&lt;author&gt;Catalona, William J&lt;/author&gt;&lt;author&gt;Vonesh, Edward&lt;/author&gt;&lt;/authors&gt;&lt;/contributors&gt;&lt;titles&gt;&lt;title&gt;Risk factors for prostate cancer detection after a negative biopsy: a novel multivariable longitudinal approach&lt;/title&gt;&lt;secondary-title&gt;J Clin Oncol&lt;/secondary-title&gt;&lt;/titles&gt;&lt;periodical&gt;&lt;full-title&gt;J Clin Oncol&lt;/full-title&gt;&lt;abbr-1&gt;Journal of clinical oncology : official journal of the American Society of Clinical Oncology&lt;/abbr-1&gt;&lt;/periodical&gt;&lt;pages&gt;1714-1720&lt;/pages&gt;&lt;volume&gt;28&lt;/volume&gt;&lt;number&gt;10&lt;/number&gt;&lt;dates&gt;&lt;year&gt;2010&lt;/year&gt;&lt;/dates&gt;&lt;isbn&gt;0732-183X&lt;/isbn&gt;&lt;urls&gt;&lt;/urls&gt;&lt;/record&gt;&lt;/Cite&gt;&lt;/EndNote&gt;</w:instrText>
      </w:r>
      <w:r w:rsidR="008E0B00">
        <w:fldChar w:fldCharType="separate"/>
      </w:r>
      <w:r w:rsidR="008E0B00">
        <w:rPr>
          <w:noProof/>
        </w:rPr>
        <w:t>(</w:t>
      </w:r>
      <w:hyperlink w:anchor="_ENREF_51" w:tooltip="Gann, 2010 #2" w:history="1">
        <w:r w:rsidR="008E0B00">
          <w:rPr>
            <w:noProof/>
          </w:rPr>
          <w:t>Gann et al. 2010</w:t>
        </w:r>
      </w:hyperlink>
      <w:r w:rsidR="008E0B00">
        <w:rPr>
          <w:noProof/>
        </w:rPr>
        <w:t>)</w:t>
      </w:r>
      <w:r w:rsidR="008E0B00">
        <w:fldChar w:fldCharType="end"/>
      </w:r>
      <w:r w:rsidRPr="00C71ED9">
        <w:t xml:space="preserve">. Probabilities of </w:t>
      </w:r>
      <w:r w:rsidR="00E57F12">
        <w:t>PCa</w:t>
      </w:r>
      <w:r w:rsidRPr="00C71ED9">
        <w:t xml:space="preserve"> progression were 8.8% for upstaging while under </w:t>
      </w:r>
      <w:r w:rsidR="00AB1EEA">
        <w:t>AS</w:t>
      </w:r>
      <w:r w:rsidR="00786595">
        <w:t xml:space="preserve"> </w:t>
      </w:r>
      <w:r w:rsidR="008E0B00">
        <w:fldChar w:fldCharType="begin"/>
      </w:r>
      <w:r w:rsidR="008E0B00">
        <w:instrText xml:space="preserve"> ADDIN EN.CITE &lt;EndNote&gt;&lt;Cite&gt;&lt;Author&gt;Simpkin&lt;/Author&gt;&lt;Year&gt;2015&lt;/Year&gt;&lt;RecNum&gt;3&lt;/RecNum&gt;&lt;DisplayText&gt;(Simpkin et al. 2015)&lt;/DisplayText&gt;&lt;record&gt;&lt;rec-number&gt;3&lt;/rec-number&gt;&lt;foreign-keys&gt;&lt;key app="EN" db-id="2p9terxr22fx91epzebpfdwuzrwtw2a2ep2t" timestamp="1472684599"&gt;3&lt;/key&gt;&lt;/foreign-keys&gt;&lt;ref-type name="Journal Article"&gt;17&lt;/ref-type&gt;&lt;contributors&gt;&lt;authors&gt;&lt;author&gt;Simpkin, Andrew J&lt;/author&gt;&lt;author&gt;Tilling, Kate&lt;/author&gt;&lt;author&gt;Martin, Richard M&lt;/author&gt;&lt;author&gt;Lane, J Athene&lt;/author&gt;&lt;author&gt;Hamdy, Freddie C&lt;/author&gt;&lt;author&gt;Holmberg, Lars&lt;/author&gt;&lt;author&gt;Neal, David E&lt;/author&gt;&lt;author&gt;Metcalfe, Chris&lt;/author&gt;&lt;author&gt;Donovan, Jenny L&lt;/author&gt;&lt;/authors&gt;&lt;/contributors&gt;&lt;titles&gt;&lt;title&gt;Systematic review and meta-analysis of factors determining change to radical treatment in active surveillance for localized prostate cancer&lt;/title&gt;&lt;secondary-title&gt;Eur Urol&lt;/secondary-title&gt;&lt;/titles&gt;&lt;periodical&gt;&lt;full-title&gt;Eur Urol&lt;/full-title&gt;&lt;/periodical&gt;&lt;pages&gt;993-1005&lt;/pages&gt;&lt;volume&gt;67&lt;/volume&gt;&lt;number&gt;6&lt;/number&gt;&lt;dates&gt;&lt;year&gt;2015&lt;/year&gt;&lt;/dates&gt;&lt;isbn&gt;0302-2838&lt;/isbn&gt;&lt;urls&gt;&lt;/urls&gt;&lt;/record&gt;&lt;/Cite&gt;&lt;/EndNote&gt;</w:instrText>
      </w:r>
      <w:r w:rsidR="008E0B00">
        <w:fldChar w:fldCharType="separate"/>
      </w:r>
      <w:r w:rsidR="008E0B00">
        <w:rPr>
          <w:noProof/>
        </w:rPr>
        <w:t>(</w:t>
      </w:r>
      <w:hyperlink w:anchor="_ENREF_149" w:tooltip="Simpkin, 2015 #3" w:history="1">
        <w:r w:rsidR="008E0B00">
          <w:rPr>
            <w:noProof/>
          </w:rPr>
          <w:t>Simpkin et al. 2015</w:t>
        </w:r>
      </w:hyperlink>
      <w:r w:rsidR="008E0B00">
        <w:rPr>
          <w:noProof/>
        </w:rPr>
        <w:t>)</w:t>
      </w:r>
      <w:r w:rsidR="008E0B00">
        <w:fldChar w:fldCharType="end"/>
      </w:r>
      <w:r w:rsidRPr="00C71ED9">
        <w:t xml:space="preserve"> and</w:t>
      </w:r>
      <w:r w:rsidR="006B5463">
        <w:t xml:space="preserve"> </w:t>
      </w:r>
      <w:r w:rsidRPr="00C71ED9">
        <w:t>2.6% for further</w:t>
      </w:r>
      <w:r>
        <w:t xml:space="preserve"> progression to advanced prostate cancer</w:t>
      </w:r>
      <w:r w:rsidR="00786595">
        <w:t xml:space="preserve"> </w:t>
      </w:r>
      <w:r w:rsidR="008E0B00">
        <w:fldChar w:fldCharType="begin"/>
      </w:r>
      <w:r w:rsidR="008E0B00">
        <w:instrText xml:space="preserve"> ADDIN EN.CITE &lt;EndNote&gt;&lt;Cite&gt;&lt;Author&gt;Bill-Axelson&lt;/Author&gt;&lt;Year&gt;2014&lt;/Year&gt;&lt;RecNum&gt;4&lt;/RecNum&gt;&lt;DisplayText&gt;(Bill-Axelson  et al. 2014)&lt;/DisplayText&gt;&lt;record&gt;&lt;rec-number&gt;4&lt;/rec-number&gt;&lt;foreign-keys&gt;&lt;key app="EN" db-id="2p9terxr22fx91epzebpfdwuzrwtw2a2ep2t" timestamp="1472684599"&gt;4&lt;/key&gt;&lt;/foreign-keys&gt;&lt;ref-type name="Journal Article"&gt;17&lt;/ref-type&gt;&lt;contributors&gt;&lt;authors&gt;&lt;author&gt;Bill-Axelson , Anna&lt;/author&gt;&lt;author&gt;Holmberg , Lars&lt;/author&gt;&lt;author&gt;Garmo , Hans&lt;/author&gt;&lt;author&gt;Rider , Jennifer R.&lt;/author&gt;&lt;author&gt;Taari , Kimmo&lt;/author&gt;&lt;author&gt;Busch , Christer&lt;/author&gt;&lt;author&gt;Nordling , Stig&lt;/author&gt;&lt;author&gt;Häggman , Michael&lt;/author&gt;&lt;author&gt;Andersson , Swen-Olof&lt;/author&gt;&lt;author&gt;Spångberg , Anders&lt;/author&gt;&lt;author&gt;Andrén , Ove&lt;/author&gt;&lt;author&gt;Palmgren , Juni&lt;/author&gt;&lt;author&gt;Steineck , Gunnar&lt;/author&gt;&lt;author&gt;Adami , Hans-Olov&lt;/author&gt;&lt;author&gt;Johansson , Jan-Erik&lt;/author&gt;&lt;/authors&gt;&lt;/contributors&gt;&lt;titles&gt;&lt;title&gt;Radical Prostatectomy or Watchful Waiting in Early Prostate Cancer&lt;/title&gt;&lt;secondary-title&gt;N Engl J Med&lt;/secondary-title&gt;&lt;/titles&gt;&lt;periodical&gt;&lt;full-title&gt;N Engl J Med&lt;/full-title&gt;&lt;/periodical&gt;&lt;pages&gt;932-942&lt;/pages&gt;&lt;volume&gt;370&lt;/volume&gt;&lt;number&gt;10&lt;/number&gt;&lt;dates&gt;&lt;year&gt;2014&lt;/year&gt;&lt;/dates&gt;&lt;accession-num&gt;24597866&lt;/accession-num&gt;&lt;urls&gt;&lt;related-urls&gt;&lt;url&gt;http://www.nejm.org/doi/full/10.1056/NEJMoa1311593&lt;/url&gt;&lt;/related-urls&gt;&lt;/urls&gt;&lt;electronic-resource-num&gt;doi:10.1056/NEJMoa1311593&lt;/electronic-resource-num&gt;&lt;/record&gt;&lt;/Cite&gt;&lt;/EndNote&gt;</w:instrText>
      </w:r>
      <w:r w:rsidR="008E0B00">
        <w:fldChar w:fldCharType="separate"/>
      </w:r>
      <w:r w:rsidR="008E0B00">
        <w:rPr>
          <w:noProof/>
        </w:rPr>
        <w:t>(</w:t>
      </w:r>
      <w:hyperlink w:anchor="_ENREF_17" w:tooltip="Bill-Axelson , 2014 #4" w:history="1">
        <w:r w:rsidR="008E0B00">
          <w:rPr>
            <w:noProof/>
          </w:rPr>
          <w:t>Bill-Axelson  et al. 2014</w:t>
        </w:r>
      </w:hyperlink>
      <w:r w:rsidR="008E0B00">
        <w:rPr>
          <w:noProof/>
        </w:rPr>
        <w:t>)</w:t>
      </w:r>
      <w:r w:rsidR="008E0B00">
        <w:fldChar w:fldCharType="end"/>
      </w:r>
      <w:r>
        <w:t xml:space="preserve">. </w:t>
      </w:r>
      <w:r w:rsidR="008F01F6">
        <w:t xml:space="preserve">Probabilities of </w:t>
      </w:r>
      <w:r w:rsidR="00E57F12">
        <w:t>PCa</w:t>
      </w:r>
      <w:r w:rsidR="008F01F6">
        <w:t xml:space="preserve"> death were</w:t>
      </w:r>
      <w:r>
        <w:t xml:space="preserve"> obtained from SEER data from the US (0.6% for patients with localised disease) and a meta-analysis from the prostate cancer trialists collaborative group (22% for patients with advanced disease). A</w:t>
      </w:r>
      <w:r w:rsidR="00697396">
        <w:t xml:space="preserve">ustralian </w:t>
      </w:r>
      <w:r>
        <w:t>B</w:t>
      </w:r>
      <w:r w:rsidR="00697396">
        <w:t xml:space="preserve">ureau of </w:t>
      </w:r>
      <w:r>
        <w:t>S</w:t>
      </w:r>
      <w:r w:rsidR="00697396">
        <w:t>tatistics</w:t>
      </w:r>
      <w:r>
        <w:t xml:space="preserve"> life tables were used to calculate age-related background mortality.</w:t>
      </w:r>
    </w:p>
    <w:p w14:paraId="483FFAAE" w14:textId="42F53506" w:rsidR="00742247" w:rsidRDefault="00742247" w:rsidP="00742247">
      <w:r>
        <w:t>Given that the sensitivity and specificity of mpMRI and biopsies is lower than 100</w:t>
      </w:r>
      <w:r w:rsidR="00C40ED3">
        <w:t xml:space="preserve"> per cent</w:t>
      </w:r>
      <w:r>
        <w:t xml:space="preserve">, a proportion of patients will be falsely classified as either negative or positive for prostate cancer. Additional costs were allocated to these patients to allow for the additional diagnostic tests needed to correct the false diagnosis (see </w:t>
      </w:r>
      <w:r w:rsidR="006B5463">
        <w:t>Subs</w:t>
      </w:r>
      <w:r>
        <w:t>ection D.4). Both for false negatives and false positives, the error was assumed to be corrected without a negative impact on prognosis. This assumption was made since there is insufficient evidence to support an impact of treatment delay on disease progression and mortality (</w:t>
      </w:r>
      <w:r w:rsidR="006B5463">
        <w:t>see below and in Subs</w:t>
      </w:r>
      <w:r>
        <w:t>ection B.5</w:t>
      </w:r>
      <w:r w:rsidR="006B5463">
        <w:t>). A sensitivity analysis (see Subs</w:t>
      </w:r>
      <w:r>
        <w:t>ection D.6) evaluates the potential impact of assuming an increased risk of disease progression for the subgroup of high risk PC</w:t>
      </w:r>
      <w:r w:rsidR="00C40ED3">
        <w:t>a</w:t>
      </w:r>
      <w:r>
        <w:t xml:space="preserve"> patients who experience treatment delay due to false negative prognosis.</w:t>
      </w:r>
    </w:p>
    <w:p w14:paraId="62E4867A" w14:textId="246A26BD" w:rsidR="00C40ED3" w:rsidRDefault="00C40ED3" w:rsidP="00742247">
      <w:r>
        <w:t>In</w:t>
      </w:r>
      <w:r w:rsidR="00742247">
        <w:t xml:space="preserve"> Population 1, one systematic review (including 17 studies) and eight additional primary studies were identified that assessed the impact of delayed treatment on patient outcomes. For men with low risk disease (Gleason ≤6) there is evidence that a delay to surgery may be associated with an upgrading of Gleason score; however</w:t>
      </w:r>
      <w:r>
        <w:t>,</w:t>
      </w:r>
      <w:r w:rsidR="00742247">
        <w:t xml:space="preserve"> there is considerable evidence that delayed treatment is not associated with an increase in rates of biochemical recurrence, positive surgical margins or extra-</w:t>
      </w:r>
      <w:r w:rsidR="00742247">
        <w:lastRenderedPageBreak/>
        <w:t>capsular extension. This is consistent with current management of patients with low risk disease</w:t>
      </w:r>
      <w:r>
        <w:t>;</w:t>
      </w:r>
      <w:r w:rsidR="00742247">
        <w:t xml:space="preserve"> </w:t>
      </w:r>
      <w:r>
        <w:t xml:space="preserve">i.e. </w:t>
      </w:r>
      <w:r w:rsidR="00742247">
        <w:t xml:space="preserve">enrolment in an </w:t>
      </w:r>
      <w:r>
        <w:t xml:space="preserve">AS </w:t>
      </w:r>
      <w:r w:rsidR="00742247">
        <w:t>program. For men with intermediate or high risk disease in Population 1, there may be adverse outcomes associated with delayed treatment; however</w:t>
      </w:r>
      <w:r>
        <w:t>,</w:t>
      </w:r>
      <w:r w:rsidR="00742247">
        <w:t xml:space="preserve"> the evidence in this group is mixed. One recent study by Dong et al. </w:t>
      </w:r>
      <w:r w:rsidR="006B5463">
        <w:t xml:space="preserve">(2016) </w:t>
      </w:r>
      <w:r w:rsidR="00742247">
        <w:t>assessed outc</w:t>
      </w:r>
      <w:r>
        <w:t>omes for 4,064 men with low (n=</w:t>
      </w:r>
      <w:r w:rsidR="00742247">
        <w:t xml:space="preserve">1,549), intermediate (n=1,612) and high risk (n=903) </w:t>
      </w:r>
      <w:r>
        <w:t>PCa</w:t>
      </w:r>
      <w:r w:rsidR="00742247">
        <w:t>. The length of delay measured in this study was up to 24 months. Dong et al.</w:t>
      </w:r>
      <w:r w:rsidR="006B5463">
        <w:t xml:space="preserve"> (2016)</w:t>
      </w:r>
      <w:r w:rsidR="00742247">
        <w:t xml:space="preserve"> found no impact </w:t>
      </w:r>
      <w:r w:rsidR="00345C99">
        <w:t xml:space="preserve">resultant from </w:t>
      </w:r>
      <w:r w:rsidR="00742247">
        <w:t>delay</w:t>
      </w:r>
      <w:r w:rsidR="00345C99">
        <w:t>s</w:t>
      </w:r>
      <w:r w:rsidR="00742247">
        <w:t xml:space="preserve"> </w:t>
      </w:r>
      <w:r w:rsidR="00345C99">
        <w:t>(up to 24 months)</w:t>
      </w:r>
      <w:r w:rsidR="00E03D2F">
        <w:t xml:space="preserve"> </w:t>
      </w:r>
      <w:r w:rsidR="00345C99">
        <w:t xml:space="preserve">in </w:t>
      </w:r>
      <w:r w:rsidR="00742247">
        <w:t xml:space="preserve">patients with any prostate cancer risk classification. </w:t>
      </w:r>
    </w:p>
    <w:p w14:paraId="5980BBD4" w14:textId="7F8C7C95" w:rsidR="00742247" w:rsidRPr="003F083B" w:rsidRDefault="00742247" w:rsidP="00742247">
      <w:r w:rsidRPr="00BA0619">
        <w:t xml:space="preserve">In </w:t>
      </w:r>
      <w:r>
        <w:t>Population 2</w:t>
      </w:r>
      <w:r w:rsidRPr="00BA0619">
        <w:t>, evidence is limited. One study was identified</w:t>
      </w:r>
      <w:r w:rsidR="00C40ED3">
        <w:t xml:space="preserve"> that</w:t>
      </w:r>
      <w:r w:rsidRPr="00BA0619">
        <w:t xml:space="preserve"> </w:t>
      </w:r>
      <w:r>
        <w:t>found no difference in outcomes associated with a delay (see S</w:t>
      </w:r>
      <w:r w:rsidR="00201555">
        <w:t>ubs</w:t>
      </w:r>
      <w:r>
        <w:t xml:space="preserve">ection B.5). </w:t>
      </w:r>
    </w:p>
    <w:p w14:paraId="3AB28CF5" w14:textId="77777777" w:rsidR="00742247" w:rsidRDefault="00742247" w:rsidP="00742247">
      <w:pPr>
        <w:pStyle w:val="Heading2"/>
        <w:numPr>
          <w:ilvl w:val="2"/>
          <w:numId w:val="19"/>
        </w:numPr>
        <w:jc w:val="left"/>
      </w:pPr>
      <w:bookmarkStart w:id="450" w:name="_Toc395200790"/>
      <w:bookmarkStart w:id="451" w:name="_Toc457383607"/>
      <w:bookmarkStart w:id="452" w:name="_Toc459987855"/>
      <w:bookmarkStart w:id="453" w:name="_Toc460513975"/>
      <w:r>
        <w:t>Transformation issues</w:t>
      </w:r>
      <w:bookmarkEnd w:id="450"/>
      <w:bookmarkEnd w:id="451"/>
      <w:bookmarkEnd w:id="452"/>
      <w:bookmarkEnd w:id="453"/>
    </w:p>
    <w:p w14:paraId="6ED65DC8" w14:textId="77777777" w:rsidR="00742247" w:rsidRPr="00D30DCF" w:rsidRDefault="00742247" w:rsidP="00742247">
      <w:pPr>
        <w:pStyle w:val="Heading3"/>
      </w:pPr>
      <w:bookmarkStart w:id="454" w:name="_Toc457383608"/>
      <w:bookmarkStart w:id="455" w:name="_Toc459987856"/>
      <w:bookmarkStart w:id="456" w:name="_Toc460513976"/>
      <w:r>
        <w:t>Quality of life</w:t>
      </w:r>
      <w:bookmarkEnd w:id="454"/>
      <w:bookmarkEnd w:id="455"/>
      <w:bookmarkEnd w:id="456"/>
    </w:p>
    <w:p w14:paraId="30D8A623" w14:textId="056C6232" w:rsidR="00742247" w:rsidRDefault="00C40ED3" w:rsidP="00742247">
      <w:r>
        <w:t>Q</w:t>
      </w:r>
      <w:r w:rsidR="00742247">
        <w:t xml:space="preserve">uality of life </w:t>
      </w:r>
      <w:r>
        <w:t xml:space="preserve">data </w:t>
      </w:r>
      <w:r w:rsidR="00742247">
        <w:t xml:space="preserve">were not collected in the studies presented in Section B. </w:t>
      </w:r>
      <w:r>
        <w:t>Therefore</w:t>
      </w:r>
      <w:r w:rsidR="00742247" w:rsidRPr="00BA0619">
        <w:t xml:space="preserve"> to obtain suitable utility/disutility values for the various health states presented in the economic model (S</w:t>
      </w:r>
      <w:r w:rsidR="005C3615">
        <w:t>ubs</w:t>
      </w:r>
      <w:r w:rsidR="00742247" w:rsidRPr="00BA0619">
        <w:t>ection D.4), targeted</w:t>
      </w:r>
      <w:r w:rsidR="00742247">
        <w:t xml:space="preserve"> literature searches were conducted in the following databases:</w:t>
      </w:r>
    </w:p>
    <w:p w14:paraId="026A5686" w14:textId="3AA68B24" w:rsidR="00742247" w:rsidRPr="00EA6B3C" w:rsidRDefault="00742247" w:rsidP="00A3402C">
      <w:pPr>
        <w:pStyle w:val="ListParagraph"/>
        <w:numPr>
          <w:ilvl w:val="0"/>
          <w:numId w:val="33"/>
        </w:numPr>
        <w:contextualSpacing w:val="0"/>
        <w:jc w:val="left"/>
      </w:pPr>
      <w:r w:rsidRPr="00EA6B3C">
        <w:t>Cost-Effectiveness Analysis Registry (CEA Registry); and</w:t>
      </w:r>
      <w:r w:rsidR="00697396">
        <w:t>,</w:t>
      </w:r>
    </w:p>
    <w:p w14:paraId="448602EF" w14:textId="77777777" w:rsidR="00742247" w:rsidRPr="00EA6B3C" w:rsidRDefault="00742247" w:rsidP="00A3402C">
      <w:pPr>
        <w:pStyle w:val="ListParagraph"/>
        <w:numPr>
          <w:ilvl w:val="0"/>
          <w:numId w:val="33"/>
        </w:numPr>
        <w:contextualSpacing w:val="0"/>
        <w:jc w:val="left"/>
      </w:pPr>
      <w:r w:rsidRPr="00EA6B3C">
        <w:t xml:space="preserve">PubMed. </w:t>
      </w:r>
    </w:p>
    <w:p w14:paraId="642B63C4" w14:textId="29FFC785" w:rsidR="00742247" w:rsidRDefault="00742247" w:rsidP="00742247">
      <w:r w:rsidRPr="008B62FB">
        <w:t xml:space="preserve">Additionally, utility values were sourced from the selected economic evaluations identified in the systematic literature search </w:t>
      </w:r>
      <w:r w:rsidR="00C40ED3">
        <w:t>(</w:t>
      </w:r>
      <w:r w:rsidRPr="001D0663">
        <w:t>S</w:t>
      </w:r>
      <w:r w:rsidR="005C3615">
        <w:t>ubs</w:t>
      </w:r>
      <w:r w:rsidRPr="001D0663">
        <w:t>ection D.3</w:t>
      </w:r>
      <w:r w:rsidR="00C40ED3">
        <w:t>)</w:t>
      </w:r>
      <w:r w:rsidRPr="001D0663">
        <w:t>.</w:t>
      </w:r>
      <w:r>
        <w:t xml:space="preserve"> Utility values were aligned with the values used in the parallel application for MRI guided biopsy CA 1424. </w:t>
      </w:r>
      <w:r w:rsidRPr="001D0663">
        <w:t>Studies</w:t>
      </w:r>
      <w:r>
        <w:t xml:space="preserve"> reporting</w:t>
      </w:r>
      <w:r w:rsidRPr="001028EF">
        <w:t xml:space="preserve"> Australia-specific utility values</w:t>
      </w:r>
      <w:r>
        <w:t xml:space="preserve"> or including Australian populations were retained in the search.</w:t>
      </w:r>
    </w:p>
    <w:p w14:paraId="6F9F37FB" w14:textId="107B03A2" w:rsidR="00742247" w:rsidRDefault="00055C87" w:rsidP="00742247">
      <w:r>
        <w:t xml:space="preserve">Studies </w:t>
      </w:r>
      <w:r w:rsidR="00742247">
        <w:t>were retained for inclusion if they reported utility values for populations consisting of:</w:t>
      </w:r>
    </w:p>
    <w:p w14:paraId="4A3399F6" w14:textId="0BBC427F" w:rsidR="00742247" w:rsidRDefault="00742247" w:rsidP="00A3402C">
      <w:pPr>
        <w:pStyle w:val="ListParagraph"/>
        <w:numPr>
          <w:ilvl w:val="0"/>
          <w:numId w:val="50"/>
        </w:numPr>
        <w:jc w:val="left"/>
      </w:pPr>
      <w:r>
        <w:t xml:space="preserve">Patients with low/intermediate risk prostate cancer on active </w:t>
      </w:r>
      <w:r w:rsidR="00AB1EEA">
        <w:t>AS</w:t>
      </w:r>
      <w:r>
        <w:t xml:space="preserve">; </w:t>
      </w:r>
    </w:p>
    <w:p w14:paraId="38A63CEC" w14:textId="77777777" w:rsidR="00742247" w:rsidRDefault="00742247" w:rsidP="00A3402C">
      <w:pPr>
        <w:pStyle w:val="ListParagraph"/>
        <w:numPr>
          <w:ilvl w:val="0"/>
          <w:numId w:val="50"/>
        </w:numPr>
        <w:jc w:val="left"/>
      </w:pPr>
      <w:r>
        <w:t xml:space="preserve">Patients with high/intermediate risk prostate cancer receiving active treatment/follow-up; </w:t>
      </w:r>
    </w:p>
    <w:p w14:paraId="5C7BF94F" w14:textId="77777777" w:rsidR="00742247" w:rsidRDefault="00742247" w:rsidP="00A3402C">
      <w:pPr>
        <w:pStyle w:val="ListParagraph"/>
        <w:numPr>
          <w:ilvl w:val="0"/>
          <w:numId w:val="50"/>
        </w:numPr>
        <w:jc w:val="left"/>
      </w:pPr>
      <w:r>
        <w:t>Men receiving prostate biopsy;</w:t>
      </w:r>
    </w:p>
    <w:p w14:paraId="1B1821CB" w14:textId="77777777" w:rsidR="00742247" w:rsidRDefault="00742247" w:rsidP="00A3402C">
      <w:pPr>
        <w:pStyle w:val="ListParagraph"/>
        <w:numPr>
          <w:ilvl w:val="0"/>
          <w:numId w:val="50"/>
        </w:numPr>
        <w:jc w:val="left"/>
      </w:pPr>
      <w:r>
        <w:t xml:space="preserve">Patients with AEs due to prostate biopsy and/or PCa related treatment: sepsis; erectile dysfunction and urinary incontinence. </w:t>
      </w:r>
    </w:p>
    <w:p w14:paraId="07D53746" w14:textId="77777777" w:rsidR="00742247" w:rsidRDefault="00742247" w:rsidP="00A3402C">
      <w:pPr>
        <w:pStyle w:val="ListParagraph"/>
        <w:numPr>
          <w:ilvl w:val="0"/>
          <w:numId w:val="50"/>
        </w:numPr>
        <w:jc w:val="left"/>
      </w:pPr>
      <w:r>
        <w:t xml:space="preserve">A general Australian population of males aged ~66 years. </w:t>
      </w:r>
    </w:p>
    <w:p w14:paraId="19B639B2" w14:textId="663DD81A" w:rsidR="00742247" w:rsidRDefault="00742247" w:rsidP="00742247">
      <w:r>
        <w:t xml:space="preserve">A summary of the key </w:t>
      </w:r>
      <w:r w:rsidR="00055C87">
        <w:t>studies</w:t>
      </w:r>
      <w:r>
        <w:t xml:space="preserve"> identified in the targeted literature search for utility values are provided in </w:t>
      </w:r>
      <w:r>
        <w:fldChar w:fldCharType="begin"/>
      </w:r>
      <w:r>
        <w:instrText xml:space="preserve"> REF _Ref455331448 \h </w:instrText>
      </w:r>
      <w:r>
        <w:fldChar w:fldCharType="separate"/>
      </w:r>
      <w:r w:rsidR="0029649D">
        <w:t xml:space="preserve">Table </w:t>
      </w:r>
      <w:r w:rsidR="0029649D">
        <w:rPr>
          <w:noProof/>
        </w:rPr>
        <w:t>44</w:t>
      </w:r>
      <w:r>
        <w:fldChar w:fldCharType="end"/>
      </w:r>
      <w:r>
        <w:t xml:space="preserve">. </w:t>
      </w:r>
    </w:p>
    <w:p w14:paraId="7ED01D27" w14:textId="77777777" w:rsidR="00742247" w:rsidRDefault="00742247" w:rsidP="00742247">
      <w:pPr>
        <w:pStyle w:val="Caption"/>
      </w:pPr>
      <w:bookmarkStart w:id="457" w:name="_Ref455331448"/>
      <w:bookmarkStart w:id="458" w:name="_Toc457383666"/>
      <w:bookmarkStart w:id="459" w:name="_Toc459987904"/>
      <w:bookmarkStart w:id="460" w:name="_Toc460514544"/>
      <w:r>
        <w:lastRenderedPageBreak/>
        <w:t xml:space="preserve">Table </w:t>
      </w:r>
      <w:fldSimple w:instr=" SEQ Table \* ARABIC ">
        <w:r w:rsidR="0029649D">
          <w:rPr>
            <w:noProof/>
          </w:rPr>
          <w:t>44</w:t>
        </w:r>
      </w:fldSimple>
      <w:bookmarkEnd w:id="457"/>
      <w:r>
        <w:rPr>
          <w:noProof/>
        </w:rPr>
        <w:tab/>
      </w:r>
      <w:r>
        <w:t>Results of utility literature search</w:t>
      </w:r>
      <w:bookmarkEnd w:id="458"/>
      <w:bookmarkEnd w:id="459"/>
      <w:bookmarkEnd w:id="460"/>
    </w:p>
    <w:tbl>
      <w:tblPr>
        <w:tblStyle w:val="TableGrid"/>
        <w:tblW w:w="9112" w:type="dxa"/>
        <w:tblInd w:w="130" w:type="dxa"/>
        <w:tblCellMar>
          <w:left w:w="28" w:type="dxa"/>
          <w:right w:w="28" w:type="dxa"/>
        </w:tblCellMar>
        <w:tblLook w:val="04A0" w:firstRow="1" w:lastRow="0" w:firstColumn="1" w:lastColumn="0" w:noHBand="0" w:noVBand="1"/>
        <w:tblDescription w:val="Results of utility literature search"/>
      </w:tblPr>
      <w:tblGrid>
        <w:gridCol w:w="6251"/>
        <w:gridCol w:w="2861"/>
      </w:tblGrid>
      <w:tr w:rsidR="00742247" w:rsidRPr="00AE3374" w14:paraId="5E562ADE" w14:textId="77777777" w:rsidTr="00345C99">
        <w:trPr>
          <w:trHeight w:val="397"/>
          <w:tblHeader/>
        </w:trPr>
        <w:tc>
          <w:tcPr>
            <w:tcW w:w="6251" w:type="dxa"/>
          </w:tcPr>
          <w:p w14:paraId="10FB69EA" w14:textId="43DB9ADB" w:rsidR="00742247" w:rsidRPr="00AE3374" w:rsidRDefault="0063191B" w:rsidP="005C3615">
            <w:pPr>
              <w:pStyle w:val="Tableheading1"/>
            </w:pPr>
            <w:r>
              <w:t>Inclusion criteria</w:t>
            </w:r>
          </w:p>
        </w:tc>
        <w:tc>
          <w:tcPr>
            <w:tcW w:w="2861" w:type="dxa"/>
          </w:tcPr>
          <w:p w14:paraId="181AFC85" w14:textId="77777777" w:rsidR="00742247" w:rsidRPr="00AE3374" w:rsidRDefault="00742247" w:rsidP="005C3615">
            <w:pPr>
              <w:pStyle w:val="Tableheading1"/>
            </w:pPr>
            <w:r w:rsidRPr="00AE3374">
              <w:t>Citations</w:t>
            </w:r>
          </w:p>
        </w:tc>
      </w:tr>
      <w:tr w:rsidR="00742247" w14:paraId="35C02B1F" w14:textId="77777777" w:rsidTr="00345C99">
        <w:trPr>
          <w:trHeight w:val="397"/>
        </w:trPr>
        <w:tc>
          <w:tcPr>
            <w:tcW w:w="6251" w:type="dxa"/>
            <w:tcBorders>
              <w:top w:val="nil"/>
              <w:bottom w:val="nil"/>
            </w:tcBorders>
          </w:tcPr>
          <w:p w14:paraId="757B8F09" w14:textId="6D9838B5" w:rsidR="00742247" w:rsidRPr="00991209" w:rsidRDefault="0063191B" w:rsidP="00AB1EEA">
            <w:pPr>
              <w:pStyle w:val="TableText0"/>
            </w:pPr>
            <w:r>
              <w:t>L</w:t>
            </w:r>
            <w:r w:rsidR="00742247" w:rsidRPr="00991209">
              <w:t xml:space="preserve">ow/intermediate risk PCa on </w:t>
            </w:r>
            <w:r w:rsidR="00AB1EEA">
              <w:t>AS</w:t>
            </w:r>
            <w:r w:rsidR="00742247" w:rsidRPr="00991209">
              <w:t>;</w:t>
            </w:r>
          </w:p>
        </w:tc>
        <w:tc>
          <w:tcPr>
            <w:tcW w:w="2861" w:type="dxa"/>
            <w:tcBorders>
              <w:top w:val="nil"/>
              <w:bottom w:val="nil"/>
            </w:tcBorders>
          </w:tcPr>
          <w:p w14:paraId="202B3C97" w14:textId="53C3A503" w:rsidR="00742247" w:rsidRPr="00991209" w:rsidRDefault="00742247" w:rsidP="00AE3374">
            <w:pPr>
              <w:pStyle w:val="TableText0"/>
            </w:pPr>
            <w:r>
              <w:t xml:space="preserve">Stewart </w:t>
            </w:r>
            <w:r w:rsidR="0063191B">
              <w:t>et al. (</w:t>
            </w:r>
            <w:r>
              <w:t>2005</w:t>
            </w:r>
            <w:r w:rsidR="0063191B">
              <w:t>)</w:t>
            </w:r>
          </w:p>
        </w:tc>
      </w:tr>
      <w:tr w:rsidR="00742247" w14:paraId="792C6275" w14:textId="77777777" w:rsidTr="00345C99">
        <w:trPr>
          <w:trHeight w:val="397"/>
        </w:trPr>
        <w:tc>
          <w:tcPr>
            <w:tcW w:w="6251" w:type="dxa"/>
            <w:tcBorders>
              <w:top w:val="nil"/>
              <w:bottom w:val="nil"/>
            </w:tcBorders>
          </w:tcPr>
          <w:p w14:paraId="28431BEE" w14:textId="03C45ABD" w:rsidR="00742247" w:rsidRPr="00991209" w:rsidRDefault="0063191B" w:rsidP="005C3615">
            <w:pPr>
              <w:pStyle w:val="Tabletext1"/>
            </w:pPr>
            <w:r>
              <w:t>H</w:t>
            </w:r>
            <w:r w:rsidR="00742247" w:rsidRPr="00991209">
              <w:t xml:space="preserve">igh/intermediate risk PCa receiving active treatment/follow-up; </w:t>
            </w:r>
          </w:p>
        </w:tc>
        <w:tc>
          <w:tcPr>
            <w:tcW w:w="2861" w:type="dxa"/>
            <w:tcBorders>
              <w:top w:val="nil"/>
              <w:bottom w:val="nil"/>
            </w:tcBorders>
          </w:tcPr>
          <w:p w14:paraId="319340DE" w14:textId="4D266D65" w:rsidR="00742247" w:rsidRPr="00991209" w:rsidRDefault="00742247" w:rsidP="005C3615">
            <w:pPr>
              <w:pStyle w:val="Tabletext1"/>
            </w:pPr>
            <w:r>
              <w:t xml:space="preserve">Stewart </w:t>
            </w:r>
            <w:r w:rsidR="0063191B">
              <w:t>et al. (</w:t>
            </w:r>
            <w:r>
              <w:t>2005</w:t>
            </w:r>
            <w:r w:rsidR="0063191B">
              <w:t>)</w:t>
            </w:r>
          </w:p>
        </w:tc>
      </w:tr>
      <w:tr w:rsidR="00742247" w14:paraId="49B336A9" w14:textId="77777777" w:rsidTr="00345C99">
        <w:trPr>
          <w:trHeight w:val="397"/>
        </w:trPr>
        <w:tc>
          <w:tcPr>
            <w:tcW w:w="6251" w:type="dxa"/>
            <w:tcBorders>
              <w:top w:val="nil"/>
              <w:bottom w:val="nil"/>
            </w:tcBorders>
          </w:tcPr>
          <w:p w14:paraId="36CA0C3B" w14:textId="1ED9B631" w:rsidR="00742247" w:rsidRPr="00991209" w:rsidRDefault="0063191B" w:rsidP="005C3615">
            <w:pPr>
              <w:pStyle w:val="Tabletext1"/>
            </w:pPr>
            <w:r>
              <w:t>A</w:t>
            </w:r>
            <w:r w:rsidR="00742247">
              <w:t>dvanced PCa</w:t>
            </w:r>
            <w:r>
              <w:t>;</w:t>
            </w:r>
          </w:p>
        </w:tc>
        <w:tc>
          <w:tcPr>
            <w:tcW w:w="2861" w:type="dxa"/>
            <w:tcBorders>
              <w:top w:val="nil"/>
              <w:bottom w:val="nil"/>
            </w:tcBorders>
          </w:tcPr>
          <w:p w14:paraId="0043F24D" w14:textId="212F2BC0" w:rsidR="00742247" w:rsidRPr="00D81E4E" w:rsidRDefault="00742247" w:rsidP="005C3615">
            <w:pPr>
              <w:pStyle w:val="Tabletext1"/>
            </w:pPr>
            <w:r w:rsidRPr="00D81E4E">
              <w:t xml:space="preserve">Stewart </w:t>
            </w:r>
            <w:r w:rsidR="0063191B">
              <w:t>et al. (</w:t>
            </w:r>
            <w:r w:rsidRPr="00D81E4E">
              <w:t>2005</w:t>
            </w:r>
            <w:r w:rsidR="0063191B">
              <w:t>),</w:t>
            </w:r>
            <w:r w:rsidRPr="00D81E4E">
              <w:t xml:space="preserve"> Sullivan </w:t>
            </w:r>
            <w:r w:rsidR="0063191B">
              <w:t>et al. (</w:t>
            </w:r>
            <w:r w:rsidRPr="00D81E4E">
              <w:t>2007</w:t>
            </w:r>
            <w:r w:rsidR="0063191B">
              <w:t>)</w:t>
            </w:r>
          </w:p>
        </w:tc>
      </w:tr>
      <w:tr w:rsidR="00742247" w14:paraId="0EAD2369" w14:textId="77777777" w:rsidTr="00345C99">
        <w:trPr>
          <w:trHeight w:val="397"/>
        </w:trPr>
        <w:tc>
          <w:tcPr>
            <w:tcW w:w="6251" w:type="dxa"/>
            <w:tcBorders>
              <w:top w:val="nil"/>
              <w:bottom w:val="nil"/>
            </w:tcBorders>
          </w:tcPr>
          <w:p w14:paraId="7B44BE32" w14:textId="29AE3633" w:rsidR="00742247" w:rsidRDefault="0063191B" w:rsidP="005C3615">
            <w:pPr>
              <w:pStyle w:val="Tabletext1"/>
            </w:pPr>
            <w:r>
              <w:t>P</w:t>
            </w:r>
            <w:r w:rsidR="00742247">
              <w:t>rostate biopsy;</w:t>
            </w:r>
          </w:p>
          <w:p w14:paraId="1741735C" w14:textId="1AB3D8AE" w:rsidR="00742247" w:rsidRPr="00991209" w:rsidRDefault="00742247" w:rsidP="005C3615">
            <w:pPr>
              <w:pStyle w:val="Tabletext1"/>
            </w:pPr>
          </w:p>
        </w:tc>
        <w:tc>
          <w:tcPr>
            <w:tcW w:w="2861" w:type="dxa"/>
            <w:tcBorders>
              <w:top w:val="nil"/>
              <w:bottom w:val="nil"/>
            </w:tcBorders>
          </w:tcPr>
          <w:p w14:paraId="44F3592D" w14:textId="77777777" w:rsidR="00742247" w:rsidRPr="00D81E4E" w:rsidRDefault="00742247" w:rsidP="005C3615">
            <w:pPr>
              <w:pStyle w:val="Tabletext1"/>
            </w:pPr>
            <w:r w:rsidRPr="00D81E4E">
              <w:t>Zhang 2012</w:t>
            </w:r>
          </w:p>
          <w:p w14:paraId="46B0FB7F" w14:textId="22C5EFA6" w:rsidR="00742247" w:rsidRPr="00D81E4E" w:rsidRDefault="00742247" w:rsidP="005C3615">
            <w:pPr>
              <w:pStyle w:val="Tabletext1"/>
            </w:pPr>
          </w:p>
        </w:tc>
      </w:tr>
      <w:tr w:rsidR="0063191B" w14:paraId="3D5A9FA5" w14:textId="77777777" w:rsidTr="00345C99">
        <w:trPr>
          <w:trHeight w:val="397"/>
        </w:trPr>
        <w:tc>
          <w:tcPr>
            <w:tcW w:w="6251" w:type="dxa"/>
            <w:tcBorders>
              <w:top w:val="nil"/>
              <w:bottom w:val="nil"/>
            </w:tcBorders>
          </w:tcPr>
          <w:p w14:paraId="56201C34" w14:textId="2EA6DD65" w:rsidR="0063191B" w:rsidRDefault="0063191B" w:rsidP="005C3615">
            <w:pPr>
              <w:pStyle w:val="Tabletext1"/>
            </w:pPr>
            <w:r w:rsidRPr="00991209">
              <w:t xml:space="preserve">AEs: </w:t>
            </w:r>
            <w:r>
              <w:t>sepsis, erectile dysfunction, and urinary incontinence;</w:t>
            </w:r>
          </w:p>
        </w:tc>
        <w:tc>
          <w:tcPr>
            <w:tcW w:w="2861" w:type="dxa"/>
            <w:tcBorders>
              <w:top w:val="nil"/>
              <w:bottom w:val="nil"/>
            </w:tcBorders>
          </w:tcPr>
          <w:p w14:paraId="28E6E7E2" w14:textId="4510D0C0" w:rsidR="0063191B" w:rsidRPr="00D81E4E" w:rsidRDefault="0063191B" w:rsidP="005C3615">
            <w:pPr>
              <w:pStyle w:val="Tabletext1"/>
            </w:pPr>
            <w:r w:rsidRPr="00D81E4E">
              <w:t xml:space="preserve">Cooperberg </w:t>
            </w:r>
            <w:r>
              <w:t>et al. (</w:t>
            </w:r>
            <w:r w:rsidRPr="00D81E4E">
              <w:t>2013</w:t>
            </w:r>
            <w:r>
              <w:t>),</w:t>
            </w:r>
            <w:r w:rsidRPr="00D81E4E">
              <w:t xml:space="preserve"> Stevenson </w:t>
            </w:r>
            <w:r>
              <w:t>et al. (</w:t>
            </w:r>
            <w:r w:rsidRPr="00D81E4E">
              <w:t>2014</w:t>
            </w:r>
            <w:r>
              <w:t>)</w:t>
            </w:r>
          </w:p>
        </w:tc>
      </w:tr>
      <w:tr w:rsidR="00742247" w14:paraId="3634F25D" w14:textId="77777777" w:rsidTr="00345C99">
        <w:trPr>
          <w:trHeight w:val="397"/>
        </w:trPr>
        <w:tc>
          <w:tcPr>
            <w:tcW w:w="6251" w:type="dxa"/>
            <w:tcBorders>
              <w:top w:val="nil"/>
            </w:tcBorders>
          </w:tcPr>
          <w:p w14:paraId="233438AE" w14:textId="1E878548" w:rsidR="00742247" w:rsidRPr="00991209" w:rsidRDefault="0063191B" w:rsidP="005C3615">
            <w:pPr>
              <w:pStyle w:val="Tabletext1"/>
            </w:pPr>
            <w:r>
              <w:t>G</w:t>
            </w:r>
            <w:r w:rsidR="00742247" w:rsidRPr="00991209">
              <w:t>eneral Australian population of males aged above ~66 years.</w:t>
            </w:r>
          </w:p>
        </w:tc>
        <w:tc>
          <w:tcPr>
            <w:tcW w:w="2861" w:type="dxa"/>
            <w:tcBorders>
              <w:top w:val="nil"/>
            </w:tcBorders>
          </w:tcPr>
          <w:p w14:paraId="256F3445" w14:textId="5010CF31" w:rsidR="00742247" w:rsidRPr="00991209" w:rsidRDefault="00742247" w:rsidP="005C3615">
            <w:pPr>
              <w:pStyle w:val="Tabletext1"/>
            </w:pPr>
            <w:r>
              <w:t xml:space="preserve">Clemens </w:t>
            </w:r>
            <w:r w:rsidR="0063191B">
              <w:t>et al. (</w:t>
            </w:r>
            <w:r>
              <w:t>2014</w:t>
            </w:r>
            <w:r w:rsidR="0063191B">
              <w:t>),</w:t>
            </w:r>
            <w:r w:rsidRPr="004C33DD">
              <w:t xml:space="preserve"> Norman </w:t>
            </w:r>
            <w:r w:rsidR="0063191B">
              <w:t>et al. (</w:t>
            </w:r>
            <w:r w:rsidRPr="004C33DD">
              <w:t>2013</w:t>
            </w:r>
            <w:r w:rsidR="0063191B">
              <w:t>)</w:t>
            </w:r>
          </w:p>
        </w:tc>
      </w:tr>
      <w:tr w:rsidR="00742247" w:rsidRPr="00AE3374" w14:paraId="085776A9" w14:textId="77777777" w:rsidTr="00345C99">
        <w:trPr>
          <w:trHeight w:val="397"/>
        </w:trPr>
        <w:tc>
          <w:tcPr>
            <w:tcW w:w="6251" w:type="dxa"/>
          </w:tcPr>
          <w:p w14:paraId="2842B593" w14:textId="77777777" w:rsidR="00742247" w:rsidRPr="00AE3374" w:rsidRDefault="00742247" w:rsidP="005C3615">
            <w:pPr>
              <w:pStyle w:val="Tabletext1"/>
              <w:rPr>
                <w:b/>
              </w:rPr>
            </w:pPr>
            <w:r w:rsidRPr="00AE3374">
              <w:rPr>
                <w:b/>
              </w:rPr>
              <w:t>Included</w:t>
            </w:r>
          </w:p>
        </w:tc>
        <w:tc>
          <w:tcPr>
            <w:tcW w:w="2861" w:type="dxa"/>
          </w:tcPr>
          <w:p w14:paraId="223C8F70" w14:textId="77777777" w:rsidR="00742247" w:rsidRPr="00AE3374" w:rsidRDefault="00742247" w:rsidP="005C3615">
            <w:pPr>
              <w:pStyle w:val="Tabletext1"/>
              <w:rPr>
                <w:b/>
              </w:rPr>
            </w:pPr>
            <w:r w:rsidRPr="00AE3374">
              <w:rPr>
                <w:b/>
              </w:rPr>
              <w:t>7</w:t>
            </w:r>
          </w:p>
        </w:tc>
      </w:tr>
    </w:tbl>
    <w:p w14:paraId="1E6FE300" w14:textId="7B0DF21C" w:rsidR="00742247" w:rsidRDefault="00742247" w:rsidP="00742247">
      <w:pPr>
        <w:pStyle w:val="TableNotes"/>
      </w:pPr>
      <w:r w:rsidRPr="00E83EBB">
        <w:t>AE</w:t>
      </w:r>
      <w:r w:rsidR="007244E6">
        <w:t xml:space="preserve"> =</w:t>
      </w:r>
      <w:r w:rsidRPr="00E83EBB">
        <w:t xml:space="preserve"> adverse event</w:t>
      </w:r>
      <w:r w:rsidR="007244E6">
        <w:t xml:space="preserve">, </w:t>
      </w:r>
      <w:r>
        <w:t>PCa</w:t>
      </w:r>
      <w:r w:rsidR="007244E6">
        <w:t xml:space="preserve"> =</w:t>
      </w:r>
      <w:r>
        <w:t xml:space="preserve"> prostate cancer.</w:t>
      </w:r>
    </w:p>
    <w:p w14:paraId="456433EB" w14:textId="7B1A7432" w:rsidR="00742247" w:rsidRDefault="0063191B" w:rsidP="00742247">
      <w:r>
        <w:t xml:space="preserve">Utility values for each health state listed </w:t>
      </w:r>
      <w:r w:rsidRPr="00DB3F22">
        <w:t xml:space="preserve">in </w:t>
      </w:r>
      <w:r>
        <w:rPr>
          <w:highlight w:val="yellow"/>
        </w:rPr>
        <w:fldChar w:fldCharType="begin"/>
      </w:r>
      <w:r>
        <w:instrText xml:space="preserve"> REF _Ref455408101 \h </w:instrText>
      </w:r>
      <w:r>
        <w:rPr>
          <w:highlight w:val="yellow"/>
        </w:rPr>
      </w:r>
      <w:r>
        <w:rPr>
          <w:highlight w:val="yellow"/>
        </w:rPr>
        <w:fldChar w:fldCharType="separate"/>
      </w:r>
      <w:r w:rsidR="0029649D">
        <w:t xml:space="preserve">Table </w:t>
      </w:r>
      <w:r w:rsidR="0029649D">
        <w:rPr>
          <w:noProof/>
        </w:rPr>
        <w:t>45</w:t>
      </w:r>
      <w:r>
        <w:rPr>
          <w:highlight w:val="yellow"/>
        </w:rPr>
        <w:fldChar w:fldCharType="end"/>
      </w:r>
      <w:r>
        <w:t xml:space="preserve"> were extracted from the s</w:t>
      </w:r>
      <w:r w:rsidR="00742247">
        <w:t>even</w:t>
      </w:r>
      <w:r w:rsidR="00742247" w:rsidRPr="004C33DD">
        <w:t xml:space="preserve"> </w:t>
      </w:r>
      <w:r w:rsidR="00055C87">
        <w:t>studies</w:t>
      </w:r>
      <w:r w:rsidR="00742247" w:rsidRPr="004C33DD">
        <w:t xml:space="preserve"> </w:t>
      </w:r>
      <w:r>
        <w:t>noted above.</w:t>
      </w:r>
      <w:r w:rsidR="00742247">
        <w:t xml:space="preserve"> </w:t>
      </w:r>
      <w:r>
        <w:t>T</w:t>
      </w:r>
      <w:r w:rsidR="00742247">
        <w:t xml:space="preserve">wo </w:t>
      </w:r>
      <w:r>
        <w:t xml:space="preserve">studies </w:t>
      </w:r>
      <w:r w:rsidR="00742247">
        <w:t>identified measured utility values in a general population</w:t>
      </w:r>
      <w:r w:rsidR="0040566E">
        <w:t xml:space="preserve"> </w:t>
      </w:r>
      <w:r w:rsidR="008E0B00">
        <w:fldChar w:fldCharType="begin">
          <w:fldData xml:space="preserve">PEVuZE5vdGU+PENpdGU+PEF1dGhvcj5DbGVtZW5zPC9BdXRob3I+PFllYXI+MjAxNDwvWWVhcj48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</w:fldData>
        </w:fldChar>
      </w:r>
      <w:r w:rsidR="008E0B00">
        <w:instrText xml:space="preserve"> ADDIN EN.CITE </w:instrText>
      </w:r>
      <w:r w:rsidR="008E0B00">
        <w:fldChar w:fldCharType="begin">
          <w:fldData xml:space="preserve">PEVuZE5vdGU+PENpdGU+PEF1dGhvcj5DbGVtZW5zPC9BdXRob3I+PFllYXI+MjAxNDwvWWVhcj48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</w:fldData>
        </w:fldChar>
      </w:r>
      <w:r w:rsidR="008E0B00">
        <w:instrText xml:space="preserve"> ADDIN EN.CITE.DATA </w:instrText>
      </w:r>
      <w:r w:rsidR="008E0B00">
        <w:fldChar w:fldCharType="end"/>
      </w:r>
      <w:r w:rsidR="008E0B00">
        <w:fldChar w:fldCharType="separate"/>
      </w:r>
      <w:r w:rsidR="008E0B00">
        <w:rPr>
          <w:noProof/>
        </w:rPr>
        <w:t>(</w:t>
      </w:r>
      <w:hyperlink w:anchor="_ENREF_29" w:tooltip="Clemens, 2014 #159" w:history="1">
        <w:r w:rsidR="008E0B00">
          <w:rPr>
            <w:noProof/>
          </w:rPr>
          <w:t>Clemens et al. 2014</w:t>
        </w:r>
      </w:hyperlink>
      <w:r w:rsidR="008E0B00">
        <w:rPr>
          <w:noProof/>
        </w:rPr>
        <w:t xml:space="preserve">; </w:t>
      </w:r>
      <w:hyperlink w:anchor="_ENREF_105" w:tooltip="Norman, 2013 #158" w:history="1">
        <w:r w:rsidR="008E0B00">
          <w:rPr>
            <w:noProof/>
          </w:rPr>
          <w:t>Norman et al. 2013</w:t>
        </w:r>
      </w:hyperlink>
      <w:r w:rsidR="008E0B00">
        <w:rPr>
          <w:noProof/>
        </w:rPr>
        <w:t>)</w:t>
      </w:r>
      <w:r w:rsidR="008E0B00">
        <w:fldChar w:fldCharType="end"/>
      </w:r>
      <w:r w:rsidR="00742247">
        <w:t xml:space="preserve">. </w:t>
      </w:r>
      <w:r w:rsidR="00CA2D63">
        <w:t>Norman</w:t>
      </w:r>
      <w:r w:rsidR="0040566E">
        <w:t xml:space="preserve"> et al. (</w:t>
      </w:r>
      <w:r w:rsidR="00CA2D63">
        <w:t>2013</w:t>
      </w:r>
      <w:r w:rsidR="0040566E">
        <w:t>)</w:t>
      </w:r>
      <w:r w:rsidR="00742247" w:rsidRPr="00DB3F22">
        <w:t xml:space="preserve"> </w:t>
      </w:r>
      <w:r w:rsidR="00742247">
        <w:t>reported</w:t>
      </w:r>
      <w:r w:rsidR="00742247" w:rsidRPr="00DB3F22">
        <w:t xml:space="preserve"> utility values for a general Australia</w:t>
      </w:r>
      <w:r w:rsidR="00742247">
        <w:t>n population of males aged between 60 to 70</w:t>
      </w:r>
      <w:r w:rsidR="00742247" w:rsidRPr="00DB3F22">
        <w:t xml:space="preserve"> years</w:t>
      </w:r>
      <w:r w:rsidR="00742247">
        <w:t xml:space="preserve"> using the SF-36 instrument</w:t>
      </w:r>
      <w:r w:rsidR="00742247" w:rsidRPr="00DB3F22">
        <w:t>.</w:t>
      </w:r>
      <w:r w:rsidR="0040566E">
        <w:t xml:space="preserve"> </w:t>
      </w:r>
      <w:r w:rsidR="00CA2D63">
        <w:t>Clemens</w:t>
      </w:r>
      <w:r w:rsidR="0040566E">
        <w:t xml:space="preserve"> et al. (</w:t>
      </w:r>
      <w:r w:rsidR="00CA2D63">
        <w:t>2014</w:t>
      </w:r>
      <w:r w:rsidR="0040566E">
        <w:t>)</w:t>
      </w:r>
      <w:r w:rsidR="00CA2D63">
        <w:t xml:space="preserve"> </w:t>
      </w:r>
      <w:r w:rsidR="00742247">
        <w:t>reported utility values for a general Australian male population aged 65 to 74 years. The</w:t>
      </w:r>
      <w:r w:rsidR="006C22DC">
        <w:t xml:space="preserve"> values reported by Clemens et al. (2014)</w:t>
      </w:r>
      <w:r w:rsidR="00742247">
        <w:t xml:space="preserve"> </w:t>
      </w:r>
      <w:r w:rsidR="006C22DC">
        <w:t xml:space="preserve">were used in the economic evaluation </w:t>
      </w:r>
      <w:r w:rsidR="00742247">
        <w:t xml:space="preserve">selection of general population </w:t>
      </w:r>
      <w:r w:rsidR="006C22DC">
        <w:t>as this is</w:t>
      </w:r>
      <w:r w:rsidR="00742247">
        <w:t xml:space="preserve"> consistent with the evaluation of MR-guided biopsy procedures for diagnosis of PCa (CA 1424)</w:t>
      </w:r>
      <w:r w:rsidR="000C6F09">
        <w:t xml:space="preserve"> and is a conservative approach</w:t>
      </w:r>
      <w:r w:rsidR="00742247">
        <w:t>. Given that Clemens et al.</w:t>
      </w:r>
      <w:r w:rsidR="006C22DC">
        <w:t xml:space="preserve"> (2014)</w:t>
      </w:r>
      <w:r w:rsidR="00742247">
        <w:t xml:space="preserve"> reported a utility value for the general population of interest, this has been used as the basis for the “alive without prostate cancer” health state in the economic model. </w:t>
      </w:r>
    </w:p>
    <w:p w14:paraId="30288BB3" w14:textId="594F5A2C" w:rsidR="00742247" w:rsidRDefault="00742247" w:rsidP="00742247">
      <w:r>
        <w:t xml:space="preserve">For </w:t>
      </w:r>
      <w:r w:rsidR="006C22DC">
        <w:t>PCa</w:t>
      </w:r>
      <w:r>
        <w:t xml:space="preserve"> health states, the economic evaluation by </w:t>
      </w:r>
      <w:r w:rsidR="00345C99">
        <w:t>d</w:t>
      </w:r>
      <w:r>
        <w:t>e Rooij et al. (2014) (</w:t>
      </w:r>
      <w:r w:rsidRPr="00A30724">
        <w:t xml:space="preserve">see </w:t>
      </w:r>
      <w:r w:rsidR="0040566E">
        <w:t>Subs</w:t>
      </w:r>
      <w:r w:rsidRPr="00A30724">
        <w:t>ection D.3</w:t>
      </w:r>
      <w:r>
        <w:t>)</w:t>
      </w:r>
      <w:r w:rsidRPr="00A30724">
        <w:t xml:space="preserve"> applied</w:t>
      </w:r>
      <w:r>
        <w:t xml:space="preserve"> utilities obtained from the study by Stewart et al</w:t>
      </w:r>
      <w:r w:rsidR="006C22DC">
        <w:t>.</w:t>
      </w:r>
      <w:r>
        <w:t xml:space="preserve"> (2005)</w:t>
      </w:r>
      <w:r w:rsidR="0040566E">
        <w:t xml:space="preserve"> </w:t>
      </w:r>
      <w:r w:rsidR="008E0B00">
        <w:fldChar w:fldCharType="begin">
          <w:fldData xml:space="preserve">PEVuZE5vdGU+PENpdGU+PEF1dGhvcj5kZSBSb29pajwvQXV0aG9yPjxZZWFyPjIwMTQ8L1llYXI+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==
</w:fldData>
        </w:fldChar>
      </w:r>
      <w:r w:rsidR="008E0B00">
        <w:instrText xml:space="preserve"> ADDIN EN.CITE </w:instrText>
      </w:r>
      <w:r w:rsidR="008E0B00">
        <w:fldChar w:fldCharType="begin">
          <w:fldData xml:space="preserve">PEVuZE5vdGU+PENpdGU+PEF1dGhvcj5kZSBSb29pajwvQXV0aG9yPjxZZWFyPjIwMTQ8L1llYXI+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==
</w:fldData>
        </w:fldChar>
      </w:r>
      <w:r w:rsidR="008E0B00">
        <w:instrText xml:space="preserve"> ADDIN EN.CITE.DATA </w:instrText>
      </w:r>
      <w:r w:rsidR="008E0B00">
        <w:fldChar w:fldCharType="end"/>
      </w:r>
      <w:r w:rsidR="008E0B00">
        <w:fldChar w:fldCharType="separate"/>
      </w:r>
      <w:r w:rsidR="008E0B00">
        <w:rPr>
          <w:noProof/>
        </w:rPr>
        <w:t>(</w:t>
      </w:r>
      <w:hyperlink w:anchor="_ENREF_35" w:tooltip="de Rooij, 2014 #167" w:history="1">
        <w:r w:rsidR="008E0B00">
          <w:rPr>
            <w:noProof/>
          </w:rPr>
          <w:t>de Rooij et al. 2014</w:t>
        </w:r>
      </w:hyperlink>
      <w:r w:rsidR="008E0B00">
        <w:rPr>
          <w:noProof/>
        </w:rPr>
        <w:t>)</w:t>
      </w:r>
      <w:r w:rsidR="008E0B00">
        <w:fldChar w:fldCharType="end"/>
      </w:r>
      <w:r>
        <w:t xml:space="preserve">. </w:t>
      </w:r>
      <w:r w:rsidR="000C6F09">
        <w:t xml:space="preserve">Stewart et al. (2005) </w:t>
      </w:r>
      <w:r>
        <w:t xml:space="preserve">was also selected for the economic evaluation in this report as the reported utility values matched the health states in our economic model. The study used a standard gamble methodology to elicit utility values for different health states in </w:t>
      </w:r>
      <w:r w:rsidR="006C22DC">
        <w:t>PCa for men aged 60 and older (n</w:t>
      </w:r>
      <w:r>
        <w:t xml:space="preserve">=162). </w:t>
      </w:r>
      <w:r w:rsidRPr="00357146">
        <w:t>For the advanced PCa health state</w:t>
      </w:r>
      <w:r w:rsidR="006C22DC">
        <w:t>,</w:t>
      </w:r>
      <w:r w:rsidRPr="00357146">
        <w:t xml:space="preserve"> </w:t>
      </w:r>
      <w:r>
        <w:t xml:space="preserve">a </w:t>
      </w:r>
      <w:r w:rsidRPr="00357146">
        <w:t xml:space="preserve">utility decrement </w:t>
      </w:r>
      <w:r>
        <w:t>was</w:t>
      </w:r>
      <w:r w:rsidRPr="00357146">
        <w:t xml:space="preserve"> </w:t>
      </w:r>
      <w:r>
        <w:t xml:space="preserve">also </w:t>
      </w:r>
      <w:r w:rsidRPr="00357146">
        <w:t xml:space="preserve">obtained </w:t>
      </w:r>
      <w:r w:rsidR="008E0B00">
        <w:fldChar w:fldCharType="begin">
          <w:fldData xml:space="preserve">PEVuZE5vdGU+PENpdGU+PEF1dGhvcj5TdGV3YXJ0PC9BdXRob3I+PFllYXI+MjAwNTwvWWVhcj48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</w:fldData>
        </w:fldChar>
      </w:r>
      <w:r w:rsidR="008E0B00">
        <w:instrText xml:space="preserve"> ADDIN EN.CITE </w:instrText>
      </w:r>
      <w:r w:rsidR="008E0B00">
        <w:fldChar w:fldCharType="begin">
          <w:fldData xml:space="preserve">PEVuZE5vdGU+PENpdGU+PEF1dGhvcj5TdGV3YXJ0PC9BdXRob3I+PFllYXI+MjAwNTwvWWVhcj48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154" w:tooltip="Stewart, 2005 #160" w:history="1">
        <w:r w:rsidR="008E0B00">
          <w:rPr>
            <w:noProof/>
          </w:rPr>
          <w:t>Stewart et al. 2005</w:t>
        </w:r>
      </w:hyperlink>
      <w:r w:rsidR="008E0B00">
        <w:rPr>
          <w:noProof/>
        </w:rPr>
        <w:t>)</w:t>
      </w:r>
      <w:r w:rsidR="008E0B00">
        <w:fldChar w:fldCharType="end"/>
      </w:r>
      <w:r>
        <w:t xml:space="preserve">. This utility was similar (0.67 </w:t>
      </w:r>
      <w:r w:rsidR="006C03BC">
        <w:t>versus</w:t>
      </w:r>
      <w:r>
        <w:t xml:space="preserve"> 0.66) to the utility derived by</w:t>
      </w:r>
      <w:r w:rsidR="0040566E">
        <w:t xml:space="preserve"> Sullivan et al. (2007),</w:t>
      </w:r>
      <w:r>
        <w:t xml:space="preserve"> who </w:t>
      </w:r>
      <w:r w:rsidRPr="00357146">
        <w:t>reported value</w:t>
      </w:r>
      <w:r>
        <w:t>s</w:t>
      </w:r>
      <w:r w:rsidRPr="00357146">
        <w:t xml:space="preserve"> for an Australian subgroup of male patients with metastatic hormone refractory prostate cancer</w:t>
      </w:r>
      <w:r w:rsidR="0040566E">
        <w:t xml:space="preserve"> </w:t>
      </w:r>
      <w:r w:rsidR="008E0B00">
        <w:fldChar w:fldCharType="begin">
          <w:fldData xml:space="preserve">PEVuZE5vdGU+PENpdGU+PEF1dGhvcj5TdWxsaXZhbjwvQXV0aG9yPjxZZWFyPjIwMDc8L1llYXI+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</w:fldData>
        </w:fldChar>
      </w:r>
      <w:r w:rsidR="008E0B00">
        <w:instrText xml:space="preserve"> ADDIN EN.CITE </w:instrText>
      </w:r>
      <w:r w:rsidR="008E0B00">
        <w:fldChar w:fldCharType="begin">
          <w:fldData xml:space="preserve">PEVuZE5vdGU+PENpdGU+PEF1dGhvcj5TdWxsaXZhbjwvQXV0aG9yPjxZZWFyPjIwMDc8L1llYXI+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</w:fldData>
        </w:fldChar>
      </w:r>
      <w:r w:rsidR="008E0B00">
        <w:instrText xml:space="preserve"> ADDIN EN.CITE.DATA </w:instrText>
      </w:r>
      <w:r w:rsidR="008E0B00">
        <w:fldChar w:fldCharType="end"/>
      </w:r>
      <w:r w:rsidR="008E0B00">
        <w:fldChar w:fldCharType="separate"/>
      </w:r>
      <w:r w:rsidR="008E0B00">
        <w:rPr>
          <w:noProof/>
        </w:rPr>
        <w:t>(</w:t>
      </w:r>
      <w:hyperlink w:anchor="_ENREF_156" w:tooltip="Sullivan, 2007 #161" w:history="1">
        <w:r w:rsidR="008E0B00">
          <w:rPr>
            <w:noProof/>
          </w:rPr>
          <w:t>Sullivan et al. 2007</w:t>
        </w:r>
      </w:hyperlink>
      <w:r w:rsidR="008E0B00">
        <w:rPr>
          <w:noProof/>
        </w:rPr>
        <w:t>)</w:t>
      </w:r>
      <w:r w:rsidR="008E0B00">
        <w:fldChar w:fldCharType="end"/>
      </w:r>
      <w:r w:rsidRPr="00357146">
        <w:t>.</w:t>
      </w:r>
      <w:r>
        <w:t xml:space="preserve"> </w:t>
      </w:r>
      <w:r w:rsidR="007E5AB6">
        <w:t>Furthermore, d</w:t>
      </w:r>
      <w:r w:rsidRPr="00357146">
        <w:t>ecrements at 3, 6 and 9 months after treatment are</w:t>
      </w:r>
      <w:r w:rsidR="007E5AB6">
        <w:t xml:space="preserve"> reported in this</w:t>
      </w:r>
      <w:r w:rsidRPr="00357146">
        <w:t xml:space="preserve"> </w:t>
      </w:r>
      <w:r w:rsidR="00055C87">
        <w:t>study</w:t>
      </w:r>
      <w:r w:rsidRPr="00357146">
        <w:t xml:space="preserve"> fo</w:t>
      </w:r>
      <w:r w:rsidR="00AE3374">
        <w:t>r the entire study population (n</w:t>
      </w:r>
      <w:r w:rsidRPr="00357146">
        <w:t>=280) which</w:t>
      </w:r>
      <w:r w:rsidR="007244E6">
        <w:t xml:space="preserve"> included Australian patients (n</w:t>
      </w:r>
      <w:r w:rsidRPr="00357146">
        <w:t>=40).</w:t>
      </w:r>
      <w:r>
        <w:t xml:space="preserve"> </w:t>
      </w:r>
    </w:p>
    <w:p w14:paraId="1E8416E4" w14:textId="3DC171DA" w:rsidR="00742247" w:rsidRDefault="000C04A2" w:rsidP="00742247">
      <w:r>
        <w:t>The following methods were used to calculate health state values</w:t>
      </w:r>
      <w:r w:rsidR="00742247">
        <w:t>:</w:t>
      </w:r>
    </w:p>
    <w:p w14:paraId="4C6ED988" w14:textId="2D910764" w:rsidR="00742247" w:rsidRDefault="00742247" w:rsidP="00A3402C">
      <w:pPr>
        <w:pStyle w:val="ListParagraph"/>
        <w:numPr>
          <w:ilvl w:val="0"/>
          <w:numId w:val="34"/>
        </w:numPr>
        <w:contextualSpacing w:val="0"/>
        <w:jc w:val="left"/>
      </w:pPr>
      <w:r>
        <w:t>Low/</w:t>
      </w:r>
      <w:r w:rsidRPr="00F013A2">
        <w:t xml:space="preserve">intermediate risk PCa on </w:t>
      </w:r>
      <w:r w:rsidR="000C04A2">
        <w:t>AS</w:t>
      </w:r>
      <w:r>
        <w:t xml:space="preserve">: </w:t>
      </w:r>
      <w:r w:rsidR="00CA2D63">
        <w:t>Stewart</w:t>
      </w:r>
      <w:r w:rsidR="0040566E">
        <w:t xml:space="preserve"> et al. (2005)</w:t>
      </w:r>
      <w:r>
        <w:t xml:space="preserve"> reported mean utility values for three health states consisting of men living with symptom-free cancer under conservative </w:t>
      </w:r>
      <w:r>
        <w:lastRenderedPageBreak/>
        <w:t xml:space="preserve">management. As only one health state for patients with low/intermediate risk PCa is included in the economic model, a weighted average [using SUMPRODUCT in excel] of the mean utility values of the three health states was derived. </w:t>
      </w:r>
    </w:p>
    <w:p w14:paraId="539C12CB" w14:textId="10B2A541" w:rsidR="00742247" w:rsidRDefault="00742247" w:rsidP="00A3402C">
      <w:pPr>
        <w:pStyle w:val="ListParagraph"/>
        <w:numPr>
          <w:ilvl w:val="0"/>
          <w:numId w:val="34"/>
        </w:numPr>
        <w:contextualSpacing w:val="0"/>
        <w:jc w:val="left"/>
      </w:pPr>
      <w:r>
        <w:t>H</w:t>
      </w:r>
      <w:r w:rsidRPr="00991209">
        <w:t>igh/intermediate risk PCa recei</w:t>
      </w:r>
      <w:r>
        <w:t>ving active treatment/follow-up: Stewart et al</w:t>
      </w:r>
      <w:r w:rsidR="000D35AA">
        <w:t>.</w:t>
      </w:r>
      <w:r>
        <w:t xml:space="preserve"> (2005) reported</w:t>
      </w:r>
      <w:r w:rsidR="000D35AA">
        <w:t xml:space="preserve"> </w:t>
      </w:r>
      <w:r w:rsidR="00C52C1D">
        <w:t>separate</w:t>
      </w:r>
      <w:r>
        <w:t xml:space="preserve"> utility values for patient</w:t>
      </w:r>
      <w:r w:rsidR="000D35AA">
        <w:t xml:space="preserve"> groups receiving either: </w:t>
      </w:r>
      <w:r>
        <w:t>hormone medications</w:t>
      </w:r>
      <w:r w:rsidR="000D35AA">
        <w:t>;</w:t>
      </w:r>
      <w:r>
        <w:t xml:space="preserve"> orchiectomy</w:t>
      </w:r>
      <w:r w:rsidR="000D35AA">
        <w:t>;</w:t>
      </w:r>
      <w:r>
        <w:t xml:space="preserve"> radiation therapy</w:t>
      </w:r>
      <w:r w:rsidR="000D35AA">
        <w:t>;</w:t>
      </w:r>
      <w:r>
        <w:t xml:space="preserve"> prostatectomy</w:t>
      </w:r>
      <w:r w:rsidR="000D35AA">
        <w:t>;</w:t>
      </w:r>
      <w:r>
        <w:t xml:space="preserve"> </w:t>
      </w:r>
      <w:r w:rsidR="000C6F09">
        <w:t xml:space="preserve">or </w:t>
      </w:r>
      <w:r>
        <w:t>transurethral resection p</w:t>
      </w:r>
      <w:r w:rsidRPr="00AB516F">
        <w:t>rostatectomy</w:t>
      </w:r>
      <w:r>
        <w:t xml:space="preserve"> (TURP). </w:t>
      </w:r>
      <w:r w:rsidR="003A23AF">
        <w:t>T</w:t>
      </w:r>
      <w:r>
        <w:t xml:space="preserve">here is only one health state for </w:t>
      </w:r>
      <w:r w:rsidRPr="00991209">
        <w:t xml:space="preserve">high/intermediate risk PCa </w:t>
      </w:r>
      <w:r>
        <w:t xml:space="preserve">in the </w:t>
      </w:r>
      <w:r w:rsidRPr="00A269C8">
        <w:t>economic model presented in Section D</w:t>
      </w:r>
      <w:r w:rsidR="003A23AF">
        <w:t xml:space="preserve">.As </w:t>
      </w:r>
      <w:r w:rsidRPr="00A269C8">
        <w:t>this includes all treatments in the clinical algorithm (Figures 1 and 2</w:t>
      </w:r>
      <w:r w:rsidR="00D03E5B">
        <w:t>, Section A</w:t>
      </w:r>
      <w:r w:rsidRPr="00A269C8">
        <w:t>), a</w:t>
      </w:r>
      <w:r w:rsidR="003A23AF">
        <w:t xml:space="preserve"> </w:t>
      </w:r>
      <w:r w:rsidRPr="00A269C8">
        <w:t>weighted</w:t>
      </w:r>
      <w:r>
        <w:t xml:space="preserve"> average [using SUMPRODUCT in excel] of the mean utility values of the five health states was derived. </w:t>
      </w:r>
    </w:p>
    <w:p w14:paraId="2589CE2A" w14:textId="5E556776" w:rsidR="00742247" w:rsidRDefault="00742247" w:rsidP="00A3402C">
      <w:pPr>
        <w:pStyle w:val="ListParagraph"/>
        <w:numPr>
          <w:ilvl w:val="0"/>
          <w:numId w:val="34"/>
        </w:numPr>
        <w:contextualSpacing w:val="0"/>
        <w:jc w:val="left"/>
      </w:pPr>
      <w:r>
        <w:t>Advanced PCa: Stewart et al</w:t>
      </w:r>
      <w:r w:rsidR="003A23AF">
        <w:t>.</w:t>
      </w:r>
      <w:r>
        <w:t xml:space="preserve"> (2005) and Sullivan et al</w:t>
      </w:r>
      <w:r w:rsidR="003A23AF">
        <w:t>.</w:t>
      </w:r>
      <w:r>
        <w:t xml:space="preserve"> (2007) reported similar values for patients with advanced PCa (0.67 and 0.66 respectively). The utility reported by Stewart (2005) is consistent with the value used in CA 1424.  </w:t>
      </w:r>
    </w:p>
    <w:p w14:paraId="32B6E19F" w14:textId="43B218F5" w:rsidR="00742247" w:rsidRDefault="00742247" w:rsidP="00742247">
      <w:r>
        <w:t>Consistent with the evaluation of MR-guided biopsy procedures for diagnosis of PCa (CA 1424), a one-off disutility associated with prostate biopsy was included in the economic evaluation, independent of biopsy type. No empirical data was available to estimate the size of this disutility. Previous authors</w:t>
      </w:r>
      <w:r w:rsidR="004379A5">
        <w:t xml:space="preserve"> </w:t>
      </w:r>
      <w:r w:rsidR="008E0B00">
        <w:fldChar w:fldCharType="begin">
          <w:fldData xml:space="preserve">PEVuZE5vdGU+PENpdGU+PEF1dGhvcj5aaGFuZzwvQXV0aG9yPjxZZWFyPjIwMTI8L1llYXI+PFJl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</w:fldData>
        </w:fldChar>
      </w:r>
      <w:r w:rsidR="008E0B00">
        <w:instrText xml:space="preserve"> ADDIN EN.CITE </w:instrText>
      </w:r>
      <w:r w:rsidR="008E0B00">
        <w:fldChar w:fldCharType="begin">
          <w:fldData xml:space="preserve">PEVuZE5vdGU+PENpdGU+PEF1dGhvcj5aaGFuZzwvQXV0aG9yPjxZZWFyPjIwMTI8L1llYXI+PFJl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</w:fldData>
        </w:fldChar>
      </w:r>
      <w:r w:rsidR="008E0B00">
        <w:instrText xml:space="preserve"> ADDIN EN.CITE.DATA </w:instrText>
      </w:r>
      <w:r w:rsidR="008E0B00">
        <w:fldChar w:fldCharType="end"/>
      </w:r>
      <w:r w:rsidR="008E0B00">
        <w:fldChar w:fldCharType="separate"/>
      </w:r>
      <w:r w:rsidR="008E0B00">
        <w:rPr>
          <w:noProof/>
        </w:rPr>
        <w:t>(</w:t>
      </w:r>
      <w:hyperlink w:anchor="_ENREF_186" w:tooltip="Zhang, 2012 #162" w:history="1">
        <w:r w:rsidR="008E0B00">
          <w:rPr>
            <w:noProof/>
          </w:rPr>
          <w:t>Zhang et al. 2012</w:t>
        </w:r>
      </w:hyperlink>
      <w:r w:rsidR="008E0B00">
        <w:rPr>
          <w:noProof/>
        </w:rPr>
        <w:t>)</w:t>
      </w:r>
      <w:r w:rsidR="008E0B00">
        <w:fldChar w:fldCharType="end"/>
      </w:r>
      <w:r>
        <w:t xml:space="preserve"> have assumed a disutility of 0.05 for prostate cancer biopsy, based on values found in breast cancer. In our economic evaluation the disutility was assumed to be 0.035 to be consistent with the evaluation of MR-guided biopsy procedures for diagnosis of PCa (CA 1424). This disutility for biopsy is varied between 0 and 0.05 in sensitivity analyse</w:t>
      </w:r>
      <w:r w:rsidR="004379A5">
        <w:t>s (see Subs</w:t>
      </w:r>
      <w:r>
        <w:t>ection D.6).</w:t>
      </w:r>
    </w:p>
    <w:p w14:paraId="1E0385AE" w14:textId="77777777" w:rsidR="00742247" w:rsidRDefault="00742247" w:rsidP="00742247">
      <w:pPr>
        <w:pStyle w:val="Caption"/>
      </w:pPr>
      <w:bookmarkStart w:id="461" w:name="_Ref455408101"/>
      <w:bookmarkStart w:id="462" w:name="_Toc457383667"/>
      <w:bookmarkStart w:id="463" w:name="_Toc459987905"/>
      <w:bookmarkStart w:id="464" w:name="_Toc460514545"/>
      <w:r>
        <w:t xml:space="preserve">Table </w:t>
      </w:r>
      <w:fldSimple w:instr=" SEQ Table \* ARABIC ">
        <w:r w:rsidR="0029649D">
          <w:rPr>
            <w:noProof/>
          </w:rPr>
          <w:t>45</w:t>
        </w:r>
      </w:fldSimple>
      <w:bookmarkEnd w:id="461"/>
      <w:r>
        <w:rPr>
          <w:noProof/>
        </w:rPr>
        <w:tab/>
      </w:r>
      <w:r>
        <w:t>Utility values used in the economic model</w:t>
      </w:r>
      <w:bookmarkEnd w:id="462"/>
      <w:bookmarkEnd w:id="463"/>
      <w:bookmarkEnd w:id="464"/>
    </w:p>
    <w:tbl>
      <w:tblPr>
        <w:tblStyle w:val="TableGrid"/>
        <w:tblW w:w="9112" w:type="dxa"/>
        <w:tblInd w:w="130" w:type="dxa"/>
        <w:tblCellMar>
          <w:left w:w="28" w:type="dxa"/>
          <w:right w:w="28" w:type="dxa"/>
        </w:tblCellMar>
        <w:tblLook w:val="04A0" w:firstRow="1" w:lastRow="0" w:firstColumn="1" w:lastColumn="0" w:noHBand="0" w:noVBand="1"/>
        <w:tblDescription w:val="Utility values used in the economic model"/>
      </w:tblPr>
      <w:tblGrid>
        <w:gridCol w:w="4037"/>
        <w:gridCol w:w="2750"/>
        <w:gridCol w:w="703"/>
        <w:gridCol w:w="1622"/>
      </w:tblGrid>
      <w:tr w:rsidR="00742247" w:rsidRPr="00AE3374" w14:paraId="571DD39A" w14:textId="77777777" w:rsidTr="00AE3374">
        <w:trPr>
          <w:trHeight w:val="397"/>
          <w:tblHeader/>
        </w:trPr>
        <w:tc>
          <w:tcPr>
            <w:tcW w:w="4102" w:type="dxa"/>
          </w:tcPr>
          <w:p w14:paraId="082C2627" w14:textId="77777777" w:rsidR="00742247" w:rsidRPr="00AE3374" w:rsidRDefault="00742247" w:rsidP="00CD59B7">
            <w:pPr>
              <w:pStyle w:val="Tableheading1"/>
            </w:pPr>
            <w:r w:rsidRPr="00AE3374">
              <w:t>Health state</w:t>
            </w:r>
          </w:p>
        </w:tc>
        <w:tc>
          <w:tcPr>
            <w:tcW w:w="2796" w:type="dxa"/>
          </w:tcPr>
          <w:p w14:paraId="20C053A7" w14:textId="77777777" w:rsidR="00742247" w:rsidRPr="00AE3374" w:rsidRDefault="00742247" w:rsidP="00CD59B7">
            <w:pPr>
              <w:pStyle w:val="Tableheading1"/>
            </w:pPr>
            <w:r w:rsidRPr="00AE3374">
              <w:t>Utility value, mean (SD) [95%CI]</w:t>
            </w:r>
          </w:p>
        </w:tc>
        <w:tc>
          <w:tcPr>
            <w:tcW w:w="709" w:type="dxa"/>
          </w:tcPr>
          <w:p w14:paraId="0D55EAF6" w14:textId="627D167D" w:rsidR="00742247" w:rsidRPr="00AE3374" w:rsidRDefault="00AE3374" w:rsidP="00CD59B7">
            <w:pPr>
              <w:pStyle w:val="Tableheading1"/>
            </w:pPr>
            <w:r>
              <w:t>n</w:t>
            </w:r>
          </w:p>
        </w:tc>
        <w:tc>
          <w:tcPr>
            <w:tcW w:w="1635" w:type="dxa"/>
          </w:tcPr>
          <w:p w14:paraId="3423A92C" w14:textId="77777777" w:rsidR="00742247" w:rsidRPr="00AE3374" w:rsidRDefault="00742247" w:rsidP="00CD59B7">
            <w:pPr>
              <w:pStyle w:val="Tableheading1"/>
            </w:pPr>
            <w:r w:rsidRPr="00AE3374">
              <w:t>Source</w:t>
            </w:r>
          </w:p>
        </w:tc>
      </w:tr>
      <w:tr w:rsidR="00742247" w14:paraId="5AFB8D5E" w14:textId="77777777" w:rsidTr="00AE3374">
        <w:trPr>
          <w:trHeight w:val="397"/>
        </w:trPr>
        <w:tc>
          <w:tcPr>
            <w:tcW w:w="4102" w:type="dxa"/>
            <w:tcBorders>
              <w:top w:val="nil"/>
              <w:bottom w:val="single" w:sz="4" w:space="0" w:color="auto"/>
            </w:tcBorders>
          </w:tcPr>
          <w:p w14:paraId="2E4B93E3" w14:textId="774C495C" w:rsidR="00742247" w:rsidRPr="00991209" w:rsidRDefault="00742247" w:rsidP="00CD59B7">
            <w:pPr>
              <w:pStyle w:val="Tabletext1"/>
            </w:pPr>
            <w:r w:rsidRPr="00991209">
              <w:t xml:space="preserve">General Australian population of males aged </w:t>
            </w:r>
            <w:r w:rsidR="00AE3374">
              <w:t>61</w:t>
            </w:r>
            <w:r>
              <w:t>–70y</w:t>
            </w:r>
          </w:p>
        </w:tc>
        <w:tc>
          <w:tcPr>
            <w:tcW w:w="2796" w:type="dxa"/>
            <w:tcBorders>
              <w:top w:val="nil"/>
              <w:bottom w:val="single" w:sz="4" w:space="0" w:color="auto"/>
            </w:tcBorders>
          </w:tcPr>
          <w:p w14:paraId="2475363F" w14:textId="77777777" w:rsidR="00742247" w:rsidRDefault="00742247" w:rsidP="00CD59B7">
            <w:pPr>
              <w:pStyle w:val="Tabletext1"/>
            </w:pPr>
            <w:r w:rsidRPr="00EE6B70">
              <w:t xml:space="preserve">0.82 </w:t>
            </w:r>
            <w:r>
              <w:t xml:space="preserve">(NR) </w:t>
            </w:r>
            <w:r w:rsidRPr="00EE6B70">
              <w:t>(0.80–0.84)</w:t>
            </w:r>
          </w:p>
        </w:tc>
        <w:tc>
          <w:tcPr>
            <w:tcW w:w="709" w:type="dxa"/>
            <w:tcBorders>
              <w:top w:val="nil"/>
              <w:bottom w:val="single" w:sz="4" w:space="0" w:color="auto"/>
            </w:tcBorders>
          </w:tcPr>
          <w:p w14:paraId="3FAECD01" w14:textId="77777777" w:rsidR="00742247" w:rsidRDefault="00742247" w:rsidP="00CD59B7">
            <w:pPr>
              <w:pStyle w:val="Tabletext1"/>
            </w:pPr>
            <w:r>
              <w:t>599</w:t>
            </w:r>
          </w:p>
        </w:tc>
        <w:tc>
          <w:tcPr>
            <w:tcW w:w="1635" w:type="dxa"/>
            <w:tcBorders>
              <w:top w:val="nil"/>
              <w:bottom w:val="single" w:sz="4" w:space="0" w:color="auto"/>
            </w:tcBorders>
          </w:tcPr>
          <w:p w14:paraId="2FFB6918" w14:textId="75FDE79C" w:rsidR="00742247" w:rsidRPr="00991209" w:rsidRDefault="00742247" w:rsidP="00CD59B7">
            <w:pPr>
              <w:pStyle w:val="Tabletext1"/>
            </w:pPr>
            <w:r>
              <w:t xml:space="preserve">Clemens </w:t>
            </w:r>
            <w:r w:rsidR="003A23AF">
              <w:t>et al. (</w:t>
            </w:r>
            <w:r>
              <w:t>2014</w:t>
            </w:r>
            <w:r w:rsidR="003A23AF">
              <w:t>)</w:t>
            </w:r>
          </w:p>
        </w:tc>
      </w:tr>
      <w:tr w:rsidR="00742247" w14:paraId="25B92702" w14:textId="77777777" w:rsidTr="00AE3374">
        <w:trPr>
          <w:trHeight w:val="397"/>
        </w:trPr>
        <w:tc>
          <w:tcPr>
            <w:tcW w:w="4102" w:type="dxa"/>
            <w:tcBorders>
              <w:top w:val="single" w:sz="4" w:space="0" w:color="auto"/>
              <w:bottom w:val="nil"/>
            </w:tcBorders>
          </w:tcPr>
          <w:p w14:paraId="7F6B2C35" w14:textId="430AE693" w:rsidR="00742247" w:rsidRPr="00991209" w:rsidRDefault="00AB1EEA" w:rsidP="00CD59B7">
            <w:pPr>
              <w:pStyle w:val="Tabletext1"/>
            </w:pPr>
            <w:r>
              <w:t>L</w:t>
            </w:r>
            <w:r w:rsidR="00742247" w:rsidRPr="00991209">
              <w:t xml:space="preserve">ow/intermediate </w:t>
            </w:r>
            <w:r w:rsidR="00742247">
              <w:t xml:space="preserve">risk PCa on </w:t>
            </w:r>
            <w:r>
              <w:t>AS</w:t>
            </w:r>
          </w:p>
        </w:tc>
        <w:tc>
          <w:tcPr>
            <w:tcW w:w="2796" w:type="dxa"/>
            <w:tcBorders>
              <w:top w:val="single" w:sz="4" w:space="0" w:color="auto"/>
              <w:bottom w:val="nil"/>
            </w:tcBorders>
          </w:tcPr>
          <w:p w14:paraId="4D8BDE05" w14:textId="77777777" w:rsidR="00742247" w:rsidRPr="00600A39" w:rsidRDefault="00742247" w:rsidP="00CD59B7">
            <w:pPr>
              <w:pStyle w:val="Tabletext1"/>
              <w:rPr>
                <w:i/>
              </w:rPr>
            </w:pPr>
          </w:p>
        </w:tc>
        <w:tc>
          <w:tcPr>
            <w:tcW w:w="709" w:type="dxa"/>
            <w:tcBorders>
              <w:top w:val="single" w:sz="4" w:space="0" w:color="auto"/>
              <w:bottom w:val="nil"/>
            </w:tcBorders>
          </w:tcPr>
          <w:p w14:paraId="09D14DE5" w14:textId="77777777" w:rsidR="00742247" w:rsidRPr="00991209" w:rsidRDefault="00742247" w:rsidP="00CD59B7">
            <w:pPr>
              <w:pStyle w:val="Tabletext1"/>
            </w:pPr>
          </w:p>
        </w:tc>
        <w:tc>
          <w:tcPr>
            <w:tcW w:w="1635" w:type="dxa"/>
            <w:tcBorders>
              <w:top w:val="single" w:sz="4" w:space="0" w:color="auto"/>
              <w:bottom w:val="nil"/>
            </w:tcBorders>
          </w:tcPr>
          <w:p w14:paraId="3DA60922" w14:textId="77777777" w:rsidR="00742247" w:rsidRPr="00991209" w:rsidRDefault="00742247" w:rsidP="00CD59B7">
            <w:pPr>
              <w:pStyle w:val="Tabletext1"/>
            </w:pPr>
          </w:p>
        </w:tc>
      </w:tr>
      <w:tr w:rsidR="00742247" w14:paraId="2C619594" w14:textId="77777777" w:rsidTr="00AE3374">
        <w:trPr>
          <w:trHeight w:val="397"/>
        </w:trPr>
        <w:tc>
          <w:tcPr>
            <w:tcW w:w="4102" w:type="dxa"/>
            <w:tcBorders>
              <w:top w:val="nil"/>
              <w:bottom w:val="nil"/>
            </w:tcBorders>
          </w:tcPr>
          <w:p w14:paraId="4B1A4068" w14:textId="77777777" w:rsidR="00742247" w:rsidRPr="00FA3006" w:rsidRDefault="00742247" w:rsidP="00CD59B7">
            <w:pPr>
              <w:pStyle w:val="Tabletext1"/>
            </w:pPr>
            <w:r>
              <w:t>1) PCa</w:t>
            </w:r>
            <w:r w:rsidRPr="00FA3006">
              <w:t xml:space="preserve">, 20% chance of spread, </w:t>
            </w:r>
            <w:r>
              <w:t>AS</w:t>
            </w:r>
          </w:p>
        </w:tc>
        <w:tc>
          <w:tcPr>
            <w:tcW w:w="2796" w:type="dxa"/>
            <w:tcBorders>
              <w:top w:val="nil"/>
              <w:bottom w:val="nil"/>
            </w:tcBorders>
          </w:tcPr>
          <w:p w14:paraId="4925B6F7" w14:textId="77777777" w:rsidR="00742247" w:rsidRPr="00F3261B" w:rsidRDefault="00742247" w:rsidP="00CD59B7">
            <w:pPr>
              <w:pStyle w:val="Tabletext1"/>
            </w:pPr>
            <w:r>
              <w:t>0.84 (</w:t>
            </w:r>
            <w:r w:rsidRPr="00F3261B">
              <w:t>0.19)</w:t>
            </w:r>
          </w:p>
        </w:tc>
        <w:tc>
          <w:tcPr>
            <w:tcW w:w="709" w:type="dxa"/>
            <w:tcBorders>
              <w:top w:val="nil"/>
              <w:bottom w:val="nil"/>
            </w:tcBorders>
          </w:tcPr>
          <w:p w14:paraId="46E8EBC2" w14:textId="77777777" w:rsidR="00742247" w:rsidRPr="0090654F" w:rsidRDefault="00742247" w:rsidP="00CD59B7">
            <w:pPr>
              <w:pStyle w:val="Tabletext1"/>
            </w:pPr>
            <w:r w:rsidRPr="0090654F">
              <w:t>88</w:t>
            </w:r>
          </w:p>
        </w:tc>
        <w:tc>
          <w:tcPr>
            <w:tcW w:w="1635" w:type="dxa"/>
            <w:tcBorders>
              <w:top w:val="nil"/>
              <w:bottom w:val="nil"/>
            </w:tcBorders>
          </w:tcPr>
          <w:p w14:paraId="70A95CFF" w14:textId="7955B09F" w:rsidR="00742247" w:rsidRDefault="00742247" w:rsidP="00CD59B7">
            <w:pPr>
              <w:pStyle w:val="Tabletext1"/>
            </w:pPr>
            <w:r>
              <w:t xml:space="preserve">Stewart </w:t>
            </w:r>
            <w:r w:rsidR="003A23AF">
              <w:t>et al. (</w:t>
            </w:r>
            <w:r>
              <w:t>2005</w:t>
            </w:r>
            <w:r w:rsidR="003A23AF">
              <w:t>)</w:t>
            </w:r>
          </w:p>
        </w:tc>
      </w:tr>
      <w:tr w:rsidR="00742247" w14:paraId="5DC3579B" w14:textId="77777777" w:rsidTr="00AE3374">
        <w:trPr>
          <w:trHeight w:val="397"/>
        </w:trPr>
        <w:tc>
          <w:tcPr>
            <w:tcW w:w="4102" w:type="dxa"/>
            <w:tcBorders>
              <w:top w:val="nil"/>
              <w:bottom w:val="nil"/>
            </w:tcBorders>
          </w:tcPr>
          <w:p w14:paraId="36B41AAB" w14:textId="77777777" w:rsidR="00742247" w:rsidRPr="00FA3006" w:rsidRDefault="00742247" w:rsidP="00CD59B7">
            <w:pPr>
              <w:pStyle w:val="Tabletext1"/>
            </w:pPr>
            <w:r>
              <w:t>2) PCa</w:t>
            </w:r>
            <w:r w:rsidRPr="00FA3006">
              <w:t>, 40% chance of spread</w:t>
            </w:r>
            <w:r>
              <w:t>, AS</w:t>
            </w:r>
          </w:p>
        </w:tc>
        <w:tc>
          <w:tcPr>
            <w:tcW w:w="2796" w:type="dxa"/>
            <w:tcBorders>
              <w:top w:val="nil"/>
              <w:bottom w:val="nil"/>
            </w:tcBorders>
          </w:tcPr>
          <w:p w14:paraId="366FEC09" w14:textId="77777777" w:rsidR="00742247" w:rsidRPr="00F3261B" w:rsidRDefault="00742247" w:rsidP="00CD59B7">
            <w:pPr>
              <w:pStyle w:val="Tabletext1"/>
            </w:pPr>
            <w:r>
              <w:t>0.81 (</w:t>
            </w:r>
            <w:r w:rsidRPr="00F3261B">
              <w:t>0.18)</w:t>
            </w:r>
          </w:p>
        </w:tc>
        <w:tc>
          <w:tcPr>
            <w:tcW w:w="709" w:type="dxa"/>
            <w:tcBorders>
              <w:top w:val="nil"/>
              <w:bottom w:val="nil"/>
            </w:tcBorders>
          </w:tcPr>
          <w:p w14:paraId="7EBEEDE8" w14:textId="77777777" w:rsidR="00742247" w:rsidRPr="0090654F" w:rsidRDefault="00742247" w:rsidP="00CD59B7">
            <w:pPr>
              <w:pStyle w:val="Tabletext1"/>
            </w:pPr>
            <w:r w:rsidRPr="0090654F">
              <w:t>49</w:t>
            </w:r>
          </w:p>
        </w:tc>
        <w:tc>
          <w:tcPr>
            <w:tcW w:w="1635" w:type="dxa"/>
            <w:tcBorders>
              <w:top w:val="nil"/>
              <w:bottom w:val="nil"/>
            </w:tcBorders>
          </w:tcPr>
          <w:p w14:paraId="7DB9D8E9" w14:textId="320B5F59" w:rsidR="00742247" w:rsidRDefault="00742247" w:rsidP="00CD59B7">
            <w:pPr>
              <w:pStyle w:val="Tabletext1"/>
            </w:pPr>
            <w:r>
              <w:t xml:space="preserve">Stewart </w:t>
            </w:r>
            <w:r w:rsidR="003A23AF">
              <w:t>et al. (</w:t>
            </w:r>
            <w:r>
              <w:t>2005</w:t>
            </w:r>
            <w:r w:rsidR="003A23AF">
              <w:t>)</w:t>
            </w:r>
          </w:p>
        </w:tc>
      </w:tr>
      <w:tr w:rsidR="00742247" w14:paraId="0B09774E" w14:textId="77777777" w:rsidTr="00AE3374">
        <w:trPr>
          <w:trHeight w:val="397"/>
        </w:trPr>
        <w:tc>
          <w:tcPr>
            <w:tcW w:w="4102" w:type="dxa"/>
            <w:tcBorders>
              <w:top w:val="nil"/>
              <w:bottom w:val="nil"/>
            </w:tcBorders>
          </w:tcPr>
          <w:p w14:paraId="2A04C3FB" w14:textId="77777777" w:rsidR="00742247" w:rsidRPr="00FA3006" w:rsidRDefault="00742247" w:rsidP="00CD59B7">
            <w:pPr>
              <w:pStyle w:val="Tabletext1"/>
            </w:pPr>
            <w:r>
              <w:t>3) PCa</w:t>
            </w:r>
            <w:r w:rsidRPr="00FA3006">
              <w:t>, 75% chance of spread</w:t>
            </w:r>
            <w:r>
              <w:t>, AS</w:t>
            </w:r>
          </w:p>
        </w:tc>
        <w:tc>
          <w:tcPr>
            <w:tcW w:w="2796" w:type="dxa"/>
            <w:tcBorders>
              <w:top w:val="nil"/>
              <w:bottom w:val="nil"/>
            </w:tcBorders>
          </w:tcPr>
          <w:p w14:paraId="13DF3287" w14:textId="77777777" w:rsidR="00742247" w:rsidRDefault="00742247" w:rsidP="00CD59B7">
            <w:pPr>
              <w:pStyle w:val="Tabletext1"/>
            </w:pPr>
            <w:r>
              <w:t>0.71 (</w:t>
            </w:r>
            <w:r w:rsidRPr="00F3261B">
              <w:t xml:space="preserve">0.24) </w:t>
            </w:r>
          </w:p>
        </w:tc>
        <w:tc>
          <w:tcPr>
            <w:tcW w:w="709" w:type="dxa"/>
            <w:tcBorders>
              <w:top w:val="nil"/>
              <w:bottom w:val="nil"/>
            </w:tcBorders>
          </w:tcPr>
          <w:p w14:paraId="74A21D50" w14:textId="77777777" w:rsidR="00742247" w:rsidRDefault="00742247" w:rsidP="00CD59B7">
            <w:pPr>
              <w:pStyle w:val="Tabletext1"/>
            </w:pPr>
            <w:r w:rsidRPr="0090654F">
              <w:t>53</w:t>
            </w:r>
          </w:p>
        </w:tc>
        <w:tc>
          <w:tcPr>
            <w:tcW w:w="1635" w:type="dxa"/>
            <w:tcBorders>
              <w:top w:val="nil"/>
              <w:bottom w:val="nil"/>
            </w:tcBorders>
          </w:tcPr>
          <w:p w14:paraId="0A4B6FB7" w14:textId="0562956E" w:rsidR="00742247" w:rsidRDefault="00742247" w:rsidP="00CD59B7">
            <w:pPr>
              <w:pStyle w:val="Tabletext1"/>
            </w:pPr>
            <w:r>
              <w:t xml:space="preserve">Stewart </w:t>
            </w:r>
            <w:r w:rsidR="003A23AF">
              <w:t>et al. (</w:t>
            </w:r>
            <w:r>
              <w:t>2005</w:t>
            </w:r>
            <w:r w:rsidR="003A23AF">
              <w:t>)</w:t>
            </w:r>
          </w:p>
        </w:tc>
      </w:tr>
      <w:tr w:rsidR="00742247" w14:paraId="44387665" w14:textId="77777777" w:rsidTr="00AE3374">
        <w:trPr>
          <w:trHeight w:val="397"/>
        </w:trPr>
        <w:tc>
          <w:tcPr>
            <w:tcW w:w="4102" w:type="dxa"/>
            <w:tcBorders>
              <w:top w:val="nil"/>
              <w:bottom w:val="single" w:sz="4" w:space="0" w:color="auto"/>
            </w:tcBorders>
          </w:tcPr>
          <w:p w14:paraId="0532AB2E" w14:textId="77777777" w:rsidR="00742247" w:rsidRPr="00600A39" w:rsidRDefault="00742247" w:rsidP="00CD59B7">
            <w:pPr>
              <w:pStyle w:val="Tabletext1"/>
            </w:pPr>
            <w:r>
              <w:t xml:space="preserve">4) </w:t>
            </w:r>
            <w:r w:rsidRPr="007E5AB6">
              <w:rPr>
                <w:i/>
              </w:rPr>
              <w:t>States including chance of spread (25-75%)</w:t>
            </w:r>
            <w:r>
              <w:t xml:space="preserve"> </w:t>
            </w:r>
          </w:p>
        </w:tc>
        <w:tc>
          <w:tcPr>
            <w:tcW w:w="2796" w:type="dxa"/>
            <w:tcBorders>
              <w:top w:val="nil"/>
              <w:bottom w:val="single" w:sz="4" w:space="0" w:color="auto"/>
            </w:tcBorders>
          </w:tcPr>
          <w:p w14:paraId="03DDADE6" w14:textId="77777777" w:rsidR="00742247" w:rsidRDefault="00742247" w:rsidP="00CD59B7">
            <w:pPr>
              <w:pStyle w:val="Tabletext1"/>
            </w:pPr>
            <w:r w:rsidRPr="00600A39">
              <w:rPr>
                <w:i/>
              </w:rPr>
              <w:t>0.796</w:t>
            </w:r>
          </w:p>
        </w:tc>
        <w:tc>
          <w:tcPr>
            <w:tcW w:w="709" w:type="dxa"/>
            <w:tcBorders>
              <w:top w:val="nil"/>
              <w:bottom w:val="single" w:sz="4" w:space="0" w:color="auto"/>
            </w:tcBorders>
          </w:tcPr>
          <w:p w14:paraId="6A650E25" w14:textId="77777777" w:rsidR="00742247" w:rsidRDefault="00742247" w:rsidP="00CD59B7">
            <w:pPr>
              <w:pStyle w:val="Tabletext1"/>
            </w:pPr>
          </w:p>
        </w:tc>
        <w:tc>
          <w:tcPr>
            <w:tcW w:w="1635" w:type="dxa"/>
            <w:tcBorders>
              <w:top w:val="nil"/>
              <w:bottom w:val="single" w:sz="4" w:space="0" w:color="auto"/>
            </w:tcBorders>
          </w:tcPr>
          <w:p w14:paraId="41DC871F" w14:textId="77777777" w:rsidR="00742247" w:rsidRPr="00EE5620" w:rsidRDefault="00742247" w:rsidP="00CD59B7">
            <w:pPr>
              <w:pStyle w:val="Tabletext1"/>
              <w:rPr>
                <w:i/>
              </w:rPr>
            </w:pPr>
            <w:r w:rsidRPr="00EE5620">
              <w:rPr>
                <w:i/>
              </w:rPr>
              <w:t>weighted ave</w:t>
            </w:r>
            <w:r>
              <w:rPr>
                <w:i/>
              </w:rPr>
              <w:t xml:space="preserve">rage </w:t>
            </w:r>
          </w:p>
        </w:tc>
      </w:tr>
      <w:tr w:rsidR="00742247" w14:paraId="21BC2AAF" w14:textId="77777777" w:rsidTr="00AE3374">
        <w:trPr>
          <w:trHeight w:val="397"/>
        </w:trPr>
        <w:tc>
          <w:tcPr>
            <w:tcW w:w="4102" w:type="dxa"/>
            <w:tcBorders>
              <w:top w:val="single" w:sz="4" w:space="0" w:color="auto"/>
              <w:bottom w:val="nil"/>
            </w:tcBorders>
          </w:tcPr>
          <w:p w14:paraId="4522DB21" w14:textId="54AF8090" w:rsidR="00742247" w:rsidRPr="00991209" w:rsidRDefault="00AB1EEA" w:rsidP="00CD59B7">
            <w:pPr>
              <w:pStyle w:val="Tabletext1"/>
            </w:pPr>
            <w:r>
              <w:t>H</w:t>
            </w:r>
            <w:r w:rsidR="00742247" w:rsidRPr="00991209">
              <w:t xml:space="preserve">igh/intermediate risk PCa receiving active treatment/follow-up; </w:t>
            </w:r>
          </w:p>
        </w:tc>
        <w:tc>
          <w:tcPr>
            <w:tcW w:w="2796" w:type="dxa"/>
            <w:tcBorders>
              <w:top w:val="single" w:sz="4" w:space="0" w:color="auto"/>
              <w:bottom w:val="nil"/>
            </w:tcBorders>
          </w:tcPr>
          <w:p w14:paraId="653D640B" w14:textId="77777777" w:rsidR="00742247" w:rsidRDefault="00742247" w:rsidP="00CD59B7">
            <w:pPr>
              <w:pStyle w:val="Tabletext1"/>
            </w:pPr>
          </w:p>
        </w:tc>
        <w:tc>
          <w:tcPr>
            <w:tcW w:w="709" w:type="dxa"/>
            <w:tcBorders>
              <w:top w:val="single" w:sz="4" w:space="0" w:color="auto"/>
              <w:bottom w:val="nil"/>
            </w:tcBorders>
          </w:tcPr>
          <w:p w14:paraId="7F33D8C7" w14:textId="77777777" w:rsidR="00742247" w:rsidRDefault="00742247" w:rsidP="00CD59B7">
            <w:pPr>
              <w:pStyle w:val="Tabletext1"/>
            </w:pPr>
          </w:p>
        </w:tc>
        <w:tc>
          <w:tcPr>
            <w:tcW w:w="1635" w:type="dxa"/>
            <w:tcBorders>
              <w:top w:val="single" w:sz="4" w:space="0" w:color="auto"/>
              <w:bottom w:val="nil"/>
            </w:tcBorders>
          </w:tcPr>
          <w:p w14:paraId="031041E2" w14:textId="77777777" w:rsidR="00742247" w:rsidRPr="00991209" w:rsidRDefault="00742247" w:rsidP="00CD59B7">
            <w:pPr>
              <w:pStyle w:val="Tabletext1"/>
            </w:pPr>
          </w:p>
        </w:tc>
      </w:tr>
      <w:tr w:rsidR="00742247" w14:paraId="47213B01" w14:textId="77777777" w:rsidTr="00AE3374">
        <w:trPr>
          <w:trHeight w:val="397"/>
        </w:trPr>
        <w:tc>
          <w:tcPr>
            <w:tcW w:w="4102" w:type="dxa"/>
            <w:tcBorders>
              <w:top w:val="nil"/>
              <w:bottom w:val="nil"/>
            </w:tcBorders>
          </w:tcPr>
          <w:p w14:paraId="4ABE3C2A" w14:textId="77777777" w:rsidR="00742247" w:rsidRPr="00A71020" w:rsidRDefault="00742247" w:rsidP="00CD59B7">
            <w:pPr>
              <w:pStyle w:val="Tabletext1"/>
            </w:pPr>
            <w:r>
              <w:t>1) t</w:t>
            </w:r>
            <w:r w:rsidRPr="00A71020">
              <w:t>reatment, hormone medications</w:t>
            </w:r>
          </w:p>
        </w:tc>
        <w:tc>
          <w:tcPr>
            <w:tcW w:w="2796" w:type="dxa"/>
            <w:tcBorders>
              <w:top w:val="nil"/>
              <w:bottom w:val="nil"/>
            </w:tcBorders>
          </w:tcPr>
          <w:p w14:paraId="7F16F7C3" w14:textId="77777777" w:rsidR="00742247" w:rsidRPr="005000A6" w:rsidRDefault="00742247" w:rsidP="00CD59B7">
            <w:pPr>
              <w:pStyle w:val="Tabletext1"/>
            </w:pPr>
            <w:r w:rsidRPr="005000A6">
              <w:t>0.83 (0.19)</w:t>
            </w:r>
          </w:p>
        </w:tc>
        <w:tc>
          <w:tcPr>
            <w:tcW w:w="709" w:type="dxa"/>
            <w:tcBorders>
              <w:top w:val="nil"/>
              <w:bottom w:val="nil"/>
            </w:tcBorders>
          </w:tcPr>
          <w:p w14:paraId="2F2BF23F" w14:textId="77777777" w:rsidR="00742247" w:rsidRPr="00B61D1C" w:rsidRDefault="00742247" w:rsidP="00CD59B7">
            <w:pPr>
              <w:pStyle w:val="Tabletext1"/>
            </w:pPr>
            <w:r w:rsidRPr="00B61D1C">
              <w:t>44</w:t>
            </w:r>
          </w:p>
        </w:tc>
        <w:tc>
          <w:tcPr>
            <w:tcW w:w="1635" w:type="dxa"/>
            <w:tcBorders>
              <w:top w:val="nil"/>
              <w:bottom w:val="nil"/>
            </w:tcBorders>
          </w:tcPr>
          <w:p w14:paraId="43F91ED9" w14:textId="2B0CE07F" w:rsidR="00742247" w:rsidRPr="00991209" w:rsidRDefault="00742247" w:rsidP="00CD59B7">
            <w:pPr>
              <w:pStyle w:val="Tabletext1"/>
            </w:pPr>
            <w:r>
              <w:t xml:space="preserve">Stewart </w:t>
            </w:r>
            <w:r w:rsidR="003A23AF">
              <w:t>et al. (</w:t>
            </w:r>
            <w:r>
              <w:t>2005</w:t>
            </w:r>
            <w:r w:rsidR="003A23AF">
              <w:t>)</w:t>
            </w:r>
          </w:p>
        </w:tc>
      </w:tr>
      <w:tr w:rsidR="00742247" w14:paraId="02F72150" w14:textId="77777777" w:rsidTr="00AE3374">
        <w:trPr>
          <w:trHeight w:val="397"/>
        </w:trPr>
        <w:tc>
          <w:tcPr>
            <w:tcW w:w="4102" w:type="dxa"/>
            <w:tcBorders>
              <w:top w:val="nil"/>
              <w:bottom w:val="nil"/>
            </w:tcBorders>
          </w:tcPr>
          <w:p w14:paraId="60E17CD6" w14:textId="77777777" w:rsidR="00742247" w:rsidRPr="00A71020" w:rsidRDefault="00742247" w:rsidP="00CD59B7">
            <w:pPr>
              <w:pStyle w:val="Tabletext1"/>
            </w:pPr>
            <w:r>
              <w:t>2) t</w:t>
            </w:r>
            <w:r w:rsidRPr="00A71020">
              <w:t>reatment, orchiectomy</w:t>
            </w:r>
          </w:p>
        </w:tc>
        <w:tc>
          <w:tcPr>
            <w:tcW w:w="2796" w:type="dxa"/>
            <w:tcBorders>
              <w:top w:val="nil"/>
              <w:bottom w:val="nil"/>
            </w:tcBorders>
          </w:tcPr>
          <w:p w14:paraId="457F1806" w14:textId="77777777" w:rsidR="00742247" w:rsidRPr="005000A6" w:rsidRDefault="00742247" w:rsidP="00CD59B7">
            <w:pPr>
              <w:pStyle w:val="Tabletext1"/>
            </w:pPr>
            <w:r w:rsidRPr="005000A6">
              <w:t>0.87 (0.16)</w:t>
            </w:r>
          </w:p>
        </w:tc>
        <w:tc>
          <w:tcPr>
            <w:tcW w:w="709" w:type="dxa"/>
            <w:tcBorders>
              <w:top w:val="nil"/>
              <w:bottom w:val="nil"/>
            </w:tcBorders>
          </w:tcPr>
          <w:p w14:paraId="37C988CE" w14:textId="77777777" w:rsidR="00742247" w:rsidRPr="00B61D1C" w:rsidRDefault="00742247" w:rsidP="00CD59B7">
            <w:pPr>
              <w:pStyle w:val="Tabletext1"/>
            </w:pPr>
            <w:r w:rsidRPr="00B61D1C">
              <w:t>38</w:t>
            </w:r>
          </w:p>
        </w:tc>
        <w:tc>
          <w:tcPr>
            <w:tcW w:w="1635" w:type="dxa"/>
            <w:tcBorders>
              <w:top w:val="nil"/>
              <w:bottom w:val="nil"/>
            </w:tcBorders>
          </w:tcPr>
          <w:p w14:paraId="49920C85" w14:textId="1274EF4C" w:rsidR="00742247" w:rsidRPr="00991209" w:rsidRDefault="00742247" w:rsidP="00CD59B7">
            <w:pPr>
              <w:pStyle w:val="Tabletext1"/>
            </w:pPr>
            <w:r>
              <w:t xml:space="preserve">Stewart </w:t>
            </w:r>
            <w:r w:rsidR="003A23AF">
              <w:t>et al. (</w:t>
            </w:r>
            <w:r>
              <w:t>2005</w:t>
            </w:r>
            <w:r w:rsidR="003A23AF">
              <w:t>)</w:t>
            </w:r>
          </w:p>
        </w:tc>
      </w:tr>
      <w:tr w:rsidR="00742247" w14:paraId="5528F307" w14:textId="77777777" w:rsidTr="00AE3374">
        <w:trPr>
          <w:trHeight w:val="397"/>
        </w:trPr>
        <w:tc>
          <w:tcPr>
            <w:tcW w:w="4102" w:type="dxa"/>
            <w:tcBorders>
              <w:top w:val="nil"/>
              <w:bottom w:val="nil"/>
            </w:tcBorders>
          </w:tcPr>
          <w:p w14:paraId="5DC5A91E" w14:textId="77777777" w:rsidR="00742247" w:rsidRPr="00A71020" w:rsidRDefault="00742247" w:rsidP="00CD59B7">
            <w:pPr>
              <w:pStyle w:val="Tabletext1"/>
            </w:pPr>
            <w:r>
              <w:lastRenderedPageBreak/>
              <w:t>3) t</w:t>
            </w:r>
            <w:r w:rsidRPr="00A71020">
              <w:t>reatment, radiation therapy</w:t>
            </w:r>
          </w:p>
        </w:tc>
        <w:tc>
          <w:tcPr>
            <w:tcW w:w="2796" w:type="dxa"/>
            <w:tcBorders>
              <w:top w:val="nil"/>
              <w:bottom w:val="nil"/>
            </w:tcBorders>
          </w:tcPr>
          <w:p w14:paraId="02F5C071" w14:textId="77777777" w:rsidR="00742247" w:rsidRPr="005000A6" w:rsidRDefault="00742247" w:rsidP="00CD59B7">
            <w:pPr>
              <w:pStyle w:val="Tabletext1"/>
            </w:pPr>
            <w:r w:rsidRPr="005000A6">
              <w:t>0.73 (0.3)</w:t>
            </w:r>
          </w:p>
        </w:tc>
        <w:tc>
          <w:tcPr>
            <w:tcW w:w="709" w:type="dxa"/>
            <w:tcBorders>
              <w:top w:val="nil"/>
              <w:bottom w:val="nil"/>
            </w:tcBorders>
          </w:tcPr>
          <w:p w14:paraId="28E45FAE" w14:textId="77777777" w:rsidR="00742247" w:rsidRPr="00B61D1C" w:rsidRDefault="00742247" w:rsidP="00CD59B7">
            <w:pPr>
              <w:pStyle w:val="Tabletext1"/>
            </w:pPr>
            <w:r w:rsidRPr="00B61D1C">
              <w:t>44</w:t>
            </w:r>
          </w:p>
        </w:tc>
        <w:tc>
          <w:tcPr>
            <w:tcW w:w="1635" w:type="dxa"/>
            <w:tcBorders>
              <w:top w:val="nil"/>
              <w:bottom w:val="nil"/>
            </w:tcBorders>
          </w:tcPr>
          <w:p w14:paraId="5C376BA1" w14:textId="7BF8CA47" w:rsidR="00742247" w:rsidRPr="00991209" w:rsidRDefault="00742247" w:rsidP="00CD59B7">
            <w:pPr>
              <w:pStyle w:val="Tabletext1"/>
            </w:pPr>
            <w:r>
              <w:t xml:space="preserve">Stewart </w:t>
            </w:r>
            <w:r w:rsidR="003A23AF">
              <w:t>et al. (</w:t>
            </w:r>
            <w:r>
              <w:t>2005</w:t>
            </w:r>
            <w:r w:rsidR="003A23AF">
              <w:t>)</w:t>
            </w:r>
          </w:p>
        </w:tc>
      </w:tr>
      <w:tr w:rsidR="00742247" w14:paraId="3FE27CAE" w14:textId="77777777" w:rsidTr="00AE3374">
        <w:trPr>
          <w:trHeight w:val="397"/>
        </w:trPr>
        <w:tc>
          <w:tcPr>
            <w:tcW w:w="4102" w:type="dxa"/>
            <w:tcBorders>
              <w:top w:val="nil"/>
              <w:bottom w:val="nil"/>
            </w:tcBorders>
          </w:tcPr>
          <w:p w14:paraId="1F0030D5" w14:textId="77777777" w:rsidR="00742247" w:rsidRPr="00A71020" w:rsidRDefault="00742247" w:rsidP="00CD59B7">
            <w:pPr>
              <w:pStyle w:val="Tabletext1"/>
            </w:pPr>
            <w:r>
              <w:t>4) t</w:t>
            </w:r>
            <w:r w:rsidRPr="00A71020">
              <w:t>reatment, prostatectomy</w:t>
            </w:r>
          </w:p>
        </w:tc>
        <w:tc>
          <w:tcPr>
            <w:tcW w:w="2796" w:type="dxa"/>
            <w:tcBorders>
              <w:top w:val="nil"/>
              <w:bottom w:val="nil"/>
            </w:tcBorders>
          </w:tcPr>
          <w:p w14:paraId="655E1453" w14:textId="77777777" w:rsidR="00742247" w:rsidRPr="005000A6" w:rsidRDefault="00742247" w:rsidP="00CD59B7">
            <w:pPr>
              <w:pStyle w:val="Tabletext1"/>
            </w:pPr>
            <w:r w:rsidRPr="005000A6">
              <w:t>0.67 (0.29)</w:t>
            </w:r>
          </w:p>
        </w:tc>
        <w:tc>
          <w:tcPr>
            <w:tcW w:w="709" w:type="dxa"/>
            <w:tcBorders>
              <w:top w:val="nil"/>
              <w:bottom w:val="nil"/>
            </w:tcBorders>
          </w:tcPr>
          <w:p w14:paraId="653E8FCA" w14:textId="77777777" w:rsidR="00742247" w:rsidRPr="00B61D1C" w:rsidRDefault="00742247" w:rsidP="00CD59B7">
            <w:pPr>
              <w:pStyle w:val="Tabletext1"/>
            </w:pPr>
            <w:r w:rsidRPr="00B61D1C">
              <w:t>51</w:t>
            </w:r>
          </w:p>
        </w:tc>
        <w:tc>
          <w:tcPr>
            <w:tcW w:w="1635" w:type="dxa"/>
            <w:tcBorders>
              <w:top w:val="nil"/>
              <w:bottom w:val="nil"/>
            </w:tcBorders>
          </w:tcPr>
          <w:p w14:paraId="2C1F17D8" w14:textId="40E7140B" w:rsidR="00742247" w:rsidRPr="00991209" w:rsidRDefault="00742247" w:rsidP="00CD59B7">
            <w:pPr>
              <w:pStyle w:val="Tabletext1"/>
            </w:pPr>
            <w:r>
              <w:t xml:space="preserve">Stewart </w:t>
            </w:r>
            <w:r w:rsidR="003A23AF">
              <w:t>et al. (</w:t>
            </w:r>
            <w:r>
              <w:t>2005</w:t>
            </w:r>
            <w:r w:rsidR="003A23AF">
              <w:t>)</w:t>
            </w:r>
          </w:p>
        </w:tc>
      </w:tr>
      <w:tr w:rsidR="00742247" w14:paraId="1AA1D54A" w14:textId="77777777" w:rsidTr="00AE3374">
        <w:trPr>
          <w:trHeight w:val="397"/>
        </w:trPr>
        <w:tc>
          <w:tcPr>
            <w:tcW w:w="4102" w:type="dxa"/>
            <w:tcBorders>
              <w:top w:val="nil"/>
              <w:bottom w:val="nil"/>
            </w:tcBorders>
          </w:tcPr>
          <w:p w14:paraId="6ED5F66D" w14:textId="77777777" w:rsidR="00742247" w:rsidRPr="00A71020" w:rsidRDefault="00742247" w:rsidP="00CD59B7">
            <w:pPr>
              <w:pStyle w:val="Tabletext1"/>
            </w:pPr>
            <w:r>
              <w:t>5) t</w:t>
            </w:r>
            <w:r w:rsidRPr="00A71020">
              <w:t>reatment, TURP</w:t>
            </w:r>
          </w:p>
        </w:tc>
        <w:tc>
          <w:tcPr>
            <w:tcW w:w="2796" w:type="dxa"/>
            <w:tcBorders>
              <w:top w:val="nil"/>
              <w:bottom w:val="nil"/>
            </w:tcBorders>
          </w:tcPr>
          <w:p w14:paraId="215B9DEC" w14:textId="77777777" w:rsidR="00742247" w:rsidRDefault="00742247" w:rsidP="00CD59B7">
            <w:pPr>
              <w:pStyle w:val="Tabletext1"/>
            </w:pPr>
            <w:r w:rsidRPr="005000A6">
              <w:t>0.86 (0.16)</w:t>
            </w:r>
          </w:p>
        </w:tc>
        <w:tc>
          <w:tcPr>
            <w:tcW w:w="709" w:type="dxa"/>
            <w:tcBorders>
              <w:top w:val="nil"/>
              <w:bottom w:val="nil"/>
            </w:tcBorders>
          </w:tcPr>
          <w:p w14:paraId="52C636FB" w14:textId="77777777" w:rsidR="00742247" w:rsidRDefault="00742247" w:rsidP="00CD59B7">
            <w:pPr>
              <w:pStyle w:val="Tabletext1"/>
            </w:pPr>
            <w:r w:rsidRPr="00B61D1C">
              <w:t>53</w:t>
            </w:r>
          </w:p>
        </w:tc>
        <w:tc>
          <w:tcPr>
            <w:tcW w:w="1635" w:type="dxa"/>
            <w:tcBorders>
              <w:top w:val="nil"/>
              <w:bottom w:val="nil"/>
            </w:tcBorders>
          </w:tcPr>
          <w:p w14:paraId="193829A1" w14:textId="6ABF1DCC" w:rsidR="00742247" w:rsidRPr="00991209" w:rsidRDefault="00742247" w:rsidP="00CD59B7">
            <w:pPr>
              <w:pStyle w:val="Tabletext1"/>
            </w:pPr>
            <w:r>
              <w:t xml:space="preserve">Stewart </w:t>
            </w:r>
            <w:r w:rsidR="003A23AF">
              <w:t>et al. (</w:t>
            </w:r>
            <w:r>
              <w:t>2005</w:t>
            </w:r>
            <w:r w:rsidR="003A23AF">
              <w:t>)</w:t>
            </w:r>
          </w:p>
        </w:tc>
      </w:tr>
      <w:tr w:rsidR="00742247" w14:paraId="1ECA604F" w14:textId="77777777" w:rsidTr="00AE3374">
        <w:trPr>
          <w:trHeight w:val="397"/>
        </w:trPr>
        <w:tc>
          <w:tcPr>
            <w:tcW w:w="4102" w:type="dxa"/>
            <w:tcBorders>
              <w:top w:val="nil"/>
              <w:bottom w:val="single" w:sz="4" w:space="0" w:color="auto"/>
            </w:tcBorders>
          </w:tcPr>
          <w:p w14:paraId="4D803C84" w14:textId="77777777" w:rsidR="00742247" w:rsidRPr="00AA7E4E" w:rsidRDefault="00742247" w:rsidP="00CD59B7">
            <w:pPr>
              <w:pStyle w:val="Tabletext1"/>
              <w:rPr>
                <w:i/>
              </w:rPr>
            </w:pPr>
            <w:r>
              <w:rPr>
                <w:i/>
              </w:rPr>
              <w:t>6) w</w:t>
            </w:r>
            <w:r w:rsidRPr="00AA7E4E">
              <w:rPr>
                <w:i/>
              </w:rPr>
              <w:t xml:space="preserve">eighted average of treatment states </w:t>
            </w:r>
          </w:p>
        </w:tc>
        <w:tc>
          <w:tcPr>
            <w:tcW w:w="2796" w:type="dxa"/>
            <w:tcBorders>
              <w:top w:val="nil"/>
              <w:bottom w:val="single" w:sz="4" w:space="0" w:color="auto"/>
            </w:tcBorders>
          </w:tcPr>
          <w:p w14:paraId="4B9E7C7A" w14:textId="77777777" w:rsidR="00742247" w:rsidRPr="00AA7E4E" w:rsidRDefault="00742247" w:rsidP="00CD59B7">
            <w:pPr>
              <w:pStyle w:val="Tabletext1"/>
              <w:rPr>
                <w:i/>
              </w:rPr>
            </w:pPr>
            <w:r w:rsidRPr="00AA7E4E">
              <w:rPr>
                <w:i/>
              </w:rPr>
              <w:t>0.789</w:t>
            </w:r>
          </w:p>
        </w:tc>
        <w:tc>
          <w:tcPr>
            <w:tcW w:w="709" w:type="dxa"/>
            <w:tcBorders>
              <w:top w:val="nil"/>
              <w:bottom w:val="single" w:sz="4" w:space="0" w:color="auto"/>
            </w:tcBorders>
          </w:tcPr>
          <w:p w14:paraId="1A1A3D13" w14:textId="77777777" w:rsidR="00742247" w:rsidRDefault="00742247" w:rsidP="00CD59B7">
            <w:pPr>
              <w:pStyle w:val="Tabletext1"/>
            </w:pPr>
          </w:p>
        </w:tc>
        <w:tc>
          <w:tcPr>
            <w:tcW w:w="1635" w:type="dxa"/>
            <w:tcBorders>
              <w:top w:val="nil"/>
              <w:bottom w:val="single" w:sz="4" w:space="0" w:color="auto"/>
            </w:tcBorders>
          </w:tcPr>
          <w:p w14:paraId="7BA5B2D4" w14:textId="77777777" w:rsidR="00742247" w:rsidRPr="00991209" w:rsidRDefault="00742247" w:rsidP="00CD59B7">
            <w:pPr>
              <w:pStyle w:val="Tabletext1"/>
            </w:pPr>
            <w:r w:rsidRPr="00EE5620">
              <w:rPr>
                <w:i/>
              </w:rPr>
              <w:t>weighted ave</w:t>
            </w:r>
            <w:r>
              <w:rPr>
                <w:i/>
              </w:rPr>
              <w:t>rage</w:t>
            </w:r>
          </w:p>
        </w:tc>
      </w:tr>
      <w:tr w:rsidR="00742247" w14:paraId="11040978" w14:textId="77777777" w:rsidTr="00AE3374">
        <w:trPr>
          <w:trHeight w:val="397"/>
        </w:trPr>
        <w:tc>
          <w:tcPr>
            <w:tcW w:w="4102" w:type="dxa"/>
            <w:tcBorders>
              <w:top w:val="nil"/>
              <w:bottom w:val="single" w:sz="4" w:space="0" w:color="auto"/>
            </w:tcBorders>
          </w:tcPr>
          <w:p w14:paraId="54DD82C0" w14:textId="66C95C11" w:rsidR="00742247" w:rsidRPr="000D1156" w:rsidRDefault="000C04A2" w:rsidP="00CD59B7">
            <w:pPr>
              <w:pStyle w:val="Tabletext1"/>
            </w:pPr>
            <w:r>
              <w:t>A</w:t>
            </w:r>
            <w:r w:rsidR="00742247">
              <w:t>dvanced PCa</w:t>
            </w:r>
          </w:p>
        </w:tc>
        <w:tc>
          <w:tcPr>
            <w:tcW w:w="2796" w:type="dxa"/>
            <w:tcBorders>
              <w:top w:val="nil"/>
              <w:bottom w:val="single" w:sz="4" w:space="0" w:color="auto"/>
            </w:tcBorders>
          </w:tcPr>
          <w:p w14:paraId="50EDE79A" w14:textId="77777777" w:rsidR="00742247" w:rsidRPr="000D1156" w:rsidRDefault="00742247" w:rsidP="00CD59B7">
            <w:pPr>
              <w:pStyle w:val="Tabletext1"/>
            </w:pPr>
            <w:r>
              <w:t>0.67 (0.24)</w:t>
            </w:r>
          </w:p>
        </w:tc>
        <w:tc>
          <w:tcPr>
            <w:tcW w:w="709" w:type="dxa"/>
            <w:tcBorders>
              <w:top w:val="nil"/>
              <w:bottom w:val="single" w:sz="4" w:space="0" w:color="auto"/>
            </w:tcBorders>
          </w:tcPr>
          <w:p w14:paraId="51DACF58" w14:textId="77777777" w:rsidR="00742247" w:rsidRDefault="00742247" w:rsidP="00CD59B7">
            <w:pPr>
              <w:pStyle w:val="Tabletext1"/>
            </w:pPr>
            <w:r>
              <w:t>46</w:t>
            </w:r>
          </w:p>
        </w:tc>
        <w:tc>
          <w:tcPr>
            <w:tcW w:w="1635" w:type="dxa"/>
            <w:tcBorders>
              <w:top w:val="nil"/>
              <w:bottom w:val="single" w:sz="4" w:space="0" w:color="auto"/>
            </w:tcBorders>
          </w:tcPr>
          <w:p w14:paraId="525138FC" w14:textId="4D73B3A2" w:rsidR="00742247" w:rsidRPr="00EE5620" w:rsidRDefault="00742247" w:rsidP="00CD59B7">
            <w:pPr>
              <w:pStyle w:val="Tabletext1"/>
              <w:rPr>
                <w:i/>
              </w:rPr>
            </w:pPr>
            <w:r>
              <w:t xml:space="preserve">Stewart </w:t>
            </w:r>
            <w:r w:rsidR="003A23AF">
              <w:t>et al. (</w:t>
            </w:r>
            <w:r>
              <w:t>2005</w:t>
            </w:r>
            <w:r w:rsidR="003A23AF">
              <w:t>)</w:t>
            </w:r>
          </w:p>
        </w:tc>
      </w:tr>
      <w:tr w:rsidR="00742247" w14:paraId="3D92E095" w14:textId="77777777" w:rsidTr="00AE3374">
        <w:trPr>
          <w:trHeight w:val="397"/>
        </w:trPr>
        <w:tc>
          <w:tcPr>
            <w:tcW w:w="4102" w:type="dxa"/>
            <w:tcBorders>
              <w:top w:val="nil"/>
              <w:bottom w:val="single" w:sz="4" w:space="0" w:color="auto"/>
            </w:tcBorders>
          </w:tcPr>
          <w:p w14:paraId="62EC05FA" w14:textId="3A4D2F6F" w:rsidR="00742247" w:rsidRDefault="000C04A2" w:rsidP="00CD59B7">
            <w:pPr>
              <w:pStyle w:val="Tabletext1"/>
            </w:pPr>
            <w:r>
              <w:t>A</w:t>
            </w:r>
            <w:r w:rsidR="00742247">
              <w:t>dvanced PCa (MCRPCa)</w:t>
            </w:r>
          </w:p>
        </w:tc>
        <w:tc>
          <w:tcPr>
            <w:tcW w:w="2796" w:type="dxa"/>
            <w:tcBorders>
              <w:top w:val="nil"/>
              <w:bottom w:val="single" w:sz="4" w:space="0" w:color="auto"/>
            </w:tcBorders>
          </w:tcPr>
          <w:p w14:paraId="13AE294E" w14:textId="77777777" w:rsidR="00742247" w:rsidRDefault="00742247" w:rsidP="00CD59B7">
            <w:pPr>
              <w:pStyle w:val="Tabletext1"/>
            </w:pPr>
            <w:r>
              <w:t>0.66 (NR)</w:t>
            </w:r>
          </w:p>
        </w:tc>
        <w:tc>
          <w:tcPr>
            <w:tcW w:w="709" w:type="dxa"/>
            <w:tcBorders>
              <w:top w:val="nil"/>
              <w:bottom w:val="single" w:sz="4" w:space="0" w:color="auto"/>
            </w:tcBorders>
          </w:tcPr>
          <w:p w14:paraId="1B7354E1" w14:textId="77777777" w:rsidR="00742247" w:rsidRDefault="00742247" w:rsidP="00CD59B7">
            <w:pPr>
              <w:pStyle w:val="Tabletext1"/>
            </w:pPr>
            <w:r>
              <w:t>40</w:t>
            </w:r>
          </w:p>
        </w:tc>
        <w:tc>
          <w:tcPr>
            <w:tcW w:w="1635" w:type="dxa"/>
            <w:tcBorders>
              <w:top w:val="nil"/>
              <w:bottom w:val="single" w:sz="4" w:space="0" w:color="auto"/>
            </w:tcBorders>
          </w:tcPr>
          <w:p w14:paraId="328BF06A" w14:textId="76EF17DF" w:rsidR="00742247" w:rsidRDefault="00742247" w:rsidP="00CD59B7">
            <w:pPr>
              <w:pStyle w:val="Tabletext1"/>
            </w:pPr>
            <w:r>
              <w:t xml:space="preserve">Sullivan </w:t>
            </w:r>
            <w:r w:rsidR="003A23AF">
              <w:t>et al. (</w:t>
            </w:r>
            <w:r>
              <w:t>2007</w:t>
            </w:r>
            <w:r w:rsidR="003A23AF">
              <w:t>)</w:t>
            </w:r>
          </w:p>
        </w:tc>
      </w:tr>
      <w:tr w:rsidR="00742247" w14:paraId="1AB91717" w14:textId="77777777" w:rsidTr="00AE3374">
        <w:trPr>
          <w:trHeight w:val="397"/>
        </w:trPr>
        <w:tc>
          <w:tcPr>
            <w:tcW w:w="4102" w:type="dxa"/>
            <w:tcBorders>
              <w:top w:val="single" w:sz="4" w:space="0" w:color="auto"/>
              <w:bottom w:val="nil"/>
            </w:tcBorders>
          </w:tcPr>
          <w:p w14:paraId="46BE984F" w14:textId="29FF3E9A" w:rsidR="00742247" w:rsidRPr="00EE288D" w:rsidRDefault="000C04A2" w:rsidP="00CD59B7">
            <w:pPr>
              <w:pStyle w:val="Tabletext1"/>
            </w:pPr>
            <w:r>
              <w:t>D</w:t>
            </w:r>
            <w:r w:rsidR="00742247">
              <w:t>isutility of biopsy (one-off)</w:t>
            </w:r>
          </w:p>
        </w:tc>
        <w:tc>
          <w:tcPr>
            <w:tcW w:w="2796" w:type="dxa"/>
            <w:tcBorders>
              <w:top w:val="single" w:sz="4" w:space="0" w:color="auto"/>
              <w:bottom w:val="nil"/>
            </w:tcBorders>
          </w:tcPr>
          <w:p w14:paraId="18E5E2EC" w14:textId="77777777" w:rsidR="00742247" w:rsidRPr="00EE288D" w:rsidRDefault="00742247" w:rsidP="00CD59B7">
            <w:pPr>
              <w:pStyle w:val="Tabletext1"/>
            </w:pPr>
            <w:r>
              <w:t>0.035</w:t>
            </w:r>
          </w:p>
        </w:tc>
        <w:tc>
          <w:tcPr>
            <w:tcW w:w="709" w:type="dxa"/>
            <w:tcBorders>
              <w:top w:val="single" w:sz="4" w:space="0" w:color="auto"/>
              <w:bottom w:val="nil"/>
            </w:tcBorders>
          </w:tcPr>
          <w:p w14:paraId="463F3181" w14:textId="77777777" w:rsidR="00742247" w:rsidRDefault="00742247" w:rsidP="00CD59B7">
            <w:pPr>
              <w:pStyle w:val="Tabletext1"/>
            </w:pPr>
            <w:r>
              <w:t>NA</w:t>
            </w:r>
          </w:p>
        </w:tc>
        <w:tc>
          <w:tcPr>
            <w:tcW w:w="1635" w:type="dxa"/>
            <w:tcBorders>
              <w:top w:val="single" w:sz="4" w:space="0" w:color="auto"/>
              <w:bottom w:val="nil"/>
            </w:tcBorders>
          </w:tcPr>
          <w:p w14:paraId="015AFD6E" w14:textId="183651DC" w:rsidR="00742247" w:rsidRPr="00EE5620" w:rsidRDefault="00742247" w:rsidP="00CD59B7">
            <w:pPr>
              <w:pStyle w:val="Tabletext1"/>
              <w:rPr>
                <w:i/>
              </w:rPr>
            </w:pPr>
            <w:r>
              <w:t xml:space="preserve">Assumption informed by Zhang </w:t>
            </w:r>
            <w:r w:rsidR="003A23AF">
              <w:t>et al. (</w:t>
            </w:r>
            <w:r>
              <w:t>2012</w:t>
            </w:r>
            <w:r w:rsidR="003A23AF">
              <w:t>)</w:t>
            </w:r>
          </w:p>
        </w:tc>
      </w:tr>
      <w:tr w:rsidR="00742247" w14:paraId="6EFE6C72" w14:textId="77777777" w:rsidTr="00AE3374">
        <w:trPr>
          <w:trHeight w:val="397"/>
        </w:trPr>
        <w:tc>
          <w:tcPr>
            <w:tcW w:w="4102" w:type="dxa"/>
            <w:tcBorders>
              <w:top w:val="single" w:sz="4" w:space="0" w:color="auto"/>
              <w:bottom w:val="nil"/>
            </w:tcBorders>
          </w:tcPr>
          <w:p w14:paraId="49B794B0" w14:textId="763DD297" w:rsidR="00742247" w:rsidRPr="00991209" w:rsidRDefault="000C04A2" w:rsidP="00CD59B7">
            <w:pPr>
              <w:pStyle w:val="Tabletext1"/>
            </w:pPr>
            <w:r>
              <w:t>D</w:t>
            </w:r>
            <w:r w:rsidR="00742247">
              <w:t>isutility due to AEs</w:t>
            </w:r>
          </w:p>
        </w:tc>
        <w:tc>
          <w:tcPr>
            <w:tcW w:w="2796" w:type="dxa"/>
            <w:tcBorders>
              <w:top w:val="single" w:sz="4" w:space="0" w:color="auto"/>
              <w:bottom w:val="nil"/>
            </w:tcBorders>
          </w:tcPr>
          <w:p w14:paraId="22D00648" w14:textId="77777777" w:rsidR="00742247" w:rsidRDefault="00742247" w:rsidP="00CD59B7">
            <w:pPr>
              <w:pStyle w:val="Tabletext1"/>
            </w:pPr>
          </w:p>
        </w:tc>
        <w:tc>
          <w:tcPr>
            <w:tcW w:w="709" w:type="dxa"/>
            <w:tcBorders>
              <w:top w:val="single" w:sz="4" w:space="0" w:color="auto"/>
              <w:bottom w:val="nil"/>
            </w:tcBorders>
          </w:tcPr>
          <w:p w14:paraId="218DCE53" w14:textId="77777777" w:rsidR="00742247" w:rsidRDefault="00742247" w:rsidP="00CD59B7">
            <w:pPr>
              <w:pStyle w:val="Tabletext1"/>
            </w:pPr>
          </w:p>
        </w:tc>
        <w:tc>
          <w:tcPr>
            <w:tcW w:w="1635" w:type="dxa"/>
            <w:tcBorders>
              <w:top w:val="single" w:sz="4" w:space="0" w:color="auto"/>
              <w:bottom w:val="nil"/>
            </w:tcBorders>
          </w:tcPr>
          <w:p w14:paraId="58311BA5" w14:textId="77777777" w:rsidR="00742247" w:rsidRPr="00991209" w:rsidRDefault="00742247" w:rsidP="00CD59B7">
            <w:pPr>
              <w:pStyle w:val="Tabletext1"/>
            </w:pPr>
            <w:r>
              <w:t>Assumptions informed by:</w:t>
            </w:r>
          </w:p>
        </w:tc>
      </w:tr>
      <w:tr w:rsidR="00742247" w14:paraId="5A2C4F4B" w14:textId="77777777" w:rsidTr="00AE3374">
        <w:trPr>
          <w:trHeight w:val="397"/>
        </w:trPr>
        <w:tc>
          <w:tcPr>
            <w:tcW w:w="4102" w:type="dxa"/>
            <w:tcBorders>
              <w:top w:val="nil"/>
              <w:bottom w:val="nil"/>
            </w:tcBorders>
          </w:tcPr>
          <w:p w14:paraId="319333A5" w14:textId="65A35C6C" w:rsidR="00742247" w:rsidRPr="00827595" w:rsidRDefault="000C04A2" w:rsidP="00CD59B7">
            <w:pPr>
              <w:pStyle w:val="Tabletext1"/>
              <w:rPr>
                <w:vertAlign w:val="superscript"/>
              </w:rPr>
            </w:pPr>
            <w:r>
              <w:t>A</w:t>
            </w:r>
            <w:r w:rsidR="00742247">
              <w:t>cute sepsis</w:t>
            </w:r>
            <w:r w:rsidR="00742247">
              <w:rPr>
                <w:vertAlign w:val="superscript"/>
              </w:rPr>
              <w:t>a</w:t>
            </w:r>
          </w:p>
        </w:tc>
        <w:tc>
          <w:tcPr>
            <w:tcW w:w="2796" w:type="dxa"/>
            <w:tcBorders>
              <w:top w:val="nil"/>
              <w:bottom w:val="nil"/>
            </w:tcBorders>
          </w:tcPr>
          <w:p w14:paraId="77311FDF" w14:textId="77777777" w:rsidR="00742247" w:rsidRDefault="00742247" w:rsidP="00CD59B7">
            <w:pPr>
              <w:pStyle w:val="Tabletext1"/>
            </w:pPr>
            <w:r>
              <w:t>-</w:t>
            </w:r>
            <w:r w:rsidRPr="00C311A7">
              <w:t>0.</w:t>
            </w:r>
            <w:r>
              <w:t>43 (assumed duration 1 month)</w:t>
            </w:r>
          </w:p>
        </w:tc>
        <w:tc>
          <w:tcPr>
            <w:tcW w:w="709" w:type="dxa"/>
            <w:tcBorders>
              <w:top w:val="nil"/>
              <w:bottom w:val="nil"/>
            </w:tcBorders>
          </w:tcPr>
          <w:p w14:paraId="32A0B389" w14:textId="77777777" w:rsidR="00742247" w:rsidRDefault="00742247" w:rsidP="00CD59B7">
            <w:pPr>
              <w:pStyle w:val="Tabletext1"/>
            </w:pPr>
            <w:r>
              <w:t>NA</w:t>
            </w:r>
          </w:p>
        </w:tc>
        <w:tc>
          <w:tcPr>
            <w:tcW w:w="1635" w:type="dxa"/>
            <w:tcBorders>
              <w:top w:val="nil"/>
              <w:bottom w:val="nil"/>
            </w:tcBorders>
          </w:tcPr>
          <w:p w14:paraId="5A145C78" w14:textId="53344A54" w:rsidR="00742247" w:rsidRDefault="00742247" w:rsidP="00CD59B7">
            <w:pPr>
              <w:pStyle w:val="Tabletext1"/>
            </w:pPr>
            <w:r>
              <w:t xml:space="preserve">Stevenson </w:t>
            </w:r>
            <w:r w:rsidR="003A23AF">
              <w:t>et al. (2014)</w:t>
            </w:r>
          </w:p>
        </w:tc>
      </w:tr>
      <w:tr w:rsidR="00742247" w14:paraId="52BD4654" w14:textId="77777777" w:rsidTr="00AE3374">
        <w:trPr>
          <w:trHeight w:val="397"/>
        </w:trPr>
        <w:tc>
          <w:tcPr>
            <w:tcW w:w="4102" w:type="dxa"/>
            <w:tcBorders>
              <w:top w:val="nil"/>
              <w:bottom w:val="nil"/>
            </w:tcBorders>
          </w:tcPr>
          <w:p w14:paraId="70EAD911" w14:textId="5559CF70" w:rsidR="00742247" w:rsidRDefault="000C04A2" w:rsidP="00CD59B7">
            <w:pPr>
              <w:pStyle w:val="Tabletext1"/>
            </w:pPr>
            <w:r>
              <w:t>E</w:t>
            </w:r>
            <w:r w:rsidR="00742247">
              <w:t>rectile dysfunction [due to PCa treatment]</w:t>
            </w:r>
          </w:p>
        </w:tc>
        <w:tc>
          <w:tcPr>
            <w:tcW w:w="2796" w:type="dxa"/>
            <w:tcBorders>
              <w:top w:val="nil"/>
              <w:bottom w:val="nil"/>
            </w:tcBorders>
          </w:tcPr>
          <w:p w14:paraId="7C9665CC" w14:textId="77777777" w:rsidR="00742247" w:rsidRDefault="00742247" w:rsidP="00CD59B7">
            <w:pPr>
              <w:pStyle w:val="Tabletext1"/>
            </w:pPr>
            <w:r>
              <w:t>-</w:t>
            </w:r>
            <w:r w:rsidRPr="0004641E">
              <w:t xml:space="preserve">0.10 [0.05; 0.15] </w:t>
            </w:r>
            <w:r>
              <w:br/>
            </w:r>
            <w:r w:rsidRPr="0004641E">
              <w:t>(</w:t>
            </w:r>
            <w:r>
              <w:t>assumed duration 1</w:t>
            </w:r>
            <w:r w:rsidRPr="0004641E">
              <w:t xml:space="preserve"> year)</w:t>
            </w:r>
          </w:p>
        </w:tc>
        <w:tc>
          <w:tcPr>
            <w:tcW w:w="709" w:type="dxa"/>
            <w:tcBorders>
              <w:top w:val="nil"/>
              <w:bottom w:val="nil"/>
            </w:tcBorders>
          </w:tcPr>
          <w:p w14:paraId="30CC3048" w14:textId="77777777" w:rsidR="00742247" w:rsidRDefault="00742247" w:rsidP="00CD59B7">
            <w:pPr>
              <w:pStyle w:val="Tabletext1"/>
            </w:pPr>
            <w:r>
              <w:t>NA</w:t>
            </w:r>
          </w:p>
        </w:tc>
        <w:tc>
          <w:tcPr>
            <w:tcW w:w="1635" w:type="dxa"/>
            <w:tcBorders>
              <w:top w:val="nil"/>
              <w:bottom w:val="nil"/>
            </w:tcBorders>
          </w:tcPr>
          <w:p w14:paraId="246506A9" w14:textId="5F854F0B" w:rsidR="00742247" w:rsidRDefault="00742247" w:rsidP="00CD59B7">
            <w:pPr>
              <w:pStyle w:val="Tabletext1"/>
            </w:pPr>
            <w:r w:rsidRPr="00FA1C5B">
              <w:t xml:space="preserve">Cooperberg </w:t>
            </w:r>
            <w:r w:rsidR="003A23AF">
              <w:t>et al. (</w:t>
            </w:r>
            <w:r w:rsidRPr="00FA1C5B">
              <w:t>2013</w:t>
            </w:r>
            <w:r w:rsidR="003A23AF">
              <w:t>)</w:t>
            </w:r>
          </w:p>
        </w:tc>
      </w:tr>
      <w:tr w:rsidR="00742247" w14:paraId="5CFE90A7" w14:textId="77777777" w:rsidTr="00AE3374">
        <w:trPr>
          <w:trHeight w:val="397"/>
        </w:trPr>
        <w:tc>
          <w:tcPr>
            <w:tcW w:w="4102" w:type="dxa"/>
            <w:tcBorders>
              <w:top w:val="nil"/>
              <w:bottom w:val="single" w:sz="4" w:space="0" w:color="auto"/>
            </w:tcBorders>
          </w:tcPr>
          <w:p w14:paraId="423FE28D" w14:textId="1D7E0B43" w:rsidR="00742247" w:rsidRDefault="000C04A2" w:rsidP="00CD59B7">
            <w:pPr>
              <w:pStyle w:val="Tabletext1"/>
            </w:pPr>
            <w:r>
              <w:t>U</w:t>
            </w:r>
            <w:r w:rsidR="00742247">
              <w:t>rinary incontinence [due to PCa treatment]</w:t>
            </w:r>
          </w:p>
        </w:tc>
        <w:tc>
          <w:tcPr>
            <w:tcW w:w="2796" w:type="dxa"/>
            <w:tcBorders>
              <w:top w:val="nil"/>
              <w:bottom w:val="single" w:sz="4" w:space="0" w:color="auto"/>
            </w:tcBorders>
          </w:tcPr>
          <w:p w14:paraId="27E3137D" w14:textId="77777777" w:rsidR="00742247" w:rsidRDefault="00742247" w:rsidP="00CD59B7">
            <w:pPr>
              <w:pStyle w:val="Tabletext1"/>
            </w:pPr>
            <w:r>
              <w:t>-</w:t>
            </w:r>
            <w:r w:rsidRPr="0004641E">
              <w:t xml:space="preserve">0.20 [0.1; 0.3] </w:t>
            </w:r>
            <w:r>
              <w:br/>
              <w:t>(assumed duration 1</w:t>
            </w:r>
            <w:r w:rsidRPr="0004641E">
              <w:t xml:space="preserve"> year)</w:t>
            </w:r>
          </w:p>
        </w:tc>
        <w:tc>
          <w:tcPr>
            <w:tcW w:w="709" w:type="dxa"/>
            <w:tcBorders>
              <w:top w:val="nil"/>
              <w:bottom w:val="single" w:sz="4" w:space="0" w:color="auto"/>
            </w:tcBorders>
          </w:tcPr>
          <w:p w14:paraId="4D6F7B33" w14:textId="77777777" w:rsidR="00742247" w:rsidRDefault="00742247" w:rsidP="00CD59B7">
            <w:pPr>
              <w:pStyle w:val="Tabletext1"/>
            </w:pPr>
            <w:r>
              <w:t>NA</w:t>
            </w:r>
          </w:p>
        </w:tc>
        <w:tc>
          <w:tcPr>
            <w:tcW w:w="1635" w:type="dxa"/>
            <w:tcBorders>
              <w:top w:val="nil"/>
              <w:bottom w:val="single" w:sz="4" w:space="0" w:color="auto"/>
            </w:tcBorders>
          </w:tcPr>
          <w:p w14:paraId="48D636BB" w14:textId="39D946FE" w:rsidR="00742247" w:rsidRDefault="00742247" w:rsidP="00CD59B7">
            <w:pPr>
              <w:pStyle w:val="Tabletext1"/>
            </w:pPr>
            <w:r w:rsidRPr="00FA1C5B">
              <w:t xml:space="preserve">Cooperberg </w:t>
            </w:r>
            <w:r w:rsidR="003A23AF">
              <w:t>et al. (</w:t>
            </w:r>
            <w:r w:rsidRPr="00FA1C5B">
              <w:t>2013</w:t>
            </w:r>
            <w:r w:rsidR="003A23AF">
              <w:t>)</w:t>
            </w:r>
          </w:p>
        </w:tc>
      </w:tr>
    </w:tbl>
    <w:p w14:paraId="6A86C746" w14:textId="02A958D1" w:rsidR="00413B4A" w:rsidRPr="00827595" w:rsidRDefault="00413B4A" w:rsidP="00413B4A">
      <w:pPr>
        <w:pStyle w:val="TableNotes"/>
      </w:pPr>
      <w:r w:rsidRPr="00413B4A">
        <w:rPr>
          <w:vertAlign w:val="superscript"/>
        </w:rPr>
        <w:t>a</w:t>
      </w:r>
      <w:r>
        <w:t>:</w:t>
      </w:r>
      <w:r w:rsidRPr="00894AD7">
        <w:t xml:space="preserve"> </w:t>
      </w:r>
      <w:r>
        <w:t>Stevenson et al. (</w:t>
      </w:r>
      <w:r w:rsidR="000C04A2">
        <w:t>2014</w:t>
      </w:r>
      <w:r>
        <w:t>) reported the utility associated with sepsis to be 0.47, with a utility of 1 for the healthy population. Therefore, the disutility of having acute sepsis is 0.53. This was multiplied by 0.82 (general population utility) to adjust for scale.</w:t>
      </w:r>
    </w:p>
    <w:p w14:paraId="2D004603" w14:textId="171F0536" w:rsidR="00742247" w:rsidRPr="00894AD7" w:rsidRDefault="00742247" w:rsidP="00413B4A">
      <w:pPr>
        <w:pStyle w:val="TableNotes"/>
      </w:pPr>
      <w:r w:rsidRPr="00894AD7">
        <w:t>AE</w:t>
      </w:r>
      <w:r w:rsidR="00413B4A">
        <w:t xml:space="preserve"> = </w:t>
      </w:r>
      <w:r w:rsidRPr="00894AD7">
        <w:t>adverse event</w:t>
      </w:r>
      <w:r w:rsidR="00413B4A">
        <w:t>,</w:t>
      </w:r>
      <w:r w:rsidRPr="00894AD7">
        <w:t xml:space="preserve"> AS</w:t>
      </w:r>
      <w:r w:rsidR="00413B4A">
        <w:t xml:space="preserve"> = </w:t>
      </w:r>
      <w:r w:rsidRPr="00894AD7">
        <w:t>active surveillance</w:t>
      </w:r>
      <w:r w:rsidR="00413B4A">
        <w:t>,</w:t>
      </w:r>
      <w:r w:rsidRPr="00894AD7">
        <w:t xml:space="preserve"> MCRPCa</w:t>
      </w:r>
      <w:r w:rsidR="00413B4A">
        <w:t xml:space="preserve"> = </w:t>
      </w:r>
      <w:r w:rsidRPr="00894AD7">
        <w:t>metastatic castrate-resistant prostate cancer</w:t>
      </w:r>
      <w:r w:rsidR="007244E6">
        <w:t>,</w:t>
      </w:r>
      <w:r w:rsidRPr="00894AD7">
        <w:t xml:space="preserve"> NA</w:t>
      </w:r>
      <w:r w:rsidR="007244E6">
        <w:t xml:space="preserve"> =</w:t>
      </w:r>
      <w:r w:rsidRPr="00894AD7">
        <w:t xml:space="preserve"> not applicable</w:t>
      </w:r>
      <w:r w:rsidR="007244E6">
        <w:t>,</w:t>
      </w:r>
      <w:r w:rsidRPr="00894AD7">
        <w:t xml:space="preserve"> NR</w:t>
      </w:r>
      <w:r w:rsidR="007244E6">
        <w:t xml:space="preserve"> =</w:t>
      </w:r>
      <w:r w:rsidRPr="00894AD7">
        <w:t xml:space="preserve"> not reported</w:t>
      </w:r>
      <w:r w:rsidR="007244E6">
        <w:t>,</w:t>
      </w:r>
      <w:r w:rsidRPr="00894AD7">
        <w:t xml:space="preserve"> PCa</w:t>
      </w:r>
      <w:r w:rsidR="007244E6">
        <w:t xml:space="preserve"> =</w:t>
      </w:r>
      <w:r w:rsidRPr="00894AD7">
        <w:t xml:space="preserve"> prostate cancer</w:t>
      </w:r>
      <w:r w:rsidR="007244E6">
        <w:t>,</w:t>
      </w:r>
      <w:r w:rsidRPr="00894AD7">
        <w:t xml:space="preserve"> TURP</w:t>
      </w:r>
      <w:r w:rsidR="007244E6">
        <w:t xml:space="preserve"> =</w:t>
      </w:r>
      <w:r w:rsidRPr="00894AD7">
        <w:t xml:space="preserve"> transurethral resection of the prostate.</w:t>
      </w:r>
      <w:r>
        <w:t xml:space="preserve"> </w:t>
      </w:r>
    </w:p>
    <w:p w14:paraId="22C7A856" w14:textId="77777777" w:rsidR="00742247" w:rsidRDefault="00742247" w:rsidP="00742247">
      <w:pPr>
        <w:pStyle w:val="Heading2"/>
        <w:numPr>
          <w:ilvl w:val="2"/>
          <w:numId w:val="19"/>
        </w:numPr>
        <w:jc w:val="left"/>
      </w:pPr>
      <w:bookmarkStart w:id="465" w:name="_Toc395200791"/>
      <w:bookmarkStart w:id="466" w:name="_Toc457383609"/>
      <w:bookmarkStart w:id="467" w:name="_Toc459987857"/>
      <w:bookmarkStart w:id="468" w:name="_Toc460513977"/>
      <w:r>
        <w:t>Any other translation issues</w:t>
      </w:r>
      <w:bookmarkEnd w:id="465"/>
      <w:bookmarkEnd w:id="466"/>
      <w:bookmarkEnd w:id="467"/>
      <w:bookmarkEnd w:id="468"/>
    </w:p>
    <w:p w14:paraId="6091A9BB" w14:textId="2E46667F" w:rsidR="00742247" w:rsidRDefault="00742247" w:rsidP="00742247">
      <w:r>
        <w:t>S</w:t>
      </w:r>
      <w:r w:rsidR="004B0315">
        <w:t>ubs</w:t>
      </w:r>
      <w:r>
        <w:t xml:space="preserve">ection </w:t>
      </w:r>
      <w:r w:rsidRPr="00544E0E">
        <w:t>B.7</w:t>
      </w:r>
      <w:r>
        <w:t xml:space="preserve"> discusses the adverse events associated with mpMRI and the various biopsy procedures. The mpMRI was not associated with any adverse events that were expected to substantially impact costs or benefits within the economic evaluation. Adverse reactions to the contrast agent have been documented but are rare when appropriate measures are taken (i.e. no gadolinium contrast for patients with renal failure)</w:t>
      </w:r>
      <w:r w:rsidRPr="00544E0E">
        <w:t xml:space="preserve"> </w:t>
      </w:r>
      <w:r>
        <w:t xml:space="preserve">(see </w:t>
      </w:r>
      <w:r w:rsidR="004B0315">
        <w:t>Sub</w:t>
      </w:r>
      <w:r>
        <w:t>section B.7). Therefore, the economic evaluation did not include costs or disutilities for mpMRI associated adverse events.</w:t>
      </w:r>
    </w:p>
    <w:p w14:paraId="4F295781" w14:textId="339A0E79" w:rsidR="00742247" w:rsidRPr="00DA686A" w:rsidRDefault="00742247" w:rsidP="00742247">
      <w:r>
        <w:t>Biopsy-related adverse events are more common. Sepsis was considered to be a serious event with an associated cost and disutility. In the economic evaluation, the incidence of sepsis was assumed to be 1.2</w:t>
      </w:r>
      <w:r w:rsidR="004B0315">
        <w:t xml:space="preserve"> per cent</w:t>
      </w:r>
      <w:r>
        <w:t xml:space="preserve"> for all biopsy measures</w:t>
      </w:r>
      <w:r w:rsidR="00CE6489">
        <w:t xml:space="preserve"> </w:t>
      </w:r>
      <w:r w:rsidR="008E0B00">
        <w:fldChar w:fldCharType="begin"/>
      </w:r>
      <w:r w:rsidR="008E0B00">
        <w:instrText xml:space="preserve"> ADDIN EN.CITE &lt;EndNote&gt;&lt;Cite&gt;&lt;Author&gt;Leahy&lt;/Author&gt;&lt;Year&gt;2015&lt;/Year&gt;&lt;RecNum&gt;5&lt;/RecNum&gt;&lt;DisplayText&gt;(Leahy et al. 2015)&lt;/DisplayText&gt;&lt;record&gt;&lt;rec-number&gt;5&lt;/rec-number&gt;&lt;foreign-keys&gt;&lt;key app="EN" db-id="2p9terxr22fx91epzebpfdwuzrwtw2a2ep2t" timestamp="1472684600"&gt;5&lt;/key&gt;&lt;/foreign-keys&gt;&lt;ref-type name="Journal Article"&gt;17&lt;/ref-type&gt;&lt;contributors&gt;&lt;authors&gt;&lt;author&gt;Leahy, Olivia R&lt;/author&gt;&lt;author&gt;O&amp;apos;Reilly, Mary&lt;/author&gt;&lt;author&gt;Dyer, David R&lt;/author&gt;&lt;author&gt;Phillips, David&lt;/author&gt;&lt;author&gt;Grummet, Jeremy P&lt;/author&gt;&lt;/authors&gt;&lt;/contributors&gt;&lt;titles&gt;&lt;title&gt;Transrectal ultrasound‐guided biopsy sepsis and the rise in carbapenem antibiotic use&lt;/title&gt;&lt;secondary-title&gt;ANZ J Surg&lt;/secondary-title&gt;&lt;/titles&gt;&lt;periodical&gt;&lt;full-title&gt;ANZ J Surg&lt;/full-title&gt;&lt;/periodical&gt;&lt;pages&gt;931-935&lt;/pages&gt;&lt;volume&gt;85&lt;/volume&gt;&lt;number&gt;12&lt;/number&gt;&lt;dates&gt;&lt;year&gt;2015&lt;/year&gt;&lt;/dates&gt;&lt;isbn&gt;1445-2197&lt;/isbn&gt;&lt;urls&gt;&lt;/urls&gt;&lt;/record&gt;&lt;/Cite&gt;&lt;/EndNote&gt;</w:instrText>
      </w:r>
      <w:r w:rsidR="008E0B00">
        <w:fldChar w:fldCharType="separate"/>
      </w:r>
      <w:r w:rsidR="008E0B00">
        <w:rPr>
          <w:noProof/>
        </w:rPr>
        <w:t>(</w:t>
      </w:r>
      <w:hyperlink w:anchor="_ENREF_82" w:tooltip="Leahy, 2015 #5" w:history="1">
        <w:r w:rsidR="008E0B00">
          <w:rPr>
            <w:noProof/>
          </w:rPr>
          <w:t>Leahy et al. 2015</w:t>
        </w:r>
      </w:hyperlink>
      <w:r w:rsidR="008E0B00">
        <w:rPr>
          <w:noProof/>
        </w:rPr>
        <w:t>)</w:t>
      </w:r>
      <w:r w:rsidR="008E0B00">
        <w:fldChar w:fldCharType="end"/>
      </w:r>
      <w:r>
        <w:t xml:space="preserve">. Although this estimate is for TRUSGB, it was assumed this </w:t>
      </w:r>
      <w:r w:rsidRPr="00670699">
        <w:t>probability of sepsis applies</w:t>
      </w:r>
      <w:r>
        <w:t xml:space="preserve"> for all biopsy measures, consistent with the assumption made in the evaluation of </w:t>
      </w:r>
      <w:r w:rsidR="000C04A2">
        <w:t>MRIGB</w:t>
      </w:r>
      <w:r>
        <w:t xml:space="preserve"> procedures for diagnosis of prostate cancer (CA 1424)</w:t>
      </w:r>
      <w:r w:rsidRPr="00DA686A">
        <w:t xml:space="preserve">. </w:t>
      </w:r>
    </w:p>
    <w:p w14:paraId="000ED146" w14:textId="6A63E024" w:rsidR="00742247" w:rsidRPr="005C7403" w:rsidRDefault="00742247" w:rsidP="00742247">
      <w:r w:rsidRPr="00B316BB">
        <w:t xml:space="preserve">In addition to biopsy-associated </w:t>
      </w:r>
      <w:r>
        <w:t>sepsis</w:t>
      </w:r>
      <w:r w:rsidRPr="00B316BB">
        <w:t xml:space="preserve">, the economic evaluation took into account common adverse events associated with prostate cancer treatments. Consistent with </w:t>
      </w:r>
      <w:r w:rsidRPr="00DA686A">
        <w:t xml:space="preserve">the evaluation of </w:t>
      </w:r>
      <w:r w:rsidR="000C04A2">
        <w:t xml:space="preserve">MRIGB </w:t>
      </w:r>
      <w:r w:rsidRPr="00DA686A">
        <w:t>procedures for diagnosis of prostate cancer</w:t>
      </w:r>
      <w:r>
        <w:t xml:space="preserve">, these adverse events were assumed to be erectile </w:t>
      </w:r>
      <w:r>
        <w:lastRenderedPageBreak/>
        <w:t>dysfunction and urinary incontinence with disutilities of 0.1 and 0.2</w:t>
      </w:r>
      <w:r w:rsidR="0028492C">
        <w:t xml:space="preserve"> per cent respectively</w:t>
      </w:r>
      <w:r>
        <w:t xml:space="preserve"> </w:t>
      </w:r>
      <w:r w:rsidR="008E0B00">
        <w:fldChar w:fldCharType="begin"/>
      </w:r>
      <w:r w:rsidR="008E0B00">
        <w:instrText xml:space="preserve"> ADDIN EN.CITE &lt;EndNote&gt;&lt;Cite&gt;&lt;Author&gt;Cooperberg&lt;/Author&gt;&lt;Year&gt;2013&lt;/Year&gt;&lt;RecNum&gt;6&lt;/RecNum&gt;&lt;DisplayText&gt;(Cooperberg et al. 2013)&lt;/DisplayText&gt;&lt;record&gt;&lt;rec-number&gt;6&lt;/rec-number&gt;&lt;foreign-keys&gt;&lt;key app="EN" db-id="2p9terxr22fx91epzebpfdwuzrwtw2a2ep2t" timestamp="1472684600"&gt;6&lt;/key&gt;&lt;/foreign-keys&gt;&lt;ref-type name="Journal Article"&gt;17&lt;/ref-type&gt;&lt;contributors&gt;&lt;authors&gt;&lt;author&gt;Cooperberg, Matthew R&lt;/author&gt;&lt;author&gt;Ramakrishna, Naren R&lt;/author&gt;&lt;author&gt;Duff, Steven B&lt;/author&gt;&lt;author&gt;Hughes, Kathleen E&lt;/author&gt;&lt;author&gt;Sadownik, Sara&lt;/author&gt;&lt;author&gt;Smith, Joseph A&lt;/author&gt;&lt;author&gt;Tewari, Ashutosh K&lt;/author&gt;&lt;/authors&gt;&lt;/contributors&gt;&lt;titles&gt;&lt;title&gt;Primary treatments for clinically localised prostate cancer: a comprehensive lifetime cost‐utility analysis&lt;/title&gt;&lt;secondary-title&gt;BJU Int&lt;/secondary-title&gt;&lt;/titles&gt;&lt;periodical&gt;&lt;full-title&gt;BJU Int&lt;/full-title&gt;&lt;/periodical&gt;&lt;pages&gt;437-450&lt;/pages&gt;&lt;volume&gt;111&lt;/volume&gt;&lt;number&gt;3&lt;/number&gt;&lt;dates&gt;&lt;year&gt;2013&lt;/year&gt;&lt;/dates&gt;&lt;isbn&gt;1464-410X&lt;/isbn&gt;&lt;urls&gt;&lt;/urls&gt;&lt;/record&gt;&lt;/Cite&gt;&lt;/EndNote&gt;</w:instrText>
      </w:r>
      <w:r w:rsidR="008E0B00">
        <w:fldChar w:fldCharType="separate"/>
      </w:r>
      <w:r w:rsidR="008E0B00">
        <w:rPr>
          <w:noProof/>
        </w:rPr>
        <w:t>(</w:t>
      </w:r>
      <w:hyperlink w:anchor="_ENREF_30" w:tooltip="Cooperberg, 2013 #6" w:history="1">
        <w:r w:rsidR="008E0B00">
          <w:rPr>
            <w:noProof/>
          </w:rPr>
          <w:t>Cooperberg et al. 2013</w:t>
        </w:r>
      </w:hyperlink>
      <w:r w:rsidR="008E0B00">
        <w:rPr>
          <w:noProof/>
        </w:rPr>
        <w:t>)</w:t>
      </w:r>
      <w:r w:rsidR="008E0B00">
        <w:fldChar w:fldCharType="end"/>
      </w:r>
      <w:r>
        <w:t>.</w:t>
      </w:r>
      <w:r w:rsidRPr="00A75679">
        <w:t xml:space="preserve"> For the probabilities of these treatment-related complications, </w:t>
      </w:r>
      <w:r>
        <w:t xml:space="preserve">an </w:t>
      </w:r>
      <w:r w:rsidRPr="00A75679">
        <w:t>Australian quality of life study from the New South Wales Cancer Registry paper</w:t>
      </w:r>
      <w:r w:rsidR="0038502F">
        <w:t xml:space="preserve"> </w:t>
      </w:r>
      <w:r w:rsidR="008E0B00">
        <w:fldChar w:fldCharType="begin">
          <w:fldData xml:space="preserve">PEVuZE5vdGU+PENpdGU+PEF1dGhvcj5TbWl0aDwvQXV0aG9yPjxZZWFyPjIwMDk8L1llYXI+PFJl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</w:fldData>
        </w:fldChar>
      </w:r>
      <w:r w:rsidR="008E0B00">
        <w:instrText xml:space="preserve"> ADDIN EN.CITE </w:instrText>
      </w:r>
      <w:r w:rsidR="008E0B00">
        <w:fldChar w:fldCharType="begin">
          <w:fldData xml:space="preserve">PEVuZE5vdGU+PENpdGU+PEF1dGhvcj5TbWl0aDwvQXV0aG9yPjxZZWFyPjIwMDk8L1llYXI+PFJl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151" w:tooltip="Smith, 2009 #8" w:history="1">
        <w:r w:rsidR="008E0B00">
          <w:rPr>
            <w:noProof/>
          </w:rPr>
          <w:t>Smith et al. 2009</w:t>
        </w:r>
      </w:hyperlink>
      <w:r w:rsidR="008E0B00">
        <w:rPr>
          <w:noProof/>
        </w:rPr>
        <w:t>)</w:t>
      </w:r>
      <w:r w:rsidR="008E0B00">
        <w:fldChar w:fldCharType="end"/>
      </w:r>
      <w:r>
        <w:t xml:space="preserve"> was used</w:t>
      </w:r>
      <w:r w:rsidRPr="00A75679">
        <w:t>.</w:t>
      </w:r>
      <w:r>
        <w:t xml:space="preserve"> The probability of erectile dysfunction was 50</w:t>
      </w:r>
      <w:r w:rsidR="004B0315">
        <w:t xml:space="preserve"> per cent</w:t>
      </w:r>
      <w:r>
        <w:t xml:space="preserve"> for radical prostatectomy and 33</w:t>
      </w:r>
      <w:r w:rsidR="004B0315">
        <w:t xml:space="preserve"> per cent</w:t>
      </w:r>
      <w:r>
        <w:t xml:space="preserve"> for external beam radiotherap</w:t>
      </w:r>
      <w:r w:rsidR="00417ABE">
        <w:t>y, with a weighted (50/50, see Subs</w:t>
      </w:r>
      <w:r>
        <w:t>ection D.4) average of 41.5</w:t>
      </w:r>
      <w:r w:rsidR="004B0315">
        <w:t xml:space="preserve"> per cent</w:t>
      </w:r>
      <w:r>
        <w:t xml:space="preserve"> in the “intermediate to high risk prostate cancer” health state.</w:t>
      </w:r>
      <w:r w:rsidRPr="00A75679">
        <w:t xml:space="preserve"> </w:t>
      </w:r>
      <w:r>
        <w:t>The probability of urinary incontinence was 10</w:t>
      </w:r>
      <w:r w:rsidR="004B0315">
        <w:t xml:space="preserve"> per cent</w:t>
      </w:r>
      <w:r>
        <w:t xml:space="preserve"> for radical prostatectomy and 2.4</w:t>
      </w:r>
      <w:r w:rsidR="004B0315">
        <w:t xml:space="preserve"> per cent</w:t>
      </w:r>
      <w:r>
        <w:t xml:space="preserve"> for external beam radiotherapy, with a weighted (50/50, see </w:t>
      </w:r>
      <w:r w:rsidR="004B0315">
        <w:t>Sub</w:t>
      </w:r>
      <w:r>
        <w:t>section D.4) average of 6.2</w:t>
      </w:r>
      <w:r w:rsidR="004B0315">
        <w:t xml:space="preserve"> per cent</w:t>
      </w:r>
      <w:r>
        <w:t xml:space="preserve"> in the “intermediate to high risk prostate cancer” health state. </w:t>
      </w:r>
    </w:p>
    <w:p w14:paraId="537F2300" w14:textId="77777777" w:rsidR="00742247" w:rsidRDefault="00742247" w:rsidP="00742247">
      <w:pPr>
        <w:pStyle w:val="Heading2"/>
        <w:numPr>
          <w:ilvl w:val="2"/>
          <w:numId w:val="19"/>
        </w:numPr>
        <w:jc w:val="left"/>
      </w:pPr>
      <w:bookmarkStart w:id="469" w:name="_Toc457383610"/>
      <w:bookmarkStart w:id="470" w:name="_Toc459987858"/>
      <w:bookmarkStart w:id="471" w:name="_Toc460513978"/>
      <w:r w:rsidRPr="00F7107A">
        <w:t>Relationship of each Pre-Modelling Study to the Economic Evaluation</w:t>
      </w:r>
      <w:bookmarkEnd w:id="469"/>
      <w:bookmarkEnd w:id="470"/>
      <w:bookmarkEnd w:id="471"/>
    </w:p>
    <w:p w14:paraId="4F6E9629" w14:textId="77777777" w:rsidR="00742247" w:rsidRDefault="00742247" w:rsidP="00742247">
      <w:r>
        <w:t xml:space="preserve">A summary of each of the translational issues discussed in Section C and their use in Section D is provided in </w:t>
      </w:r>
      <w:r>
        <w:fldChar w:fldCharType="begin"/>
      </w:r>
      <w:r>
        <w:instrText xml:space="preserve"> REF _Ref421019304 \h </w:instrText>
      </w:r>
      <w:r>
        <w:fldChar w:fldCharType="separate"/>
      </w:r>
      <w:r w:rsidR="0029649D" w:rsidRPr="00F7107A">
        <w:t xml:space="preserve">Table </w:t>
      </w:r>
      <w:r w:rsidR="0029649D">
        <w:rPr>
          <w:noProof/>
        </w:rPr>
        <w:t>46</w:t>
      </w:r>
      <w:r>
        <w:fldChar w:fldCharType="end"/>
      </w:r>
      <w:r>
        <w:t xml:space="preserve">. </w:t>
      </w:r>
    </w:p>
    <w:p w14:paraId="60837E3B" w14:textId="77777777" w:rsidR="00742247" w:rsidRPr="00F7107A" w:rsidRDefault="00742247" w:rsidP="00742247">
      <w:pPr>
        <w:pStyle w:val="Caption"/>
      </w:pPr>
      <w:bookmarkStart w:id="472" w:name="_Ref421019304"/>
      <w:bookmarkStart w:id="473" w:name="_Toc399251137"/>
      <w:bookmarkStart w:id="474" w:name="_Toc457383668"/>
      <w:bookmarkStart w:id="475" w:name="_Toc459987906"/>
      <w:bookmarkStart w:id="476" w:name="_Toc460514546"/>
      <w:bookmarkStart w:id="477" w:name="_Toc153967310"/>
      <w:bookmarkStart w:id="478" w:name="_Toc341796370"/>
      <w:r w:rsidRPr="00F7107A">
        <w:t xml:space="preserve">Table </w:t>
      </w:r>
      <w:fldSimple w:instr=" SEQ Table \* ARABIC ">
        <w:r w:rsidR="0029649D">
          <w:rPr>
            <w:noProof/>
          </w:rPr>
          <w:t>46</w:t>
        </w:r>
      </w:fldSimple>
      <w:bookmarkEnd w:id="472"/>
      <w:r w:rsidRPr="00F7107A">
        <w:tab/>
        <w:t>Example of summary of results of pre-modelling studies and their uses in the economic evaluation</w:t>
      </w:r>
      <w:bookmarkEnd w:id="473"/>
      <w:bookmarkEnd w:id="474"/>
      <w:bookmarkEnd w:id="475"/>
      <w:bookmarkEnd w:id="476"/>
    </w:p>
    <w:tbl>
      <w:tblPr>
        <w:tblW w:w="911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Caption w:val="Table 18 Summary of results of pre-modelling studies and their uses in the economic evaluation"/>
        <w:tblDescription w:val="The table summarises how different evidence was used to address the translation issues identified with the clinical evidence base, including by referring to how this addition evidence is used in the economic evaluation."/>
      </w:tblPr>
      <w:tblGrid>
        <w:gridCol w:w="1431"/>
        <w:gridCol w:w="1574"/>
        <w:gridCol w:w="2343"/>
        <w:gridCol w:w="993"/>
        <w:gridCol w:w="1750"/>
        <w:gridCol w:w="1021"/>
      </w:tblGrid>
      <w:tr w:rsidR="00742247" w:rsidRPr="00AE3374" w14:paraId="2F70EF5E" w14:textId="77777777" w:rsidTr="00AE3374">
        <w:trPr>
          <w:cantSplit/>
          <w:trHeight w:val="397"/>
          <w:tblHeader/>
        </w:trPr>
        <w:tc>
          <w:tcPr>
            <w:tcW w:w="1431" w:type="dxa"/>
            <w:tcBorders>
              <w:bottom w:val="single" w:sz="4" w:space="0" w:color="auto"/>
            </w:tcBorders>
            <w:vAlign w:val="bottom"/>
          </w:tcPr>
          <w:p w14:paraId="2F8E8762" w14:textId="77777777" w:rsidR="00742247" w:rsidRPr="00AE3374" w:rsidRDefault="00742247" w:rsidP="00691F46">
            <w:pPr>
              <w:pStyle w:val="Tableheading1"/>
            </w:pPr>
            <w:r w:rsidRPr="00AE3374">
              <w:t>Section</w:t>
            </w:r>
          </w:p>
        </w:tc>
        <w:tc>
          <w:tcPr>
            <w:tcW w:w="1574" w:type="dxa"/>
            <w:tcBorders>
              <w:bottom w:val="single" w:sz="4" w:space="0" w:color="auto"/>
            </w:tcBorders>
            <w:vAlign w:val="bottom"/>
          </w:tcPr>
          <w:p w14:paraId="09EC8E4D" w14:textId="77777777" w:rsidR="00742247" w:rsidRPr="00AE3374" w:rsidRDefault="00742247" w:rsidP="00691F46">
            <w:pPr>
              <w:pStyle w:val="Tableheading1"/>
            </w:pPr>
            <w:r w:rsidRPr="00AE3374">
              <w:t>Pre-modelling study</w:t>
            </w:r>
          </w:p>
        </w:tc>
        <w:tc>
          <w:tcPr>
            <w:tcW w:w="2343" w:type="dxa"/>
            <w:tcBorders>
              <w:bottom w:val="single" w:sz="4" w:space="0" w:color="auto"/>
            </w:tcBorders>
            <w:vAlign w:val="bottom"/>
          </w:tcPr>
          <w:p w14:paraId="531BCF54" w14:textId="77777777" w:rsidR="00742247" w:rsidRPr="00AE3374" w:rsidRDefault="00742247" w:rsidP="00691F46">
            <w:pPr>
              <w:pStyle w:val="Tableheading1"/>
            </w:pPr>
            <w:r w:rsidRPr="00AE3374">
              <w:t>Results used in Section D</w:t>
            </w:r>
          </w:p>
        </w:tc>
        <w:tc>
          <w:tcPr>
            <w:tcW w:w="993" w:type="dxa"/>
            <w:tcBorders>
              <w:bottom w:val="single" w:sz="4" w:space="0" w:color="auto"/>
            </w:tcBorders>
            <w:vAlign w:val="bottom"/>
          </w:tcPr>
          <w:p w14:paraId="6CED9B8F" w14:textId="77777777" w:rsidR="00742247" w:rsidRPr="00AE3374" w:rsidRDefault="00742247" w:rsidP="00691F46">
            <w:pPr>
              <w:pStyle w:val="Tableheading1"/>
            </w:pPr>
            <w:r w:rsidRPr="00AE3374">
              <w:t>Cross-reference</w:t>
            </w:r>
          </w:p>
        </w:tc>
        <w:tc>
          <w:tcPr>
            <w:tcW w:w="1750" w:type="dxa"/>
            <w:tcBorders>
              <w:bottom w:val="single" w:sz="4" w:space="0" w:color="auto"/>
            </w:tcBorders>
            <w:vAlign w:val="bottom"/>
          </w:tcPr>
          <w:p w14:paraId="7275B92D" w14:textId="77777777" w:rsidR="00742247" w:rsidRPr="00AE3374" w:rsidRDefault="00742247" w:rsidP="00691F46">
            <w:pPr>
              <w:pStyle w:val="Tableheading1"/>
            </w:pPr>
            <w:r w:rsidRPr="00AE3374">
              <w:t>Results used in Subsection D.6</w:t>
            </w:r>
          </w:p>
        </w:tc>
        <w:tc>
          <w:tcPr>
            <w:tcW w:w="1021" w:type="dxa"/>
            <w:tcBorders>
              <w:bottom w:val="single" w:sz="4" w:space="0" w:color="auto"/>
            </w:tcBorders>
            <w:vAlign w:val="bottom"/>
          </w:tcPr>
          <w:p w14:paraId="294DF9B2" w14:textId="77777777" w:rsidR="00742247" w:rsidRPr="00AE3374" w:rsidRDefault="00742247" w:rsidP="00691F46">
            <w:pPr>
              <w:pStyle w:val="Tableheading1"/>
            </w:pPr>
            <w:r w:rsidRPr="00AE3374">
              <w:t>Cross-reference</w:t>
            </w:r>
          </w:p>
        </w:tc>
      </w:tr>
      <w:tr w:rsidR="00742247" w:rsidRPr="00F7107A" w14:paraId="60E83FDF" w14:textId="77777777" w:rsidTr="00AE3374">
        <w:trPr>
          <w:cantSplit/>
          <w:trHeight w:val="397"/>
        </w:trPr>
        <w:tc>
          <w:tcPr>
            <w:tcW w:w="9112" w:type="dxa"/>
            <w:gridSpan w:val="6"/>
          </w:tcPr>
          <w:p w14:paraId="1A9BAA7D" w14:textId="77777777" w:rsidR="00742247" w:rsidRPr="00F7107A" w:rsidRDefault="00742247" w:rsidP="00691F46">
            <w:pPr>
              <w:pStyle w:val="Tableheading1"/>
            </w:pPr>
            <w:r w:rsidRPr="006D0C24">
              <w:t xml:space="preserve">Applicability </w:t>
            </w:r>
          </w:p>
        </w:tc>
      </w:tr>
      <w:tr w:rsidR="00742247" w:rsidRPr="00F7107A" w14:paraId="64D155A5" w14:textId="77777777" w:rsidTr="00AE3374">
        <w:trPr>
          <w:cantSplit/>
          <w:trHeight w:val="397"/>
        </w:trPr>
        <w:tc>
          <w:tcPr>
            <w:tcW w:w="1431" w:type="dxa"/>
          </w:tcPr>
          <w:p w14:paraId="48E72C45" w14:textId="410A5521" w:rsidR="00742247" w:rsidRPr="006D0C24" w:rsidRDefault="00742247" w:rsidP="00691F46">
            <w:pPr>
              <w:pStyle w:val="Tabletext1"/>
            </w:pPr>
            <w:r>
              <w:t>S</w:t>
            </w:r>
            <w:r w:rsidR="00D03E5B">
              <w:t>ubs</w:t>
            </w:r>
            <w:r>
              <w:t>ection C.2</w:t>
            </w:r>
          </w:p>
        </w:tc>
        <w:tc>
          <w:tcPr>
            <w:tcW w:w="1574" w:type="dxa"/>
          </w:tcPr>
          <w:p w14:paraId="679A403C" w14:textId="77777777" w:rsidR="00742247" w:rsidRPr="00F7107A" w:rsidRDefault="00742247" w:rsidP="00691F46">
            <w:pPr>
              <w:pStyle w:val="Tabletext1"/>
            </w:pPr>
            <w:r w:rsidRPr="00F7107A">
              <w:t xml:space="preserve">Comparison of patient and intervention characteristics between the key clinical studies and Australian registry data, </w:t>
            </w:r>
            <w:r>
              <w:t>Population 1</w:t>
            </w:r>
          </w:p>
        </w:tc>
        <w:tc>
          <w:tcPr>
            <w:tcW w:w="2343" w:type="dxa"/>
          </w:tcPr>
          <w:p w14:paraId="239F3097" w14:textId="77777777" w:rsidR="00742247" w:rsidRPr="00F7107A" w:rsidRDefault="00742247" w:rsidP="00691F46">
            <w:pPr>
              <w:pStyle w:val="Tabletext1"/>
            </w:pPr>
            <w:r>
              <w:t xml:space="preserve">The economic model is based on the Australian patient population. </w:t>
            </w:r>
          </w:p>
        </w:tc>
        <w:tc>
          <w:tcPr>
            <w:tcW w:w="993" w:type="dxa"/>
          </w:tcPr>
          <w:p w14:paraId="2D17CED3" w14:textId="77777777" w:rsidR="00742247" w:rsidRPr="00F7107A" w:rsidRDefault="00742247" w:rsidP="00691F46">
            <w:pPr>
              <w:pStyle w:val="Tabletext1"/>
            </w:pPr>
            <w:r>
              <w:t>D.2</w:t>
            </w:r>
          </w:p>
        </w:tc>
        <w:tc>
          <w:tcPr>
            <w:tcW w:w="1750" w:type="dxa"/>
          </w:tcPr>
          <w:p w14:paraId="05663073" w14:textId="77777777" w:rsidR="00742247" w:rsidRPr="00F7107A" w:rsidRDefault="00742247" w:rsidP="00691F46">
            <w:pPr>
              <w:pStyle w:val="Tabletext1"/>
            </w:pPr>
            <w:r>
              <w:t>Sensitivity analyses will be performed with the lower and upper values of the 95% CIs for accuracy results. Also, Australia-specific accuracy results will be used (sensitivity 54.3%, specificity 87.2%), obtained from a subsample of three, Australian studies.</w:t>
            </w:r>
          </w:p>
        </w:tc>
        <w:tc>
          <w:tcPr>
            <w:tcW w:w="1021" w:type="dxa"/>
          </w:tcPr>
          <w:p w14:paraId="3C5D5D4E" w14:textId="77777777" w:rsidR="00742247" w:rsidRPr="00F7107A" w:rsidRDefault="00742247" w:rsidP="00691F46">
            <w:pPr>
              <w:pStyle w:val="Tabletext1"/>
            </w:pPr>
            <w:r>
              <w:t>D.6</w:t>
            </w:r>
          </w:p>
        </w:tc>
      </w:tr>
      <w:tr w:rsidR="00742247" w:rsidRPr="00F7107A" w14:paraId="304C2D90" w14:textId="77777777" w:rsidTr="00AE3374">
        <w:trPr>
          <w:cantSplit/>
          <w:trHeight w:val="397"/>
        </w:trPr>
        <w:tc>
          <w:tcPr>
            <w:tcW w:w="1431" w:type="dxa"/>
            <w:tcBorders>
              <w:bottom w:val="single" w:sz="4" w:space="0" w:color="auto"/>
            </w:tcBorders>
          </w:tcPr>
          <w:p w14:paraId="4DCF92C0" w14:textId="79DB45B1" w:rsidR="00742247" w:rsidRPr="006D0C24" w:rsidRDefault="00742247" w:rsidP="00691F46">
            <w:pPr>
              <w:pStyle w:val="Tabletext1"/>
            </w:pPr>
            <w:r>
              <w:t>S</w:t>
            </w:r>
            <w:r w:rsidR="00D03E5B">
              <w:t>ubs</w:t>
            </w:r>
            <w:r>
              <w:t>ection C.2</w:t>
            </w:r>
          </w:p>
        </w:tc>
        <w:tc>
          <w:tcPr>
            <w:tcW w:w="1574" w:type="dxa"/>
            <w:tcBorders>
              <w:bottom w:val="single" w:sz="4" w:space="0" w:color="auto"/>
            </w:tcBorders>
          </w:tcPr>
          <w:p w14:paraId="2F3DBA99" w14:textId="77777777" w:rsidR="00742247" w:rsidRPr="00F7107A" w:rsidRDefault="00742247" w:rsidP="00691F46">
            <w:pPr>
              <w:pStyle w:val="Tabletext1"/>
            </w:pPr>
            <w:r w:rsidRPr="00F7107A">
              <w:t xml:space="preserve">Comparison of patient and intervention characteristics between the key clinical studies and Australian registry data, </w:t>
            </w:r>
            <w:r>
              <w:t>Population 2</w:t>
            </w:r>
          </w:p>
        </w:tc>
        <w:tc>
          <w:tcPr>
            <w:tcW w:w="2343" w:type="dxa"/>
            <w:tcBorders>
              <w:bottom w:val="single" w:sz="4" w:space="0" w:color="auto"/>
            </w:tcBorders>
          </w:tcPr>
          <w:p w14:paraId="6E2C5A2B" w14:textId="77777777" w:rsidR="00742247" w:rsidRPr="00F7107A" w:rsidRDefault="00742247" w:rsidP="00691F46">
            <w:pPr>
              <w:pStyle w:val="Tabletext1"/>
            </w:pPr>
            <w:r>
              <w:t>The economic model is based on the Australian patient population.</w:t>
            </w:r>
          </w:p>
        </w:tc>
        <w:tc>
          <w:tcPr>
            <w:tcW w:w="993" w:type="dxa"/>
            <w:tcBorders>
              <w:bottom w:val="single" w:sz="4" w:space="0" w:color="auto"/>
            </w:tcBorders>
          </w:tcPr>
          <w:p w14:paraId="368C149D" w14:textId="77777777" w:rsidR="00742247" w:rsidRPr="00F7107A" w:rsidRDefault="00742247" w:rsidP="00691F46">
            <w:pPr>
              <w:pStyle w:val="Tabletext1"/>
            </w:pPr>
            <w:r>
              <w:t>D.2</w:t>
            </w:r>
          </w:p>
        </w:tc>
        <w:tc>
          <w:tcPr>
            <w:tcW w:w="1750" w:type="dxa"/>
            <w:tcBorders>
              <w:bottom w:val="single" w:sz="4" w:space="0" w:color="auto"/>
            </w:tcBorders>
          </w:tcPr>
          <w:p w14:paraId="36FFA194" w14:textId="77777777" w:rsidR="00742247" w:rsidRPr="00F7107A" w:rsidRDefault="00742247" w:rsidP="00691F46">
            <w:pPr>
              <w:pStyle w:val="Tabletext1"/>
            </w:pPr>
            <w:r>
              <w:t>Sensitivity analyses will be performed with the lower and upper values of the 95% CIs for accuracy results.</w:t>
            </w:r>
          </w:p>
        </w:tc>
        <w:tc>
          <w:tcPr>
            <w:tcW w:w="1021" w:type="dxa"/>
            <w:tcBorders>
              <w:bottom w:val="single" w:sz="4" w:space="0" w:color="auto"/>
            </w:tcBorders>
          </w:tcPr>
          <w:p w14:paraId="07E67CBE" w14:textId="77777777" w:rsidR="00742247" w:rsidRPr="00F7107A" w:rsidRDefault="00742247" w:rsidP="00691F46">
            <w:pPr>
              <w:pStyle w:val="Tabletext1"/>
            </w:pPr>
            <w:r>
              <w:t>D.6</w:t>
            </w:r>
          </w:p>
        </w:tc>
      </w:tr>
      <w:tr w:rsidR="00742247" w:rsidRPr="00F7107A" w14:paraId="4ABB0556" w14:textId="77777777" w:rsidTr="00AE3374">
        <w:trPr>
          <w:cantSplit/>
          <w:trHeight w:val="397"/>
        </w:trPr>
        <w:tc>
          <w:tcPr>
            <w:tcW w:w="9112" w:type="dxa"/>
            <w:gridSpan w:val="6"/>
          </w:tcPr>
          <w:p w14:paraId="757CAB0D" w14:textId="77777777" w:rsidR="00742247" w:rsidRPr="00F7107A" w:rsidRDefault="00742247" w:rsidP="00691F46">
            <w:pPr>
              <w:pStyle w:val="Tableheading1"/>
            </w:pPr>
            <w:r w:rsidRPr="006D0C24">
              <w:t>Extrapolation</w:t>
            </w:r>
          </w:p>
        </w:tc>
      </w:tr>
      <w:tr w:rsidR="00742247" w:rsidRPr="00F7107A" w14:paraId="4D74D388" w14:textId="77777777" w:rsidTr="00AE3374">
        <w:trPr>
          <w:cantSplit/>
          <w:trHeight w:val="397"/>
        </w:trPr>
        <w:tc>
          <w:tcPr>
            <w:tcW w:w="1431" w:type="dxa"/>
            <w:tcBorders>
              <w:bottom w:val="single" w:sz="4" w:space="0" w:color="auto"/>
            </w:tcBorders>
          </w:tcPr>
          <w:p w14:paraId="03C89893" w14:textId="4193BD10" w:rsidR="00742247" w:rsidRPr="006D0C24" w:rsidRDefault="00742247" w:rsidP="00691F46">
            <w:pPr>
              <w:pStyle w:val="Tabletext1"/>
            </w:pPr>
            <w:r>
              <w:lastRenderedPageBreak/>
              <w:t>S</w:t>
            </w:r>
            <w:r w:rsidR="00D03E5B">
              <w:t>ubs</w:t>
            </w:r>
            <w:r>
              <w:t>ection C.3</w:t>
            </w:r>
          </w:p>
        </w:tc>
        <w:tc>
          <w:tcPr>
            <w:tcW w:w="1574" w:type="dxa"/>
            <w:tcBorders>
              <w:bottom w:val="single" w:sz="4" w:space="0" w:color="auto"/>
            </w:tcBorders>
          </w:tcPr>
          <w:p w14:paraId="4191FB32" w14:textId="77777777" w:rsidR="00742247" w:rsidRPr="00F7107A" w:rsidRDefault="00742247" w:rsidP="00691F46">
            <w:pPr>
              <w:pStyle w:val="Tabletext1"/>
            </w:pPr>
            <w:r>
              <w:t>Literature review for prostate cancer mortality and the impact of false diagnosis on prognosis.</w:t>
            </w:r>
          </w:p>
        </w:tc>
        <w:tc>
          <w:tcPr>
            <w:tcW w:w="2343" w:type="dxa"/>
            <w:tcBorders>
              <w:bottom w:val="single" w:sz="4" w:space="0" w:color="auto"/>
            </w:tcBorders>
          </w:tcPr>
          <w:p w14:paraId="185E850F" w14:textId="77777777" w:rsidR="00742247" w:rsidRDefault="00742247" w:rsidP="00691F46">
            <w:pPr>
              <w:pStyle w:val="Tabletext1"/>
            </w:pPr>
            <w:r>
              <w:t>Alignment of transition probabilities with the evaluation for MR-guided biopsy procedures for diagnosis of PCa (CA 1424).</w:t>
            </w:r>
          </w:p>
          <w:p w14:paraId="7D234665" w14:textId="77777777" w:rsidR="00742247" w:rsidRDefault="00742247" w:rsidP="00691F46">
            <w:pPr>
              <w:pStyle w:val="Tabletext1"/>
            </w:pPr>
          </w:p>
          <w:p w14:paraId="4D508880" w14:textId="77777777" w:rsidR="00742247" w:rsidRPr="00F7107A" w:rsidRDefault="00742247" w:rsidP="00691F46">
            <w:pPr>
              <w:pStyle w:val="Tabletext1"/>
            </w:pPr>
            <w:r>
              <w:t>No impact of false diagnosis on prognosis.</w:t>
            </w:r>
          </w:p>
        </w:tc>
        <w:tc>
          <w:tcPr>
            <w:tcW w:w="993" w:type="dxa"/>
            <w:tcBorders>
              <w:bottom w:val="single" w:sz="4" w:space="0" w:color="auto"/>
            </w:tcBorders>
          </w:tcPr>
          <w:p w14:paraId="2591816D" w14:textId="77777777" w:rsidR="00742247" w:rsidRPr="00F7107A" w:rsidRDefault="00742247" w:rsidP="00691F46">
            <w:pPr>
              <w:pStyle w:val="Tabletext1"/>
            </w:pPr>
            <w:r>
              <w:t>D.4</w:t>
            </w:r>
          </w:p>
        </w:tc>
        <w:tc>
          <w:tcPr>
            <w:tcW w:w="1750" w:type="dxa"/>
            <w:tcBorders>
              <w:bottom w:val="single" w:sz="4" w:space="0" w:color="auto"/>
            </w:tcBorders>
          </w:tcPr>
          <w:p w14:paraId="5A1EEDCA" w14:textId="77777777" w:rsidR="00742247" w:rsidRPr="00F7107A" w:rsidRDefault="00742247" w:rsidP="00691F46">
            <w:pPr>
              <w:pStyle w:val="Tabletext1"/>
            </w:pPr>
            <w:r>
              <w:t>None</w:t>
            </w:r>
          </w:p>
        </w:tc>
        <w:tc>
          <w:tcPr>
            <w:tcW w:w="1021" w:type="dxa"/>
            <w:tcBorders>
              <w:bottom w:val="single" w:sz="4" w:space="0" w:color="auto"/>
            </w:tcBorders>
          </w:tcPr>
          <w:p w14:paraId="6F954B40" w14:textId="77777777" w:rsidR="00742247" w:rsidRPr="00F7107A" w:rsidRDefault="00742247" w:rsidP="00691F46">
            <w:pPr>
              <w:pStyle w:val="Tabletext1"/>
            </w:pPr>
            <w:r>
              <w:t>NA</w:t>
            </w:r>
          </w:p>
        </w:tc>
      </w:tr>
      <w:tr w:rsidR="00742247" w:rsidRPr="00F7107A" w14:paraId="60B67037" w14:textId="77777777" w:rsidTr="00AE3374">
        <w:trPr>
          <w:cantSplit/>
          <w:trHeight w:val="397"/>
        </w:trPr>
        <w:tc>
          <w:tcPr>
            <w:tcW w:w="9112" w:type="dxa"/>
            <w:gridSpan w:val="6"/>
          </w:tcPr>
          <w:p w14:paraId="15E3D6DC" w14:textId="77777777" w:rsidR="00742247" w:rsidRPr="00F7107A" w:rsidRDefault="00742247" w:rsidP="00691F46">
            <w:pPr>
              <w:pStyle w:val="Tableheading1"/>
            </w:pPr>
            <w:r w:rsidRPr="006D0C24">
              <w:t>Transformation</w:t>
            </w:r>
          </w:p>
        </w:tc>
      </w:tr>
      <w:tr w:rsidR="00742247" w:rsidRPr="00F7107A" w14:paraId="3EC80ABE" w14:textId="77777777" w:rsidTr="00AE3374">
        <w:trPr>
          <w:cantSplit/>
          <w:trHeight w:val="397"/>
        </w:trPr>
        <w:tc>
          <w:tcPr>
            <w:tcW w:w="1431" w:type="dxa"/>
            <w:tcBorders>
              <w:bottom w:val="single" w:sz="4" w:space="0" w:color="auto"/>
            </w:tcBorders>
          </w:tcPr>
          <w:p w14:paraId="51FBD3F5" w14:textId="52C3D7EB" w:rsidR="00742247" w:rsidRPr="006D0C24" w:rsidRDefault="00742247" w:rsidP="00691F46">
            <w:pPr>
              <w:pStyle w:val="Tabletext1"/>
            </w:pPr>
            <w:r>
              <w:t>S</w:t>
            </w:r>
            <w:r w:rsidR="00D03E5B">
              <w:t>ubs</w:t>
            </w:r>
            <w:r>
              <w:t>ection C.4</w:t>
            </w:r>
          </w:p>
        </w:tc>
        <w:tc>
          <w:tcPr>
            <w:tcW w:w="1574" w:type="dxa"/>
            <w:tcBorders>
              <w:bottom w:val="single" w:sz="4" w:space="0" w:color="auto"/>
            </w:tcBorders>
          </w:tcPr>
          <w:p w14:paraId="44FF4003" w14:textId="77777777" w:rsidR="00742247" w:rsidRPr="00F7107A" w:rsidRDefault="00742247" w:rsidP="00691F46">
            <w:pPr>
              <w:pStyle w:val="Tabletext1"/>
            </w:pPr>
            <w:r>
              <w:t xml:space="preserve">Targeted literature review for utility values </w:t>
            </w:r>
          </w:p>
        </w:tc>
        <w:tc>
          <w:tcPr>
            <w:tcW w:w="2343" w:type="dxa"/>
            <w:tcBorders>
              <w:bottom w:val="single" w:sz="4" w:space="0" w:color="auto"/>
            </w:tcBorders>
          </w:tcPr>
          <w:p w14:paraId="0F477D0C" w14:textId="0667F330" w:rsidR="00742247" w:rsidRDefault="00742247" w:rsidP="00691F46">
            <w:pPr>
              <w:pStyle w:val="Tabletext1"/>
            </w:pPr>
            <w:r w:rsidRPr="00991209">
              <w:t xml:space="preserve">General Australian population of males aged </w:t>
            </w:r>
            <w:r>
              <w:t xml:space="preserve">61-70y, 0.82; </w:t>
            </w:r>
            <w:r w:rsidRPr="00991209">
              <w:t xml:space="preserve">low/intermediate </w:t>
            </w:r>
            <w:r>
              <w:t xml:space="preserve">risk PCa on AS, 0.796; </w:t>
            </w:r>
            <w:r w:rsidRPr="00991209">
              <w:t>high/intermediate risk PCa receiving</w:t>
            </w:r>
            <w:r w:rsidR="00413B4A">
              <w:t xml:space="preserve"> Active treatment/ follow-</w:t>
            </w:r>
            <w:r>
              <w:t>up, 0.789;</w:t>
            </w:r>
          </w:p>
          <w:p w14:paraId="4494F38D" w14:textId="77777777" w:rsidR="00742247" w:rsidRPr="00290928" w:rsidRDefault="00742247" w:rsidP="00691F46">
            <w:pPr>
              <w:pStyle w:val="Tabletext1"/>
            </w:pPr>
            <w:r>
              <w:t xml:space="preserve">disutility </w:t>
            </w:r>
            <w:r w:rsidRPr="00290928">
              <w:t>of biopsy, 0.035;</w:t>
            </w:r>
          </w:p>
          <w:p w14:paraId="215038EC" w14:textId="77777777" w:rsidR="00742247" w:rsidRPr="00F7107A" w:rsidRDefault="00742247" w:rsidP="00691F46">
            <w:pPr>
              <w:pStyle w:val="Tabletext1"/>
            </w:pPr>
            <w:r w:rsidRPr="00290928">
              <w:t>acute sepsis, 0.47; erectile</w:t>
            </w:r>
            <w:r>
              <w:t xml:space="preserve"> dysfunction, 0.10; urinary incontinence, 0.20</w:t>
            </w:r>
          </w:p>
        </w:tc>
        <w:tc>
          <w:tcPr>
            <w:tcW w:w="993" w:type="dxa"/>
            <w:tcBorders>
              <w:bottom w:val="single" w:sz="4" w:space="0" w:color="auto"/>
            </w:tcBorders>
          </w:tcPr>
          <w:p w14:paraId="1DA48144" w14:textId="77777777" w:rsidR="00742247" w:rsidRPr="00F7107A" w:rsidRDefault="00742247" w:rsidP="00691F46">
            <w:pPr>
              <w:pStyle w:val="Tabletext1"/>
            </w:pPr>
            <w:r>
              <w:t>D.4</w:t>
            </w:r>
          </w:p>
        </w:tc>
        <w:tc>
          <w:tcPr>
            <w:tcW w:w="1750" w:type="dxa"/>
            <w:tcBorders>
              <w:bottom w:val="single" w:sz="4" w:space="0" w:color="auto"/>
            </w:tcBorders>
          </w:tcPr>
          <w:p w14:paraId="4AFFC4C6" w14:textId="7CEF3075" w:rsidR="00742247" w:rsidRPr="004D668C" w:rsidRDefault="00742247" w:rsidP="00691F46">
            <w:pPr>
              <w:pStyle w:val="Tabletext1"/>
            </w:pPr>
            <w:r>
              <w:t xml:space="preserve">The disutility associated with prostate biopsy will be varied in sensitivity analyses, between 0 and 0.05, consistent with the assessment of </w:t>
            </w:r>
            <w:r w:rsidR="00E96DDA">
              <w:t>MRIGB</w:t>
            </w:r>
            <w:r>
              <w:t xml:space="preserve"> (CA 1424). </w:t>
            </w:r>
          </w:p>
        </w:tc>
        <w:tc>
          <w:tcPr>
            <w:tcW w:w="1021" w:type="dxa"/>
            <w:tcBorders>
              <w:bottom w:val="single" w:sz="4" w:space="0" w:color="auto"/>
            </w:tcBorders>
          </w:tcPr>
          <w:p w14:paraId="512CCD2D" w14:textId="77777777" w:rsidR="00742247" w:rsidRPr="00F7107A" w:rsidRDefault="00742247" w:rsidP="00691F46">
            <w:pPr>
              <w:pStyle w:val="Tabletext1"/>
            </w:pPr>
            <w:r>
              <w:t>D.6</w:t>
            </w:r>
          </w:p>
        </w:tc>
      </w:tr>
      <w:tr w:rsidR="00742247" w:rsidRPr="00F7107A" w14:paraId="4E634F08" w14:textId="77777777" w:rsidTr="00AE3374">
        <w:trPr>
          <w:cantSplit/>
          <w:trHeight w:val="397"/>
        </w:trPr>
        <w:tc>
          <w:tcPr>
            <w:tcW w:w="1431" w:type="dxa"/>
            <w:tcBorders>
              <w:right w:val="nil"/>
            </w:tcBorders>
          </w:tcPr>
          <w:p w14:paraId="1B50FB3C" w14:textId="77777777" w:rsidR="00742247" w:rsidRPr="006D0C24" w:rsidRDefault="00742247" w:rsidP="00691F46">
            <w:pPr>
              <w:pStyle w:val="Tableheading1"/>
            </w:pPr>
            <w:r w:rsidRPr="006D0C24">
              <w:t>Other</w:t>
            </w:r>
          </w:p>
        </w:tc>
        <w:tc>
          <w:tcPr>
            <w:tcW w:w="1574" w:type="dxa"/>
            <w:tcBorders>
              <w:left w:val="nil"/>
              <w:right w:val="nil"/>
            </w:tcBorders>
          </w:tcPr>
          <w:p w14:paraId="0CC2E8F8" w14:textId="77777777" w:rsidR="00742247" w:rsidRPr="00F7107A" w:rsidRDefault="00742247" w:rsidP="00691F46">
            <w:pPr>
              <w:pStyle w:val="Tableheading1"/>
            </w:pPr>
          </w:p>
        </w:tc>
        <w:tc>
          <w:tcPr>
            <w:tcW w:w="2343" w:type="dxa"/>
            <w:tcBorders>
              <w:left w:val="nil"/>
              <w:right w:val="nil"/>
            </w:tcBorders>
          </w:tcPr>
          <w:p w14:paraId="2C70201A" w14:textId="77777777" w:rsidR="00742247" w:rsidRPr="00F7107A" w:rsidRDefault="00742247" w:rsidP="00691F46">
            <w:pPr>
              <w:pStyle w:val="Tableheading1"/>
            </w:pPr>
          </w:p>
        </w:tc>
        <w:tc>
          <w:tcPr>
            <w:tcW w:w="993" w:type="dxa"/>
            <w:tcBorders>
              <w:left w:val="nil"/>
              <w:right w:val="nil"/>
            </w:tcBorders>
          </w:tcPr>
          <w:p w14:paraId="648C4D26" w14:textId="77777777" w:rsidR="00742247" w:rsidRPr="00F7107A" w:rsidRDefault="00742247" w:rsidP="00691F46">
            <w:pPr>
              <w:pStyle w:val="Tableheading1"/>
            </w:pPr>
          </w:p>
        </w:tc>
        <w:tc>
          <w:tcPr>
            <w:tcW w:w="1750" w:type="dxa"/>
            <w:tcBorders>
              <w:left w:val="nil"/>
              <w:right w:val="nil"/>
            </w:tcBorders>
          </w:tcPr>
          <w:p w14:paraId="7578A47C" w14:textId="77777777" w:rsidR="00742247" w:rsidRPr="00F7107A" w:rsidRDefault="00742247" w:rsidP="00691F46">
            <w:pPr>
              <w:pStyle w:val="Tableheading1"/>
            </w:pPr>
          </w:p>
        </w:tc>
        <w:tc>
          <w:tcPr>
            <w:tcW w:w="1021" w:type="dxa"/>
            <w:tcBorders>
              <w:left w:val="nil"/>
            </w:tcBorders>
          </w:tcPr>
          <w:p w14:paraId="304B28A7" w14:textId="77777777" w:rsidR="00742247" w:rsidRPr="00F7107A" w:rsidRDefault="00742247" w:rsidP="00691F46">
            <w:pPr>
              <w:pStyle w:val="Tableheading1"/>
            </w:pPr>
          </w:p>
        </w:tc>
      </w:tr>
      <w:tr w:rsidR="00742247" w:rsidRPr="00E64F24" w14:paraId="2BDFFA84" w14:textId="77777777" w:rsidTr="00AE3374">
        <w:trPr>
          <w:cantSplit/>
          <w:trHeight w:val="397"/>
        </w:trPr>
        <w:tc>
          <w:tcPr>
            <w:tcW w:w="1431" w:type="dxa"/>
          </w:tcPr>
          <w:p w14:paraId="52DBC0DE" w14:textId="49CBDCB9" w:rsidR="00742247" w:rsidRPr="00F7107A" w:rsidRDefault="00742247" w:rsidP="00691F46">
            <w:pPr>
              <w:pStyle w:val="Tabletext1"/>
            </w:pPr>
            <w:r w:rsidRPr="00A929AA">
              <w:t>S</w:t>
            </w:r>
            <w:r w:rsidR="00D03E5B">
              <w:t>ubs</w:t>
            </w:r>
            <w:r w:rsidRPr="00A929AA">
              <w:t>ection C.5</w:t>
            </w:r>
          </w:p>
        </w:tc>
        <w:tc>
          <w:tcPr>
            <w:tcW w:w="1574" w:type="dxa"/>
          </w:tcPr>
          <w:p w14:paraId="5382F21E" w14:textId="77777777" w:rsidR="00742247" w:rsidRPr="00E64F24" w:rsidRDefault="00742247" w:rsidP="00691F46">
            <w:pPr>
              <w:pStyle w:val="Tabletext1"/>
            </w:pPr>
            <w:r>
              <w:t>Literature review for the frequencies of adverse events.</w:t>
            </w:r>
          </w:p>
        </w:tc>
        <w:tc>
          <w:tcPr>
            <w:tcW w:w="2343" w:type="dxa"/>
          </w:tcPr>
          <w:p w14:paraId="618F5132" w14:textId="77777777" w:rsidR="00742247" w:rsidRDefault="00742247" w:rsidP="00691F46">
            <w:pPr>
              <w:pStyle w:val="Tabletext1"/>
            </w:pPr>
            <w:r>
              <w:t>mpMRI: no adverse events.</w:t>
            </w:r>
          </w:p>
          <w:p w14:paraId="522AE55F" w14:textId="77777777" w:rsidR="00742247" w:rsidRDefault="00742247" w:rsidP="00691F46">
            <w:pPr>
              <w:pStyle w:val="Tabletext1"/>
            </w:pPr>
            <w:r>
              <w:t>Biopsy: 1.2% sepsis.</w:t>
            </w:r>
          </w:p>
          <w:p w14:paraId="52AE512A" w14:textId="77777777" w:rsidR="00742247" w:rsidRPr="00E64F24" w:rsidRDefault="00742247" w:rsidP="00691F46">
            <w:pPr>
              <w:pStyle w:val="Tabletext1"/>
            </w:pPr>
            <w:r>
              <w:t>Prostate cancer treatment: 25.9% erectile dysfunction (1-year disutility) and 0.55% urinary incontinence (1-year disutility).</w:t>
            </w:r>
          </w:p>
        </w:tc>
        <w:tc>
          <w:tcPr>
            <w:tcW w:w="993" w:type="dxa"/>
          </w:tcPr>
          <w:p w14:paraId="046CA86E" w14:textId="77777777" w:rsidR="00742247" w:rsidRPr="00E64F24" w:rsidRDefault="00742247" w:rsidP="00691F46">
            <w:pPr>
              <w:pStyle w:val="Tabletext1"/>
            </w:pPr>
            <w:r>
              <w:t>D.4</w:t>
            </w:r>
          </w:p>
        </w:tc>
        <w:tc>
          <w:tcPr>
            <w:tcW w:w="1750" w:type="dxa"/>
          </w:tcPr>
          <w:p w14:paraId="57863437" w14:textId="77777777" w:rsidR="00742247" w:rsidRPr="00E64F24" w:rsidRDefault="00742247" w:rsidP="00691F46">
            <w:pPr>
              <w:pStyle w:val="Tabletext1"/>
            </w:pPr>
            <w:r>
              <w:t>None</w:t>
            </w:r>
          </w:p>
        </w:tc>
        <w:tc>
          <w:tcPr>
            <w:tcW w:w="1021" w:type="dxa"/>
          </w:tcPr>
          <w:p w14:paraId="528DFAEB" w14:textId="77777777" w:rsidR="00742247" w:rsidRPr="00E64F24" w:rsidRDefault="00742247" w:rsidP="00691F46">
            <w:pPr>
              <w:pStyle w:val="Tabletext1"/>
            </w:pPr>
            <w:r>
              <w:t>NA</w:t>
            </w:r>
          </w:p>
        </w:tc>
      </w:tr>
    </w:tbl>
    <w:bookmarkEnd w:id="477"/>
    <w:bookmarkEnd w:id="478"/>
    <w:p w14:paraId="4A9A5812" w14:textId="67E97686" w:rsidR="00742247" w:rsidRPr="000A546E" w:rsidRDefault="00742247" w:rsidP="00413B4A">
      <w:pPr>
        <w:pStyle w:val="TableNotes"/>
      </w:pPr>
      <w:r>
        <w:t>AS</w:t>
      </w:r>
      <w:r w:rsidR="00413B4A">
        <w:t xml:space="preserve"> = </w:t>
      </w:r>
      <w:r>
        <w:t>active surveillance</w:t>
      </w:r>
      <w:r w:rsidR="00413B4A">
        <w:t>,</w:t>
      </w:r>
      <w:r>
        <w:t xml:space="preserve"> CI</w:t>
      </w:r>
      <w:r w:rsidR="00413B4A">
        <w:t xml:space="preserve"> = </w:t>
      </w:r>
      <w:r>
        <w:t>confidence interval</w:t>
      </w:r>
      <w:r w:rsidR="00413B4A">
        <w:t>,</w:t>
      </w:r>
      <w:r>
        <w:t xml:space="preserve"> mpMRI</w:t>
      </w:r>
      <w:r w:rsidR="00413B4A">
        <w:t xml:space="preserve"> =</w:t>
      </w:r>
      <w:r>
        <w:t xml:space="preserve"> multiparametric MRI</w:t>
      </w:r>
      <w:r w:rsidR="00413B4A">
        <w:t>,</w:t>
      </w:r>
      <w:r>
        <w:t xml:space="preserve"> PCa</w:t>
      </w:r>
      <w:r w:rsidR="00413B4A">
        <w:t xml:space="preserve"> =</w:t>
      </w:r>
      <w:r>
        <w:t xml:space="preserve"> prostate cancer</w:t>
      </w:r>
      <w:r w:rsidR="00413B4A">
        <w:t>, MRIGB = MRI guided biopsy</w:t>
      </w:r>
      <w:r w:rsidR="00E87676">
        <w:t>, CA = contracted assessment</w:t>
      </w:r>
      <w:r>
        <w:t>.</w:t>
      </w:r>
    </w:p>
    <w:p w14:paraId="1E4AD59F" w14:textId="77777777" w:rsidR="00742247" w:rsidRDefault="00742247">
      <w:pPr>
        <w:spacing w:after="0" w:line="240" w:lineRule="auto"/>
        <w:jc w:val="left"/>
      </w:pPr>
      <w:r>
        <w:br w:type="page"/>
      </w:r>
    </w:p>
    <w:p w14:paraId="6FA318E1" w14:textId="77777777" w:rsidR="00742247" w:rsidRPr="00183E4D" w:rsidRDefault="00742247" w:rsidP="00742247">
      <w:pPr>
        <w:pStyle w:val="Heading1"/>
      </w:pPr>
      <w:bookmarkStart w:id="479" w:name="_Toc379118086"/>
      <w:bookmarkStart w:id="480" w:name="_Toc381796473"/>
      <w:bookmarkStart w:id="481" w:name="_Toc455916057"/>
      <w:bookmarkStart w:id="482" w:name="_Toc457383611"/>
      <w:bookmarkStart w:id="483" w:name="_Toc459987859"/>
      <w:bookmarkStart w:id="484" w:name="_Toc460513979"/>
      <w:bookmarkStart w:id="485" w:name="_Ref378945269"/>
      <w:r w:rsidRPr="00183E4D">
        <w:lastRenderedPageBreak/>
        <w:t>Section D</w:t>
      </w:r>
      <w:r w:rsidRPr="00183E4D">
        <w:tab/>
        <w:t>Economic Evaluation</w:t>
      </w:r>
      <w:bookmarkEnd w:id="479"/>
      <w:bookmarkEnd w:id="480"/>
      <w:bookmarkEnd w:id="481"/>
      <w:bookmarkEnd w:id="482"/>
      <w:bookmarkEnd w:id="483"/>
      <w:bookmarkEnd w:id="484"/>
    </w:p>
    <w:p w14:paraId="5EFE72F0" w14:textId="77777777" w:rsidR="00742247" w:rsidRPr="00183E4D" w:rsidRDefault="00742247" w:rsidP="00742247">
      <w:pPr>
        <w:pStyle w:val="Heading2"/>
        <w:numPr>
          <w:ilvl w:val="3"/>
          <w:numId w:val="8"/>
        </w:numPr>
        <w:jc w:val="left"/>
      </w:pPr>
      <w:bookmarkStart w:id="486" w:name="_Toc381796475"/>
      <w:bookmarkStart w:id="487" w:name="_Toc455916058"/>
      <w:bookmarkStart w:id="488" w:name="_Toc457383612"/>
      <w:bookmarkStart w:id="489" w:name="_Toc459987860"/>
      <w:bookmarkStart w:id="490" w:name="_Toc460513980"/>
      <w:r w:rsidRPr="00183E4D">
        <w:t>Overview</w:t>
      </w:r>
      <w:bookmarkEnd w:id="486"/>
      <w:bookmarkEnd w:id="487"/>
      <w:bookmarkEnd w:id="488"/>
      <w:bookmarkEnd w:id="489"/>
      <w:bookmarkEnd w:id="490"/>
    </w:p>
    <w:p w14:paraId="628C3D1F" w14:textId="445AB0C2" w:rsidR="00742247" w:rsidRDefault="007F498C" w:rsidP="00742247">
      <w:r>
        <w:t>A clinical claim in the P</w:t>
      </w:r>
      <w:r w:rsidR="00742247">
        <w:t>rotocol (p15) is that mpMRI scans of the prostate are more accurate and safer than usual care (TRUSGB or TPUSGB, S</w:t>
      </w:r>
      <w:r w:rsidR="00FC1FD7">
        <w:t>ubs</w:t>
      </w:r>
      <w:r w:rsidR="00742247">
        <w:t>ection A.5). T</w:t>
      </w:r>
      <w:r w:rsidR="00742247" w:rsidRPr="009929BE">
        <w:t xml:space="preserve">he clinical evaluation </w:t>
      </w:r>
      <w:r w:rsidR="00742247">
        <w:t>in Section B suggests</w:t>
      </w:r>
      <w:r w:rsidR="00742247" w:rsidRPr="009929BE">
        <w:t xml:space="preserve"> that, relative to </w:t>
      </w:r>
      <w:r w:rsidR="00742247">
        <w:t xml:space="preserve">current clinical management using </w:t>
      </w:r>
      <w:r w:rsidR="00742247" w:rsidRPr="004650B9">
        <w:t>TRUSGB or TPUSGB, pre</w:t>
      </w:r>
      <w:r w:rsidR="00826E84">
        <w:t>-</w:t>
      </w:r>
      <w:r w:rsidR="00742247" w:rsidRPr="004650B9">
        <w:t>selection with mpMRI has superior safety and non-inferior effectiveness.</w:t>
      </w:r>
      <w:r w:rsidR="00742247" w:rsidRPr="009929BE">
        <w:t xml:space="preserve"> </w:t>
      </w:r>
    </w:p>
    <w:p w14:paraId="3911C998" w14:textId="438A92B5" w:rsidR="00742247" w:rsidRDefault="00742247" w:rsidP="00742247">
      <w:r>
        <w:t xml:space="preserve">A summary of the evidence about the diagnostic accuracy, benefit and safety of mpMRI compared to TRUSGB or TPUSGB in Population 1 (men with suspected prostate cancer) and Population 2 (men with low or intermediate risk prostate cancer under </w:t>
      </w:r>
      <w:r w:rsidR="00826E84">
        <w:t>AS</w:t>
      </w:r>
      <w:r>
        <w:t xml:space="preserve">) is presented in </w:t>
      </w:r>
      <w:r>
        <w:rPr>
          <w:highlight w:val="magenta"/>
        </w:rPr>
        <w:fldChar w:fldCharType="begin"/>
      </w:r>
      <w:r>
        <w:instrText xml:space="preserve"> REF _Ref418084557 \h </w:instrText>
      </w:r>
      <w:r>
        <w:rPr>
          <w:highlight w:val="magenta"/>
        </w:rPr>
      </w:r>
      <w:r>
        <w:rPr>
          <w:highlight w:val="magenta"/>
        </w:rPr>
        <w:fldChar w:fldCharType="separate"/>
      </w:r>
      <w:r w:rsidR="0029649D">
        <w:t xml:space="preserve">Table </w:t>
      </w:r>
      <w:r w:rsidR="0029649D">
        <w:rPr>
          <w:noProof/>
        </w:rPr>
        <w:t>47</w:t>
      </w:r>
      <w:r>
        <w:rPr>
          <w:highlight w:val="magenta"/>
        </w:rPr>
        <w:fldChar w:fldCharType="end"/>
      </w:r>
      <w:r>
        <w:t xml:space="preserve"> below. </w:t>
      </w:r>
    </w:p>
    <w:p w14:paraId="7A6FA54E" w14:textId="77777777" w:rsidR="00742247" w:rsidRPr="007A076C" w:rsidRDefault="00742247" w:rsidP="00F265B1">
      <w:pPr>
        <w:pStyle w:val="Caption"/>
        <w:ind w:left="567"/>
      </w:pPr>
      <w:bookmarkStart w:id="491" w:name="_Ref418084557"/>
      <w:bookmarkStart w:id="492" w:name="_Toc418182825"/>
      <w:bookmarkStart w:id="493" w:name="_Toc457383669"/>
      <w:bookmarkStart w:id="494" w:name="_Toc459987907"/>
      <w:bookmarkStart w:id="495" w:name="_Toc460514547"/>
      <w:bookmarkStart w:id="496" w:name="_Toc455916104"/>
      <w:r>
        <w:t xml:space="preserve">Table </w:t>
      </w:r>
      <w:fldSimple w:instr=" SEQ Table \* ARABIC ">
        <w:r w:rsidR="0029649D">
          <w:rPr>
            <w:noProof/>
          </w:rPr>
          <w:t>47</w:t>
        </w:r>
      </w:fldSimple>
      <w:bookmarkEnd w:id="491"/>
      <w:r>
        <w:rPr>
          <w:noProof/>
        </w:rPr>
        <w:tab/>
      </w:r>
      <w:r w:rsidRPr="005E2DCA">
        <w:t xml:space="preserve">Summary of evidence for </w:t>
      </w:r>
      <w:r>
        <w:t>mp</w:t>
      </w:r>
      <w:r w:rsidRPr="005E2DCA">
        <w:t xml:space="preserve">MRI versus </w:t>
      </w:r>
      <w:bookmarkEnd w:id="492"/>
      <w:r>
        <w:t>TRUSGB or TPUSGB</w:t>
      </w:r>
      <w:bookmarkEnd w:id="493"/>
      <w:bookmarkEnd w:id="494"/>
      <w:bookmarkEnd w:id="495"/>
      <w:r>
        <w:t xml:space="preserve"> </w:t>
      </w:r>
      <w:bookmarkEnd w:id="496"/>
    </w:p>
    <w:tbl>
      <w:tblPr>
        <w:tblStyle w:val="TableGrid"/>
        <w:tblpPr w:leftFromText="180" w:rightFromText="180" w:vertAnchor="text" w:tblpX="74" w:tblpY="1"/>
        <w:tblOverlap w:val="never"/>
        <w:tblW w:w="9112" w:type="dxa"/>
        <w:tblLayout w:type="fixed"/>
        <w:tblCellMar>
          <w:left w:w="28" w:type="dxa"/>
          <w:right w:w="28" w:type="dxa"/>
        </w:tblCellMar>
        <w:tblLook w:val="04A0" w:firstRow="1" w:lastRow="0" w:firstColumn="1" w:lastColumn="0" w:noHBand="0" w:noVBand="1"/>
        <w:tblCaption w:val="Table 31Summary of evidence for MRI versus comparator(s)"/>
        <w:tblDescription w:val="Table 31Summary of evidence for MRI versus comparator(s)"/>
      </w:tblPr>
      <w:tblGrid>
        <w:gridCol w:w="1643"/>
        <w:gridCol w:w="1867"/>
        <w:gridCol w:w="1868"/>
        <w:gridCol w:w="1868"/>
        <w:gridCol w:w="1866"/>
      </w:tblGrid>
      <w:tr w:rsidR="00742247" w:rsidRPr="007A076C" w14:paraId="0DDF17D5" w14:textId="77777777" w:rsidTr="00F265B1">
        <w:trPr>
          <w:trHeight w:val="397"/>
          <w:tblHeader/>
        </w:trPr>
        <w:tc>
          <w:tcPr>
            <w:tcW w:w="901" w:type="pct"/>
            <w:vMerge w:val="restart"/>
            <w:noWrap/>
            <w:hideMark/>
          </w:tcPr>
          <w:p w14:paraId="2825A06B" w14:textId="77777777" w:rsidR="00742247" w:rsidRPr="00F265B1" w:rsidRDefault="00742247" w:rsidP="0087581D">
            <w:pPr>
              <w:pStyle w:val="Tableheading1"/>
            </w:pPr>
            <w:r w:rsidRPr="00F265B1">
              <w:t>Population</w:t>
            </w:r>
          </w:p>
        </w:tc>
        <w:tc>
          <w:tcPr>
            <w:tcW w:w="2049" w:type="pct"/>
            <w:gridSpan w:val="2"/>
            <w:noWrap/>
            <w:hideMark/>
          </w:tcPr>
          <w:p w14:paraId="4687DEBF" w14:textId="77777777" w:rsidR="00742247" w:rsidRPr="00F265B1" w:rsidRDefault="00742247" w:rsidP="0087581D">
            <w:pPr>
              <w:pStyle w:val="Tableheading1"/>
            </w:pPr>
            <w:r w:rsidRPr="00F265B1">
              <w:t>Diagnostic accuracy</w:t>
            </w:r>
          </w:p>
        </w:tc>
        <w:tc>
          <w:tcPr>
            <w:tcW w:w="1025" w:type="pct"/>
            <w:vMerge w:val="restart"/>
            <w:noWrap/>
            <w:hideMark/>
          </w:tcPr>
          <w:p w14:paraId="65790FDD" w14:textId="77777777" w:rsidR="00742247" w:rsidRPr="00F265B1" w:rsidRDefault="00742247" w:rsidP="0087581D">
            <w:pPr>
              <w:pStyle w:val="Tableheading1"/>
            </w:pPr>
            <w:r w:rsidRPr="00F265B1">
              <w:t>Observed benefit from clinical trials</w:t>
            </w:r>
          </w:p>
        </w:tc>
        <w:tc>
          <w:tcPr>
            <w:tcW w:w="1024" w:type="pct"/>
            <w:vMerge w:val="restart"/>
            <w:noWrap/>
            <w:hideMark/>
          </w:tcPr>
          <w:p w14:paraId="70628040" w14:textId="77777777" w:rsidR="00742247" w:rsidRPr="00F265B1" w:rsidRDefault="00742247" w:rsidP="0087581D">
            <w:pPr>
              <w:pStyle w:val="Tableheading1"/>
            </w:pPr>
            <w:r w:rsidRPr="00F265B1">
              <w:t>Safety outcomes</w:t>
            </w:r>
          </w:p>
        </w:tc>
      </w:tr>
      <w:tr w:rsidR="00742247" w:rsidRPr="007A076C" w14:paraId="50565358" w14:textId="77777777" w:rsidTr="00F265B1">
        <w:trPr>
          <w:trHeight w:val="397"/>
          <w:tblHeader/>
        </w:trPr>
        <w:tc>
          <w:tcPr>
            <w:tcW w:w="901" w:type="pct"/>
            <w:vMerge/>
            <w:noWrap/>
          </w:tcPr>
          <w:p w14:paraId="42A1EE2A" w14:textId="77777777" w:rsidR="00742247" w:rsidRDefault="00742247" w:rsidP="002B5FE2">
            <w:pPr>
              <w:pStyle w:val="TableText0"/>
            </w:pPr>
          </w:p>
        </w:tc>
        <w:tc>
          <w:tcPr>
            <w:tcW w:w="1024" w:type="pct"/>
            <w:noWrap/>
          </w:tcPr>
          <w:p w14:paraId="593AAC67" w14:textId="77777777" w:rsidR="00742247" w:rsidRPr="00F265B1" w:rsidRDefault="00742247" w:rsidP="002B5FE2">
            <w:pPr>
              <w:pStyle w:val="TableText0"/>
              <w:rPr>
                <w:b/>
              </w:rPr>
            </w:pPr>
            <w:r w:rsidRPr="00F265B1">
              <w:rPr>
                <w:b/>
              </w:rPr>
              <w:t>sensitivity</w:t>
            </w:r>
          </w:p>
        </w:tc>
        <w:tc>
          <w:tcPr>
            <w:tcW w:w="1025" w:type="pct"/>
            <w:noWrap/>
          </w:tcPr>
          <w:p w14:paraId="3AF4E1E1" w14:textId="77777777" w:rsidR="00742247" w:rsidRPr="00F265B1" w:rsidRDefault="00742247" w:rsidP="002B5FE2">
            <w:pPr>
              <w:pStyle w:val="TableText0"/>
              <w:rPr>
                <w:b/>
              </w:rPr>
            </w:pPr>
            <w:r w:rsidRPr="00F265B1">
              <w:rPr>
                <w:b/>
              </w:rPr>
              <w:t>specificity</w:t>
            </w:r>
          </w:p>
        </w:tc>
        <w:tc>
          <w:tcPr>
            <w:tcW w:w="1025" w:type="pct"/>
            <w:vMerge/>
            <w:noWrap/>
          </w:tcPr>
          <w:p w14:paraId="5F8A553F" w14:textId="77777777" w:rsidR="00742247" w:rsidRPr="00F265B1" w:rsidRDefault="00742247" w:rsidP="002B5FE2">
            <w:pPr>
              <w:pStyle w:val="TableText0"/>
              <w:rPr>
                <w:b/>
              </w:rPr>
            </w:pPr>
          </w:p>
        </w:tc>
        <w:tc>
          <w:tcPr>
            <w:tcW w:w="1024" w:type="pct"/>
            <w:vMerge/>
            <w:noWrap/>
          </w:tcPr>
          <w:p w14:paraId="58F529ED" w14:textId="77777777" w:rsidR="00742247" w:rsidRPr="00F265B1" w:rsidRDefault="00742247" w:rsidP="002B5FE2">
            <w:pPr>
              <w:pStyle w:val="TableText0"/>
              <w:rPr>
                <w:b/>
              </w:rPr>
            </w:pPr>
          </w:p>
        </w:tc>
      </w:tr>
      <w:tr w:rsidR="00742247" w:rsidRPr="007A076C" w14:paraId="6C12F395" w14:textId="77777777" w:rsidTr="00F265B1">
        <w:trPr>
          <w:trHeight w:val="397"/>
        </w:trPr>
        <w:tc>
          <w:tcPr>
            <w:tcW w:w="901" w:type="pct"/>
            <w:noWrap/>
            <w:hideMark/>
          </w:tcPr>
          <w:p w14:paraId="1AC8468A" w14:textId="77777777" w:rsidR="00742247" w:rsidRPr="007A076C" w:rsidRDefault="00742247" w:rsidP="0087581D">
            <w:pPr>
              <w:pStyle w:val="Tabletext1"/>
            </w:pPr>
            <w:r w:rsidRPr="007A076C">
              <w:t>Population 1:</w:t>
            </w:r>
            <w:r>
              <w:t xml:space="preserve"> men with suspected prostate cancer</w:t>
            </w:r>
          </w:p>
        </w:tc>
        <w:tc>
          <w:tcPr>
            <w:tcW w:w="1024" w:type="pct"/>
            <w:noWrap/>
            <w:hideMark/>
          </w:tcPr>
          <w:p w14:paraId="1046E15F" w14:textId="77777777" w:rsidR="00742247" w:rsidRPr="007A076C" w:rsidRDefault="00742247" w:rsidP="0087581D">
            <w:pPr>
              <w:pStyle w:val="Tabletext1"/>
            </w:pPr>
            <w:r>
              <w:t xml:space="preserve">mpMRI non-inferior </w:t>
            </w:r>
          </w:p>
        </w:tc>
        <w:tc>
          <w:tcPr>
            <w:tcW w:w="1025" w:type="pct"/>
            <w:noWrap/>
            <w:hideMark/>
          </w:tcPr>
          <w:p w14:paraId="0A40A6B2" w14:textId="77777777" w:rsidR="00742247" w:rsidRPr="007A076C" w:rsidRDefault="00742247" w:rsidP="0087581D">
            <w:pPr>
              <w:pStyle w:val="Tabletext1"/>
            </w:pPr>
            <w:r>
              <w:t xml:space="preserve">mpMRI non-inferior </w:t>
            </w:r>
          </w:p>
        </w:tc>
        <w:tc>
          <w:tcPr>
            <w:tcW w:w="1025" w:type="pct"/>
            <w:noWrap/>
            <w:hideMark/>
          </w:tcPr>
          <w:p w14:paraId="6D47C271" w14:textId="77777777" w:rsidR="00742247" w:rsidRPr="007A076C" w:rsidRDefault="00742247" w:rsidP="0087581D">
            <w:pPr>
              <w:pStyle w:val="Tabletext1"/>
            </w:pPr>
            <w:r>
              <w:t>Prostate biopsies avoided</w:t>
            </w:r>
          </w:p>
        </w:tc>
        <w:tc>
          <w:tcPr>
            <w:tcW w:w="1024" w:type="pct"/>
            <w:noWrap/>
            <w:hideMark/>
          </w:tcPr>
          <w:p w14:paraId="74FB69B3" w14:textId="77777777" w:rsidR="00742247" w:rsidRPr="007A076C" w:rsidRDefault="00742247" w:rsidP="0087581D">
            <w:pPr>
              <w:pStyle w:val="Tabletext1"/>
            </w:pPr>
            <w:r>
              <w:t>mpMRI superior</w:t>
            </w:r>
          </w:p>
        </w:tc>
      </w:tr>
      <w:tr w:rsidR="00742247" w:rsidRPr="007A076C" w14:paraId="1E04C6B6" w14:textId="77777777" w:rsidTr="00F265B1">
        <w:trPr>
          <w:trHeight w:val="397"/>
        </w:trPr>
        <w:tc>
          <w:tcPr>
            <w:tcW w:w="901" w:type="pct"/>
            <w:noWrap/>
            <w:hideMark/>
          </w:tcPr>
          <w:p w14:paraId="2E178933" w14:textId="4EAD836B" w:rsidR="00742247" w:rsidRPr="007A076C" w:rsidRDefault="00742247" w:rsidP="0087581D">
            <w:pPr>
              <w:pStyle w:val="Tabletext1"/>
            </w:pPr>
            <w:r w:rsidRPr="007A076C">
              <w:t>Population 2</w:t>
            </w:r>
            <w:r>
              <w:t xml:space="preserve">: men under </w:t>
            </w:r>
            <w:r w:rsidR="00AB1EEA">
              <w:t>AS</w:t>
            </w:r>
          </w:p>
        </w:tc>
        <w:tc>
          <w:tcPr>
            <w:tcW w:w="1024" w:type="pct"/>
            <w:noWrap/>
            <w:hideMark/>
          </w:tcPr>
          <w:p w14:paraId="57F73CEC" w14:textId="77777777" w:rsidR="00742247" w:rsidRPr="007A076C" w:rsidRDefault="00742247" w:rsidP="0087581D">
            <w:pPr>
              <w:pStyle w:val="Tabletext1"/>
            </w:pPr>
            <w:r>
              <w:t xml:space="preserve">mpMRI non-inferior </w:t>
            </w:r>
          </w:p>
        </w:tc>
        <w:tc>
          <w:tcPr>
            <w:tcW w:w="1025" w:type="pct"/>
            <w:noWrap/>
            <w:hideMark/>
          </w:tcPr>
          <w:p w14:paraId="42E909F1" w14:textId="77777777" w:rsidR="00742247" w:rsidRPr="007A076C" w:rsidRDefault="00742247" w:rsidP="0087581D">
            <w:pPr>
              <w:pStyle w:val="Tabletext1"/>
            </w:pPr>
            <w:r>
              <w:t xml:space="preserve">mpMRI non-inferior </w:t>
            </w:r>
          </w:p>
        </w:tc>
        <w:tc>
          <w:tcPr>
            <w:tcW w:w="1025" w:type="pct"/>
            <w:noWrap/>
            <w:hideMark/>
          </w:tcPr>
          <w:p w14:paraId="012F4516" w14:textId="77777777" w:rsidR="00742247" w:rsidRPr="007A076C" w:rsidRDefault="00742247" w:rsidP="0087581D">
            <w:pPr>
              <w:pStyle w:val="Tabletext1"/>
            </w:pPr>
            <w:r>
              <w:t>Prostate biopsies avoided</w:t>
            </w:r>
          </w:p>
        </w:tc>
        <w:tc>
          <w:tcPr>
            <w:tcW w:w="1024" w:type="pct"/>
            <w:noWrap/>
            <w:hideMark/>
          </w:tcPr>
          <w:p w14:paraId="0D7A0B00" w14:textId="77777777" w:rsidR="00742247" w:rsidRPr="007A076C" w:rsidRDefault="00742247" w:rsidP="0087581D">
            <w:pPr>
              <w:pStyle w:val="Tabletext1"/>
            </w:pPr>
            <w:r>
              <w:t>mpMRI superior</w:t>
            </w:r>
          </w:p>
        </w:tc>
      </w:tr>
    </w:tbl>
    <w:p w14:paraId="3847EC94" w14:textId="71976F98" w:rsidR="00742247" w:rsidRPr="00E76E7E" w:rsidRDefault="00CB27C2" w:rsidP="00E76E7E">
      <w:pPr>
        <w:pStyle w:val="TableNotes"/>
      </w:pPr>
      <w:r>
        <w:t>mpMRI =</w:t>
      </w:r>
      <w:r w:rsidR="00742247" w:rsidRPr="00E76E7E">
        <w:t xml:space="preserve"> multiparametric MRI</w:t>
      </w:r>
      <w:r w:rsidR="007244E6">
        <w:t>,</w:t>
      </w:r>
      <w:r>
        <w:t xml:space="preserve"> </w:t>
      </w:r>
      <w:r w:rsidR="00742247" w:rsidRPr="00E76E7E">
        <w:t>TPUSGB</w:t>
      </w:r>
      <w:r w:rsidR="007244E6">
        <w:t xml:space="preserve"> =</w:t>
      </w:r>
      <w:r w:rsidR="00742247" w:rsidRPr="00E76E7E">
        <w:t xml:space="preserve"> trans</w:t>
      </w:r>
      <w:r>
        <w:t>-</w:t>
      </w:r>
      <w:r w:rsidR="00742247" w:rsidRPr="00E76E7E">
        <w:t>perineal ultrasound guided biopsy</w:t>
      </w:r>
      <w:r>
        <w:t xml:space="preserve">, </w:t>
      </w:r>
      <w:r w:rsidR="00742247" w:rsidRPr="00E76E7E">
        <w:t>TRUSGB</w:t>
      </w:r>
      <w:r>
        <w:t xml:space="preserve"> =</w:t>
      </w:r>
      <w:r w:rsidR="00742247" w:rsidRPr="00E76E7E">
        <w:t xml:space="preserve"> trans</w:t>
      </w:r>
      <w:r>
        <w:t>-</w:t>
      </w:r>
      <w:r w:rsidR="00742247" w:rsidRPr="00E76E7E">
        <w:t>rectal ultrasound guided biopsy</w:t>
      </w:r>
      <w:r w:rsidR="00AB1EEA">
        <w:t>, AS = active surveillance</w:t>
      </w:r>
      <w:r w:rsidR="00742247" w:rsidRPr="00E76E7E">
        <w:t xml:space="preserve">. </w:t>
      </w:r>
    </w:p>
    <w:p w14:paraId="3A4BAB4B" w14:textId="6C992F47" w:rsidR="00742247" w:rsidRDefault="00826E84" w:rsidP="00742247">
      <w:r>
        <w:t>T</w:t>
      </w:r>
      <w:r w:rsidR="00742247">
        <w:t xml:space="preserve">o quantify the trade-off between mpMRI costs and benefits, a cost-utility analysis was undertaken. The benefits of mpMRI in the model are associated with avoiding biopsies and overtreatment associated with low to intermediate risk PCa in a proportion of the population. </w:t>
      </w:r>
    </w:p>
    <w:p w14:paraId="03F71CFD" w14:textId="7257FF1B" w:rsidR="00742247" w:rsidRDefault="00742247" w:rsidP="00742247">
      <w:r>
        <w:t xml:space="preserve">The aim of the modelled economic evaluation is to estimate the cost-utility of mpMRI in two populations consisting of men with suspected </w:t>
      </w:r>
      <w:r w:rsidR="000C51FC">
        <w:t>PCa</w:t>
      </w:r>
      <w:r>
        <w:t xml:space="preserve"> and men with </w:t>
      </w:r>
      <w:r w:rsidR="000C51FC">
        <w:t xml:space="preserve">PCa </w:t>
      </w:r>
      <w:r>
        <w:t xml:space="preserve">undergoing </w:t>
      </w:r>
      <w:r w:rsidR="00AB1EEA">
        <w:t>AS</w:t>
      </w:r>
      <w:r>
        <w:t xml:space="preserve">. One model was developed to examine the cost-utility of mpMRI in both populations. </w:t>
      </w:r>
      <w:r w:rsidRPr="00292419">
        <w:t>Data to inform the assumptions of the model were from</w:t>
      </w:r>
      <w:r>
        <w:t xml:space="preserve"> the studies discussed in Sections B and C. </w:t>
      </w:r>
      <w:r w:rsidRPr="007C58A9">
        <w:t>Where data was unavailable, expert opinion has been s</w:t>
      </w:r>
      <w:r>
        <w:t>ought</w:t>
      </w:r>
      <w:r w:rsidRPr="007C58A9">
        <w:t>.</w:t>
      </w:r>
    </w:p>
    <w:p w14:paraId="3A1FC6FD" w14:textId="424984C0" w:rsidR="00742247" w:rsidRDefault="00742247" w:rsidP="00742247">
      <w:r>
        <w:t xml:space="preserve">This technology assessment is specific to mpMRI being used in the diagnostic pathway of PCa. As biopsy with TRUSGB, TPUSGB and </w:t>
      </w:r>
      <w:r w:rsidR="00E96DDA">
        <w:t>MRIGB</w:t>
      </w:r>
      <w:r>
        <w:t xml:space="preserve"> are part of the clinical management algorithm, they are included in the assessment. However, the assumptions and structure of the economic evaluation in this assessment aim to evaluate to use of mpMRI and not </w:t>
      </w:r>
      <w:r w:rsidR="00E96DDA">
        <w:t>MRIGB</w:t>
      </w:r>
      <w:r>
        <w:t xml:space="preserve">, which is being assessed in a separate evaluation (CA 1424). </w:t>
      </w:r>
    </w:p>
    <w:p w14:paraId="7021B0C6" w14:textId="77777777" w:rsidR="00742247" w:rsidRPr="00183E4D" w:rsidRDefault="00742247" w:rsidP="00742247">
      <w:pPr>
        <w:pStyle w:val="Heading2"/>
        <w:numPr>
          <w:ilvl w:val="3"/>
          <w:numId w:val="8"/>
        </w:numPr>
        <w:jc w:val="left"/>
      </w:pPr>
      <w:bookmarkStart w:id="497" w:name="_Toc381796477"/>
      <w:bookmarkStart w:id="498" w:name="_Toc455916059"/>
      <w:bookmarkStart w:id="499" w:name="_Ref456533816"/>
      <w:bookmarkStart w:id="500" w:name="_Toc457383613"/>
      <w:bookmarkStart w:id="501" w:name="_Toc459987861"/>
      <w:bookmarkStart w:id="502" w:name="_Toc460513981"/>
      <w:r w:rsidRPr="00183E4D">
        <w:lastRenderedPageBreak/>
        <w:t>Populations and settings</w:t>
      </w:r>
      <w:bookmarkEnd w:id="497"/>
      <w:bookmarkEnd w:id="498"/>
      <w:bookmarkEnd w:id="499"/>
      <w:bookmarkEnd w:id="500"/>
      <w:bookmarkEnd w:id="501"/>
      <w:bookmarkEnd w:id="502"/>
    </w:p>
    <w:p w14:paraId="5787861A" w14:textId="649E2A4C" w:rsidR="00742247" w:rsidRPr="000A79F4" w:rsidRDefault="00742247" w:rsidP="00742247">
      <w:r>
        <w:t>One economic model is presented which includes b</w:t>
      </w:r>
      <w:r w:rsidRPr="0025794F">
        <w:t xml:space="preserve">oth </w:t>
      </w:r>
      <w:r>
        <w:t xml:space="preserve">Population 1 and Population 2. The cohort of patients entering the model </w:t>
      </w:r>
      <w:r w:rsidRPr="00BB6A6D">
        <w:t>consists of Australian men aged 66 years</w:t>
      </w:r>
      <w:r>
        <w:t>, which is the mean age of PCa diagnosis in Australia as obtained from the Victorian Prostate Cancer registry</w:t>
      </w:r>
      <w:r w:rsidR="0087581D">
        <w:t xml:space="preserve"> </w:t>
      </w:r>
      <w:r w:rsidR="008E0B00">
        <w:fldChar w:fldCharType="begin"/>
      </w:r>
      <w:r w:rsidR="008E0B00">
        <w:instrText xml:space="preserve"> ADDIN EN.CITE &lt;EndNote&gt;&lt;Cite&gt;&lt;Author&gt;Committee&lt;/Author&gt;&lt;Year&gt;2015&lt;/Year&gt;&lt;RecNum&gt;98&lt;/RecNum&gt;&lt;DisplayText&gt;(Victorian Prostate Cancer Clinical Registry Steering Committee 2015)&lt;/DisplayText&gt;&lt;record&gt;&lt;rec-number&gt;98&lt;/rec-number&gt;&lt;foreign-keys&gt;&lt;key app="EN" db-id="2p9terxr22fx91epzebpfdwuzrwtw2a2ep2t" timestamp="1472684622"&gt;98&lt;/key&gt;&lt;/foreign-keys&gt;&lt;ref-type name="Report"&gt;27&lt;/ref-type&gt;&lt;contributors&gt;&lt;authors&gt;&lt;author&gt;Victorian Prostate Cancer Clinical Registry Steering Committee,&lt;/author&gt;&lt;/authors&gt;&lt;secondary-authors&gt;&lt;author&gt;Sampurno F; Evans SM&lt;/author&gt;&lt;/secondary-authors&gt;&lt;/contributors&gt;&lt;titles&gt;&lt;title&gt;Five year report, Victorian prostate cancer clinical registry&lt;/title&gt;&lt;/titles&gt;&lt;dates&gt;&lt;year&gt;2015&lt;/year&gt;&lt;/dates&gt;&lt;urls&gt;&lt;/urls&gt;&lt;access-date&gt;1 September 2016&lt;/access-date&gt;&lt;/record&gt;&lt;/Cite&gt;&lt;/EndNote&gt;</w:instrText>
      </w:r>
      <w:r w:rsidR="008E0B00">
        <w:fldChar w:fldCharType="separate"/>
      </w:r>
      <w:r w:rsidR="008E0B00">
        <w:rPr>
          <w:noProof/>
        </w:rPr>
        <w:t>(</w:t>
      </w:r>
      <w:hyperlink w:anchor="_ENREF_170" w:tooltip="Victorian Prostate Cancer Clinical Registry Steering Committee, 2015 #98" w:history="1">
        <w:r w:rsidR="008E0B00">
          <w:rPr>
            <w:noProof/>
          </w:rPr>
          <w:t>Victorian Prostate Cancer Clinical Registry Steering Committee 2015</w:t>
        </w:r>
      </w:hyperlink>
      <w:r w:rsidR="008E0B00">
        <w:rPr>
          <w:noProof/>
        </w:rPr>
        <w:t>)</w:t>
      </w:r>
      <w:r w:rsidR="008E0B00">
        <w:fldChar w:fldCharType="end"/>
      </w:r>
      <w:r w:rsidRPr="00BB6A6D">
        <w:t>.</w:t>
      </w:r>
      <w:r>
        <w:t xml:space="preserve"> Patients in the cohort age over time in the model, and background mortality changes accordingly. </w:t>
      </w:r>
      <w:r w:rsidRPr="00766198">
        <w:t xml:space="preserve">Details of the applicability </w:t>
      </w:r>
      <w:r w:rsidRPr="00DE2886">
        <w:t>of the modelled population to the expected MBS population (demographic and patient characteristics) are presented in Section C.</w:t>
      </w:r>
      <w:r>
        <w:t xml:space="preserve"> </w:t>
      </w:r>
      <w:r w:rsidRPr="00DE2886">
        <w:t xml:space="preserve">The structure of the economic </w:t>
      </w:r>
      <w:r w:rsidRPr="000A79F4">
        <w:t>model is presented in S</w:t>
      </w:r>
      <w:r w:rsidR="0087581D">
        <w:t>ubs</w:t>
      </w:r>
      <w:r w:rsidRPr="000A79F4">
        <w:t xml:space="preserve">ection D.3. </w:t>
      </w:r>
    </w:p>
    <w:p w14:paraId="05307C20" w14:textId="725DEB69" w:rsidR="00742247" w:rsidRDefault="00742247" w:rsidP="00742247">
      <w:r w:rsidRPr="000A79F4">
        <w:t xml:space="preserve">In the specific modelled population, patients presenting with a high or concerning PSA/DRE are selected for further investigations in the model. Results for the economic evaluation are presented for </w:t>
      </w:r>
      <w:r>
        <w:t>Population 1</w:t>
      </w:r>
      <w:r w:rsidRPr="000A79F4">
        <w:t xml:space="preserve"> and </w:t>
      </w:r>
      <w:r>
        <w:t>Population 2</w:t>
      </w:r>
      <w:r w:rsidRPr="000A79F4">
        <w:t xml:space="preserve"> separately. For this reason, each population is discussed separately below. The eligibility criteria for mpMRI and TRUSGB in the economic model are consistent with the clinical algorithm stipulated in Section A and the </w:t>
      </w:r>
      <w:r w:rsidR="007F498C">
        <w:t>P</w:t>
      </w:r>
      <w:r>
        <w:t>rotocol</w:t>
      </w:r>
      <w:r w:rsidRPr="000A79F4">
        <w:t>.</w:t>
      </w:r>
    </w:p>
    <w:p w14:paraId="30168196" w14:textId="77777777" w:rsidR="00742247" w:rsidRPr="00851EB9" w:rsidRDefault="00742247" w:rsidP="00742247">
      <w:pPr>
        <w:pStyle w:val="Heading3"/>
      </w:pPr>
      <w:bookmarkStart w:id="503" w:name="_Toc457383614"/>
      <w:bookmarkStart w:id="504" w:name="_Toc459987862"/>
      <w:bookmarkStart w:id="505" w:name="_Toc460513982"/>
      <w:r w:rsidRPr="00851EB9">
        <w:t>Population 1</w:t>
      </w:r>
      <w:bookmarkEnd w:id="503"/>
      <w:bookmarkEnd w:id="504"/>
      <w:bookmarkEnd w:id="505"/>
    </w:p>
    <w:p w14:paraId="6A76268A" w14:textId="77777777" w:rsidR="00742247" w:rsidRDefault="00742247" w:rsidP="00742247">
      <w:r>
        <w:t>Population 1 consists of men suspected of having prostate cancer. Of note, men who are suspected of having prostate cancer are selected if they have any of the following risk factors:</w:t>
      </w:r>
    </w:p>
    <w:p w14:paraId="781D3334" w14:textId="3F79FF75" w:rsidR="00E14A4F" w:rsidRDefault="00E14A4F" w:rsidP="00A3402C">
      <w:pPr>
        <w:pStyle w:val="ListParagraph"/>
        <w:numPr>
          <w:ilvl w:val="0"/>
          <w:numId w:val="22"/>
        </w:numPr>
      </w:pPr>
      <w:r>
        <w:t>PSA greater than 3</w:t>
      </w:r>
      <w:r w:rsidR="001D697C">
        <w:rPr>
          <w:rFonts w:asciiTheme="minorHAnsi" w:hAnsiTheme="minorHAnsi"/>
        </w:rPr>
        <w:t>ng/ml</w:t>
      </w:r>
      <w:r>
        <w:t xml:space="preserve"> (or lower level if less than 50 years of age); or</w:t>
      </w:r>
    </w:p>
    <w:p w14:paraId="134247AE" w14:textId="77777777" w:rsidR="00E14A4F" w:rsidRDefault="00E14A4F" w:rsidP="00A3402C">
      <w:pPr>
        <w:pStyle w:val="ListParagraph"/>
        <w:numPr>
          <w:ilvl w:val="0"/>
          <w:numId w:val="22"/>
        </w:numPr>
      </w:pPr>
      <w:r>
        <w:t xml:space="preserve">Positive family history (includes breast cancer [BRCA] gene mutation); </w:t>
      </w:r>
      <w:r w:rsidRPr="00E946A0">
        <w:t>or</w:t>
      </w:r>
      <w:r>
        <w:t xml:space="preserve"> </w:t>
      </w:r>
    </w:p>
    <w:p w14:paraId="70C4A65D" w14:textId="77777777" w:rsidR="00E14A4F" w:rsidRDefault="00E14A4F" w:rsidP="00A3402C">
      <w:pPr>
        <w:pStyle w:val="ListParagraph"/>
        <w:numPr>
          <w:ilvl w:val="0"/>
          <w:numId w:val="22"/>
        </w:numPr>
      </w:pPr>
      <w:r>
        <w:t>Free/total PSA ratio less than 25 per cent; or</w:t>
      </w:r>
    </w:p>
    <w:p w14:paraId="432F3AEA" w14:textId="77777777" w:rsidR="00E14A4F" w:rsidRDefault="00E14A4F" w:rsidP="00A3402C">
      <w:pPr>
        <w:pStyle w:val="ListParagraph"/>
        <w:numPr>
          <w:ilvl w:val="0"/>
          <w:numId w:val="22"/>
        </w:numPr>
      </w:pPr>
      <w:r>
        <w:t>Positive DRE.</w:t>
      </w:r>
    </w:p>
    <w:p w14:paraId="2B52A2F5" w14:textId="77777777" w:rsidR="00742247" w:rsidRDefault="00742247" w:rsidP="00742247">
      <w:r>
        <w:t xml:space="preserve">The PASC previously considered PSA that is “high or concerning” is a matter of clinical judgement, which involves interpreting the PSA result in relation to the patient’s age, family history, prostate volume, increase in PSA score over a 12 month period and the results of DRE examinations (Protocol p9). </w:t>
      </w:r>
    </w:p>
    <w:p w14:paraId="1C426A2C" w14:textId="77777777" w:rsidR="00742247" w:rsidRDefault="00742247" w:rsidP="00742247">
      <w:r>
        <w:t xml:space="preserve">The main differences in the clinical management between the intervention (mpMRI) and the comparator are: </w:t>
      </w:r>
    </w:p>
    <w:p w14:paraId="3AEFD34E" w14:textId="77777777" w:rsidR="00742247" w:rsidRPr="00702B09" w:rsidRDefault="00742247" w:rsidP="00A3402C">
      <w:pPr>
        <w:pStyle w:val="ListParagraph"/>
        <w:numPr>
          <w:ilvl w:val="0"/>
          <w:numId w:val="35"/>
        </w:numPr>
        <w:contextualSpacing w:val="0"/>
      </w:pPr>
      <w:r>
        <w:t xml:space="preserve">In the comparator arm, all patients with high or concerning PSA/DRE are referred to undergo prostate biopsy. There are no additional criteria to select patients for investigation with TRUSGB/TPUSGB. </w:t>
      </w:r>
    </w:p>
    <w:p w14:paraId="1D8A2F74" w14:textId="1C9AD316" w:rsidR="00742247" w:rsidRDefault="00742247" w:rsidP="00A3402C">
      <w:pPr>
        <w:pStyle w:val="ListParagraph"/>
        <w:numPr>
          <w:ilvl w:val="0"/>
          <w:numId w:val="35"/>
        </w:numPr>
        <w:contextualSpacing w:val="0"/>
      </w:pPr>
      <w:r>
        <w:t xml:space="preserve">In the </w:t>
      </w:r>
      <w:r w:rsidRPr="000A79F4">
        <w:t xml:space="preserve">intervention arm, all patients with high or concerning PSA/DRE are referred to undergo mpMRI. Further clinical management depends on risk category </w:t>
      </w:r>
      <w:r w:rsidR="00E14A4F">
        <w:t>(“low-</w:t>
      </w:r>
      <w:r w:rsidRPr="000A79F4">
        <w:t xml:space="preserve">concern” </w:t>
      </w:r>
      <w:r w:rsidR="006C03BC">
        <w:t>versus</w:t>
      </w:r>
      <w:r w:rsidRPr="000A79F4">
        <w:t xml:space="preserve"> “intermediate</w:t>
      </w:r>
      <w:r w:rsidR="00E14A4F">
        <w:t>-</w:t>
      </w:r>
      <w:r w:rsidRPr="000A79F4">
        <w:t xml:space="preserve"> or high</w:t>
      </w:r>
      <w:r w:rsidR="00E14A4F">
        <w:t>-</w:t>
      </w:r>
      <w:r w:rsidRPr="000A79F4">
        <w:t xml:space="preserve">concern”) and mpMRI results. Patients that undergo an mpMRI are </w:t>
      </w:r>
      <w:r w:rsidR="00E14A4F">
        <w:t>split into “low-</w:t>
      </w:r>
      <w:r w:rsidRPr="000A79F4">
        <w:t>concern” or “intermediate</w:t>
      </w:r>
      <w:r w:rsidR="00E14A4F">
        <w:t>-</w:t>
      </w:r>
      <w:r w:rsidRPr="000A79F4">
        <w:t xml:space="preserve"> or high</w:t>
      </w:r>
      <w:r w:rsidR="00E14A4F">
        <w:t>-</w:t>
      </w:r>
      <w:r w:rsidRPr="000A79F4">
        <w:t xml:space="preserve">concern” groups based on </w:t>
      </w:r>
      <w:r w:rsidRPr="000A79F4">
        <w:lastRenderedPageBreak/>
        <w:t xml:space="preserve">clinical criteria using laboratory results (PSA) and family medical history. </w:t>
      </w:r>
      <w:r>
        <w:t>The m</w:t>
      </w:r>
      <w:r w:rsidRPr="000A79F4">
        <w:t>pMRI results are based on the PI-RADS system. Assumed clinical management for patients selected into these groups is consistent with the clinical management algorithm (Section A):</w:t>
      </w:r>
    </w:p>
    <w:p w14:paraId="594B3FFE" w14:textId="0163CB84" w:rsidR="00742247" w:rsidRDefault="00E14A4F" w:rsidP="00A3402C">
      <w:pPr>
        <w:pStyle w:val="ListParagraph"/>
        <w:numPr>
          <w:ilvl w:val="1"/>
          <w:numId w:val="35"/>
        </w:numPr>
        <w:contextualSpacing w:val="0"/>
      </w:pPr>
      <w:r>
        <w:t>Patients deemed “low-c</w:t>
      </w:r>
      <w:r w:rsidR="00742247">
        <w:t>oncern”, and assi</w:t>
      </w:r>
      <w:r>
        <w:t xml:space="preserve">gned a PI-RADS score </w:t>
      </w:r>
      <w:r w:rsidR="0050718B">
        <w:t>from</w:t>
      </w:r>
      <w:r>
        <w:t xml:space="preserve"> 1-</w:t>
      </w:r>
      <w:r w:rsidR="00742247">
        <w:t xml:space="preserve">3 remain under observation. </w:t>
      </w:r>
    </w:p>
    <w:p w14:paraId="36E2DEB9" w14:textId="69180E55" w:rsidR="00742247" w:rsidRDefault="00E14A4F" w:rsidP="00A3402C">
      <w:pPr>
        <w:pStyle w:val="ListParagraph"/>
        <w:numPr>
          <w:ilvl w:val="1"/>
          <w:numId w:val="35"/>
        </w:numPr>
        <w:contextualSpacing w:val="0"/>
      </w:pPr>
      <w:r>
        <w:t>Patients deemed “low-</w:t>
      </w:r>
      <w:r w:rsidR="00742247">
        <w:t xml:space="preserve">concern”, but are assigned a PI-RADS score of 4 or 5 are referred for further investigation and undergo biopsy. </w:t>
      </w:r>
    </w:p>
    <w:p w14:paraId="388724D1" w14:textId="3F6BDEA0" w:rsidR="00742247" w:rsidRDefault="00742247" w:rsidP="00A3402C">
      <w:pPr>
        <w:pStyle w:val="ListParagraph"/>
        <w:numPr>
          <w:ilvl w:val="1"/>
          <w:numId w:val="35"/>
        </w:numPr>
        <w:contextualSpacing w:val="0"/>
      </w:pPr>
      <w:r>
        <w:t>All patients deemed “intermediate</w:t>
      </w:r>
      <w:r w:rsidR="00E14A4F">
        <w:t>- or high-</w:t>
      </w:r>
      <w:r>
        <w:t xml:space="preserve">concern” are referred for further investigation and undergo biopsy. </w:t>
      </w:r>
    </w:p>
    <w:p w14:paraId="339C35F3" w14:textId="09643FAF" w:rsidR="00742247" w:rsidRDefault="00742247" w:rsidP="00742247">
      <w:r>
        <w:t xml:space="preserve">The objective of using mpMRI in the clinical management algorithm is to improve the likelihood of a person having clinically significant PCa when undergoing prostate biopsy. The results of mpMRI contain additional diagnostic information to aid clinicians in determining the likelihood of the presence of clinically significant cancer and adjust clinical management accordingly. The PI-RADS score, which is specific for prostate imaging, provides assessment categories that summarise levels of suspicion or risk for clinically significant </w:t>
      </w:r>
      <w:r w:rsidR="00E14A4F">
        <w:t>PCa</w:t>
      </w:r>
      <w:r w:rsidR="00756A00">
        <w:t xml:space="preserve"> </w:t>
      </w:r>
      <w:r w:rsidR="008E0B00">
        <w:fldChar w:fldCharType="begin">
          <w:fldData xml:space="preserve">PEVuZE5vdGU+PENpdGU+PEF1dGhvcj5XZWlucmViPC9BdXRob3I+PFllYXI+MjAxNjwvWWVhcj48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</w:fldData>
        </w:fldChar>
      </w:r>
      <w:r w:rsidR="008E0B00">
        <w:instrText xml:space="preserve"> ADDIN EN.CITE </w:instrText>
      </w:r>
      <w:r w:rsidR="008E0B00">
        <w:fldChar w:fldCharType="begin">
          <w:fldData xml:space="preserve">PEVuZE5vdGU+PENpdGU+PEF1dGhvcj5XZWlucmViPC9BdXRob3I+PFllYXI+MjAxNjwvWWVhcj48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179" w:tooltip="Weinreb, 2016 #163" w:history="1">
        <w:r w:rsidR="008E0B00">
          <w:rPr>
            <w:noProof/>
          </w:rPr>
          <w:t>Weinreb et al. 2016</w:t>
        </w:r>
      </w:hyperlink>
      <w:r w:rsidR="008E0B00">
        <w:rPr>
          <w:noProof/>
        </w:rPr>
        <w:t>)</w:t>
      </w:r>
      <w:r w:rsidR="008E0B00">
        <w:fldChar w:fldCharType="end"/>
      </w:r>
      <w:r>
        <w:t xml:space="preserve">. Patients categorised with a PI-RADS score of 4 or 5 are more likely to have clinically significant cancer and undergo biopsy to obtain </w:t>
      </w:r>
      <w:r w:rsidRPr="00891DB3">
        <w:t xml:space="preserve">confirmation of </w:t>
      </w:r>
      <w:r w:rsidR="00E14A4F">
        <w:t>PCa</w:t>
      </w:r>
      <w:r w:rsidRPr="00891DB3">
        <w:t>.</w:t>
      </w:r>
      <w:r>
        <w:t xml:space="preserve"> </w:t>
      </w:r>
      <w:r w:rsidRPr="00891DB3">
        <w:t xml:space="preserve">The eligibility criteria for patients undergoing mpMRI and TRUSGB for </w:t>
      </w:r>
      <w:r>
        <w:t>Population 1</w:t>
      </w:r>
      <w:r w:rsidRPr="00891DB3">
        <w:t xml:space="preserve"> in the economic model are consistent with the clinical algorithm stipulated in Section A and</w:t>
      </w:r>
      <w:r>
        <w:t xml:space="preserve"> the Prot</w:t>
      </w:r>
      <w:r w:rsidR="00756A00">
        <w:t>ocol (</w:t>
      </w:r>
      <w:r w:rsidR="00756A00">
        <w:fldChar w:fldCharType="begin"/>
      </w:r>
      <w:r w:rsidR="00756A00">
        <w:instrText xml:space="preserve"> REF _Ref379455005 \h </w:instrText>
      </w:r>
      <w:r w:rsidR="00756A00">
        <w:fldChar w:fldCharType="separate"/>
      </w:r>
      <w:r w:rsidR="0029649D" w:rsidRPr="00183E4D">
        <w:t xml:space="preserve">Figure </w:t>
      </w:r>
      <w:r w:rsidR="0029649D">
        <w:rPr>
          <w:noProof/>
        </w:rPr>
        <w:t>1</w:t>
      </w:r>
      <w:r w:rsidR="00756A00">
        <w:fldChar w:fldCharType="end"/>
      </w:r>
      <w:r w:rsidR="00756A00">
        <w:t xml:space="preserve"> and </w:t>
      </w:r>
      <w:r w:rsidR="00756A00">
        <w:fldChar w:fldCharType="begin"/>
      </w:r>
      <w:r w:rsidR="00756A00">
        <w:instrText xml:space="preserve"> REF _Ref456771278 \h </w:instrText>
      </w:r>
      <w:r w:rsidR="00756A00">
        <w:fldChar w:fldCharType="separate"/>
      </w:r>
      <w:r w:rsidR="0029649D" w:rsidRPr="005944F4">
        <w:t xml:space="preserve">Figure </w:t>
      </w:r>
      <w:r w:rsidR="0029649D">
        <w:rPr>
          <w:noProof/>
        </w:rPr>
        <w:t>2</w:t>
      </w:r>
      <w:r w:rsidR="00756A00">
        <w:fldChar w:fldCharType="end"/>
      </w:r>
      <w:r w:rsidR="00756A00">
        <w:t>)</w:t>
      </w:r>
      <w:r>
        <w:t xml:space="preserve">. </w:t>
      </w:r>
    </w:p>
    <w:p w14:paraId="0ACE84D2" w14:textId="77777777" w:rsidR="00742247" w:rsidRPr="00851EB9" w:rsidRDefault="00742247" w:rsidP="00742247">
      <w:pPr>
        <w:pStyle w:val="Heading3"/>
      </w:pPr>
      <w:bookmarkStart w:id="506" w:name="_Toc457383615"/>
      <w:bookmarkStart w:id="507" w:name="_Toc459987863"/>
      <w:bookmarkStart w:id="508" w:name="_Toc460513983"/>
      <w:r w:rsidRPr="00851EB9">
        <w:t>Population 2</w:t>
      </w:r>
      <w:bookmarkEnd w:id="506"/>
      <w:bookmarkEnd w:id="507"/>
      <w:bookmarkEnd w:id="508"/>
    </w:p>
    <w:p w14:paraId="2FCA2217" w14:textId="2852956B" w:rsidR="00742247" w:rsidRDefault="00742247" w:rsidP="00742247">
      <w:r>
        <w:t xml:space="preserve">Population 2 consists of men with </w:t>
      </w:r>
      <w:r w:rsidR="00E14A4F">
        <w:t xml:space="preserve">PCa </w:t>
      </w:r>
      <w:r>
        <w:t xml:space="preserve">undergoing </w:t>
      </w:r>
      <w:r w:rsidR="00AB1EEA">
        <w:t>AS</w:t>
      </w:r>
      <w:r>
        <w:t>. This is a sub-population of the patients from Population 1 who are diagnosed with prostate cancer. The clinical management of patients undergoing mpMRI in Population 2 is similar to the clinical management of patients undergoing mpMRI in Population 1</w:t>
      </w:r>
      <w:r w:rsidR="00756A00">
        <w:t xml:space="preserve"> (</w:t>
      </w:r>
      <w:r w:rsidR="00756A00">
        <w:fldChar w:fldCharType="begin"/>
      </w:r>
      <w:r w:rsidR="00756A00">
        <w:instrText xml:space="preserve"> REF _Ref456879618 \h </w:instrText>
      </w:r>
      <w:r w:rsidR="00756A00">
        <w:fldChar w:fldCharType="separate"/>
      </w:r>
      <w:r w:rsidR="0029649D" w:rsidRPr="00747376">
        <w:t xml:space="preserve">Figure </w:t>
      </w:r>
      <w:r w:rsidR="0029649D">
        <w:rPr>
          <w:noProof/>
        </w:rPr>
        <w:t>3</w:t>
      </w:r>
      <w:r w:rsidR="00756A00">
        <w:fldChar w:fldCharType="end"/>
      </w:r>
      <w:r w:rsidR="00756A00">
        <w:t xml:space="preserve"> and </w:t>
      </w:r>
      <w:r w:rsidR="00756A00">
        <w:fldChar w:fldCharType="begin"/>
      </w:r>
      <w:r w:rsidR="00756A00">
        <w:instrText xml:space="preserve"> REF _Ref458429699 \h </w:instrText>
      </w:r>
      <w:r w:rsidR="00756A00">
        <w:fldChar w:fldCharType="separate"/>
      </w:r>
      <w:r w:rsidR="0029649D" w:rsidRPr="00922135">
        <w:t xml:space="preserve">Figure </w:t>
      </w:r>
      <w:r w:rsidR="0029649D">
        <w:rPr>
          <w:noProof/>
        </w:rPr>
        <w:t>4</w:t>
      </w:r>
      <w:r w:rsidR="00756A00">
        <w:fldChar w:fldCharType="end"/>
      </w:r>
      <w:r>
        <w:t xml:space="preserve">. </w:t>
      </w:r>
    </w:p>
    <w:p w14:paraId="788A8FDD" w14:textId="1172BA9C" w:rsidR="00742247" w:rsidRDefault="00742247" w:rsidP="00742247">
      <w:r>
        <w:t xml:space="preserve">The clinical management algorithm in the Protocol for </w:t>
      </w:r>
      <w:r w:rsidR="00AB1EEA">
        <w:t>AS</w:t>
      </w:r>
      <w:r>
        <w:t xml:space="preserve"> and differences between the intervention and comparator groups are presented in </w:t>
      </w:r>
      <w:r>
        <w:fldChar w:fldCharType="begin"/>
      </w:r>
      <w:r>
        <w:instrText xml:space="preserve"> REF _Ref456432850 \h </w:instrText>
      </w:r>
      <w:r>
        <w:fldChar w:fldCharType="separate"/>
      </w:r>
      <w:r w:rsidR="0029649D">
        <w:t xml:space="preserve">Table </w:t>
      </w:r>
      <w:r w:rsidR="0029649D">
        <w:rPr>
          <w:noProof/>
        </w:rPr>
        <w:t>48</w:t>
      </w:r>
      <w:r>
        <w:fldChar w:fldCharType="end"/>
      </w:r>
      <w:r>
        <w:t xml:space="preserve">. The differences for the arms in Population 2 occur when concerns about clinical or PSA changes occur (at any time). </w:t>
      </w:r>
    </w:p>
    <w:p w14:paraId="76BE045F" w14:textId="77777777" w:rsidR="00742247" w:rsidRDefault="00742247" w:rsidP="00742247">
      <w:pPr>
        <w:pStyle w:val="Caption"/>
      </w:pPr>
      <w:bookmarkStart w:id="509" w:name="_Ref456432850"/>
      <w:bookmarkStart w:id="510" w:name="_Toc457383670"/>
      <w:bookmarkStart w:id="511" w:name="_Toc459987908"/>
      <w:bookmarkStart w:id="512" w:name="_Toc460514548"/>
      <w:r>
        <w:lastRenderedPageBreak/>
        <w:t xml:space="preserve">Table </w:t>
      </w:r>
      <w:fldSimple w:instr=" SEQ Table \* ARABIC ">
        <w:r w:rsidR="0029649D">
          <w:rPr>
            <w:noProof/>
          </w:rPr>
          <w:t>48</w:t>
        </w:r>
      </w:fldSimple>
      <w:bookmarkEnd w:id="509"/>
      <w:r>
        <w:rPr>
          <w:noProof/>
        </w:rPr>
        <w:tab/>
      </w:r>
      <w:r>
        <w:t>Active surveillance</w:t>
      </w:r>
      <w:r w:rsidRPr="005E2DCA">
        <w:t xml:space="preserve"> </w:t>
      </w:r>
      <w:r>
        <w:t>of men with prostate cancer</w:t>
      </w:r>
      <w:bookmarkEnd w:id="510"/>
      <w:bookmarkEnd w:id="511"/>
      <w:bookmarkEnd w:id="512"/>
    </w:p>
    <w:tbl>
      <w:tblPr>
        <w:tblStyle w:val="TableGrid"/>
        <w:tblW w:w="9112" w:type="dxa"/>
        <w:tblInd w:w="130" w:type="dxa"/>
        <w:tblCellMar>
          <w:left w:w="28" w:type="dxa"/>
          <w:right w:w="28" w:type="dxa"/>
        </w:tblCellMar>
        <w:tblLook w:val="04A0" w:firstRow="1" w:lastRow="0" w:firstColumn="1" w:lastColumn="0" w:noHBand="0" w:noVBand="1"/>
        <w:tblDescription w:val="Active surveillance of men with prostate cancer"/>
      </w:tblPr>
      <w:tblGrid>
        <w:gridCol w:w="1650"/>
        <w:gridCol w:w="4602"/>
        <w:gridCol w:w="2860"/>
      </w:tblGrid>
      <w:tr w:rsidR="00742247" w:rsidRPr="00486F70" w14:paraId="16FFF103" w14:textId="77777777" w:rsidTr="00486F70">
        <w:trPr>
          <w:trHeight w:val="397"/>
          <w:tblHeader/>
        </w:trPr>
        <w:tc>
          <w:tcPr>
            <w:tcW w:w="1668" w:type="dxa"/>
            <w:tcBorders>
              <w:bottom w:val="single" w:sz="4" w:space="0" w:color="auto"/>
            </w:tcBorders>
          </w:tcPr>
          <w:p w14:paraId="72BAB0B6" w14:textId="77777777" w:rsidR="00742247" w:rsidRPr="00486F70" w:rsidRDefault="00742247" w:rsidP="00756A00">
            <w:pPr>
              <w:pStyle w:val="Tableheading1"/>
              <w:keepNext/>
            </w:pPr>
            <w:r w:rsidRPr="00486F70">
              <w:t>Time</w:t>
            </w:r>
          </w:p>
        </w:tc>
        <w:tc>
          <w:tcPr>
            <w:tcW w:w="4677" w:type="dxa"/>
            <w:tcBorders>
              <w:bottom w:val="single" w:sz="4" w:space="0" w:color="auto"/>
            </w:tcBorders>
          </w:tcPr>
          <w:p w14:paraId="7F1A2E39" w14:textId="77777777" w:rsidR="00742247" w:rsidRPr="00486F70" w:rsidRDefault="00742247" w:rsidP="00756A00">
            <w:pPr>
              <w:pStyle w:val="Tableheading1"/>
              <w:keepNext/>
            </w:pPr>
            <w:r w:rsidRPr="00486F70">
              <w:t>Intervention</w:t>
            </w:r>
          </w:p>
        </w:tc>
        <w:tc>
          <w:tcPr>
            <w:tcW w:w="2897" w:type="dxa"/>
            <w:tcBorders>
              <w:bottom w:val="single" w:sz="4" w:space="0" w:color="auto"/>
            </w:tcBorders>
          </w:tcPr>
          <w:p w14:paraId="2A6C4781" w14:textId="77777777" w:rsidR="00742247" w:rsidRPr="00486F70" w:rsidRDefault="00742247" w:rsidP="00756A00">
            <w:pPr>
              <w:pStyle w:val="Tableheading1"/>
              <w:keepNext/>
            </w:pPr>
            <w:r w:rsidRPr="00486F70">
              <w:t>Comparator</w:t>
            </w:r>
          </w:p>
        </w:tc>
      </w:tr>
      <w:tr w:rsidR="00742247" w14:paraId="6C84B175" w14:textId="77777777" w:rsidTr="00486F70">
        <w:trPr>
          <w:trHeight w:val="397"/>
        </w:trPr>
        <w:tc>
          <w:tcPr>
            <w:tcW w:w="1668" w:type="dxa"/>
            <w:tcBorders>
              <w:bottom w:val="nil"/>
            </w:tcBorders>
          </w:tcPr>
          <w:p w14:paraId="73CDCF10" w14:textId="77777777" w:rsidR="00742247" w:rsidRDefault="00742247" w:rsidP="00756A00">
            <w:pPr>
              <w:pStyle w:val="Tabletext1"/>
              <w:keepNext/>
            </w:pPr>
            <w:r>
              <w:t>Year 1</w:t>
            </w:r>
          </w:p>
        </w:tc>
        <w:tc>
          <w:tcPr>
            <w:tcW w:w="4677" w:type="dxa"/>
            <w:tcBorders>
              <w:bottom w:val="nil"/>
            </w:tcBorders>
          </w:tcPr>
          <w:p w14:paraId="050964AC" w14:textId="5F2B1A48" w:rsidR="00742247" w:rsidRPr="00332EBE" w:rsidRDefault="00742247" w:rsidP="00756A00">
            <w:pPr>
              <w:pStyle w:val="Tabletext1"/>
              <w:keepNext/>
            </w:pPr>
            <w:r w:rsidRPr="00F95F4B">
              <w:t>PSA measurement and PSA kinetics reviewed every 3-4</w:t>
            </w:r>
            <w:r>
              <w:t xml:space="preserve"> months; and</w:t>
            </w:r>
            <w:r w:rsidR="00E14A4F">
              <w:t xml:space="preserve"> </w:t>
            </w:r>
            <w:r w:rsidRPr="00F95F4B">
              <w:t>DRE at 6-12 months.</w:t>
            </w:r>
          </w:p>
        </w:tc>
        <w:tc>
          <w:tcPr>
            <w:tcW w:w="2897" w:type="dxa"/>
            <w:tcBorders>
              <w:bottom w:val="nil"/>
            </w:tcBorders>
          </w:tcPr>
          <w:p w14:paraId="5467DFB8" w14:textId="77777777" w:rsidR="00742247" w:rsidRDefault="00742247" w:rsidP="00756A00">
            <w:pPr>
              <w:pStyle w:val="Tabletext1"/>
              <w:keepNext/>
            </w:pPr>
            <w:r w:rsidRPr="00F95F4B">
              <w:t>PSA measurement and PSA kinetics reviewed every 3-4</w:t>
            </w:r>
            <w:r>
              <w:t xml:space="preserve"> months; and</w:t>
            </w:r>
          </w:p>
          <w:p w14:paraId="2FFE6964" w14:textId="77777777" w:rsidR="00742247" w:rsidRDefault="00742247" w:rsidP="00756A00">
            <w:pPr>
              <w:pStyle w:val="Tabletext1"/>
              <w:keepNext/>
            </w:pPr>
            <w:r>
              <w:t>DRE at 6-12 months; and</w:t>
            </w:r>
          </w:p>
          <w:p w14:paraId="4E1DE91C" w14:textId="77777777" w:rsidR="00742247" w:rsidRDefault="00742247" w:rsidP="00756A00">
            <w:pPr>
              <w:pStyle w:val="Tabletext1"/>
              <w:keepNext/>
            </w:pPr>
            <w:r>
              <w:t xml:space="preserve">Re-biopsy after 12 months. </w:t>
            </w:r>
          </w:p>
        </w:tc>
      </w:tr>
      <w:tr w:rsidR="00742247" w14:paraId="7250AD30" w14:textId="77777777" w:rsidTr="00486F70">
        <w:trPr>
          <w:trHeight w:val="397"/>
        </w:trPr>
        <w:tc>
          <w:tcPr>
            <w:tcW w:w="1668" w:type="dxa"/>
          </w:tcPr>
          <w:p w14:paraId="3998D0FD" w14:textId="77777777" w:rsidR="00742247" w:rsidRDefault="00742247" w:rsidP="00756A00">
            <w:pPr>
              <w:pStyle w:val="Tabletext1"/>
              <w:keepNext/>
            </w:pPr>
            <w:r>
              <w:t>Years 2 to 4</w:t>
            </w:r>
          </w:p>
        </w:tc>
        <w:tc>
          <w:tcPr>
            <w:tcW w:w="4677" w:type="dxa"/>
          </w:tcPr>
          <w:p w14:paraId="3C51E9E0" w14:textId="6A09BB02" w:rsidR="00742247" w:rsidRDefault="00742247" w:rsidP="00756A00">
            <w:pPr>
              <w:pStyle w:val="Tabletext1"/>
              <w:keepNext/>
            </w:pPr>
            <w:r>
              <w:t>PSA measurement and PSA kinetics reviewed every 3-6 months and</w:t>
            </w:r>
            <w:r w:rsidR="00E14A4F">
              <w:t xml:space="preserve"> </w:t>
            </w:r>
            <w:r>
              <w:t>DRE at 6-12 months</w:t>
            </w:r>
          </w:p>
        </w:tc>
        <w:tc>
          <w:tcPr>
            <w:tcW w:w="2897" w:type="dxa"/>
          </w:tcPr>
          <w:p w14:paraId="2D86135D" w14:textId="77777777" w:rsidR="00742247" w:rsidRDefault="00742247" w:rsidP="00756A00">
            <w:pPr>
              <w:pStyle w:val="Tabletext1"/>
              <w:keepNext/>
            </w:pPr>
            <w:r>
              <w:t>PSA measurement and PSA kinetics reviewed every 3-6 months and</w:t>
            </w:r>
          </w:p>
          <w:p w14:paraId="0BA19A39" w14:textId="5BE90AFB" w:rsidR="00742247" w:rsidRDefault="00742247" w:rsidP="00756A00">
            <w:pPr>
              <w:pStyle w:val="Tabletext1"/>
              <w:keepNext/>
            </w:pPr>
            <w:r>
              <w:t>DRE at 6-12 months</w:t>
            </w:r>
            <w:r w:rsidR="00E14A4F">
              <w:t>.</w:t>
            </w:r>
          </w:p>
          <w:p w14:paraId="51A64277" w14:textId="77777777" w:rsidR="00742247" w:rsidRDefault="00742247" w:rsidP="00756A00">
            <w:pPr>
              <w:pStyle w:val="Tabletext1"/>
              <w:keepNext/>
            </w:pPr>
            <w:r>
              <w:t xml:space="preserve">Re-biopsy at the end of year 4 </w:t>
            </w:r>
          </w:p>
        </w:tc>
      </w:tr>
      <w:tr w:rsidR="00742247" w14:paraId="60C56D73" w14:textId="77777777" w:rsidTr="00486F70">
        <w:trPr>
          <w:trHeight w:val="397"/>
        </w:trPr>
        <w:tc>
          <w:tcPr>
            <w:tcW w:w="1668" w:type="dxa"/>
          </w:tcPr>
          <w:p w14:paraId="1C11021A" w14:textId="77777777" w:rsidR="00742247" w:rsidRDefault="00742247" w:rsidP="00756A00">
            <w:pPr>
              <w:pStyle w:val="Tabletext1"/>
              <w:keepNext/>
            </w:pPr>
            <w:r>
              <w:t>Year 5 and after</w:t>
            </w:r>
          </w:p>
        </w:tc>
        <w:tc>
          <w:tcPr>
            <w:tcW w:w="4677" w:type="dxa"/>
          </w:tcPr>
          <w:p w14:paraId="7D14B3F9" w14:textId="6E9A0C70" w:rsidR="00742247" w:rsidRDefault="00742247" w:rsidP="00756A00">
            <w:pPr>
              <w:pStyle w:val="Tabletext1"/>
              <w:keepNext/>
            </w:pPr>
            <w:r w:rsidRPr="00351851">
              <w:t>PSA measurement and PSA kinetics reviewed every 6 months and</w:t>
            </w:r>
            <w:r w:rsidR="00E14A4F">
              <w:t xml:space="preserve"> </w:t>
            </w:r>
            <w:r w:rsidRPr="00351851">
              <w:t>DRE at 12 months.</w:t>
            </w:r>
          </w:p>
        </w:tc>
        <w:tc>
          <w:tcPr>
            <w:tcW w:w="2897" w:type="dxa"/>
          </w:tcPr>
          <w:p w14:paraId="1E494395" w14:textId="77777777" w:rsidR="00742247" w:rsidRDefault="00742247" w:rsidP="00756A00">
            <w:pPr>
              <w:pStyle w:val="Tabletext1"/>
              <w:keepNext/>
            </w:pPr>
            <w:r>
              <w:t>PSA measurement and PSA kinetics reviewed every 3-6 months and</w:t>
            </w:r>
          </w:p>
          <w:p w14:paraId="7BB262CC" w14:textId="16572696" w:rsidR="00742247" w:rsidRDefault="00742247" w:rsidP="00756A00">
            <w:pPr>
              <w:pStyle w:val="Tabletext1"/>
              <w:keepNext/>
            </w:pPr>
            <w:r>
              <w:t>DRE at 6-12 months</w:t>
            </w:r>
            <w:r w:rsidR="00E14A4F">
              <w:t>.</w:t>
            </w:r>
          </w:p>
          <w:p w14:paraId="05852ABE" w14:textId="77777777" w:rsidR="00742247" w:rsidRDefault="00742247" w:rsidP="00756A00">
            <w:pPr>
              <w:pStyle w:val="Tabletext1"/>
              <w:keepNext/>
            </w:pPr>
            <w:r>
              <w:t>Re-biopsy at the end of year 7 (and every three years thereafter)</w:t>
            </w:r>
          </w:p>
        </w:tc>
      </w:tr>
      <w:tr w:rsidR="00742247" w14:paraId="5C6048FB" w14:textId="77777777" w:rsidTr="00486F70">
        <w:trPr>
          <w:trHeight w:val="397"/>
        </w:trPr>
        <w:tc>
          <w:tcPr>
            <w:tcW w:w="1668" w:type="dxa"/>
          </w:tcPr>
          <w:p w14:paraId="1104B7FC" w14:textId="77777777" w:rsidR="00742247" w:rsidRPr="002B423E" w:rsidRDefault="00742247" w:rsidP="00756A00">
            <w:pPr>
              <w:pStyle w:val="Tabletext1"/>
              <w:keepNext/>
            </w:pPr>
            <w:r w:rsidRPr="002B423E">
              <w:t>At any time if there is concern with clinical or PSA changes</w:t>
            </w:r>
          </w:p>
        </w:tc>
        <w:tc>
          <w:tcPr>
            <w:tcW w:w="4677" w:type="dxa"/>
          </w:tcPr>
          <w:p w14:paraId="7D1304E7" w14:textId="77777777" w:rsidR="00742247" w:rsidRPr="002B423E" w:rsidRDefault="00742247" w:rsidP="00756A00">
            <w:pPr>
              <w:pStyle w:val="Tabletext1"/>
              <w:keepNext/>
            </w:pPr>
            <w:r w:rsidRPr="002B423E">
              <w:t>mpMRI</w:t>
            </w:r>
          </w:p>
          <w:p w14:paraId="5DB00143" w14:textId="77777777" w:rsidR="00742247" w:rsidRDefault="00742247" w:rsidP="00756A00">
            <w:pPr>
              <w:pStyle w:val="Tabletext1"/>
              <w:keepNext/>
            </w:pPr>
            <w:r w:rsidRPr="002B423E">
              <w:t xml:space="preserve">Patients that undergo an mpMRI are split into “low risk” or “intermediate or high </w:t>
            </w:r>
            <w:r>
              <w:t>risk</w:t>
            </w:r>
            <w:r w:rsidRPr="002B423E">
              <w:t xml:space="preserve">” groups based on clinical criteria using laboratory results (PSA) and family medical history. </w:t>
            </w:r>
          </w:p>
          <w:p w14:paraId="442D3E08" w14:textId="457AB3FC" w:rsidR="00742247" w:rsidRDefault="00742247" w:rsidP="00756A00">
            <w:pPr>
              <w:pStyle w:val="Tabletext1"/>
              <w:keepNext/>
            </w:pPr>
            <w:r>
              <w:t>P</w:t>
            </w:r>
            <w:r w:rsidRPr="002B423E">
              <w:t xml:space="preserve">atients deemed “low </w:t>
            </w:r>
            <w:r>
              <w:t>risk</w:t>
            </w:r>
            <w:r w:rsidRPr="002B423E">
              <w:t>” and assigned a</w:t>
            </w:r>
            <w:r>
              <w:t xml:space="preserve"> PI-RADS</w:t>
            </w:r>
            <w:r w:rsidRPr="002B423E">
              <w:t xml:space="preserve"> </w:t>
            </w:r>
            <w:r>
              <w:t xml:space="preserve">score between 1 to 3 return to </w:t>
            </w:r>
            <w:r w:rsidR="00AB1EEA">
              <w:t>AS</w:t>
            </w:r>
            <w:r>
              <w:t xml:space="preserve">. </w:t>
            </w:r>
          </w:p>
          <w:p w14:paraId="16B198D1" w14:textId="77777777" w:rsidR="00742247" w:rsidRPr="002B423E" w:rsidRDefault="00742247" w:rsidP="00756A00">
            <w:pPr>
              <w:pStyle w:val="Tabletext1"/>
              <w:keepNext/>
            </w:pPr>
            <w:r w:rsidRPr="002B423E">
              <w:t xml:space="preserve">Patients deemed “low </w:t>
            </w:r>
            <w:r>
              <w:t>risk</w:t>
            </w:r>
            <w:r w:rsidRPr="002B423E">
              <w:t>”, but are as</w:t>
            </w:r>
            <w:r>
              <w:t>signed a PI-RADS score of 4 or 5, or “intermediate or high risk</w:t>
            </w:r>
            <w:r w:rsidRPr="002B423E">
              <w:t>”</w:t>
            </w:r>
            <w:r>
              <w:t xml:space="preserve"> </w:t>
            </w:r>
            <w:r w:rsidRPr="002B423E">
              <w:t>are referred for further investigation and undergo biopsy.</w:t>
            </w:r>
            <w:r>
              <w:t xml:space="preserve"> </w:t>
            </w:r>
          </w:p>
        </w:tc>
        <w:tc>
          <w:tcPr>
            <w:tcW w:w="2897" w:type="dxa"/>
          </w:tcPr>
          <w:p w14:paraId="36405096" w14:textId="77777777" w:rsidR="00742247" w:rsidRPr="002B423E" w:rsidRDefault="00742247" w:rsidP="00756A00">
            <w:pPr>
              <w:pStyle w:val="Tabletext1"/>
              <w:keepNext/>
            </w:pPr>
            <w:r w:rsidRPr="002B423E">
              <w:t xml:space="preserve">Re-biopsy </w:t>
            </w:r>
            <w:r>
              <w:t xml:space="preserve">with TRUSGB or TPUSGB. </w:t>
            </w:r>
          </w:p>
        </w:tc>
      </w:tr>
      <w:tr w:rsidR="00742247" w14:paraId="0D31596A" w14:textId="77777777" w:rsidTr="00486F70">
        <w:trPr>
          <w:trHeight w:val="397"/>
        </w:trPr>
        <w:tc>
          <w:tcPr>
            <w:tcW w:w="1668" w:type="dxa"/>
          </w:tcPr>
          <w:p w14:paraId="74DCB1C0" w14:textId="77777777" w:rsidR="00742247" w:rsidRPr="002B423E" w:rsidRDefault="00742247" w:rsidP="00756A00">
            <w:pPr>
              <w:pStyle w:val="Tabletext1"/>
              <w:keepNext/>
            </w:pPr>
            <w:r>
              <w:t>After re-biopsy</w:t>
            </w:r>
          </w:p>
        </w:tc>
        <w:tc>
          <w:tcPr>
            <w:tcW w:w="7574" w:type="dxa"/>
            <w:gridSpan w:val="2"/>
          </w:tcPr>
          <w:p w14:paraId="6CB23F40" w14:textId="2553E1FA" w:rsidR="00742247" w:rsidRPr="002B423E" w:rsidRDefault="00742247" w:rsidP="00756A00">
            <w:pPr>
              <w:pStyle w:val="Tabletext1"/>
              <w:keepNext/>
            </w:pPr>
            <w:r>
              <w:t xml:space="preserve">If no evidence of disease progression, patient returns to </w:t>
            </w:r>
            <w:r w:rsidR="00E14A4F">
              <w:t>AS</w:t>
            </w:r>
            <w:r>
              <w:t>; or</w:t>
            </w:r>
            <w:r w:rsidR="00E14A4F">
              <w:t>, i</w:t>
            </w:r>
            <w:r>
              <w:t>f evidence of disease progression, patient is offered active treatment (surgery or radiotherapy/hormone combination).</w:t>
            </w:r>
          </w:p>
        </w:tc>
      </w:tr>
    </w:tbl>
    <w:p w14:paraId="393FDED9" w14:textId="6401ED49" w:rsidR="00742247" w:rsidRDefault="00742247" w:rsidP="00742247">
      <w:pPr>
        <w:pStyle w:val="TableNotes"/>
      </w:pPr>
      <w:r w:rsidRPr="004C2856">
        <w:t>m</w:t>
      </w:r>
      <w:r>
        <w:t>pMRI</w:t>
      </w:r>
      <w:r w:rsidR="007244E6">
        <w:t xml:space="preserve"> =</w:t>
      </w:r>
      <w:r>
        <w:t xml:space="preserve"> multiparametric MRI</w:t>
      </w:r>
      <w:r w:rsidR="007244E6">
        <w:t>,</w:t>
      </w:r>
      <w:r>
        <w:t xml:space="preserve"> TPUS</w:t>
      </w:r>
      <w:r w:rsidRPr="004C2856">
        <w:t>GB</w:t>
      </w:r>
      <w:r w:rsidR="007244E6">
        <w:t xml:space="preserve"> =</w:t>
      </w:r>
      <w:r w:rsidRPr="004C2856">
        <w:t xml:space="preserve"> trans</w:t>
      </w:r>
      <w:r w:rsidR="007244E6">
        <w:t>-</w:t>
      </w:r>
      <w:r w:rsidRPr="004C2856">
        <w:t>perineal</w:t>
      </w:r>
      <w:r>
        <w:t xml:space="preserve"> ultrasound guided biopsy</w:t>
      </w:r>
      <w:r w:rsidR="007244E6">
        <w:t>,</w:t>
      </w:r>
      <w:r>
        <w:t xml:space="preserve"> TRUS</w:t>
      </w:r>
      <w:r w:rsidRPr="004C2856">
        <w:t>GB</w:t>
      </w:r>
      <w:r w:rsidR="007244E6">
        <w:t xml:space="preserve"> =</w:t>
      </w:r>
      <w:r w:rsidRPr="004C2856">
        <w:t xml:space="preserve"> trans</w:t>
      </w:r>
      <w:r w:rsidR="007244E6">
        <w:t>-</w:t>
      </w:r>
      <w:r>
        <w:t>r</w:t>
      </w:r>
      <w:r w:rsidR="007244E6">
        <w:t>ectal ultrasound guided biopsy, PSA = prostate specific antigen, DRE = digital rectal examination</w:t>
      </w:r>
      <w:r w:rsidR="007244E6" w:rsidRPr="003130E5">
        <w:t xml:space="preserve">, </w:t>
      </w:r>
      <w:r w:rsidR="007244E6" w:rsidRPr="00332F68">
        <w:t>PI-RADS =</w:t>
      </w:r>
      <w:r w:rsidR="003130E5" w:rsidRPr="003130E5">
        <w:t xml:space="preserve"> Prostate imaging reported and data system</w:t>
      </w:r>
      <w:r w:rsidR="00AB1EEA">
        <w:t>, AS = active surveillance</w:t>
      </w:r>
      <w:r w:rsidR="003130E5" w:rsidRPr="003130E5">
        <w:t>.</w:t>
      </w:r>
      <w:r w:rsidR="00FD109E">
        <w:t xml:space="preserve"> </w:t>
      </w:r>
    </w:p>
    <w:p w14:paraId="6254EC2B" w14:textId="77777777" w:rsidR="00742247" w:rsidRPr="00851EB9" w:rsidRDefault="00742247" w:rsidP="00742247">
      <w:pPr>
        <w:pStyle w:val="Heading3"/>
      </w:pPr>
      <w:bookmarkStart w:id="513" w:name="_Toc457383616"/>
      <w:bookmarkStart w:id="514" w:name="_Toc459987864"/>
      <w:bookmarkStart w:id="515" w:name="_Toc460513984"/>
      <w:r w:rsidRPr="00851EB9">
        <w:t>Comparison of population characteristics of patients on the MBS</w:t>
      </w:r>
      <w:bookmarkEnd w:id="513"/>
      <w:bookmarkEnd w:id="514"/>
      <w:bookmarkEnd w:id="515"/>
    </w:p>
    <w:p w14:paraId="4B6AF1AC" w14:textId="06E9A1B4" w:rsidR="00742247" w:rsidRPr="00837CE7" w:rsidRDefault="00742247" w:rsidP="00742247">
      <w:r>
        <w:t xml:space="preserve">The modelled population is comparable with the expected population if mpMRI </w:t>
      </w:r>
      <w:r w:rsidR="003E18AF">
        <w:t>is</w:t>
      </w:r>
      <w:r>
        <w:t xml:space="preserve"> listed on the MBS (discussed in S</w:t>
      </w:r>
      <w:r w:rsidR="00756A00">
        <w:t>ubs</w:t>
      </w:r>
      <w:r>
        <w:t xml:space="preserve">ection C.2). </w:t>
      </w:r>
      <w:r w:rsidRPr="00837CE7">
        <w:t xml:space="preserve">A summary </w:t>
      </w:r>
      <w:r>
        <w:t xml:space="preserve">of the characteristics and circumstances of the target population, study population and wider populations that are referred for clinical management with mpMRI for Population 1 and Population 2 are presented in </w:t>
      </w:r>
      <w:r>
        <w:fldChar w:fldCharType="begin"/>
      </w:r>
      <w:r>
        <w:instrText xml:space="preserve"> REF _Ref455564389 \h </w:instrText>
      </w:r>
      <w:r>
        <w:fldChar w:fldCharType="separate"/>
      </w:r>
      <w:r w:rsidR="0029649D" w:rsidRPr="002D269C">
        <w:t xml:space="preserve">Table </w:t>
      </w:r>
      <w:r w:rsidR="0029649D">
        <w:rPr>
          <w:noProof/>
        </w:rPr>
        <w:t>49</w:t>
      </w:r>
      <w:r>
        <w:fldChar w:fldCharType="end"/>
      </w:r>
      <w:r>
        <w:t xml:space="preserve"> and </w:t>
      </w:r>
      <w:r>
        <w:fldChar w:fldCharType="begin"/>
      </w:r>
      <w:r>
        <w:instrText xml:space="preserve"> REF _Ref455564390 \h </w:instrText>
      </w:r>
      <w:r>
        <w:fldChar w:fldCharType="separate"/>
      </w:r>
      <w:r w:rsidR="0029649D" w:rsidRPr="002D269C">
        <w:t xml:space="preserve">Table </w:t>
      </w:r>
      <w:r w:rsidR="0029649D">
        <w:rPr>
          <w:noProof/>
        </w:rPr>
        <w:t>50</w:t>
      </w:r>
      <w:r>
        <w:fldChar w:fldCharType="end"/>
      </w:r>
      <w:r>
        <w:t xml:space="preserve">. </w:t>
      </w:r>
    </w:p>
    <w:p w14:paraId="60C640A7" w14:textId="77777777" w:rsidR="00742247" w:rsidRPr="00C6295A" w:rsidRDefault="00742247" w:rsidP="00742247">
      <w:pPr>
        <w:pStyle w:val="Caption"/>
        <w:tabs>
          <w:tab w:val="left" w:pos="1134"/>
        </w:tabs>
        <w:ind w:left="1134" w:hanging="1134"/>
      </w:pPr>
      <w:bookmarkStart w:id="516" w:name="_Ref455564389"/>
      <w:bookmarkStart w:id="517" w:name="_Toc455916105"/>
      <w:bookmarkStart w:id="518" w:name="_Toc457383671"/>
      <w:bookmarkStart w:id="519" w:name="_Toc459987909"/>
      <w:bookmarkStart w:id="520" w:name="_Toc460514549"/>
      <w:r w:rsidRPr="002D269C">
        <w:t xml:space="preserve">Table </w:t>
      </w:r>
      <w:fldSimple w:instr=" SEQ Table \* ARABIC ">
        <w:r w:rsidR="0029649D">
          <w:rPr>
            <w:noProof/>
          </w:rPr>
          <w:t>49</w:t>
        </w:r>
      </w:fldSimple>
      <w:bookmarkEnd w:id="516"/>
      <w:r w:rsidRPr="002D269C">
        <w:tab/>
      </w:r>
      <w:r>
        <w:t>Comparison of characteristics of trial and requested population and circumstances of use for Population 1, men with suspected prostate cancer</w:t>
      </w:r>
      <w:bookmarkEnd w:id="517"/>
      <w:bookmarkEnd w:id="518"/>
      <w:bookmarkEnd w:id="519"/>
      <w:bookmarkEnd w:id="520"/>
      <w:r w:rsidRPr="00183E4D">
        <w:t xml:space="preserve"> </w:t>
      </w:r>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05"/>
        <w:gridCol w:w="2234"/>
        <w:gridCol w:w="2834"/>
        <w:gridCol w:w="2539"/>
      </w:tblGrid>
      <w:tr w:rsidR="00742247" w:rsidRPr="00A34EE4" w14:paraId="56964CB5" w14:textId="77777777" w:rsidTr="00A34EE4">
        <w:trPr>
          <w:trHeight w:val="397"/>
          <w:tblHeader/>
        </w:trPr>
        <w:tc>
          <w:tcPr>
            <w:tcW w:w="826" w:type="pct"/>
            <w:vMerge w:val="restart"/>
            <w:shd w:val="clear" w:color="auto" w:fill="auto"/>
            <w:noWrap/>
            <w:vAlign w:val="bottom"/>
            <w:hideMark/>
          </w:tcPr>
          <w:p w14:paraId="30AB3976" w14:textId="77777777" w:rsidR="00742247" w:rsidRPr="00A34EE4" w:rsidRDefault="00742247" w:rsidP="00756A00">
            <w:pPr>
              <w:pStyle w:val="Tableheading1"/>
            </w:pPr>
            <w:r w:rsidRPr="00A34EE4">
              <w:t xml:space="preserve">Population and circumstance </w:t>
            </w:r>
          </w:p>
        </w:tc>
        <w:tc>
          <w:tcPr>
            <w:tcW w:w="1226" w:type="pct"/>
            <w:shd w:val="clear" w:color="auto" w:fill="auto"/>
            <w:noWrap/>
            <w:vAlign w:val="bottom"/>
          </w:tcPr>
          <w:p w14:paraId="33C821D5" w14:textId="77777777" w:rsidR="00742247" w:rsidRPr="00A34EE4" w:rsidRDefault="00742247" w:rsidP="00756A00">
            <w:pPr>
              <w:pStyle w:val="Tableheading1"/>
            </w:pPr>
            <w:r w:rsidRPr="00A34EE4">
              <w:t>Target</w:t>
            </w:r>
          </w:p>
        </w:tc>
        <w:tc>
          <w:tcPr>
            <w:tcW w:w="1555" w:type="pct"/>
            <w:shd w:val="clear" w:color="auto" w:fill="auto"/>
            <w:noWrap/>
            <w:vAlign w:val="bottom"/>
          </w:tcPr>
          <w:p w14:paraId="1FC6CA8A" w14:textId="77777777" w:rsidR="00742247" w:rsidRPr="00A34EE4" w:rsidRDefault="00742247" w:rsidP="00756A00">
            <w:pPr>
              <w:pStyle w:val="Tableheading1"/>
            </w:pPr>
            <w:r w:rsidRPr="00A34EE4">
              <w:t xml:space="preserve">Study </w:t>
            </w:r>
          </w:p>
        </w:tc>
        <w:tc>
          <w:tcPr>
            <w:tcW w:w="1393" w:type="pct"/>
            <w:shd w:val="clear" w:color="auto" w:fill="auto"/>
            <w:noWrap/>
            <w:vAlign w:val="bottom"/>
          </w:tcPr>
          <w:p w14:paraId="2854C1AA" w14:textId="77777777" w:rsidR="00742247" w:rsidRPr="00A34EE4" w:rsidRDefault="00742247" w:rsidP="00756A00">
            <w:pPr>
              <w:pStyle w:val="Tableheading1"/>
            </w:pPr>
            <w:r w:rsidRPr="00A34EE4">
              <w:t>Wider</w:t>
            </w:r>
          </w:p>
        </w:tc>
      </w:tr>
      <w:tr w:rsidR="00742247" w:rsidRPr="00A34EE4" w14:paraId="6AF95E76" w14:textId="77777777" w:rsidTr="00A34EE4">
        <w:trPr>
          <w:trHeight w:val="397"/>
          <w:tblHeader/>
        </w:trPr>
        <w:tc>
          <w:tcPr>
            <w:tcW w:w="826" w:type="pct"/>
            <w:vMerge/>
            <w:tcBorders>
              <w:bottom w:val="single" w:sz="4" w:space="0" w:color="auto"/>
            </w:tcBorders>
            <w:shd w:val="clear" w:color="auto" w:fill="auto"/>
            <w:noWrap/>
            <w:vAlign w:val="bottom"/>
          </w:tcPr>
          <w:p w14:paraId="5F098D33" w14:textId="77777777" w:rsidR="00742247" w:rsidRPr="00A34EE4" w:rsidRDefault="00742247" w:rsidP="00756A00">
            <w:pPr>
              <w:pStyle w:val="Tableheading1"/>
            </w:pPr>
          </w:p>
        </w:tc>
        <w:tc>
          <w:tcPr>
            <w:tcW w:w="1226" w:type="pct"/>
            <w:tcBorders>
              <w:bottom w:val="single" w:sz="4" w:space="0" w:color="auto"/>
            </w:tcBorders>
            <w:shd w:val="clear" w:color="auto" w:fill="auto"/>
            <w:noWrap/>
            <w:vAlign w:val="bottom"/>
          </w:tcPr>
          <w:p w14:paraId="0C7AC861" w14:textId="77777777" w:rsidR="00742247" w:rsidRPr="00A34EE4" w:rsidRDefault="00742247" w:rsidP="00756A00">
            <w:pPr>
              <w:pStyle w:val="Tableheading1"/>
            </w:pPr>
            <w:r w:rsidRPr="00A34EE4">
              <w:t xml:space="preserve">As defined by the requested restriction </w:t>
            </w:r>
          </w:p>
        </w:tc>
        <w:tc>
          <w:tcPr>
            <w:tcW w:w="1555" w:type="pct"/>
            <w:tcBorders>
              <w:bottom w:val="single" w:sz="4" w:space="0" w:color="auto"/>
            </w:tcBorders>
            <w:shd w:val="clear" w:color="auto" w:fill="auto"/>
            <w:noWrap/>
            <w:vAlign w:val="bottom"/>
          </w:tcPr>
          <w:p w14:paraId="5D65E576" w14:textId="77777777" w:rsidR="00742247" w:rsidRPr="00A34EE4" w:rsidRDefault="00742247" w:rsidP="00756A00">
            <w:pPr>
              <w:pStyle w:val="Tableheading1"/>
            </w:pPr>
            <w:r w:rsidRPr="00A34EE4">
              <w:t>As defined in trials discussed in Section B</w:t>
            </w:r>
          </w:p>
        </w:tc>
        <w:tc>
          <w:tcPr>
            <w:tcW w:w="1393" w:type="pct"/>
            <w:tcBorders>
              <w:bottom w:val="single" w:sz="4" w:space="0" w:color="auto"/>
            </w:tcBorders>
            <w:shd w:val="clear" w:color="auto" w:fill="auto"/>
            <w:noWrap/>
            <w:vAlign w:val="bottom"/>
          </w:tcPr>
          <w:p w14:paraId="2920D0DC" w14:textId="77777777" w:rsidR="00742247" w:rsidRPr="00A34EE4" w:rsidRDefault="00742247" w:rsidP="00756A00">
            <w:pPr>
              <w:pStyle w:val="Tableheading1"/>
            </w:pPr>
            <w:r w:rsidRPr="00A34EE4">
              <w:t>If use beyond the requested restriction might arise</w:t>
            </w:r>
          </w:p>
        </w:tc>
      </w:tr>
      <w:tr w:rsidR="00742247" w:rsidRPr="00C6295A" w14:paraId="7C439489" w14:textId="77777777" w:rsidTr="00A34EE4">
        <w:trPr>
          <w:trHeight w:val="397"/>
        </w:trPr>
        <w:tc>
          <w:tcPr>
            <w:tcW w:w="826" w:type="pct"/>
            <w:tcBorders>
              <w:bottom w:val="nil"/>
            </w:tcBorders>
            <w:shd w:val="clear" w:color="auto" w:fill="auto"/>
            <w:noWrap/>
            <w:hideMark/>
          </w:tcPr>
          <w:p w14:paraId="7BA9CD33" w14:textId="77777777" w:rsidR="00742247" w:rsidRPr="00A34EE4" w:rsidRDefault="00742247" w:rsidP="00756A00">
            <w:pPr>
              <w:pStyle w:val="Tabletext1"/>
            </w:pPr>
            <w:r w:rsidRPr="00A34EE4">
              <w:t>Clinical condition</w:t>
            </w:r>
          </w:p>
        </w:tc>
        <w:tc>
          <w:tcPr>
            <w:tcW w:w="1226" w:type="pct"/>
            <w:tcBorders>
              <w:bottom w:val="nil"/>
            </w:tcBorders>
            <w:shd w:val="clear" w:color="auto" w:fill="auto"/>
            <w:noWrap/>
            <w:hideMark/>
          </w:tcPr>
          <w:p w14:paraId="3C3212CA" w14:textId="0DB3E23A" w:rsidR="00742247" w:rsidRPr="00C6295A" w:rsidRDefault="00742247" w:rsidP="00756A00">
            <w:pPr>
              <w:pStyle w:val="Tabletext1"/>
            </w:pPr>
            <w:r>
              <w:t xml:space="preserve">Men with suspected PCa with </w:t>
            </w:r>
            <w:r w:rsidR="003E18AF">
              <w:t>high or concerning PSA (</w:t>
            </w:r>
            <w:r w:rsidRPr="007D4C63">
              <w:t>DRE is n</w:t>
            </w:r>
            <w:r w:rsidR="003E18AF">
              <w:t>ot specified in the restriction).</w:t>
            </w:r>
          </w:p>
        </w:tc>
        <w:tc>
          <w:tcPr>
            <w:tcW w:w="1555" w:type="pct"/>
            <w:tcBorders>
              <w:bottom w:val="nil"/>
            </w:tcBorders>
            <w:shd w:val="clear" w:color="auto" w:fill="auto"/>
            <w:noWrap/>
            <w:hideMark/>
          </w:tcPr>
          <w:p w14:paraId="6807B38F" w14:textId="09637550" w:rsidR="00742247" w:rsidRPr="00C6295A" w:rsidRDefault="00742247" w:rsidP="00756A00">
            <w:pPr>
              <w:pStyle w:val="Tabletext1"/>
            </w:pPr>
            <w:r w:rsidRPr="00EE254A">
              <w:t xml:space="preserve">Men with suspected PCa with </w:t>
            </w:r>
            <w:r>
              <w:t>c</w:t>
            </w:r>
            <w:r w:rsidRPr="00EE254A">
              <w:t>oncerning PSA and/or DRE</w:t>
            </w:r>
            <w:r w:rsidR="003E18AF">
              <w:t>.</w:t>
            </w:r>
          </w:p>
        </w:tc>
        <w:tc>
          <w:tcPr>
            <w:tcW w:w="1393" w:type="pct"/>
            <w:tcBorders>
              <w:bottom w:val="nil"/>
            </w:tcBorders>
            <w:shd w:val="clear" w:color="auto" w:fill="auto"/>
            <w:noWrap/>
            <w:hideMark/>
          </w:tcPr>
          <w:p w14:paraId="0A806F89" w14:textId="48FA964C" w:rsidR="00742247" w:rsidRPr="00C6295A" w:rsidRDefault="00742247" w:rsidP="00756A00">
            <w:pPr>
              <w:pStyle w:val="Tabletext1"/>
            </w:pPr>
            <w:r>
              <w:t>Men with suspected PCa</w:t>
            </w:r>
            <w:r w:rsidR="003E18AF">
              <w:t>.</w:t>
            </w:r>
            <w:r>
              <w:t xml:space="preserve"> </w:t>
            </w:r>
          </w:p>
        </w:tc>
      </w:tr>
      <w:tr w:rsidR="00742247" w:rsidRPr="00C6295A" w14:paraId="3DDD7421" w14:textId="77777777" w:rsidTr="00A34EE4">
        <w:trPr>
          <w:trHeight w:val="397"/>
        </w:trPr>
        <w:tc>
          <w:tcPr>
            <w:tcW w:w="826" w:type="pct"/>
            <w:tcBorders>
              <w:top w:val="nil"/>
              <w:bottom w:val="single" w:sz="4" w:space="0" w:color="auto"/>
            </w:tcBorders>
            <w:shd w:val="clear" w:color="auto" w:fill="auto"/>
            <w:noWrap/>
          </w:tcPr>
          <w:p w14:paraId="47A64DB2" w14:textId="77777777" w:rsidR="00742247" w:rsidRPr="00C6295A" w:rsidRDefault="00742247" w:rsidP="00756A00">
            <w:pPr>
              <w:pStyle w:val="Tabletext1"/>
            </w:pPr>
            <w:r>
              <w:t>Comment</w:t>
            </w:r>
          </w:p>
        </w:tc>
        <w:tc>
          <w:tcPr>
            <w:tcW w:w="4174" w:type="pct"/>
            <w:gridSpan w:val="3"/>
            <w:tcBorders>
              <w:top w:val="nil"/>
              <w:bottom w:val="single" w:sz="4" w:space="0" w:color="auto"/>
            </w:tcBorders>
            <w:shd w:val="clear" w:color="auto" w:fill="auto"/>
            <w:noWrap/>
          </w:tcPr>
          <w:p w14:paraId="51FF7E27" w14:textId="77C171BD" w:rsidR="00742247" w:rsidRDefault="00742247" w:rsidP="00756A00">
            <w:pPr>
              <w:pStyle w:val="Tabletext1"/>
            </w:pPr>
            <w:r w:rsidRPr="00520189">
              <w:t xml:space="preserve">The wider population are larger than the target and study populations. The studies enrolled men with suspected </w:t>
            </w:r>
            <w:r w:rsidR="003E18AF">
              <w:t>PCa</w:t>
            </w:r>
            <w:r w:rsidRPr="00520189">
              <w:t xml:space="preserve"> (Population 1)</w:t>
            </w:r>
            <w:r w:rsidR="003E18AF">
              <w:t>;</w:t>
            </w:r>
            <w:r w:rsidRPr="00520189">
              <w:t xml:space="preserve"> however, the selection criteria did not explicitly state the criteria for </w:t>
            </w:r>
            <w:r w:rsidRPr="00520189">
              <w:lastRenderedPageBreak/>
              <w:t xml:space="preserve">high and concerning PSA for most of the key studies. The criteria for men suspected of </w:t>
            </w:r>
            <w:r w:rsidR="003E18AF">
              <w:t>PCa</w:t>
            </w:r>
            <w:r w:rsidRPr="00520189">
              <w:t xml:space="preserve"> in two studies (Jambor et al</w:t>
            </w:r>
            <w:r w:rsidR="00A34EE4">
              <w:t>.</w:t>
            </w:r>
            <w:r w:rsidRPr="00520189">
              <w:t xml:space="preserve"> 2014; Lista et al</w:t>
            </w:r>
            <w:r w:rsidR="00A34EE4">
              <w:t>. 2015) were PSA &gt;</w:t>
            </w:r>
            <w:r w:rsidRPr="00520189">
              <w:t>4mg/ml. However, Jambor et al. (2015), excluded patients with an abnormal DRE result.</w:t>
            </w:r>
          </w:p>
          <w:p w14:paraId="51978BDD" w14:textId="3EDFB329" w:rsidR="00742247" w:rsidRPr="00C6295A" w:rsidRDefault="00742247" w:rsidP="00756A00">
            <w:pPr>
              <w:pStyle w:val="Tabletext1"/>
            </w:pPr>
            <w:r w:rsidRPr="00484989">
              <w:t xml:space="preserve">The PASC previously considered </w:t>
            </w:r>
            <w:r>
              <w:t xml:space="preserve">a </w:t>
            </w:r>
            <w:r w:rsidRPr="00484989">
              <w:t xml:space="preserve">PSA result that is “high or concerning” is a matter of clinical judgement, which involves interpreting the PSA result in relation to the patient’s age, family history, the </w:t>
            </w:r>
            <w:r w:rsidR="003E18AF">
              <w:t>p</w:t>
            </w:r>
            <w:r w:rsidRPr="00484989">
              <w:t>rostate volume, increase in PSA score over a 12 month period and the results of DRE examinations (</w:t>
            </w:r>
            <w:r>
              <w:t xml:space="preserve">Protocol p9). </w:t>
            </w:r>
          </w:p>
        </w:tc>
      </w:tr>
      <w:tr w:rsidR="00742247" w:rsidRPr="00C6295A" w14:paraId="52EBF465" w14:textId="77777777" w:rsidTr="00A34EE4">
        <w:trPr>
          <w:trHeight w:val="397"/>
        </w:trPr>
        <w:tc>
          <w:tcPr>
            <w:tcW w:w="826" w:type="pct"/>
            <w:tcBorders>
              <w:bottom w:val="nil"/>
            </w:tcBorders>
            <w:shd w:val="clear" w:color="auto" w:fill="auto"/>
            <w:noWrap/>
            <w:hideMark/>
          </w:tcPr>
          <w:p w14:paraId="73BCDD78" w14:textId="77777777" w:rsidR="00742247" w:rsidRPr="00A34EE4" w:rsidRDefault="00742247" w:rsidP="00756A00">
            <w:pPr>
              <w:pStyle w:val="Tabletext1"/>
            </w:pPr>
            <w:r w:rsidRPr="00A34EE4">
              <w:lastRenderedPageBreak/>
              <w:t>Age</w:t>
            </w:r>
          </w:p>
        </w:tc>
        <w:tc>
          <w:tcPr>
            <w:tcW w:w="1226" w:type="pct"/>
            <w:tcBorders>
              <w:bottom w:val="nil"/>
            </w:tcBorders>
            <w:shd w:val="clear" w:color="auto" w:fill="auto"/>
            <w:noWrap/>
          </w:tcPr>
          <w:p w14:paraId="2F892960" w14:textId="77777777" w:rsidR="00742247" w:rsidRPr="00C6295A" w:rsidRDefault="00742247" w:rsidP="00756A00">
            <w:pPr>
              <w:pStyle w:val="Tabletext1"/>
            </w:pPr>
            <w:r>
              <w:t>Adults (no age restriction specified)</w:t>
            </w:r>
          </w:p>
        </w:tc>
        <w:tc>
          <w:tcPr>
            <w:tcW w:w="1555" w:type="pct"/>
            <w:tcBorders>
              <w:bottom w:val="nil"/>
            </w:tcBorders>
            <w:shd w:val="clear" w:color="auto" w:fill="auto"/>
            <w:noWrap/>
          </w:tcPr>
          <w:p w14:paraId="3C050731" w14:textId="77777777" w:rsidR="00742247" w:rsidRDefault="00742247" w:rsidP="00756A00">
            <w:pPr>
              <w:pStyle w:val="Tabletext1"/>
            </w:pPr>
            <w:r>
              <w:t>Mean/median age range: approximately 62-70 years</w:t>
            </w:r>
          </w:p>
          <w:p w14:paraId="27F1A8EF" w14:textId="15F17EF8" w:rsidR="00742247" w:rsidRPr="00C6295A" w:rsidRDefault="007244E6" w:rsidP="00756A00">
            <w:pPr>
              <w:pStyle w:val="Tabletext1"/>
            </w:pPr>
            <w:r>
              <w:t>(Age range: 45-81 years)</w:t>
            </w:r>
          </w:p>
        </w:tc>
        <w:tc>
          <w:tcPr>
            <w:tcW w:w="1393" w:type="pct"/>
            <w:tcBorders>
              <w:bottom w:val="nil"/>
            </w:tcBorders>
            <w:shd w:val="clear" w:color="auto" w:fill="auto"/>
            <w:noWrap/>
          </w:tcPr>
          <w:p w14:paraId="7CEAB342" w14:textId="77777777" w:rsidR="00742247" w:rsidRPr="00C6295A" w:rsidRDefault="00742247" w:rsidP="00756A00">
            <w:pPr>
              <w:pStyle w:val="Tabletext1"/>
            </w:pPr>
            <w:r>
              <w:t xml:space="preserve">Adults (no age restriction specified) </w:t>
            </w:r>
          </w:p>
        </w:tc>
      </w:tr>
      <w:tr w:rsidR="00742247" w:rsidRPr="00C6295A" w14:paraId="59194C70" w14:textId="77777777" w:rsidTr="00A34EE4">
        <w:trPr>
          <w:trHeight w:val="397"/>
        </w:trPr>
        <w:tc>
          <w:tcPr>
            <w:tcW w:w="826" w:type="pct"/>
            <w:tcBorders>
              <w:top w:val="nil"/>
              <w:bottom w:val="single" w:sz="4" w:space="0" w:color="auto"/>
            </w:tcBorders>
            <w:shd w:val="clear" w:color="auto" w:fill="auto"/>
            <w:noWrap/>
          </w:tcPr>
          <w:p w14:paraId="410BA57A" w14:textId="77777777" w:rsidR="00742247" w:rsidRPr="00C6295A" w:rsidRDefault="00742247" w:rsidP="00756A00">
            <w:pPr>
              <w:pStyle w:val="Tabletext1"/>
            </w:pPr>
            <w:r>
              <w:t>Comment</w:t>
            </w:r>
          </w:p>
        </w:tc>
        <w:tc>
          <w:tcPr>
            <w:tcW w:w="4174" w:type="pct"/>
            <w:gridSpan w:val="3"/>
            <w:tcBorders>
              <w:top w:val="nil"/>
              <w:bottom w:val="single" w:sz="4" w:space="0" w:color="auto"/>
            </w:tcBorders>
            <w:shd w:val="clear" w:color="auto" w:fill="auto"/>
            <w:noWrap/>
          </w:tcPr>
          <w:p w14:paraId="76D80A8A" w14:textId="77777777" w:rsidR="00742247" w:rsidRPr="00C6295A" w:rsidRDefault="00742247" w:rsidP="00756A00">
            <w:pPr>
              <w:pStyle w:val="Tabletext1"/>
            </w:pPr>
            <w:r>
              <w:t xml:space="preserve">Although the requested restriction does not specify eligibility based on age, the mean age at diagnosis of PCa reported in the Australian Registry studies was 66-69 years (Section C.2). This is similar to the mean/median age range of participants enrolled in the study populations. There is no expected difference in age in the wider population from the target or study populations. </w:t>
            </w:r>
          </w:p>
        </w:tc>
      </w:tr>
      <w:tr w:rsidR="00742247" w:rsidRPr="00C6295A" w14:paraId="3319BCDB" w14:textId="77777777" w:rsidTr="00A34EE4">
        <w:trPr>
          <w:trHeight w:val="397"/>
        </w:trPr>
        <w:tc>
          <w:tcPr>
            <w:tcW w:w="826" w:type="pct"/>
            <w:tcBorders>
              <w:top w:val="nil"/>
              <w:bottom w:val="nil"/>
            </w:tcBorders>
            <w:shd w:val="clear" w:color="auto" w:fill="auto"/>
            <w:noWrap/>
          </w:tcPr>
          <w:p w14:paraId="3A964BB7" w14:textId="77777777" w:rsidR="00742247" w:rsidRPr="00A34EE4" w:rsidRDefault="00742247" w:rsidP="00756A00">
            <w:pPr>
              <w:pStyle w:val="Tabletext1"/>
            </w:pPr>
            <w:r w:rsidRPr="00A34EE4">
              <w:t>Baseline risk for initiation of mpMRI</w:t>
            </w:r>
          </w:p>
        </w:tc>
        <w:tc>
          <w:tcPr>
            <w:tcW w:w="1226" w:type="pct"/>
            <w:tcBorders>
              <w:top w:val="nil"/>
              <w:bottom w:val="nil"/>
            </w:tcBorders>
            <w:shd w:val="clear" w:color="auto" w:fill="auto"/>
            <w:noWrap/>
          </w:tcPr>
          <w:p w14:paraId="32E37BF4" w14:textId="77777777" w:rsidR="00742247" w:rsidRPr="00C6295A" w:rsidRDefault="00742247" w:rsidP="00756A00">
            <w:pPr>
              <w:pStyle w:val="Tabletext1"/>
            </w:pPr>
            <w:r>
              <w:t>High or concerning PSA</w:t>
            </w:r>
          </w:p>
        </w:tc>
        <w:tc>
          <w:tcPr>
            <w:tcW w:w="1555" w:type="pct"/>
            <w:tcBorders>
              <w:top w:val="nil"/>
              <w:bottom w:val="nil"/>
            </w:tcBorders>
            <w:shd w:val="clear" w:color="auto" w:fill="auto"/>
            <w:noWrap/>
          </w:tcPr>
          <w:p w14:paraId="5C171CA0" w14:textId="77777777" w:rsidR="00742247" w:rsidRPr="00C6295A" w:rsidRDefault="00742247" w:rsidP="00756A00">
            <w:pPr>
              <w:pStyle w:val="Tabletext1"/>
            </w:pPr>
            <w:r>
              <w:t xml:space="preserve">High or concerning PSA ± negative biopsy </w:t>
            </w:r>
          </w:p>
        </w:tc>
        <w:tc>
          <w:tcPr>
            <w:tcW w:w="1393" w:type="pct"/>
            <w:tcBorders>
              <w:top w:val="nil"/>
              <w:bottom w:val="nil"/>
            </w:tcBorders>
            <w:shd w:val="clear" w:color="auto" w:fill="auto"/>
            <w:noWrap/>
          </w:tcPr>
          <w:p w14:paraId="7DB20FEC" w14:textId="77777777" w:rsidR="00742247" w:rsidRPr="00C6295A" w:rsidRDefault="00742247" w:rsidP="00756A00">
            <w:pPr>
              <w:pStyle w:val="Tabletext1"/>
            </w:pPr>
            <w:r>
              <w:t>High or concerning PSA ± negative biopsy</w:t>
            </w:r>
          </w:p>
        </w:tc>
      </w:tr>
      <w:tr w:rsidR="00742247" w:rsidRPr="00C6295A" w14:paraId="50656FA2" w14:textId="77777777" w:rsidTr="00A34EE4">
        <w:trPr>
          <w:trHeight w:val="397"/>
        </w:trPr>
        <w:tc>
          <w:tcPr>
            <w:tcW w:w="826" w:type="pct"/>
            <w:tcBorders>
              <w:top w:val="nil"/>
              <w:bottom w:val="nil"/>
            </w:tcBorders>
            <w:shd w:val="clear" w:color="auto" w:fill="auto"/>
            <w:noWrap/>
          </w:tcPr>
          <w:p w14:paraId="7D6EFB97" w14:textId="77777777" w:rsidR="00742247" w:rsidRPr="00746C57" w:rsidRDefault="00742247" w:rsidP="00756A00">
            <w:pPr>
              <w:pStyle w:val="Tabletext1"/>
            </w:pPr>
            <w:r w:rsidRPr="00746C57">
              <w:t>Prior tests conducted</w:t>
            </w:r>
          </w:p>
        </w:tc>
        <w:tc>
          <w:tcPr>
            <w:tcW w:w="1226" w:type="pct"/>
            <w:tcBorders>
              <w:top w:val="nil"/>
              <w:bottom w:val="nil"/>
            </w:tcBorders>
            <w:shd w:val="clear" w:color="auto" w:fill="auto"/>
            <w:noWrap/>
          </w:tcPr>
          <w:p w14:paraId="25B6CE7C" w14:textId="77777777" w:rsidR="00742247" w:rsidRPr="00C6295A" w:rsidRDefault="00742247" w:rsidP="00756A00">
            <w:pPr>
              <w:pStyle w:val="Tabletext1"/>
            </w:pPr>
            <w:r>
              <w:t xml:space="preserve">PSA </w:t>
            </w:r>
          </w:p>
        </w:tc>
        <w:tc>
          <w:tcPr>
            <w:tcW w:w="1555" w:type="pct"/>
            <w:tcBorders>
              <w:top w:val="nil"/>
              <w:bottom w:val="nil"/>
            </w:tcBorders>
            <w:shd w:val="clear" w:color="auto" w:fill="auto"/>
            <w:noWrap/>
          </w:tcPr>
          <w:p w14:paraId="711C43D6" w14:textId="77777777" w:rsidR="00742247" w:rsidRPr="00C6295A" w:rsidRDefault="00742247" w:rsidP="00756A00">
            <w:pPr>
              <w:pStyle w:val="Tabletext1"/>
            </w:pPr>
            <w:r>
              <w:t>PSA/DRE and/or prior negative biopsy</w:t>
            </w:r>
          </w:p>
        </w:tc>
        <w:tc>
          <w:tcPr>
            <w:tcW w:w="1393" w:type="pct"/>
            <w:tcBorders>
              <w:top w:val="nil"/>
              <w:bottom w:val="nil"/>
            </w:tcBorders>
            <w:shd w:val="clear" w:color="auto" w:fill="auto"/>
            <w:noWrap/>
          </w:tcPr>
          <w:p w14:paraId="64634BF2" w14:textId="77777777" w:rsidR="00742247" w:rsidRPr="00C6295A" w:rsidRDefault="00742247" w:rsidP="00756A00">
            <w:pPr>
              <w:pStyle w:val="Tabletext1"/>
            </w:pPr>
            <w:r>
              <w:t>PSA/DRE and/or prior negative biopsy</w:t>
            </w:r>
          </w:p>
        </w:tc>
      </w:tr>
      <w:tr w:rsidR="00742247" w:rsidRPr="00C6295A" w14:paraId="05C80E05" w14:textId="77777777" w:rsidTr="00A34EE4">
        <w:trPr>
          <w:trHeight w:val="397"/>
        </w:trPr>
        <w:tc>
          <w:tcPr>
            <w:tcW w:w="826" w:type="pct"/>
            <w:tcBorders>
              <w:top w:val="nil"/>
              <w:bottom w:val="nil"/>
            </w:tcBorders>
            <w:shd w:val="clear" w:color="auto" w:fill="auto"/>
            <w:noWrap/>
          </w:tcPr>
          <w:p w14:paraId="5E788932" w14:textId="77777777" w:rsidR="00742247" w:rsidRPr="00E56B97" w:rsidRDefault="00742247" w:rsidP="00756A00">
            <w:pPr>
              <w:pStyle w:val="Tabletext1"/>
            </w:pPr>
            <w:r w:rsidRPr="00E56B97">
              <w:t>PSA level</w:t>
            </w:r>
          </w:p>
        </w:tc>
        <w:tc>
          <w:tcPr>
            <w:tcW w:w="1226" w:type="pct"/>
            <w:tcBorders>
              <w:top w:val="nil"/>
              <w:bottom w:val="nil"/>
            </w:tcBorders>
            <w:shd w:val="clear" w:color="auto" w:fill="auto"/>
            <w:noWrap/>
          </w:tcPr>
          <w:p w14:paraId="513419DB" w14:textId="77777777" w:rsidR="00742247" w:rsidRPr="00C6295A" w:rsidRDefault="00742247" w:rsidP="00756A00">
            <w:pPr>
              <w:pStyle w:val="Tabletext1"/>
            </w:pPr>
            <w:r>
              <w:t xml:space="preserve">Not specified. </w:t>
            </w:r>
          </w:p>
        </w:tc>
        <w:tc>
          <w:tcPr>
            <w:tcW w:w="1555" w:type="pct"/>
            <w:tcBorders>
              <w:top w:val="nil"/>
              <w:bottom w:val="nil"/>
            </w:tcBorders>
            <w:shd w:val="clear" w:color="auto" w:fill="auto"/>
            <w:noWrap/>
          </w:tcPr>
          <w:p w14:paraId="56D0C677" w14:textId="51417993" w:rsidR="00742247" w:rsidRDefault="00742247" w:rsidP="00756A00">
            <w:pPr>
              <w:pStyle w:val="Tabletext1"/>
            </w:pPr>
            <w:r>
              <w:t>M</w:t>
            </w:r>
            <w:r w:rsidR="00AE0832">
              <w:t>ean/median PSA range: approx. 4.7 to 8.3</w:t>
            </w:r>
            <w:r w:rsidRPr="004307B3">
              <w:t>ng/m</w:t>
            </w:r>
            <w:r>
              <w:t>L</w:t>
            </w:r>
          </w:p>
          <w:p w14:paraId="225AB041" w14:textId="2A59119D" w:rsidR="00742247" w:rsidRPr="00C6295A" w:rsidRDefault="00171AD0" w:rsidP="00AE0832">
            <w:pPr>
              <w:pStyle w:val="Tabletext1"/>
            </w:pPr>
            <w:r>
              <w:t>(</w:t>
            </w:r>
            <w:r w:rsidR="00742247">
              <w:t xml:space="preserve">PSA range: </w:t>
            </w:r>
            <w:r w:rsidR="00AE0832">
              <w:t>0.06</w:t>
            </w:r>
            <w:r>
              <w:t>-</w:t>
            </w:r>
            <w:r w:rsidR="00AE0832">
              <w:t>29</w:t>
            </w:r>
          </w:p>
        </w:tc>
        <w:tc>
          <w:tcPr>
            <w:tcW w:w="1393" w:type="pct"/>
            <w:tcBorders>
              <w:top w:val="nil"/>
              <w:bottom w:val="nil"/>
            </w:tcBorders>
            <w:shd w:val="clear" w:color="auto" w:fill="auto"/>
            <w:noWrap/>
          </w:tcPr>
          <w:p w14:paraId="0C286C1B" w14:textId="77777777" w:rsidR="00742247" w:rsidRPr="00C6295A" w:rsidRDefault="00742247" w:rsidP="00756A00">
            <w:pPr>
              <w:pStyle w:val="Tabletext1"/>
            </w:pPr>
            <w:r>
              <w:t>Not specified.</w:t>
            </w:r>
          </w:p>
        </w:tc>
      </w:tr>
      <w:tr w:rsidR="00742247" w:rsidRPr="00C6295A" w14:paraId="1C848A46" w14:textId="77777777" w:rsidTr="00A34EE4">
        <w:trPr>
          <w:trHeight w:val="397"/>
        </w:trPr>
        <w:tc>
          <w:tcPr>
            <w:tcW w:w="826" w:type="pct"/>
            <w:tcBorders>
              <w:top w:val="nil"/>
              <w:bottom w:val="nil"/>
            </w:tcBorders>
            <w:shd w:val="clear" w:color="auto" w:fill="auto"/>
            <w:noWrap/>
          </w:tcPr>
          <w:p w14:paraId="66CE90DC" w14:textId="77777777" w:rsidR="00742247" w:rsidRPr="00E56B97" w:rsidRDefault="00742247" w:rsidP="00756A00">
            <w:pPr>
              <w:pStyle w:val="Tabletext1"/>
            </w:pPr>
            <w:r w:rsidRPr="00E56B97">
              <w:t>PSA ratio</w:t>
            </w:r>
            <w:r>
              <w:t>/ density</w:t>
            </w:r>
          </w:p>
        </w:tc>
        <w:tc>
          <w:tcPr>
            <w:tcW w:w="1226" w:type="pct"/>
            <w:tcBorders>
              <w:top w:val="nil"/>
              <w:bottom w:val="nil"/>
            </w:tcBorders>
            <w:shd w:val="clear" w:color="auto" w:fill="auto"/>
            <w:noWrap/>
          </w:tcPr>
          <w:p w14:paraId="1D9826DC" w14:textId="77777777" w:rsidR="00742247" w:rsidRPr="00C6295A" w:rsidRDefault="00742247" w:rsidP="00756A00">
            <w:pPr>
              <w:pStyle w:val="Tabletext1"/>
            </w:pPr>
            <w:r>
              <w:t xml:space="preserve">Not specified. </w:t>
            </w:r>
          </w:p>
        </w:tc>
        <w:tc>
          <w:tcPr>
            <w:tcW w:w="1555" w:type="pct"/>
            <w:tcBorders>
              <w:top w:val="nil"/>
              <w:bottom w:val="nil"/>
            </w:tcBorders>
            <w:shd w:val="clear" w:color="auto" w:fill="auto"/>
            <w:noWrap/>
          </w:tcPr>
          <w:p w14:paraId="71177EB7" w14:textId="77777777" w:rsidR="00742247" w:rsidRPr="00C6295A" w:rsidRDefault="00742247" w:rsidP="00756A00">
            <w:pPr>
              <w:pStyle w:val="Tabletext1"/>
            </w:pPr>
            <w:r>
              <w:t xml:space="preserve">Not reported. </w:t>
            </w:r>
          </w:p>
        </w:tc>
        <w:tc>
          <w:tcPr>
            <w:tcW w:w="1393" w:type="pct"/>
            <w:tcBorders>
              <w:top w:val="nil"/>
              <w:bottom w:val="nil"/>
            </w:tcBorders>
            <w:shd w:val="clear" w:color="auto" w:fill="auto"/>
            <w:noWrap/>
          </w:tcPr>
          <w:p w14:paraId="2D65268C" w14:textId="77777777" w:rsidR="00742247" w:rsidRPr="00C6295A" w:rsidRDefault="00742247" w:rsidP="00756A00">
            <w:pPr>
              <w:pStyle w:val="Tabletext1"/>
            </w:pPr>
            <w:r>
              <w:t>Not specified.</w:t>
            </w:r>
          </w:p>
        </w:tc>
      </w:tr>
      <w:tr w:rsidR="00742247" w:rsidRPr="00C6295A" w14:paraId="278AA960" w14:textId="77777777" w:rsidTr="00A34EE4">
        <w:trPr>
          <w:trHeight w:val="397"/>
        </w:trPr>
        <w:tc>
          <w:tcPr>
            <w:tcW w:w="826" w:type="pct"/>
            <w:tcBorders>
              <w:top w:val="nil"/>
              <w:bottom w:val="nil"/>
            </w:tcBorders>
            <w:shd w:val="clear" w:color="auto" w:fill="auto"/>
            <w:noWrap/>
          </w:tcPr>
          <w:p w14:paraId="23B968DD" w14:textId="77777777" w:rsidR="00742247" w:rsidRDefault="00742247" w:rsidP="00756A00">
            <w:pPr>
              <w:pStyle w:val="Tabletext1"/>
            </w:pPr>
            <w:r>
              <w:t xml:space="preserve">Family history or BRCA gene positive </w:t>
            </w:r>
          </w:p>
        </w:tc>
        <w:tc>
          <w:tcPr>
            <w:tcW w:w="1226" w:type="pct"/>
            <w:tcBorders>
              <w:top w:val="nil"/>
              <w:bottom w:val="nil"/>
            </w:tcBorders>
            <w:shd w:val="clear" w:color="auto" w:fill="auto"/>
            <w:noWrap/>
          </w:tcPr>
          <w:p w14:paraId="1AF89A10" w14:textId="77777777" w:rsidR="00742247" w:rsidRPr="00C6295A" w:rsidRDefault="00742247" w:rsidP="00756A00">
            <w:pPr>
              <w:pStyle w:val="Tabletext1"/>
            </w:pPr>
            <w:r>
              <w:t xml:space="preserve">Not specified. </w:t>
            </w:r>
          </w:p>
        </w:tc>
        <w:tc>
          <w:tcPr>
            <w:tcW w:w="1555" w:type="pct"/>
            <w:tcBorders>
              <w:top w:val="nil"/>
              <w:bottom w:val="nil"/>
            </w:tcBorders>
            <w:shd w:val="clear" w:color="auto" w:fill="auto"/>
            <w:noWrap/>
          </w:tcPr>
          <w:p w14:paraId="4E3B1EFE" w14:textId="5123FD20" w:rsidR="00742247" w:rsidRDefault="00742247" w:rsidP="00756A00">
            <w:pPr>
              <w:pStyle w:val="Tabletext1"/>
            </w:pPr>
            <w:r>
              <w:t>Two Australian studies (Thompson et al</w:t>
            </w:r>
            <w:r w:rsidR="00171AD0">
              <w:t>.</w:t>
            </w:r>
            <w:r>
              <w:t xml:space="preserve"> 2014 and 2016) reported 26.7-30.7% of patients had family history. </w:t>
            </w:r>
          </w:p>
          <w:p w14:paraId="4D20E58B" w14:textId="77777777" w:rsidR="00742247" w:rsidRPr="00C6295A" w:rsidRDefault="00742247" w:rsidP="00756A00">
            <w:pPr>
              <w:pStyle w:val="Tabletext1"/>
            </w:pPr>
            <w:r>
              <w:t xml:space="preserve">One study (Dikaios et al. 2015) included patients based on family history. </w:t>
            </w:r>
          </w:p>
        </w:tc>
        <w:tc>
          <w:tcPr>
            <w:tcW w:w="1393" w:type="pct"/>
            <w:tcBorders>
              <w:top w:val="nil"/>
              <w:bottom w:val="nil"/>
            </w:tcBorders>
            <w:shd w:val="clear" w:color="auto" w:fill="auto"/>
            <w:noWrap/>
          </w:tcPr>
          <w:p w14:paraId="0212D539" w14:textId="77777777" w:rsidR="00742247" w:rsidRPr="00C6295A" w:rsidRDefault="00742247" w:rsidP="00756A00">
            <w:pPr>
              <w:pStyle w:val="Tabletext1"/>
            </w:pPr>
            <w:r>
              <w:t>Not specified.</w:t>
            </w:r>
          </w:p>
        </w:tc>
      </w:tr>
      <w:tr w:rsidR="00742247" w:rsidRPr="00C6295A" w14:paraId="21EF1483" w14:textId="77777777" w:rsidTr="00A34EE4">
        <w:trPr>
          <w:trHeight w:val="397"/>
        </w:trPr>
        <w:tc>
          <w:tcPr>
            <w:tcW w:w="826" w:type="pct"/>
            <w:tcBorders>
              <w:top w:val="nil"/>
              <w:bottom w:val="single" w:sz="4" w:space="0" w:color="auto"/>
            </w:tcBorders>
            <w:shd w:val="clear" w:color="auto" w:fill="auto"/>
            <w:noWrap/>
          </w:tcPr>
          <w:p w14:paraId="0D908E2A" w14:textId="77777777" w:rsidR="00742247" w:rsidRPr="002171E2" w:rsidRDefault="00742247" w:rsidP="00756A00">
            <w:pPr>
              <w:pStyle w:val="Tabletext1"/>
            </w:pPr>
            <w:r>
              <w:t>Comment</w:t>
            </w:r>
          </w:p>
        </w:tc>
        <w:tc>
          <w:tcPr>
            <w:tcW w:w="4174" w:type="pct"/>
            <w:gridSpan w:val="3"/>
            <w:tcBorders>
              <w:top w:val="nil"/>
              <w:bottom w:val="single" w:sz="4" w:space="0" w:color="auto"/>
            </w:tcBorders>
            <w:shd w:val="clear" w:color="auto" w:fill="auto"/>
            <w:noWrap/>
          </w:tcPr>
          <w:p w14:paraId="7DAA93E8" w14:textId="77777777" w:rsidR="00742247" w:rsidRDefault="00742247" w:rsidP="00756A00">
            <w:pPr>
              <w:pStyle w:val="Tabletext1"/>
            </w:pPr>
            <w:r>
              <w:t xml:space="preserve">The wider population may also include men who are anxious that they may have PCa, but do not fulfil the criteria of “high and concerning PSA”. </w:t>
            </w:r>
          </w:p>
          <w:p w14:paraId="13F92365" w14:textId="3828023F" w:rsidR="00742247" w:rsidRDefault="00742247" w:rsidP="00756A00">
            <w:pPr>
              <w:pStyle w:val="Tabletext1"/>
            </w:pPr>
            <w:r>
              <w:t>Although not specified in the restriction, criteria for intermediate</w:t>
            </w:r>
            <w:r w:rsidR="003E18AF">
              <w:t>-</w:t>
            </w:r>
            <w:r>
              <w:t xml:space="preserve"> and high</w:t>
            </w:r>
            <w:r w:rsidR="003E18AF">
              <w:t>-</w:t>
            </w:r>
            <w:r>
              <w:t>concern are specified in the clinical management algorithm:</w:t>
            </w:r>
          </w:p>
          <w:p w14:paraId="57CF93C2" w14:textId="4410B777" w:rsidR="00742247" w:rsidRDefault="00742247" w:rsidP="00756A00">
            <w:pPr>
              <w:pStyle w:val="Tabletext1"/>
            </w:pPr>
            <w:r>
              <w:t>PSA &gt;3.0</w:t>
            </w:r>
            <w:r w:rsidR="001D697C">
              <w:t>ng/ml</w:t>
            </w:r>
            <w:r w:rsidR="007244E6">
              <w:t xml:space="preserve"> (or lower level if &lt;5</w:t>
            </w:r>
            <w:r>
              <w:t>0 years of age)</w:t>
            </w:r>
          </w:p>
          <w:p w14:paraId="516470E9" w14:textId="7957B9A8" w:rsidR="00742247" w:rsidRDefault="00742247" w:rsidP="00756A00">
            <w:pPr>
              <w:pStyle w:val="Tabletext1"/>
            </w:pPr>
            <w:r>
              <w:t>Free/</w:t>
            </w:r>
            <w:r w:rsidR="007244E6">
              <w:t>total PSA ratio &lt;</w:t>
            </w:r>
            <w:r>
              <w:t>25%.</w:t>
            </w:r>
          </w:p>
          <w:p w14:paraId="154C8904" w14:textId="77777777" w:rsidR="00742247" w:rsidRDefault="00742247" w:rsidP="00756A00">
            <w:pPr>
              <w:pStyle w:val="Tabletext1"/>
            </w:pPr>
            <w:r>
              <w:t>Positive family history (includes BRCA gene muta</w:t>
            </w:r>
            <w:r w:rsidRPr="0053353F">
              <w:t>t</w:t>
            </w:r>
            <w:r>
              <w:t>ion)</w:t>
            </w:r>
          </w:p>
          <w:p w14:paraId="71EAECE5" w14:textId="5C8F0E5E" w:rsidR="003E18AF" w:rsidRDefault="003E18AF" w:rsidP="00756A00">
            <w:pPr>
              <w:pStyle w:val="Tabletext1"/>
            </w:pPr>
            <w:r>
              <w:t>Positive DRE</w:t>
            </w:r>
          </w:p>
          <w:p w14:paraId="34312749" w14:textId="77777777" w:rsidR="00742247" w:rsidRDefault="00742247" w:rsidP="00756A00">
            <w:pPr>
              <w:pStyle w:val="Tabletext1"/>
            </w:pPr>
            <w:r>
              <w:t>The study population in key studies were variable:</w:t>
            </w:r>
          </w:p>
          <w:p w14:paraId="5CBCE446" w14:textId="77777777" w:rsidR="00742247" w:rsidRDefault="00742247" w:rsidP="00756A00">
            <w:pPr>
              <w:pStyle w:val="Tabletext1"/>
            </w:pPr>
            <w:r>
              <w:t>Men with prior PSA/DRE (8 out of 10 key studies).</w:t>
            </w:r>
          </w:p>
          <w:p w14:paraId="558E3994" w14:textId="3031CAE9" w:rsidR="00742247" w:rsidRDefault="00742247" w:rsidP="00756A00">
            <w:pPr>
              <w:pStyle w:val="Tabletext1"/>
            </w:pPr>
            <w:r>
              <w:t>Men with prior negative biopsy (Baur et al</w:t>
            </w:r>
            <w:r w:rsidR="007244E6">
              <w:t>.</w:t>
            </w:r>
            <w:r>
              <w:t xml:space="preserve"> 2016; Lista et al</w:t>
            </w:r>
            <w:r w:rsidR="007244E6">
              <w:t>.</w:t>
            </w:r>
            <w:r>
              <w:t xml:space="preserve"> 2015).</w:t>
            </w:r>
          </w:p>
          <w:p w14:paraId="4C43CF09" w14:textId="61219C59" w:rsidR="00742247" w:rsidRDefault="00742247" w:rsidP="00756A00">
            <w:pPr>
              <w:pStyle w:val="Tabletext1"/>
            </w:pPr>
            <w:r>
              <w:t>Two studies, one of which is an Australian study (Thompson et al</w:t>
            </w:r>
            <w:r w:rsidR="007244E6">
              <w:t>.</w:t>
            </w:r>
            <w:r>
              <w:t xml:space="preserve"> 2016) did not include any patients with prior biopsy (Jambor et al. 2014; Thompson et al</w:t>
            </w:r>
            <w:r w:rsidR="007244E6">
              <w:t>.</w:t>
            </w:r>
            <w:r>
              <w:t xml:space="preserve"> 2016). </w:t>
            </w:r>
          </w:p>
          <w:p w14:paraId="606A782A" w14:textId="77777777" w:rsidR="00742247" w:rsidRDefault="00742247" w:rsidP="00756A00">
            <w:pPr>
              <w:pStyle w:val="Tabletext1"/>
            </w:pPr>
            <w:r>
              <w:t>Seven of the key trials did not report is patients had a prior biopsy (</w:t>
            </w:r>
            <w:r w:rsidRPr="00AE51EE">
              <w:t>Baldisserotto et al. 2016, Dikaios et al. 2015, Pokorny et al. 2014, Thompson et al. 2014, Wan</w:t>
            </w:r>
            <w:r>
              <w:t>g et al. 2015, Zhao et al. 2016)</w:t>
            </w:r>
          </w:p>
          <w:p w14:paraId="6F90D2AC" w14:textId="77777777" w:rsidR="00742247" w:rsidRDefault="00742247" w:rsidP="00756A00">
            <w:pPr>
              <w:pStyle w:val="Tabletext1"/>
            </w:pPr>
            <w:r>
              <w:t>B</w:t>
            </w:r>
            <w:r w:rsidRPr="00ED6E90">
              <w:t>aseline prostate cancer risk in the study populations may differ from the baselin</w:t>
            </w:r>
            <w:r>
              <w:t>e risk in the</w:t>
            </w:r>
            <w:r w:rsidRPr="00ED6E90">
              <w:t xml:space="preserve"> </w:t>
            </w:r>
            <w:r>
              <w:t>target population (see discussion in Section C.2)</w:t>
            </w:r>
            <w:r w:rsidRPr="00ED6E90">
              <w:t>.</w:t>
            </w:r>
          </w:p>
        </w:tc>
      </w:tr>
    </w:tbl>
    <w:p w14:paraId="3833C399" w14:textId="77777777" w:rsidR="007244E6" w:rsidRDefault="007244E6" w:rsidP="00742247">
      <w:pPr>
        <w:pStyle w:val="TableNotes"/>
      </w:pPr>
      <w:r>
        <w:t>Note: Study population only includes participants enrolled in the key studies.</w:t>
      </w:r>
    </w:p>
    <w:p w14:paraId="6BF29B03" w14:textId="5820D866" w:rsidR="00742247" w:rsidRDefault="00742247" w:rsidP="00742247">
      <w:pPr>
        <w:pStyle w:val="TableNotes"/>
      </w:pPr>
      <w:r w:rsidRPr="007D4C63">
        <w:t>DRE</w:t>
      </w:r>
      <w:r w:rsidR="007244E6">
        <w:t xml:space="preserve"> =</w:t>
      </w:r>
      <w:r w:rsidRPr="007D4C63">
        <w:t xml:space="preserve"> digital rectal examination</w:t>
      </w:r>
      <w:r w:rsidR="007244E6">
        <w:t>,</w:t>
      </w:r>
      <w:r w:rsidRPr="007D4C63">
        <w:t xml:space="preserve"> PASC</w:t>
      </w:r>
      <w:r w:rsidR="007244E6">
        <w:t xml:space="preserve"> =</w:t>
      </w:r>
      <w:r w:rsidRPr="007D4C63">
        <w:t xml:space="preserve"> Protocol Advisory Sub-Committee</w:t>
      </w:r>
      <w:r w:rsidR="007244E6">
        <w:t>,</w:t>
      </w:r>
      <w:r>
        <w:t xml:space="preserve"> </w:t>
      </w:r>
      <w:r w:rsidRPr="007D4C63">
        <w:t>PCa</w:t>
      </w:r>
      <w:r w:rsidR="007244E6">
        <w:t xml:space="preserve"> =</w:t>
      </w:r>
      <w:r w:rsidRPr="007D4C63">
        <w:t xml:space="preserve"> prostate cancer</w:t>
      </w:r>
      <w:r w:rsidR="007244E6">
        <w:t>,</w:t>
      </w:r>
      <w:r w:rsidRPr="007D4C63">
        <w:t xml:space="preserve"> PSA</w:t>
      </w:r>
      <w:r w:rsidR="007244E6">
        <w:t xml:space="preserve"> =</w:t>
      </w:r>
      <w:r w:rsidRPr="007D4C63">
        <w:t xml:space="preserve"> prostate specific antigen</w:t>
      </w:r>
      <w:r w:rsidR="007244E6">
        <w:t>, BRCA = breast cancer</w:t>
      </w:r>
      <w:r w:rsidR="00165382">
        <w:t>.</w:t>
      </w:r>
    </w:p>
    <w:p w14:paraId="4442A634" w14:textId="77777777" w:rsidR="00742247" w:rsidRDefault="00742247" w:rsidP="00742247">
      <w:pPr>
        <w:pStyle w:val="Caption"/>
        <w:tabs>
          <w:tab w:val="left" w:pos="1134"/>
        </w:tabs>
        <w:ind w:left="1134" w:hanging="1134"/>
      </w:pPr>
      <w:bookmarkStart w:id="521" w:name="_Ref455564390"/>
      <w:bookmarkStart w:id="522" w:name="_Toc455916106"/>
      <w:bookmarkStart w:id="523" w:name="_Toc457383672"/>
      <w:bookmarkStart w:id="524" w:name="_Toc459987910"/>
      <w:bookmarkStart w:id="525" w:name="_Toc460514550"/>
      <w:r w:rsidRPr="002D269C">
        <w:lastRenderedPageBreak/>
        <w:t xml:space="preserve">Table </w:t>
      </w:r>
      <w:fldSimple w:instr=" SEQ Table \* ARABIC ">
        <w:r w:rsidR="0029649D">
          <w:rPr>
            <w:noProof/>
          </w:rPr>
          <w:t>50</w:t>
        </w:r>
      </w:fldSimple>
      <w:bookmarkEnd w:id="521"/>
      <w:r w:rsidRPr="002D269C">
        <w:tab/>
      </w:r>
      <w:r>
        <w:t>Comparison of characteristics of trial and requested population and circumstances of use for Population 2, men with prostate cancer undergoing active surveillance</w:t>
      </w:r>
      <w:bookmarkEnd w:id="522"/>
      <w:bookmarkEnd w:id="523"/>
      <w:bookmarkEnd w:id="524"/>
      <w:bookmarkEnd w:id="525"/>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05"/>
        <w:gridCol w:w="2535"/>
        <w:gridCol w:w="2535"/>
        <w:gridCol w:w="2537"/>
      </w:tblGrid>
      <w:tr w:rsidR="00742247" w:rsidRPr="00A34EE4" w14:paraId="421BB6DC" w14:textId="77777777" w:rsidTr="00A34EE4">
        <w:trPr>
          <w:trHeight w:val="397"/>
          <w:tblHeader/>
        </w:trPr>
        <w:tc>
          <w:tcPr>
            <w:tcW w:w="826" w:type="pct"/>
            <w:vMerge w:val="restart"/>
            <w:shd w:val="clear" w:color="auto" w:fill="auto"/>
            <w:noWrap/>
            <w:vAlign w:val="bottom"/>
            <w:hideMark/>
          </w:tcPr>
          <w:p w14:paraId="4BEEFC2C" w14:textId="77777777" w:rsidR="00742247" w:rsidRPr="00A34EE4" w:rsidRDefault="00742247" w:rsidP="00620849">
            <w:pPr>
              <w:pStyle w:val="Tableheading1"/>
            </w:pPr>
            <w:r w:rsidRPr="00A34EE4">
              <w:t xml:space="preserve">Population and circumstance </w:t>
            </w:r>
          </w:p>
        </w:tc>
        <w:tc>
          <w:tcPr>
            <w:tcW w:w="1391" w:type="pct"/>
            <w:shd w:val="clear" w:color="auto" w:fill="auto"/>
            <w:noWrap/>
            <w:vAlign w:val="bottom"/>
          </w:tcPr>
          <w:p w14:paraId="2A4CF150" w14:textId="77777777" w:rsidR="00742247" w:rsidRPr="00A34EE4" w:rsidRDefault="00742247" w:rsidP="00620849">
            <w:pPr>
              <w:pStyle w:val="Tableheading1"/>
            </w:pPr>
            <w:r w:rsidRPr="00A34EE4">
              <w:t>Target</w:t>
            </w:r>
          </w:p>
        </w:tc>
        <w:tc>
          <w:tcPr>
            <w:tcW w:w="1391" w:type="pct"/>
            <w:shd w:val="clear" w:color="auto" w:fill="auto"/>
            <w:noWrap/>
            <w:vAlign w:val="bottom"/>
          </w:tcPr>
          <w:p w14:paraId="64D24EEB" w14:textId="77777777" w:rsidR="00742247" w:rsidRPr="00A34EE4" w:rsidRDefault="00742247" w:rsidP="00620849">
            <w:pPr>
              <w:pStyle w:val="Tableheading1"/>
            </w:pPr>
            <w:r w:rsidRPr="00A34EE4">
              <w:t xml:space="preserve">Study </w:t>
            </w:r>
          </w:p>
        </w:tc>
        <w:tc>
          <w:tcPr>
            <w:tcW w:w="1392" w:type="pct"/>
            <w:shd w:val="clear" w:color="auto" w:fill="auto"/>
            <w:noWrap/>
            <w:vAlign w:val="bottom"/>
          </w:tcPr>
          <w:p w14:paraId="732A8ACC" w14:textId="77777777" w:rsidR="00742247" w:rsidRPr="00A34EE4" w:rsidRDefault="00742247" w:rsidP="00620849">
            <w:pPr>
              <w:pStyle w:val="Tableheading1"/>
            </w:pPr>
            <w:r w:rsidRPr="00A34EE4">
              <w:t>Wider</w:t>
            </w:r>
          </w:p>
        </w:tc>
      </w:tr>
      <w:tr w:rsidR="00742247" w:rsidRPr="00C6295A" w14:paraId="6C053D20" w14:textId="77777777" w:rsidTr="00A34EE4">
        <w:trPr>
          <w:trHeight w:val="397"/>
          <w:tblHeader/>
        </w:trPr>
        <w:tc>
          <w:tcPr>
            <w:tcW w:w="826" w:type="pct"/>
            <w:vMerge/>
            <w:tcBorders>
              <w:bottom w:val="single" w:sz="4" w:space="0" w:color="auto"/>
            </w:tcBorders>
            <w:shd w:val="clear" w:color="auto" w:fill="auto"/>
            <w:noWrap/>
            <w:vAlign w:val="bottom"/>
          </w:tcPr>
          <w:p w14:paraId="3C42EE6A" w14:textId="77777777" w:rsidR="00742247" w:rsidRPr="00C6295A" w:rsidRDefault="00742247" w:rsidP="00620849">
            <w:pPr>
              <w:pStyle w:val="Tableheading1"/>
            </w:pPr>
          </w:p>
        </w:tc>
        <w:tc>
          <w:tcPr>
            <w:tcW w:w="1391" w:type="pct"/>
            <w:tcBorders>
              <w:bottom w:val="single" w:sz="4" w:space="0" w:color="auto"/>
            </w:tcBorders>
            <w:shd w:val="clear" w:color="auto" w:fill="auto"/>
            <w:noWrap/>
            <w:vAlign w:val="bottom"/>
          </w:tcPr>
          <w:p w14:paraId="6EC11FD6" w14:textId="77777777" w:rsidR="00742247" w:rsidRPr="00A34EE4" w:rsidRDefault="00742247" w:rsidP="00620849">
            <w:pPr>
              <w:pStyle w:val="Tableheading1"/>
            </w:pPr>
            <w:r w:rsidRPr="00A34EE4">
              <w:t xml:space="preserve">As defined by the requested restriction </w:t>
            </w:r>
          </w:p>
        </w:tc>
        <w:tc>
          <w:tcPr>
            <w:tcW w:w="1391" w:type="pct"/>
            <w:tcBorders>
              <w:bottom w:val="single" w:sz="4" w:space="0" w:color="auto"/>
            </w:tcBorders>
            <w:shd w:val="clear" w:color="auto" w:fill="auto"/>
            <w:noWrap/>
            <w:vAlign w:val="bottom"/>
          </w:tcPr>
          <w:p w14:paraId="01EF51F4" w14:textId="77777777" w:rsidR="00742247" w:rsidRPr="00A34EE4" w:rsidRDefault="00742247" w:rsidP="00620849">
            <w:pPr>
              <w:pStyle w:val="Tableheading1"/>
            </w:pPr>
            <w:r w:rsidRPr="00A34EE4">
              <w:t>As defined in trials discussed in Section B</w:t>
            </w:r>
          </w:p>
        </w:tc>
        <w:tc>
          <w:tcPr>
            <w:tcW w:w="1392" w:type="pct"/>
            <w:tcBorders>
              <w:bottom w:val="single" w:sz="4" w:space="0" w:color="auto"/>
            </w:tcBorders>
            <w:shd w:val="clear" w:color="auto" w:fill="auto"/>
            <w:noWrap/>
            <w:vAlign w:val="bottom"/>
          </w:tcPr>
          <w:p w14:paraId="55279ED5" w14:textId="77777777" w:rsidR="00742247" w:rsidRPr="00A34EE4" w:rsidRDefault="00742247" w:rsidP="00620849">
            <w:pPr>
              <w:pStyle w:val="Tableheading1"/>
            </w:pPr>
            <w:r w:rsidRPr="00A34EE4">
              <w:t>If use beyond the requested restriction might arise</w:t>
            </w:r>
          </w:p>
        </w:tc>
      </w:tr>
      <w:tr w:rsidR="00742247" w:rsidRPr="00C6295A" w14:paraId="1037E10B" w14:textId="77777777" w:rsidTr="00A34EE4">
        <w:trPr>
          <w:trHeight w:val="397"/>
        </w:trPr>
        <w:tc>
          <w:tcPr>
            <w:tcW w:w="826" w:type="pct"/>
            <w:tcBorders>
              <w:bottom w:val="nil"/>
            </w:tcBorders>
            <w:shd w:val="clear" w:color="auto" w:fill="auto"/>
            <w:noWrap/>
            <w:hideMark/>
          </w:tcPr>
          <w:p w14:paraId="2006ED1D" w14:textId="77777777" w:rsidR="00742247" w:rsidRPr="00C6295A" w:rsidRDefault="00742247" w:rsidP="00620849">
            <w:pPr>
              <w:pStyle w:val="Tabletext1"/>
            </w:pPr>
            <w:r w:rsidRPr="00083A81">
              <w:t>Clinical condition</w:t>
            </w:r>
          </w:p>
        </w:tc>
        <w:tc>
          <w:tcPr>
            <w:tcW w:w="1391" w:type="pct"/>
            <w:tcBorders>
              <w:bottom w:val="nil"/>
            </w:tcBorders>
            <w:shd w:val="clear" w:color="auto" w:fill="auto"/>
            <w:noWrap/>
            <w:hideMark/>
          </w:tcPr>
          <w:p w14:paraId="44C32802" w14:textId="44C2D9C1" w:rsidR="00742247" w:rsidRPr="00C6295A" w:rsidRDefault="00742247" w:rsidP="00620849">
            <w:pPr>
              <w:pStyle w:val="Tabletext1"/>
            </w:pPr>
            <w:r w:rsidRPr="00552A0A">
              <w:t xml:space="preserve">Men with low to intermediate risk PCa undergoing </w:t>
            </w:r>
            <w:r w:rsidR="00AB1EEA">
              <w:t>AS</w:t>
            </w:r>
            <w:r w:rsidRPr="00552A0A">
              <w:t xml:space="preserve">. </w:t>
            </w:r>
          </w:p>
        </w:tc>
        <w:tc>
          <w:tcPr>
            <w:tcW w:w="1391" w:type="pct"/>
            <w:tcBorders>
              <w:bottom w:val="nil"/>
            </w:tcBorders>
            <w:shd w:val="clear" w:color="auto" w:fill="auto"/>
            <w:noWrap/>
            <w:hideMark/>
          </w:tcPr>
          <w:p w14:paraId="0DE2B098" w14:textId="588E7935" w:rsidR="00742247" w:rsidRPr="00C9262B" w:rsidRDefault="00742247" w:rsidP="00620849">
            <w:pPr>
              <w:pStyle w:val="Tabletext1"/>
              <w:rPr>
                <w:snapToGrid w:val="0"/>
              </w:rPr>
            </w:pPr>
            <w:r w:rsidRPr="005613A6">
              <w:t>Men low to intermediate</w:t>
            </w:r>
            <w:r w:rsidR="003E18AF">
              <w:t xml:space="preserve"> risk PCa </w:t>
            </w:r>
            <w:r w:rsidRPr="005613A6">
              <w:t>Gleason score ≤6, (see Section C.2)</w:t>
            </w:r>
          </w:p>
        </w:tc>
        <w:tc>
          <w:tcPr>
            <w:tcW w:w="1392" w:type="pct"/>
            <w:tcBorders>
              <w:bottom w:val="nil"/>
            </w:tcBorders>
            <w:shd w:val="clear" w:color="auto" w:fill="auto"/>
            <w:noWrap/>
            <w:hideMark/>
          </w:tcPr>
          <w:p w14:paraId="4C9D5EDB" w14:textId="22DD9246" w:rsidR="00742247" w:rsidRDefault="00742247" w:rsidP="00620849">
            <w:pPr>
              <w:pStyle w:val="Tabletext1"/>
            </w:pPr>
            <w:r>
              <w:t xml:space="preserve">All men with PCa undergoing </w:t>
            </w:r>
            <w:r w:rsidR="00AB1EEA">
              <w:t>AS</w:t>
            </w:r>
            <w:r>
              <w:t xml:space="preserve"> including men with:</w:t>
            </w:r>
          </w:p>
          <w:p w14:paraId="4C4CD4C5" w14:textId="461D1990" w:rsidR="00742247" w:rsidRDefault="00742247" w:rsidP="00620849">
            <w:pPr>
              <w:pStyle w:val="Tabletext1"/>
            </w:pPr>
            <w:r>
              <w:t>L</w:t>
            </w:r>
            <w:r w:rsidR="003E18AF">
              <w:t>ow to intermediate risk PCa;</w:t>
            </w:r>
          </w:p>
          <w:p w14:paraId="3A8B61E8" w14:textId="41788960" w:rsidR="00742247" w:rsidRPr="00C6295A" w:rsidRDefault="00742247" w:rsidP="00620849">
            <w:pPr>
              <w:pStyle w:val="Tabletext1"/>
            </w:pPr>
            <w:r>
              <w:t>C</w:t>
            </w:r>
            <w:r w:rsidRPr="00D80E47">
              <w:t>linically significant</w:t>
            </w:r>
            <w:r>
              <w:t xml:space="preserve">/ intermediate to high risk </w:t>
            </w:r>
            <w:r w:rsidR="003E18AF">
              <w:t>PCa.</w:t>
            </w:r>
          </w:p>
        </w:tc>
      </w:tr>
      <w:tr w:rsidR="00742247" w:rsidRPr="00C6295A" w14:paraId="5D8E7B39" w14:textId="77777777" w:rsidTr="00A34EE4">
        <w:trPr>
          <w:trHeight w:val="397"/>
        </w:trPr>
        <w:tc>
          <w:tcPr>
            <w:tcW w:w="826" w:type="pct"/>
            <w:tcBorders>
              <w:top w:val="nil"/>
              <w:bottom w:val="single" w:sz="4" w:space="0" w:color="auto"/>
            </w:tcBorders>
            <w:shd w:val="clear" w:color="auto" w:fill="auto"/>
            <w:noWrap/>
          </w:tcPr>
          <w:p w14:paraId="4AC11BB7" w14:textId="77777777" w:rsidR="00742247" w:rsidRPr="00C6295A" w:rsidRDefault="00742247" w:rsidP="00620849">
            <w:pPr>
              <w:pStyle w:val="Tabletext1"/>
            </w:pPr>
            <w:r>
              <w:t>Comment</w:t>
            </w:r>
          </w:p>
        </w:tc>
        <w:tc>
          <w:tcPr>
            <w:tcW w:w="4174" w:type="pct"/>
            <w:gridSpan w:val="3"/>
            <w:tcBorders>
              <w:top w:val="nil"/>
              <w:bottom w:val="single" w:sz="4" w:space="0" w:color="auto"/>
            </w:tcBorders>
            <w:shd w:val="clear" w:color="auto" w:fill="auto"/>
            <w:noWrap/>
          </w:tcPr>
          <w:p w14:paraId="6D512893" w14:textId="17E4659A" w:rsidR="00742247" w:rsidRPr="008B0733" w:rsidRDefault="00742247" w:rsidP="00620849">
            <w:pPr>
              <w:pStyle w:val="Tabletext1"/>
            </w:pPr>
            <w:r w:rsidRPr="00D80E47">
              <w:t xml:space="preserve">The wider population is larger than the target </w:t>
            </w:r>
            <w:r>
              <w:t xml:space="preserve">and study </w:t>
            </w:r>
            <w:r w:rsidRPr="00D80E47">
              <w:t>population</w:t>
            </w:r>
            <w:r>
              <w:t>s</w:t>
            </w:r>
            <w:r w:rsidRPr="00D80E47">
              <w:t>. The target population</w:t>
            </w:r>
            <w:r>
              <w:t xml:space="preserve"> consists of</w:t>
            </w:r>
            <w:r w:rsidRPr="00D80E47">
              <w:t xml:space="preserve"> men with low to intermediate risk PCa undergoing </w:t>
            </w:r>
            <w:r w:rsidR="00AB1EEA">
              <w:t>AS</w:t>
            </w:r>
            <w:r w:rsidRPr="00D80E47">
              <w:t xml:space="preserve"> (</w:t>
            </w:r>
            <w:r>
              <w:t>Population 2</w:t>
            </w:r>
            <w:r w:rsidRPr="00D80E47">
              <w:t>)</w:t>
            </w:r>
            <w:r>
              <w:t xml:space="preserve">. Although </w:t>
            </w:r>
            <w:r>
              <w:rPr>
                <w:rFonts w:cs="AdvGulliv-R"/>
                <w:color w:val="000000"/>
              </w:rPr>
              <w:t xml:space="preserve">high risk men are not eligible for </w:t>
            </w:r>
            <w:r w:rsidR="00AB1EEA">
              <w:rPr>
                <w:rFonts w:cs="AdvGulliv-R"/>
                <w:color w:val="000000"/>
              </w:rPr>
              <w:t>AS</w:t>
            </w:r>
            <w:r>
              <w:rPr>
                <w:rFonts w:cs="AdvGulliv-R"/>
                <w:color w:val="000000"/>
              </w:rPr>
              <w:t xml:space="preserve"> with mpMRI, </w:t>
            </w:r>
            <w:r>
              <w:t xml:space="preserve">the wider population may include men with clinically significant/intermediate to high risk PCa undergoing </w:t>
            </w:r>
            <w:r w:rsidR="00AB1EEA">
              <w:t>AS</w:t>
            </w:r>
            <w:r>
              <w:t xml:space="preserve">. </w:t>
            </w:r>
          </w:p>
        </w:tc>
      </w:tr>
      <w:tr w:rsidR="00742247" w:rsidRPr="00C6295A" w14:paraId="454E1747" w14:textId="77777777" w:rsidTr="00A34EE4">
        <w:trPr>
          <w:trHeight w:val="397"/>
        </w:trPr>
        <w:tc>
          <w:tcPr>
            <w:tcW w:w="826" w:type="pct"/>
            <w:tcBorders>
              <w:bottom w:val="nil"/>
            </w:tcBorders>
            <w:shd w:val="clear" w:color="auto" w:fill="auto"/>
            <w:noWrap/>
            <w:hideMark/>
          </w:tcPr>
          <w:p w14:paraId="3E1A223C" w14:textId="77777777" w:rsidR="00742247" w:rsidRPr="003B5F55" w:rsidRDefault="00742247" w:rsidP="00620849">
            <w:pPr>
              <w:pStyle w:val="Tabletext1"/>
            </w:pPr>
            <w:r w:rsidRPr="00C6295A">
              <w:t>Age</w:t>
            </w:r>
          </w:p>
        </w:tc>
        <w:tc>
          <w:tcPr>
            <w:tcW w:w="1391" w:type="pct"/>
            <w:tcBorders>
              <w:bottom w:val="nil"/>
            </w:tcBorders>
            <w:shd w:val="clear" w:color="auto" w:fill="auto"/>
            <w:noWrap/>
          </w:tcPr>
          <w:p w14:paraId="0BA01A30" w14:textId="1B3095FB" w:rsidR="00742247" w:rsidRPr="00C6295A" w:rsidRDefault="00742247" w:rsidP="00620849">
            <w:pPr>
              <w:pStyle w:val="Tabletext1"/>
            </w:pPr>
            <w:r w:rsidRPr="003B5F55">
              <w:t>Adults (no age restriction specified)</w:t>
            </w:r>
            <w:r w:rsidR="003E18AF">
              <w:t>.</w:t>
            </w:r>
          </w:p>
        </w:tc>
        <w:tc>
          <w:tcPr>
            <w:tcW w:w="1391" w:type="pct"/>
            <w:tcBorders>
              <w:bottom w:val="nil"/>
            </w:tcBorders>
            <w:shd w:val="clear" w:color="auto" w:fill="auto"/>
            <w:noWrap/>
          </w:tcPr>
          <w:p w14:paraId="1819545E" w14:textId="31F68C2F" w:rsidR="00742247" w:rsidRPr="003B5F55" w:rsidRDefault="00742247" w:rsidP="00620849">
            <w:pPr>
              <w:pStyle w:val="Tabletext1"/>
            </w:pPr>
            <w:r w:rsidRPr="003B5F55">
              <w:t>Mean/median age range: approx 6</w:t>
            </w:r>
            <w:r>
              <w:t>1</w:t>
            </w:r>
            <w:r w:rsidRPr="003B5F55">
              <w:t>-66 years</w:t>
            </w:r>
            <w:r w:rsidR="003E18AF">
              <w:t>.</w:t>
            </w:r>
          </w:p>
          <w:p w14:paraId="1EC66514" w14:textId="643FC126" w:rsidR="00742247" w:rsidRPr="00C6295A" w:rsidRDefault="00171AD0" w:rsidP="00620849">
            <w:pPr>
              <w:pStyle w:val="Tabletext1"/>
              <w:rPr>
                <w:highlight w:val="yellow"/>
              </w:rPr>
            </w:pPr>
            <w:r>
              <w:t>(Age range: 45-75 years)</w:t>
            </w:r>
          </w:p>
        </w:tc>
        <w:tc>
          <w:tcPr>
            <w:tcW w:w="1392" w:type="pct"/>
            <w:tcBorders>
              <w:bottom w:val="nil"/>
            </w:tcBorders>
            <w:shd w:val="clear" w:color="auto" w:fill="auto"/>
            <w:noWrap/>
          </w:tcPr>
          <w:p w14:paraId="3C207C52" w14:textId="5A6CC449" w:rsidR="00742247" w:rsidRPr="00C6295A" w:rsidRDefault="00742247" w:rsidP="00620849">
            <w:pPr>
              <w:pStyle w:val="Tabletext1"/>
              <w:rPr>
                <w:highlight w:val="yellow"/>
              </w:rPr>
            </w:pPr>
            <w:r w:rsidRPr="003B5F55">
              <w:t>Adults (no age restriction specified)</w:t>
            </w:r>
            <w:r w:rsidR="003E18AF">
              <w:t>.</w:t>
            </w:r>
            <w:r w:rsidRPr="003B5F55">
              <w:t xml:space="preserve"> </w:t>
            </w:r>
          </w:p>
        </w:tc>
      </w:tr>
      <w:tr w:rsidR="00742247" w:rsidRPr="00C6295A" w14:paraId="63BB1FD8" w14:textId="77777777" w:rsidTr="00A34EE4">
        <w:trPr>
          <w:trHeight w:val="397"/>
        </w:trPr>
        <w:tc>
          <w:tcPr>
            <w:tcW w:w="826" w:type="pct"/>
            <w:tcBorders>
              <w:top w:val="nil"/>
              <w:bottom w:val="single" w:sz="4" w:space="0" w:color="auto"/>
            </w:tcBorders>
            <w:shd w:val="clear" w:color="auto" w:fill="auto"/>
            <w:noWrap/>
          </w:tcPr>
          <w:p w14:paraId="5FDFCF30" w14:textId="77777777" w:rsidR="00742247" w:rsidRPr="00C6295A" w:rsidRDefault="00742247" w:rsidP="00620849">
            <w:pPr>
              <w:pStyle w:val="Tabletext1"/>
            </w:pPr>
            <w:r>
              <w:t>Comment</w:t>
            </w:r>
          </w:p>
        </w:tc>
        <w:tc>
          <w:tcPr>
            <w:tcW w:w="4174" w:type="pct"/>
            <w:gridSpan w:val="3"/>
            <w:tcBorders>
              <w:top w:val="nil"/>
              <w:bottom w:val="single" w:sz="4" w:space="0" w:color="auto"/>
            </w:tcBorders>
            <w:shd w:val="clear" w:color="auto" w:fill="auto"/>
            <w:noWrap/>
          </w:tcPr>
          <w:p w14:paraId="281C60D2" w14:textId="0F807B93" w:rsidR="00742247" w:rsidRPr="00C1116F" w:rsidRDefault="00742247" w:rsidP="00620849">
            <w:pPr>
              <w:pStyle w:val="Tabletext1"/>
            </w:pPr>
            <w:r w:rsidRPr="006D400C">
              <w:t xml:space="preserve">Although the requested restriction does not specify eligibility based on age, the mean age </w:t>
            </w:r>
            <w:r>
              <w:t xml:space="preserve">of patients undergoing </w:t>
            </w:r>
            <w:r w:rsidR="00AB1EEA">
              <w:t>AS</w:t>
            </w:r>
            <w:r>
              <w:t xml:space="preserve"> </w:t>
            </w:r>
            <w:r w:rsidRPr="006D400C">
              <w:t>f</w:t>
            </w:r>
            <w:r>
              <w:t>or low to intermediate risk</w:t>
            </w:r>
            <w:r w:rsidRPr="006D400C">
              <w:t xml:space="preserve"> PCa reported in the Australian </w:t>
            </w:r>
            <w:r>
              <w:t xml:space="preserve">Victorian </w:t>
            </w:r>
            <w:r w:rsidRPr="006D400C">
              <w:t>Regis</w:t>
            </w:r>
            <w:r>
              <w:t xml:space="preserve">try study </w:t>
            </w:r>
            <w:r w:rsidRPr="006D400C">
              <w:t xml:space="preserve">was 66 years </w:t>
            </w:r>
            <w:r w:rsidR="00171AD0">
              <w:t>(</w:t>
            </w:r>
            <w:r w:rsidRPr="006D400C">
              <w:t>S</w:t>
            </w:r>
            <w:r w:rsidR="005F62FB">
              <w:t>ubs</w:t>
            </w:r>
            <w:r w:rsidRPr="006D400C">
              <w:t>ection C.2</w:t>
            </w:r>
            <w:r>
              <w:t xml:space="preserve"> (Weerakoon et al</w:t>
            </w:r>
            <w:r w:rsidR="00171AD0">
              <w:t>.</w:t>
            </w:r>
            <w:r w:rsidR="005F62FB">
              <w:t xml:space="preserve"> 2015</w:t>
            </w:r>
            <w:r w:rsidR="00B80D15">
              <w:t>)</w:t>
            </w:r>
            <w:r w:rsidR="00171AD0">
              <w:t>)</w:t>
            </w:r>
            <w:r w:rsidRPr="006D400C">
              <w:t>.</w:t>
            </w:r>
            <w:r>
              <w:t xml:space="preserve"> </w:t>
            </w:r>
            <w:r w:rsidRPr="006D400C">
              <w:t>This is similar to the mean/median age range of participants enrolled in the study populations.</w:t>
            </w:r>
            <w:r>
              <w:t xml:space="preserve"> </w:t>
            </w:r>
          </w:p>
        </w:tc>
      </w:tr>
      <w:tr w:rsidR="00742247" w:rsidRPr="00C6295A" w14:paraId="1C6FD463" w14:textId="77777777" w:rsidTr="00A34EE4">
        <w:trPr>
          <w:trHeight w:val="397"/>
        </w:trPr>
        <w:tc>
          <w:tcPr>
            <w:tcW w:w="826" w:type="pct"/>
            <w:tcBorders>
              <w:top w:val="nil"/>
              <w:bottom w:val="nil"/>
            </w:tcBorders>
            <w:shd w:val="clear" w:color="auto" w:fill="auto"/>
            <w:noWrap/>
          </w:tcPr>
          <w:p w14:paraId="1CC18D38" w14:textId="77777777" w:rsidR="00742247" w:rsidRPr="00E56B97" w:rsidRDefault="00742247" w:rsidP="00620849">
            <w:pPr>
              <w:pStyle w:val="Tabletext1"/>
            </w:pPr>
            <w:r>
              <w:t xml:space="preserve">Baseline risk for initiation of mpMRI </w:t>
            </w:r>
          </w:p>
        </w:tc>
        <w:tc>
          <w:tcPr>
            <w:tcW w:w="1391" w:type="pct"/>
            <w:tcBorders>
              <w:top w:val="nil"/>
              <w:bottom w:val="nil"/>
            </w:tcBorders>
            <w:shd w:val="clear" w:color="auto" w:fill="auto"/>
            <w:noWrap/>
          </w:tcPr>
          <w:p w14:paraId="48535876" w14:textId="483B04B6" w:rsidR="00742247" w:rsidRPr="00E87AFF" w:rsidRDefault="00742247" w:rsidP="00620849">
            <w:pPr>
              <w:pStyle w:val="Tabletext1"/>
            </w:pPr>
            <w:r>
              <w:t xml:space="preserve">Patients with low/intermediate risk PCa undergoing </w:t>
            </w:r>
            <w:r w:rsidR="00AB1EEA">
              <w:t>AS</w:t>
            </w:r>
            <w:r>
              <w:t xml:space="preserve"> </w:t>
            </w:r>
            <w:r w:rsidR="003E18AF">
              <w:t>.</w:t>
            </w:r>
          </w:p>
        </w:tc>
        <w:tc>
          <w:tcPr>
            <w:tcW w:w="1391" w:type="pct"/>
            <w:tcBorders>
              <w:top w:val="nil"/>
              <w:bottom w:val="nil"/>
            </w:tcBorders>
            <w:shd w:val="clear" w:color="auto" w:fill="auto"/>
            <w:noWrap/>
          </w:tcPr>
          <w:p w14:paraId="40758CC5" w14:textId="3CE56D74" w:rsidR="00742247" w:rsidRPr="004823D9" w:rsidRDefault="00742247" w:rsidP="00620849">
            <w:pPr>
              <w:pStyle w:val="Tabletext1"/>
              <w:rPr>
                <w:highlight w:val="yellow"/>
              </w:rPr>
            </w:pPr>
            <w:r w:rsidRPr="006E0444">
              <w:t>Gleason score ≤6 [all key studies</w:t>
            </w:r>
            <w:r>
              <w:t xml:space="preserve"> </w:t>
            </w:r>
            <w:r w:rsidRPr="005613A6">
              <w:t>for all key studies</w:t>
            </w:r>
            <w:r>
              <w:t xml:space="preserve">, except </w:t>
            </w:r>
            <w:r>
              <w:rPr>
                <w:snapToGrid w:val="0"/>
              </w:rPr>
              <w:t>de Cobelli et al. (2015), Gleason score was not specified</w:t>
            </w:r>
            <w:r w:rsidRPr="005613A6">
              <w:t>]</w:t>
            </w:r>
          </w:p>
        </w:tc>
        <w:tc>
          <w:tcPr>
            <w:tcW w:w="1392" w:type="pct"/>
            <w:tcBorders>
              <w:top w:val="nil"/>
              <w:bottom w:val="nil"/>
            </w:tcBorders>
            <w:shd w:val="clear" w:color="auto" w:fill="auto"/>
            <w:noWrap/>
          </w:tcPr>
          <w:p w14:paraId="78A63C9A" w14:textId="19B2FCDD" w:rsidR="00742247" w:rsidRPr="00E87AFF" w:rsidRDefault="00742247" w:rsidP="00620849">
            <w:pPr>
              <w:pStyle w:val="Tabletext1"/>
            </w:pPr>
            <w:r>
              <w:t xml:space="preserve">All patients with PCa undergoing </w:t>
            </w:r>
            <w:r w:rsidR="00AB1EEA">
              <w:t>AS</w:t>
            </w:r>
            <w:r w:rsidR="003E18AF">
              <w:t>.</w:t>
            </w:r>
          </w:p>
        </w:tc>
      </w:tr>
      <w:tr w:rsidR="00742247" w:rsidRPr="00C6295A" w14:paraId="4CFF1C82" w14:textId="77777777" w:rsidTr="00A34EE4">
        <w:trPr>
          <w:trHeight w:val="397"/>
        </w:trPr>
        <w:tc>
          <w:tcPr>
            <w:tcW w:w="826" w:type="pct"/>
            <w:tcBorders>
              <w:top w:val="nil"/>
              <w:bottom w:val="single" w:sz="4" w:space="0" w:color="auto"/>
            </w:tcBorders>
            <w:shd w:val="clear" w:color="auto" w:fill="auto"/>
            <w:noWrap/>
          </w:tcPr>
          <w:p w14:paraId="093397C9" w14:textId="77777777" w:rsidR="00742247" w:rsidRPr="00BF1DA1" w:rsidRDefault="00742247" w:rsidP="00620849">
            <w:pPr>
              <w:pStyle w:val="Tabletext1"/>
            </w:pPr>
            <w:r w:rsidRPr="00BF1DA1">
              <w:t>Comment</w:t>
            </w:r>
          </w:p>
        </w:tc>
        <w:tc>
          <w:tcPr>
            <w:tcW w:w="4174" w:type="pct"/>
            <w:gridSpan w:val="3"/>
            <w:tcBorders>
              <w:top w:val="nil"/>
              <w:bottom w:val="single" w:sz="4" w:space="0" w:color="auto"/>
            </w:tcBorders>
            <w:shd w:val="clear" w:color="auto" w:fill="auto"/>
            <w:noWrap/>
          </w:tcPr>
          <w:p w14:paraId="1B52A7E1" w14:textId="6141CF58" w:rsidR="00742247" w:rsidRPr="00394A7D" w:rsidRDefault="00742247" w:rsidP="00620849">
            <w:pPr>
              <w:pStyle w:val="Tabletext1"/>
            </w:pPr>
            <w:r>
              <w:t xml:space="preserve">The Protocol states (p12) that the proposed mpMRI service is added to the </w:t>
            </w:r>
            <w:r w:rsidR="00AB1EEA">
              <w:t>AS</w:t>
            </w:r>
            <w:r>
              <w:t xml:space="preserve"> protocol, and will be used as an additional test prior to biopsy. The restriction specifies the target population as men with an e</w:t>
            </w:r>
            <w:r w:rsidRPr="002521CF">
              <w:t xml:space="preserve">xisting diagnosis of low or intermediate risk </w:t>
            </w:r>
            <w:r w:rsidR="003E18AF">
              <w:t>PCa</w:t>
            </w:r>
            <w:r w:rsidRPr="002521CF">
              <w:t xml:space="preserve"> undertaking </w:t>
            </w:r>
            <w:r w:rsidR="00AB1EEA">
              <w:t>AS</w:t>
            </w:r>
            <w:r>
              <w:t xml:space="preserve">, but it does not stipulate when mpMRI should be initiated. There is potential for increased use of this service in a wider population. The proposed clinical algorithm for Population 2 notes mpMRI should be undertaken if there is concern about clinical or PSA changes. However, the restriction does not explicitly state these time points when mpMRI would be performed. </w:t>
            </w:r>
          </w:p>
        </w:tc>
      </w:tr>
      <w:tr w:rsidR="00742247" w:rsidRPr="00C6295A" w14:paraId="25BDAAB0" w14:textId="77777777" w:rsidTr="00A34EE4">
        <w:trPr>
          <w:trHeight w:val="397"/>
        </w:trPr>
        <w:tc>
          <w:tcPr>
            <w:tcW w:w="826" w:type="pct"/>
            <w:tcBorders>
              <w:top w:val="single" w:sz="4" w:space="0" w:color="auto"/>
              <w:bottom w:val="nil"/>
            </w:tcBorders>
            <w:shd w:val="clear" w:color="auto" w:fill="auto"/>
            <w:noWrap/>
          </w:tcPr>
          <w:p w14:paraId="71F582C9" w14:textId="77777777" w:rsidR="00742247" w:rsidRDefault="00742247" w:rsidP="00620849">
            <w:pPr>
              <w:pStyle w:val="Tabletext1"/>
            </w:pPr>
            <w:r>
              <w:t>Tests conducted</w:t>
            </w:r>
          </w:p>
        </w:tc>
        <w:tc>
          <w:tcPr>
            <w:tcW w:w="1391" w:type="pct"/>
            <w:tcBorders>
              <w:top w:val="single" w:sz="4" w:space="0" w:color="auto"/>
              <w:bottom w:val="nil"/>
            </w:tcBorders>
            <w:shd w:val="clear" w:color="auto" w:fill="auto"/>
            <w:noWrap/>
          </w:tcPr>
          <w:p w14:paraId="72A757DF" w14:textId="5A5BA21B" w:rsidR="00742247" w:rsidRPr="004823D9" w:rsidRDefault="00742247" w:rsidP="00620849">
            <w:pPr>
              <w:pStyle w:val="Tabletext1"/>
              <w:rPr>
                <w:highlight w:val="yellow"/>
              </w:rPr>
            </w:pPr>
            <w:r w:rsidRPr="008A462A">
              <w:t>Not explicitly specified.</w:t>
            </w:r>
            <w:r>
              <w:t xml:space="preserve"> </w:t>
            </w:r>
            <w:r w:rsidRPr="008A462A">
              <w:br/>
              <w:t xml:space="preserve">Restriction notes that the person should be undertaking </w:t>
            </w:r>
            <w:r w:rsidR="00AB1EEA">
              <w:t>AS</w:t>
            </w:r>
            <w:r w:rsidRPr="008A462A">
              <w:t xml:space="preserve">. No other information is provided. </w:t>
            </w:r>
          </w:p>
        </w:tc>
        <w:tc>
          <w:tcPr>
            <w:tcW w:w="1391" w:type="pct"/>
            <w:tcBorders>
              <w:top w:val="single" w:sz="4" w:space="0" w:color="auto"/>
              <w:bottom w:val="nil"/>
            </w:tcBorders>
            <w:shd w:val="clear" w:color="auto" w:fill="auto"/>
            <w:noWrap/>
          </w:tcPr>
          <w:p w14:paraId="18E2F3C9" w14:textId="77777777" w:rsidR="00742247" w:rsidRDefault="00742247" w:rsidP="00620849">
            <w:pPr>
              <w:pStyle w:val="Tabletext1"/>
            </w:pPr>
            <w:r w:rsidRPr="00421A7F">
              <w:t>PSA/DRE and biopsy</w:t>
            </w:r>
            <w:r>
              <w:t xml:space="preserve">. </w:t>
            </w:r>
          </w:p>
          <w:p w14:paraId="55AF1D8A" w14:textId="77777777" w:rsidR="00742247" w:rsidRPr="002E2D7B" w:rsidRDefault="00742247" w:rsidP="00620849">
            <w:pPr>
              <w:pStyle w:val="Tabletext1"/>
            </w:pPr>
            <w:r>
              <w:t xml:space="preserve">Other tests noted include PHI and PCA3 (Porpiglia et al. </w:t>
            </w:r>
            <w:r w:rsidRPr="00297C53">
              <w:t>2015)</w:t>
            </w:r>
            <w:r>
              <w:t xml:space="preserve">. </w:t>
            </w:r>
          </w:p>
        </w:tc>
        <w:tc>
          <w:tcPr>
            <w:tcW w:w="1392" w:type="pct"/>
            <w:tcBorders>
              <w:top w:val="single" w:sz="4" w:space="0" w:color="auto"/>
              <w:bottom w:val="nil"/>
            </w:tcBorders>
            <w:shd w:val="clear" w:color="auto" w:fill="auto"/>
            <w:noWrap/>
          </w:tcPr>
          <w:p w14:paraId="3A0D27D3" w14:textId="34BC3F6E" w:rsidR="00742247" w:rsidRPr="004823D9" w:rsidRDefault="00742247" w:rsidP="00620849">
            <w:pPr>
              <w:pStyle w:val="Tabletext1"/>
              <w:rPr>
                <w:highlight w:val="yellow"/>
              </w:rPr>
            </w:pPr>
            <w:r w:rsidRPr="008F6518">
              <w:t xml:space="preserve">Assumed in clinical management due to definitive PCa diagnosis : PSA, and PSA kinetics, DRE, TRUSGB </w:t>
            </w:r>
            <w:r w:rsidR="003E18AF">
              <w:t>.</w:t>
            </w:r>
          </w:p>
        </w:tc>
      </w:tr>
      <w:tr w:rsidR="00742247" w:rsidRPr="00C6295A" w14:paraId="2013F09B" w14:textId="77777777" w:rsidTr="00A34EE4">
        <w:trPr>
          <w:trHeight w:val="397"/>
        </w:trPr>
        <w:tc>
          <w:tcPr>
            <w:tcW w:w="826" w:type="pct"/>
            <w:tcBorders>
              <w:top w:val="nil"/>
              <w:bottom w:val="single" w:sz="4" w:space="0" w:color="auto"/>
            </w:tcBorders>
            <w:shd w:val="clear" w:color="auto" w:fill="auto"/>
            <w:noWrap/>
          </w:tcPr>
          <w:p w14:paraId="7849DE07" w14:textId="77777777" w:rsidR="00742247" w:rsidRPr="002171E2" w:rsidRDefault="00742247" w:rsidP="00620849">
            <w:pPr>
              <w:pStyle w:val="Tabletext1"/>
            </w:pPr>
            <w:r>
              <w:t>Comment</w:t>
            </w:r>
          </w:p>
        </w:tc>
        <w:tc>
          <w:tcPr>
            <w:tcW w:w="4174" w:type="pct"/>
            <w:gridSpan w:val="3"/>
            <w:tcBorders>
              <w:top w:val="nil"/>
              <w:bottom w:val="single" w:sz="4" w:space="0" w:color="auto"/>
            </w:tcBorders>
            <w:shd w:val="clear" w:color="auto" w:fill="auto"/>
            <w:noWrap/>
          </w:tcPr>
          <w:p w14:paraId="44D7A64F" w14:textId="2645BF42" w:rsidR="00742247" w:rsidRPr="00C1116F" w:rsidRDefault="00742247" w:rsidP="00620849">
            <w:pPr>
              <w:pStyle w:val="Tabletext1"/>
            </w:pPr>
            <w:r w:rsidRPr="00BB1596">
              <w:t>The target and wider populations are broader than the study population</w:t>
            </w:r>
            <w:r>
              <w:t>s</w:t>
            </w:r>
            <w:r w:rsidRPr="00BB1596">
              <w:t xml:space="preserve">. The restriction requested for the target population specifies ‘man has existing diagnosis of low or intermediate risk PCa and is undertaking </w:t>
            </w:r>
            <w:r w:rsidR="00AB1EEA">
              <w:t>AS</w:t>
            </w:r>
            <w:r w:rsidRPr="00AF6D02">
              <w:t xml:space="preserve">. The wider population </w:t>
            </w:r>
            <w:r>
              <w:t>may</w:t>
            </w:r>
            <w:r w:rsidRPr="00AF6D02">
              <w:t xml:space="preserve"> include patients who have clinically significant/intermediate to high risk PCa</w:t>
            </w:r>
            <w:r>
              <w:t>.</w:t>
            </w:r>
          </w:p>
        </w:tc>
      </w:tr>
      <w:tr w:rsidR="00742247" w:rsidRPr="00C6295A" w14:paraId="304B563E" w14:textId="77777777" w:rsidTr="00A34EE4">
        <w:trPr>
          <w:trHeight w:val="397"/>
        </w:trPr>
        <w:tc>
          <w:tcPr>
            <w:tcW w:w="826" w:type="pct"/>
            <w:tcBorders>
              <w:bottom w:val="nil"/>
            </w:tcBorders>
            <w:shd w:val="clear" w:color="auto" w:fill="auto"/>
            <w:noWrap/>
            <w:hideMark/>
          </w:tcPr>
          <w:p w14:paraId="38021DDC" w14:textId="77777777" w:rsidR="00742247" w:rsidRPr="00C6295A" w:rsidRDefault="00742247" w:rsidP="00620849">
            <w:pPr>
              <w:pStyle w:val="Tabletext1"/>
            </w:pPr>
            <w:r w:rsidRPr="00406F83">
              <w:t>Limitation on frequency use</w:t>
            </w:r>
          </w:p>
        </w:tc>
        <w:tc>
          <w:tcPr>
            <w:tcW w:w="1391" w:type="pct"/>
            <w:tcBorders>
              <w:bottom w:val="nil"/>
            </w:tcBorders>
            <w:shd w:val="clear" w:color="auto" w:fill="auto"/>
            <w:noWrap/>
            <w:hideMark/>
          </w:tcPr>
          <w:p w14:paraId="44405990" w14:textId="77777777" w:rsidR="00742247" w:rsidRPr="002D72CA" w:rsidRDefault="00742247" w:rsidP="00620849">
            <w:pPr>
              <w:pStyle w:val="Tabletext1"/>
            </w:pPr>
            <w:r w:rsidRPr="002D72CA">
              <w:t xml:space="preserve">Not specified. </w:t>
            </w:r>
          </w:p>
        </w:tc>
        <w:tc>
          <w:tcPr>
            <w:tcW w:w="1391" w:type="pct"/>
            <w:tcBorders>
              <w:bottom w:val="nil"/>
            </w:tcBorders>
            <w:shd w:val="clear" w:color="auto" w:fill="auto"/>
            <w:noWrap/>
            <w:hideMark/>
          </w:tcPr>
          <w:p w14:paraId="73B8BE94" w14:textId="77777777" w:rsidR="00742247" w:rsidRPr="002D72CA" w:rsidRDefault="00742247" w:rsidP="00620849">
            <w:pPr>
              <w:pStyle w:val="Tabletext1"/>
            </w:pPr>
            <w:r w:rsidRPr="002D72CA">
              <w:t>Not specified.</w:t>
            </w:r>
          </w:p>
        </w:tc>
        <w:tc>
          <w:tcPr>
            <w:tcW w:w="1392" w:type="pct"/>
            <w:tcBorders>
              <w:bottom w:val="nil"/>
            </w:tcBorders>
            <w:shd w:val="clear" w:color="auto" w:fill="auto"/>
            <w:noWrap/>
            <w:hideMark/>
          </w:tcPr>
          <w:p w14:paraId="117428BB" w14:textId="77777777" w:rsidR="00742247" w:rsidRPr="002D72CA" w:rsidRDefault="00742247" w:rsidP="00620849">
            <w:pPr>
              <w:pStyle w:val="Tabletext1"/>
            </w:pPr>
            <w:r w:rsidRPr="002D72CA">
              <w:t>Not specified.</w:t>
            </w:r>
          </w:p>
        </w:tc>
      </w:tr>
      <w:tr w:rsidR="00742247" w:rsidRPr="00C6295A" w14:paraId="7D29A304" w14:textId="77777777" w:rsidTr="00A34EE4">
        <w:trPr>
          <w:trHeight w:val="397"/>
        </w:trPr>
        <w:tc>
          <w:tcPr>
            <w:tcW w:w="826" w:type="pct"/>
            <w:tcBorders>
              <w:top w:val="nil"/>
              <w:bottom w:val="single" w:sz="4" w:space="0" w:color="auto"/>
            </w:tcBorders>
            <w:shd w:val="clear" w:color="auto" w:fill="auto"/>
            <w:noWrap/>
          </w:tcPr>
          <w:p w14:paraId="553846DD" w14:textId="77777777" w:rsidR="00742247" w:rsidRPr="00C6295A" w:rsidRDefault="00742247" w:rsidP="00620849">
            <w:pPr>
              <w:pStyle w:val="Tabletext1"/>
            </w:pPr>
            <w:r>
              <w:t>Comment</w:t>
            </w:r>
          </w:p>
        </w:tc>
        <w:tc>
          <w:tcPr>
            <w:tcW w:w="4174" w:type="pct"/>
            <w:gridSpan w:val="3"/>
            <w:tcBorders>
              <w:top w:val="nil"/>
              <w:bottom w:val="single" w:sz="4" w:space="0" w:color="auto"/>
            </w:tcBorders>
            <w:shd w:val="clear" w:color="auto" w:fill="auto"/>
            <w:noWrap/>
          </w:tcPr>
          <w:p w14:paraId="6B036AEB" w14:textId="77777777" w:rsidR="00742247" w:rsidRPr="002D72CA" w:rsidRDefault="00742247" w:rsidP="00620849">
            <w:pPr>
              <w:pStyle w:val="Tabletext1"/>
            </w:pPr>
            <w:r w:rsidRPr="002D72CA">
              <w:t>The restriction does not specify if there is a limitation on frequency of use in the target population.</w:t>
            </w:r>
            <w:r>
              <w:t xml:space="preserve"> </w:t>
            </w:r>
          </w:p>
        </w:tc>
      </w:tr>
    </w:tbl>
    <w:p w14:paraId="1D2E088E" w14:textId="77777777" w:rsidR="00171AD0" w:rsidRDefault="00171AD0" w:rsidP="00171AD0">
      <w:pPr>
        <w:pStyle w:val="TableNotes"/>
      </w:pPr>
      <w:r w:rsidRPr="00ED69D6">
        <w:t>Study population only includes participants enrolled in the key studies.</w:t>
      </w:r>
      <w:r>
        <w:t xml:space="preserve"> </w:t>
      </w:r>
    </w:p>
    <w:p w14:paraId="415FD500" w14:textId="79A422A2" w:rsidR="00742247" w:rsidRPr="00ED69D6" w:rsidRDefault="00742247" w:rsidP="00742247">
      <w:pPr>
        <w:pStyle w:val="TableNotes"/>
      </w:pPr>
      <w:r w:rsidRPr="00ED69D6">
        <w:t>AS</w:t>
      </w:r>
      <w:r w:rsidR="00171AD0">
        <w:t xml:space="preserve"> =</w:t>
      </w:r>
      <w:r w:rsidRPr="00ED69D6">
        <w:t xml:space="preserve"> active surveillance</w:t>
      </w:r>
      <w:r w:rsidR="00171AD0">
        <w:t>,</w:t>
      </w:r>
      <w:r w:rsidRPr="00ED69D6">
        <w:t xml:space="preserve"> DRE</w:t>
      </w:r>
      <w:r w:rsidR="00171AD0">
        <w:t xml:space="preserve"> =</w:t>
      </w:r>
      <w:r w:rsidRPr="00ED69D6">
        <w:t xml:space="preserve"> digital rectal examination</w:t>
      </w:r>
      <w:r w:rsidR="00171AD0">
        <w:t>,</w:t>
      </w:r>
      <w:r w:rsidRPr="00ED69D6">
        <w:t xml:space="preserve"> mpMRI</w:t>
      </w:r>
      <w:r w:rsidR="00171AD0">
        <w:t xml:space="preserve"> =</w:t>
      </w:r>
      <w:r w:rsidRPr="00ED69D6">
        <w:t xml:space="preserve"> multiparametric MRI</w:t>
      </w:r>
      <w:r w:rsidR="00171AD0">
        <w:t>,</w:t>
      </w:r>
      <w:r w:rsidRPr="00ED69D6">
        <w:t xml:space="preserve"> PCa</w:t>
      </w:r>
      <w:r w:rsidR="00171AD0">
        <w:t xml:space="preserve"> =</w:t>
      </w:r>
      <w:r w:rsidRPr="00ED69D6">
        <w:t xml:space="preserve"> prostate cancer</w:t>
      </w:r>
      <w:r w:rsidR="00171AD0">
        <w:t>,</w:t>
      </w:r>
      <w:r w:rsidRPr="00ED69D6">
        <w:t xml:space="preserve"> PSA</w:t>
      </w:r>
      <w:r w:rsidR="00171AD0">
        <w:t xml:space="preserve"> =</w:t>
      </w:r>
      <w:r w:rsidRPr="00ED69D6">
        <w:t xml:space="preserve"> prostate specific antigen</w:t>
      </w:r>
      <w:r w:rsidR="00171AD0">
        <w:t>,</w:t>
      </w:r>
      <w:r w:rsidRPr="00ED69D6">
        <w:t xml:space="preserve"> </w:t>
      </w:r>
      <w:r>
        <w:t>TPUSGB</w:t>
      </w:r>
      <w:r w:rsidR="00171AD0">
        <w:t xml:space="preserve"> =</w:t>
      </w:r>
      <w:r w:rsidRPr="00ED69D6">
        <w:t xml:space="preserve"> trans</w:t>
      </w:r>
      <w:r w:rsidR="00171AD0">
        <w:t>-</w:t>
      </w:r>
      <w:r w:rsidRPr="00ED69D6">
        <w:t>perineal</w:t>
      </w:r>
      <w:r>
        <w:t xml:space="preserve"> ultrasound guided biopsy</w:t>
      </w:r>
      <w:r w:rsidR="00171AD0">
        <w:t>,</w:t>
      </w:r>
      <w:r>
        <w:t xml:space="preserve"> TRUSG</w:t>
      </w:r>
      <w:r w:rsidRPr="00ED69D6">
        <w:t>B</w:t>
      </w:r>
      <w:r w:rsidR="00171AD0">
        <w:t xml:space="preserve"> =</w:t>
      </w:r>
      <w:r w:rsidRPr="00ED69D6">
        <w:t xml:space="preserve"> trans</w:t>
      </w:r>
      <w:r w:rsidR="00171AD0">
        <w:t>-</w:t>
      </w:r>
      <w:r w:rsidRPr="00ED69D6">
        <w:t>rectal ultrasound guided biopsy.</w:t>
      </w:r>
    </w:p>
    <w:p w14:paraId="586A464F" w14:textId="77777777" w:rsidR="00742247" w:rsidRPr="00837CE7" w:rsidRDefault="00742247" w:rsidP="00742247">
      <w:pPr>
        <w:rPr>
          <w:highlight w:val="yellow"/>
        </w:rPr>
      </w:pPr>
    </w:p>
    <w:p w14:paraId="00182489" w14:textId="77777777" w:rsidR="00742247" w:rsidRDefault="00742247" w:rsidP="00742247">
      <w:pPr>
        <w:pStyle w:val="Heading2"/>
        <w:numPr>
          <w:ilvl w:val="3"/>
          <w:numId w:val="8"/>
        </w:numPr>
        <w:jc w:val="left"/>
      </w:pPr>
      <w:bookmarkStart w:id="526" w:name="_Toc381796478"/>
      <w:bookmarkStart w:id="527" w:name="_Toc455916060"/>
      <w:bookmarkStart w:id="528" w:name="_Ref456427559"/>
      <w:bookmarkStart w:id="529" w:name="_Toc457383617"/>
      <w:bookmarkStart w:id="530" w:name="_Toc459987865"/>
      <w:bookmarkStart w:id="531" w:name="_Toc460513985"/>
      <w:r w:rsidRPr="00183E4D">
        <w:lastRenderedPageBreak/>
        <w:t>Structure and rationale of the economic evaluation</w:t>
      </w:r>
      <w:bookmarkEnd w:id="526"/>
      <w:bookmarkEnd w:id="527"/>
      <w:bookmarkEnd w:id="528"/>
      <w:bookmarkEnd w:id="529"/>
      <w:bookmarkEnd w:id="530"/>
      <w:bookmarkEnd w:id="531"/>
    </w:p>
    <w:p w14:paraId="393E5B76" w14:textId="77777777" w:rsidR="00742247" w:rsidRDefault="00742247" w:rsidP="00742247">
      <w:r w:rsidRPr="002D269C">
        <w:t xml:space="preserve">A summary of the key characteristics of the economic evaluation is given in </w:t>
      </w:r>
      <w:r w:rsidRPr="002D269C">
        <w:fldChar w:fldCharType="begin"/>
      </w:r>
      <w:r w:rsidRPr="002D269C">
        <w:instrText xml:space="preserve"> REF _Ref395196756 \h  \* MERGEFORMAT </w:instrText>
      </w:r>
      <w:r w:rsidRPr="002D269C">
        <w:fldChar w:fldCharType="separate"/>
      </w:r>
      <w:r w:rsidR="0029649D" w:rsidRPr="002D269C">
        <w:t xml:space="preserve">Table </w:t>
      </w:r>
      <w:r w:rsidR="0029649D">
        <w:rPr>
          <w:noProof/>
        </w:rPr>
        <w:t>51</w:t>
      </w:r>
      <w:r w:rsidRPr="002D269C">
        <w:fldChar w:fldCharType="end"/>
      </w:r>
      <w:r w:rsidRPr="002D269C">
        <w:t>.</w:t>
      </w:r>
      <w:r>
        <w:t xml:space="preserve"> The economic model is a combined decision tree and Markov model using cohort expected value analysis. One economic model is presented which includes both Population 1 and Population 2. </w:t>
      </w:r>
    </w:p>
    <w:p w14:paraId="2847807B" w14:textId="77777777" w:rsidR="00742247" w:rsidRDefault="00742247" w:rsidP="00742247">
      <w:pPr>
        <w:pStyle w:val="Caption"/>
        <w:tabs>
          <w:tab w:val="left" w:pos="1134"/>
        </w:tabs>
        <w:ind w:left="1134" w:hanging="1134"/>
      </w:pPr>
      <w:bookmarkStart w:id="532" w:name="_Ref395196756"/>
      <w:bookmarkStart w:id="533" w:name="_Toc457383673"/>
      <w:bookmarkStart w:id="534" w:name="_Toc459987911"/>
      <w:bookmarkStart w:id="535" w:name="_Toc460514551"/>
      <w:bookmarkStart w:id="536" w:name="_Toc455916107"/>
      <w:r w:rsidRPr="002D269C">
        <w:t xml:space="preserve">Table </w:t>
      </w:r>
      <w:fldSimple w:instr=" SEQ Table \* ARABIC ">
        <w:r w:rsidR="0029649D">
          <w:rPr>
            <w:noProof/>
          </w:rPr>
          <w:t>51</w:t>
        </w:r>
      </w:fldSimple>
      <w:bookmarkEnd w:id="532"/>
      <w:r w:rsidRPr="002D269C">
        <w:tab/>
        <w:t>S</w:t>
      </w:r>
      <w:r>
        <w:t xml:space="preserve">ummary of the </w:t>
      </w:r>
      <w:r w:rsidRPr="002D269C">
        <w:t>economic evaluation</w:t>
      </w:r>
      <w:bookmarkEnd w:id="533"/>
      <w:bookmarkEnd w:id="534"/>
      <w:bookmarkEnd w:id="535"/>
      <w:r w:rsidRPr="00183E4D">
        <w:t xml:space="preserve"> </w:t>
      </w:r>
      <w:bookmarkEnd w:id="536"/>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3133"/>
        <w:gridCol w:w="5979"/>
      </w:tblGrid>
      <w:tr w:rsidR="00742247" w:rsidRPr="00183E4D" w14:paraId="7BEDC360"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tcPr>
          <w:p w14:paraId="5A18C227" w14:textId="77777777" w:rsidR="00742247" w:rsidRPr="00A34EE4" w:rsidRDefault="00742247" w:rsidP="00620849">
            <w:pPr>
              <w:pStyle w:val="Tableheading1"/>
            </w:pPr>
            <w:r w:rsidRPr="00A34EE4">
              <w:t>Perspective</w:t>
            </w:r>
          </w:p>
        </w:tc>
        <w:tc>
          <w:tcPr>
            <w:tcW w:w="5953" w:type="dxa"/>
            <w:tcBorders>
              <w:top w:val="single" w:sz="4" w:space="0" w:color="auto"/>
              <w:left w:val="single" w:sz="4" w:space="0" w:color="auto"/>
              <w:bottom w:val="single" w:sz="4" w:space="0" w:color="auto"/>
              <w:right w:val="single" w:sz="4" w:space="0" w:color="auto"/>
            </w:tcBorders>
          </w:tcPr>
          <w:p w14:paraId="02DD3959" w14:textId="77777777" w:rsidR="00742247" w:rsidRPr="00A34EE4" w:rsidRDefault="00742247" w:rsidP="00620849">
            <w:pPr>
              <w:pStyle w:val="Tableheading1"/>
            </w:pPr>
            <w:r w:rsidRPr="00A34EE4">
              <w:t>MBS perspective</w:t>
            </w:r>
          </w:p>
        </w:tc>
      </w:tr>
      <w:tr w:rsidR="00742247" w:rsidRPr="00183E4D" w14:paraId="44224262"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tcPr>
          <w:p w14:paraId="6B6D34FB" w14:textId="77777777" w:rsidR="00742247" w:rsidRPr="00A34EE4" w:rsidRDefault="00742247" w:rsidP="00620849">
            <w:pPr>
              <w:pStyle w:val="Tabletext1"/>
            </w:pPr>
            <w:r w:rsidRPr="00A34EE4">
              <w:t>Comparator</w:t>
            </w:r>
          </w:p>
        </w:tc>
        <w:tc>
          <w:tcPr>
            <w:tcW w:w="5953" w:type="dxa"/>
            <w:tcBorders>
              <w:top w:val="single" w:sz="4" w:space="0" w:color="auto"/>
              <w:left w:val="single" w:sz="4" w:space="0" w:color="auto"/>
              <w:bottom w:val="single" w:sz="4" w:space="0" w:color="auto"/>
              <w:right w:val="single" w:sz="4" w:space="0" w:color="auto"/>
            </w:tcBorders>
          </w:tcPr>
          <w:p w14:paraId="579682BC" w14:textId="77777777" w:rsidR="00742247" w:rsidRPr="00713298" w:rsidRDefault="00742247" w:rsidP="00620849">
            <w:pPr>
              <w:pStyle w:val="Tabletext1"/>
            </w:pPr>
            <w:r>
              <w:t>TRUS</w:t>
            </w:r>
            <w:r w:rsidRPr="00713298">
              <w:t>GB</w:t>
            </w:r>
            <w:r>
              <w:t>/TPUSGB</w:t>
            </w:r>
          </w:p>
        </w:tc>
      </w:tr>
      <w:tr w:rsidR="00742247" w:rsidRPr="00183E4D" w14:paraId="50BE3A71"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tcPr>
          <w:p w14:paraId="71598C81" w14:textId="77777777" w:rsidR="00742247" w:rsidRPr="00A34EE4" w:rsidRDefault="00742247" w:rsidP="00620849">
            <w:pPr>
              <w:pStyle w:val="Tabletext1"/>
            </w:pPr>
            <w:r w:rsidRPr="00A34EE4">
              <w:t>Type of economic evaluation</w:t>
            </w:r>
          </w:p>
        </w:tc>
        <w:tc>
          <w:tcPr>
            <w:tcW w:w="5953" w:type="dxa"/>
            <w:tcBorders>
              <w:top w:val="single" w:sz="4" w:space="0" w:color="auto"/>
              <w:left w:val="single" w:sz="4" w:space="0" w:color="auto"/>
              <w:bottom w:val="single" w:sz="4" w:space="0" w:color="auto"/>
              <w:right w:val="single" w:sz="4" w:space="0" w:color="auto"/>
            </w:tcBorders>
          </w:tcPr>
          <w:p w14:paraId="13702814" w14:textId="77777777" w:rsidR="00742247" w:rsidRPr="00A0651D" w:rsidRDefault="00742247" w:rsidP="00620849">
            <w:pPr>
              <w:pStyle w:val="Tabletext1"/>
            </w:pPr>
            <w:r>
              <w:t>C</w:t>
            </w:r>
            <w:r w:rsidRPr="00A0651D">
              <w:t xml:space="preserve">ost-utility analysis </w:t>
            </w:r>
          </w:p>
        </w:tc>
      </w:tr>
      <w:tr w:rsidR="00742247" w:rsidRPr="00183E4D" w14:paraId="5A26D347"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tcPr>
          <w:p w14:paraId="2CD4DD37" w14:textId="77777777" w:rsidR="00742247" w:rsidRPr="00A34EE4" w:rsidRDefault="00742247" w:rsidP="00620849">
            <w:pPr>
              <w:pStyle w:val="Tabletext1"/>
            </w:pPr>
            <w:r w:rsidRPr="00A34EE4">
              <w:t>Sources of evidence</w:t>
            </w:r>
          </w:p>
        </w:tc>
        <w:tc>
          <w:tcPr>
            <w:tcW w:w="5953" w:type="dxa"/>
            <w:tcBorders>
              <w:top w:val="single" w:sz="4" w:space="0" w:color="auto"/>
              <w:left w:val="single" w:sz="4" w:space="0" w:color="auto"/>
              <w:bottom w:val="single" w:sz="4" w:space="0" w:color="auto"/>
              <w:right w:val="single" w:sz="4" w:space="0" w:color="auto"/>
            </w:tcBorders>
          </w:tcPr>
          <w:p w14:paraId="7D374A7D" w14:textId="564F6012" w:rsidR="00742247" w:rsidRDefault="00742247" w:rsidP="00620849">
            <w:pPr>
              <w:pStyle w:val="Tabletext1"/>
            </w:pPr>
            <w:r w:rsidRPr="0017535D">
              <w:t>Systematic review and me</w:t>
            </w:r>
            <w:r w:rsidR="006D4B7D">
              <w:t>ta-analysis of clinical trials (</w:t>
            </w:r>
            <w:r w:rsidRPr="0017535D">
              <w:t>presented in Section B</w:t>
            </w:r>
            <w:r w:rsidR="006D4B7D">
              <w:t>)</w:t>
            </w:r>
            <w:r w:rsidRPr="0017535D">
              <w:t xml:space="preserve"> </w:t>
            </w:r>
          </w:p>
          <w:p w14:paraId="4D319080" w14:textId="1A89FE26" w:rsidR="00742247" w:rsidRPr="0017535D" w:rsidRDefault="00742247" w:rsidP="00620849">
            <w:pPr>
              <w:pStyle w:val="Tabletext1"/>
            </w:pPr>
            <w:r>
              <w:t>Targeted review fo</w:t>
            </w:r>
            <w:r w:rsidR="006D4B7D">
              <w:t>r utility parameters (Section C)</w:t>
            </w:r>
          </w:p>
          <w:p w14:paraId="01815858" w14:textId="77777777" w:rsidR="00742247" w:rsidRPr="003E6DC1" w:rsidRDefault="00742247" w:rsidP="00620849">
            <w:pPr>
              <w:pStyle w:val="Tabletext1"/>
            </w:pPr>
            <w:r w:rsidRPr="003D271F">
              <w:t>Expert opinion</w:t>
            </w:r>
            <w:r>
              <w:t xml:space="preserve"> was elicited where no data were available</w:t>
            </w:r>
          </w:p>
        </w:tc>
      </w:tr>
      <w:tr w:rsidR="00742247" w:rsidRPr="00183E4D" w14:paraId="45903AF0"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hideMark/>
          </w:tcPr>
          <w:p w14:paraId="1E842430" w14:textId="77777777" w:rsidR="00742247" w:rsidRPr="00A34EE4" w:rsidRDefault="00742247" w:rsidP="00620849">
            <w:pPr>
              <w:pStyle w:val="Tabletext1"/>
            </w:pPr>
            <w:r w:rsidRPr="00A34EE4">
              <w:t>Time horizon</w:t>
            </w:r>
          </w:p>
        </w:tc>
        <w:tc>
          <w:tcPr>
            <w:tcW w:w="5953" w:type="dxa"/>
            <w:tcBorders>
              <w:top w:val="single" w:sz="4" w:space="0" w:color="auto"/>
              <w:left w:val="single" w:sz="4" w:space="0" w:color="auto"/>
              <w:bottom w:val="single" w:sz="4" w:space="0" w:color="auto"/>
              <w:right w:val="single" w:sz="4" w:space="0" w:color="auto"/>
            </w:tcBorders>
            <w:hideMark/>
          </w:tcPr>
          <w:p w14:paraId="4E6CF8C3" w14:textId="768ACDB8" w:rsidR="00742247" w:rsidRPr="00871F74" w:rsidRDefault="00742247" w:rsidP="00620849">
            <w:pPr>
              <w:pStyle w:val="Tabletext1"/>
            </w:pPr>
            <w:r>
              <w:t xml:space="preserve">Lifetime time horizon (25 </w:t>
            </w:r>
            <w:r w:rsidRPr="00C8788F">
              <w:t xml:space="preserve">years) in the model </w:t>
            </w:r>
            <w:r w:rsidR="002955B5">
              <w:t>base-case</w:t>
            </w:r>
          </w:p>
        </w:tc>
      </w:tr>
      <w:tr w:rsidR="00742247" w:rsidRPr="00183E4D" w14:paraId="746FFCFF"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hideMark/>
          </w:tcPr>
          <w:p w14:paraId="4931EAD2" w14:textId="77777777" w:rsidR="00742247" w:rsidRPr="00A34EE4" w:rsidRDefault="00742247" w:rsidP="00620849">
            <w:pPr>
              <w:pStyle w:val="Tabletext1"/>
            </w:pPr>
            <w:r w:rsidRPr="00A34EE4">
              <w:t>Outcomes</w:t>
            </w:r>
          </w:p>
        </w:tc>
        <w:tc>
          <w:tcPr>
            <w:tcW w:w="5953" w:type="dxa"/>
            <w:tcBorders>
              <w:top w:val="single" w:sz="4" w:space="0" w:color="auto"/>
              <w:left w:val="single" w:sz="4" w:space="0" w:color="auto"/>
              <w:bottom w:val="single" w:sz="4" w:space="0" w:color="auto"/>
              <w:right w:val="single" w:sz="4" w:space="0" w:color="auto"/>
            </w:tcBorders>
          </w:tcPr>
          <w:p w14:paraId="1B0A47C4" w14:textId="5B95CE45" w:rsidR="00742247" w:rsidRPr="00472064" w:rsidRDefault="00165382" w:rsidP="00620849">
            <w:pPr>
              <w:pStyle w:val="Tabletext1"/>
            </w:pPr>
            <w:r>
              <w:t>QALYG</w:t>
            </w:r>
          </w:p>
        </w:tc>
      </w:tr>
      <w:tr w:rsidR="00742247" w:rsidRPr="00183E4D" w14:paraId="429174C1"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hideMark/>
          </w:tcPr>
          <w:p w14:paraId="0749B7D4" w14:textId="77777777" w:rsidR="00742247" w:rsidRPr="00A34EE4" w:rsidRDefault="00742247" w:rsidP="00620849">
            <w:pPr>
              <w:pStyle w:val="Tabletext1"/>
            </w:pPr>
            <w:r w:rsidRPr="00A34EE4">
              <w:t>Methods used to generate results</w:t>
            </w:r>
          </w:p>
        </w:tc>
        <w:tc>
          <w:tcPr>
            <w:tcW w:w="5953" w:type="dxa"/>
            <w:tcBorders>
              <w:top w:val="single" w:sz="4" w:space="0" w:color="auto"/>
              <w:left w:val="single" w:sz="4" w:space="0" w:color="auto"/>
              <w:bottom w:val="single" w:sz="4" w:space="0" w:color="auto"/>
              <w:right w:val="single" w:sz="4" w:space="0" w:color="auto"/>
            </w:tcBorders>
          </w:tcPr>
          <w:p w14:paraId="321DF6CA" w14:textId="77777777" w:rsidR="00742247" w:rsidRPr="00AB652F" w:rsidRDefault="00742247" w:rsidP="00620849">
            <w:pPr>
              <w:pStyle w:val="Tabletext1"/>
            </w:pPr>
            <w:r w:rsidRPr="00AB652F">
              <w:t>Combined decision tree and Markov model using cohort expected value analysis</w:t>
            </w:r>
          </w:p>
        </w:tc>
      </w:tr>
      <w:tr w:rsidR="00742247" w:rsidRPr="00183E4D" w14:paraId="5118B5C5"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tcPr>
          <w:p w14:paraId="6138F3FE" w14:textId="77777777" w:rsidR="00742247" w:rsidRPr="00A34EE4" w:rsidRDefault="00742247" w:rsidP="00620849">
            <w:pPr>
              <w:pStyle w:val="Tabletext1"/>
            </w:pPr>
            <w:r w:rsidRPr="00A34EE4">
              <w:t>Health states</w:t>
            </w:r>
          </w:p>
        </w:tc>
        <w:tc>
          <w:tcPr>
            <w:tcW w:w="5953" w:type="dxa"/>
            <w:tcBorders>
              <w:top w:val="single" w:sz="4" w:space="0" w:color="auto"/>
              <w:left w:val="single" w:sz="4" w:space="0" w:color="auto"/>
              <w:bottom w:val="single" w:sz="4" w:space="0" w:color="auto"/>
              <w:right w:val="single" w:sz="4" w:space="0" w:color="auto"/>
            </w:tcBorders>
          </w:tcPr>
          <w:p w14:paraId="60F535FB" w14:textId="77777777" w:rsidR="00742247" w:rsidRDefault="00742247" w:rsidP="00620849">
            <w:pPr>
              <w:pStyle w:val="Tabletext1"/>
            </w:pPr>
            <w:r>
              <w:t>No prostate cancer</w:t>
            </w:r>
          </w:p>
          <w:p w14:paraId="3A24CECD" w14:textId="77777777" w:rsidR="00742247" w:rsidRDefault="00742247" w:rsidP="00620849">
            <w:pPr>
              <w:pStyle w:val="Tabletext1"/>
            </w:pPr>
            <w:r>
              <w:t>Low to intermediate risk prostate cancer (insignificant cancer)</w:t>
            </w:r>
          </w:p>
          <w:p w14:paraId="311E688A" w14:textId="77777777" w:rsidR="00742247" w:rsidRDefault="00742247" w:rsidP="00620849">
            <w:pPr>
              <w:pStyle w:val="Tabletext1"/>
            </w:pPr>
            <w:r>
              <w:t>Intermediate to high risk prostate cancer (significant cancer)</w:t>
            </w:r>
          </w:p>
          <w:p w14:paraId="769D3658" w14:textId="77777777" w:rsidR="00742247" w:rsidRDefault="00742247" w:rsidP="00620849">
            <w:pPr>
              <w:pStyle w:val="Tabletext1"/>
            </w:pPr>
            <w:r>
              <w:t>Advanced prostate cancer</w:t>
            </w:r>
          </w:p>
          <w:p w14:paraId="083AC15D" w14:textId="77777777" w:rsidR="00742247" w:rsidRPr="004B22D2" w:rsidRDefault="00742247" w:rsidP="00620849">
            <w:pPr>
              <w:pStyle w:val="Tabletext1"/>
            </w:pPr>
            <w:r>
              <w:t>Death</w:t>
            </w:r>
          </w:p>
        </w:tc>
      </w:tr>
      <w:tr w:rsidR="00742247" w:rsidRPr="00183E4D" w14:paraId="0F5A7886"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hideMark/>
          </w:tcPr>
          <w:p w14:paraId="3C022E1E" w14:textId="77777777" w:rsidR="00742247" w:rsidRPr="00A34EE4" w:rsidRDefault="00742247" w:rsidP="00620849">
            <w:pPr>
              <w:pStyle w:val="Tabletext1"/>
            </w:pPr>
            <w:r w:rsidRPr="00A34EE4">
              <w:t>Cycle length</w:t>
            </w:r>
          </w:p>
        </w:tc>
        <w:tc>
          <w:tcPr>
            <w:tcW w:w="5953" w:type="dxa"/>
            <w:tcBorders>
              <w:top w:val="single" w:sz="4" w:space="0" w:color="auto"/>
              <w:left w:val="single" w:sz="4" w:space="0" w:color="auto"/>
              <w:bottom w:val="single" w:sz="4" w:space="0" w:color="auto"/>
              <w:right w:val="single" w:sz="4" w:space="0" w:color="auto"/>
            </w:tcBorders>
          </w:tcPr>
          <w:p w14:paraId="3AB00FC9" w14:textId="77777777" w:rsidR="00742247" w:rsidRPr="00FB63EA" w:rsidRDefault="00742247" w:rsidP="00620849">
            <w:pPr>
              <w:pStyle w:val="Tabletext1"/>
            </w:pPr>
            <w:r w:rsidRPr="00565EE7">
              <w:t>1 year</w:t>
            </w:r>
          </w:p>
        </w:tc>
      </w:tr>
      <w:tr w:rsidR="00742247" w:rsidRPr="00183E4D" w14:paraId="2AEA292B"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hideMark/>
          </w:tcPr>
          <w:p w14:paraId="1CCE72BD" w14:textId="77777777" w:rsidR="00742247" w:rsidRPr="00A34EE4" w:rsidRDefault="00742247" w:rsidP="00620849">
            <w:pPr>
              <w:pStyle w:val="Tabletext1"/>
            </w:pPr>
            <w:r w:rsidRPr="00A34EE4">
              <w:t>Discount rate</w:t>
            </w:r>
          </w:p>
        </w:tc>
        <w:tc>
          <w:tcPr>
            <w:tcW w:w="5953" w:type="dxa"/>
            <w:tcBorders>
              <w:top w:val="single" w:sz="4" w:space="0" w:color="auto"/>
              <w:left w:val="single" w:sz="4" w:space="0" w:color="auto"/>
              <w:bottom w:val="single" w:sz="4" w:space="0" w:color="auto"/>
              <w:right w:val="single" w:sz="4" w:space="0" w:color="auto"/>
            </w:tcBorders>
          </w:tcPr>
          <w:p w14:paraId="37149022" w14:textId="77777777" w:rsidR="00742247" w:rsidRPr="00183E4D" w:rsidRDefault="00742247" w:rsidP="00620849">
            <w:pPr>
              <w:pStyle w:val="Tabletext1"/>
            </w:pPr>
            <w:r w:rsidRPr="00D02796">
              <w:t>5% for costs and outcomes</w:t>
            </w:r>
          </w:p>
        </w:tc>
      </w:tr>
      <w:tr w:rsidR="00742247" w:rsidRPr="00183E4D" w14:paraId="3D492AE9" w14:textId="77777777" w:rsidTr="00A34EE4">
        <w:trPr>
          <w:trHeight w:val="397"/>
        </w:trPr>
        <w:tc>
          <w:tcPr>
            <w:tcW w:w="3119" w:type="dxa"/>
            <w:tcBorders>
              <w:top w:val="single" w:sz="4" w:space="0" w:color="auto"/>
              <w:left w:val="single" w:sz="4" w:space="0" w:color="auto"/>
              <w:bottom w:val="single" w:sz="4" w:space="0" w:color="auto"/>
              <w:right w:val="single" w:sz="4" w:space="0" w:color="auto"/>
            </w:tcBorders>
            <w:hideMark/>
          </w:tcPr>
          <w:p w14:paraId="743A0EAA" w14:textId="77777777" w:rsidR="00742247" w:rsidRPr="00A34EE4" w:rsidRDefault="00742247" w:rsidP="00620849">
            <w:pPr>
              <w:pStyle w:val="Tabletext1"/>
            </w:pPr>
            <w:r w:rsidRPr="00A34EE4">
              <w:t>Software packages used</w:t>
            </w:r>
          </w:p>
        </w:tc>
        <w:tc>
          <w:tcPr>
            <w:tcW w:w="5953" w:type="dxa"/>
            <w:tcBorders>
              <w:top w:val="single" w:sz="4" w:space="0" w:color="auto"/>
              <w:left w:val="single" w:sz="4" w:space="0" w:color="auto"/>
              <w:bottom w:val="single" w:sz="4" w:space="0" w:color="auto"/>
              <w:right w:val="single" w:sz="4" w:space="0" w:color="auto"/>
            </w:tcBorders>
          </w:tcPr>
          <w:p w14:paraId="72518ADD" w14:textId="77777777" w:rsidR="00742247" w:rsidRPr="00183E4D" w:rsidRDefault="00742247" w:rsidP="00620849">
            <w:pPr>
              <w:pStyle w:val="Tabletext1"/>
            </w:pPr>
            <w:r>
              <w:t>TreeAge Pro 2015</w:t>
            </w:r>
          </w:p>
        </w:tc>
      </w:tr>
    </w:tbl>
    <w:p w14:paraId="3AFFF267" w14:textId="53AFA494" w:rsidR="00742247" w:rsidRDefault="006D4B7D" w:rsidP="006D4B7D">
      <w:pPr>
        <w:pStyle w:val="TableNotes"/>
      </w:pPr>
      <w:r>
        <w:t>MBS = medical benefits scheme, TRUSGB = trans-rectal ultrasound guided biopsy, TPUSGB = trans-perineal ultrasound guided biopsy, QALYG = quality of life-years gained</w:t>
      </w:r>
      <w:r w:rsidR="00BD0137">
        <w:t>.</w:t>
      </w:r>
    </w:p>
    <w:p w14:paraId="08033762" w14:textId="77777777" w:rsidR="00742247" w:rsidRDefault="00742247" w:rsidP="00742247">
      <w:pPr>
        <w:pStyle w:val="Heading3"/>
      </w:pPr>
      <w:bookmarkStart w:id="537" w:name="_Toc395200799"/>
      <w:bookmarkStart w:id="538" w:name="_Toc455916061"/>
      <w:bookmarkStart w:id="539" w:name="_Toc457383618"/>
      <w:bookmarkStart w:id="540" w:name="_Toc459987866"/>
      <w:bookmarkStart w:id="541" w:name="_Toc460513986"/>
      <w:r>
        <w:t>Literature review</w:t>
      </w:r>
      <w:bookmarkEnd w:id="537"/>
      <w:bookmarkEnd w:id="538"/>
      <w:bookmarkEnd w:id="539"/>
      <w:bookmarkEnd w:id="540"/>
      <w:bookmarkEnd w:id="541"/>
    </w:p>
    <w:p w14:paraId="7E705588" w14:textId="02EDB91F" w:rsidR="00742247" w:rsidRDefault="00742247" w:rsidP="00742247">
      <w:r>
        <w:t xml:space="preserve">Two searches were conducted to identify any </w:t>
      </w:r>
      <w:r w:rsidR="00055C87">
        <w:t>studies</w:t>
      </w:r>
      <w:r>
        <w:t xml:space="preserve"> of economic evaluations that may be relevant to this evaluation. Stud</w:t>
      </w:r>
      <w:r w:rsidR="00055C87">
        <w:t>ies</w:t>
      </w:r>
      <w:r w:rsidR="00620849">
        <w:t xml:space="preserve"> </w:t>
      </w:r>
      <w:r>
        <w:t xml:space="preserve">included for detailed review were those that were based on: </w:t>
      </w:r>
    </w:p>
    <w:p w14:paraId="368E45AE" w14:textId="77777777" w:rsidR="00742247" w:rsidRDefault="00742247" w:rsidP="00A3402C">
      <w:pPr>
        <w:pStyle w:val="ListParagraph"/>
        <w:numPr>
          <w:ilvl w:val="0"/>
          <w:numId w:val="38"/>
        </w:numPr>
        <w:contextualSpacing w:val="0"/>
        <w:jc w:val="left"/>
      </w:pPr>
      <w:r>
        <w:t xml:space="preserve">Economic evaluations using a model to assess costs, cost-effectiveness or cost-utility of mpMRI or TRUSGB/TPUSGB; and </w:t>
      </w:r>
    </w:p>
    <w:p w14:paraId="0B14070B" w14:textId="35F56A5E" w:rsidR="00742247" w:rsidRDefault="00742247" w:rsidP="00A3402C">
      <w:pPr>
        <w:pStyle w:val="ListParagraph"/>
        <w:numPr>
          <w:ilvl w:val="0"/>
          <w:numId w:val="38"/>
        </w:numPr>
        <w:contextualSpacing w:val="0"/>
        <w:jc w:val="left"/>
      </w:pPr>
      <w:r>
        <w:t>Populations including</w:t>
      </w:r>
      <w:r w:rsidR="00673BD6">
        <w:t>:</w:t>
      </w:r>
      <w:r>
        <w:t xml:space="preserve"> </w:t>
      </w:r>
    </w:p>
    <w:p w14:paraId="1A5EFAE1" w14:textId="77777777" w:rsidR="00742247" w:rsidRDefault="00742247" w:rsidP="00A3402C">
      <w:pPr>
        <w:pStyle w:val="ListParagraph"/>
        <w:numPr>
          <w:ilvl w:val="1"/>
          <w:numId w:val="40"/>
        </w:numPr>
        <w:contextualSpacing w:val="0"/>
        <w:jc w:val="left"/>
      </w:pPr>
      <w:r>
        <w:t xml:space="preserve">Men suspected or prostate cancer (Population 1); and/or </w:t>
      </w:r>
    </w:p>
    <w:p w14:paraId="48CB40F6" w14:textId="24D65829" w:rsidR="00742247" w:rsidRDefault="00742247" w:rsidP="00A3402C">
      <w:pPr>
        <w:pStyle w:val="ListParagraph"/>
        <w:numPr>
          <w:ilvl w:val="1"/>
          <w:numId w:val="40"/>
        </w:numPr>
        <w:contextualSpacing w:val="0"/>
        <w:jc w:val="left"/>
      </w:pPr>
      <w:r>
        <w:t xml:space="preserve">Men with low to intermediate risk prostate cancer under </w:t>
      </w:r>
      <w:r w:rsidR="00AB1EEA">
        <w:t>AS</w:t>
      </w:r>
      <w:r>
        <w:t xml:space="preserve"> (Population 2). </w:t>
      </w:r>
    </w:p>
    <w:p w14:paraId="3887F230" w14:textId="73E2A229" w:rsidR="00742247" w:rsidRDefault="00742247" w:rsidP="00742247">
      <w:r>
        <w:lastRenderedPageBreak/>
        <w:t xml:space="preserve">The use of mpMRI for </w:t>
      </w:r>
      <w:r w:rsidR="00673BD6">
        <w:t>PCa</w:t>
      </w:r>
      <w:r>
        <w:t xml:space="preserve"> screening is relatively new and </w:t>
      </w:r>
      <w:r w:rsidR="00055C87">
        <w:t>studies</w:t>
      </w:r>
      <w:r>
        <w:t xml:space="preserve"> that assess the cost-effectiveness or cost-utility are recent. The first search included a review of websites of key health technology assessment agencies. A second search was conducted in the PubMed database with an aim to identify any economic evaluations of mpMRI. Details of the search strategy are </w:t>
      </w:r>
      <w:r w:rsidRPr="00427BE5">
        <w:t xml:space="preserve">presented in </w:t>
      </w:r>
      <w:r w:rsidRPr="00427BE5">
        <w:rPr>
          <w:rStyle w:val="EndnoteTextChar"/>
        </w:rPr>
        <w:t>Appendix K</w:t>
      </w:r>
      <w:r w:rsidRPr="00427BE5">
        <w:t>. The bibliographies</w:t>
      </w:r>
      <w:r w:rsidRPr="001419F7">
        <w:t xml:space="preserve"> of all retrieved </w:t>
      </w:r>
      <w:r w:rsidR="00055C87">
        <w:t>studies</w:t>
      </w:r>
      <w:r w:rsidRPr="001419F7">
        <w:t xml:space="preserve"> were manually reviewed </w:t>
      </w:r>
      <w:r w:rsidR="00673BD6">
        <w:t>to identify all relevant studies</w:t>
      </w:r>
      <w:r>
        <w:t xml:space="preserve">. </w:t>
      </w:r>
    </w:p>
    <w:p w14:paraId="5262E697" w14:textId="77777777" w:rsidR="00742247" w:rsidRDefault="00742247" w:rsidP="00742247">
      <w:r>
        <w:t xml:space="preserve">From the search of key HTA websites, two agencies that have reviewed cost-effectiveness of mpMRI or TRUSGB were identified: </w:t>
      </w:r>
    </w:p>
    <w:p w14:paraId="37350FD0" w14:textId="191CA236" w:rsidR="00742247" w:rsidRDefault="00742247" w:rsidP="00A3402C">
      <w:pPr>
        <w:pStyle w:val="ListParagraph"/>
        <w:numPr>
          <w:ilvl w:val="0"/>
          <w:numId w:val="32"/>
        </w:numPr>
        <w:contextualSpacing w:val="0"/>
        <w:jc w:val="left"/>
      </w:pPr>
      <w:r>
        <w:t xml:space="preserve">CADTH: The report identified on the CADTH website did not explicitly include mpMRI, but did </w:t>
      </w:r>
      <w:r w:rsidRPr="00A269C8">
        <w:t xml:space="preserve">include </w:t>
      </w:r>
      <w:r>
        <w:t>TRUSG</w:t>
      </w:r>
      <w:r w:rsidR="00620849">
        <w:t xml:space="preserve"> </w:t>
      </w:r>
      <w:r w:rsidR="008E0B00">
        <w:fldChar w:fldCharType="begin"/>
      </w:r>
      <w:r w:rsidR="008E0B00">
        <w:instrText xml:space="preserve"> ADDIN EN.CITE &lt;EndNote&gt;&lt;Cite&gt;&lt;Author&gt;CADTH&lt;/Author&gt;&lt;Year&gt;2014&lt;/Year&gt;&lt;RecNum&gt;164&lt;/RecNum&gt;&lt;DisplayText&gt;(CADTH 2014)&lt;/DisplayText&gt;&lt;record&gt;&lt;rec-number&gt;164&lt;/rec-number&gt;&lt;foreign-keys&gt;&lt;key app="EN" db-id="2p9terxr22fx91epzebpfdwuzrwtw2a2ep2t" timestamp="1472684643"&gt;164&lt;/key&gt;&lt;/foreign-keys&gt;&lt;ref-type name="Government Document"&gt;46&lt;/ref-type&gt;&lt;contributors&gt;&lt;authors&gt;&lt;author&gt;CADTH&lt;/author&gt;&lt;/authors&gt;&lt;secondary-authors&gt;&lt;author&gt;Canadian Agency for Drugs and Technologies in Health, &lt;/author&gt;&lt;/secondary-authors&gt;&lt;/contributors&gt;&lt;titles&gt;&lt;title&gt;Magnetic Resonance Spectroscopic Imaging for Prostate Disease Detection: Clinical and Cost-Effectiveness, and Guidelines&lt;/title&gt;&lt;/titles&gt;&lt;dates&gt;&lt;year&gt;2014&lt;/year&gt;&lt;/dates&gt;&lt;urls&gt;&lt;related-urls&gt;&lt;url&gt;https://www.cadth.ca/magnetic-resonance-spectroscopic-imaging-prostate-disease-detection-clinical-and-cost-effectiveness &lt;/url&gt;&lt;/related-urls&gt;&lt;/urls&gt;&lt;/record&gt;&lt;/Cite&gt;&lt;/EndNote&gt;</w:instrText>
      </w:r>
      <w:r w:rsidR="008E0B00">
        <w:fldChar w:fldCharType="separate"/>
      </w:r>
      <w:r w:rsidR="008E0B00">
        <w:rPr>
          <w:noProof/>
        </w:rPr>
        <w:t>(</w:t>
      </w:r>
      <w:hyperlink w:anchor="_ENREF_22" w:tooltip="CADTH, 2014 #164" w:history="1">
        <w:r w:rsidR="008E0B00">
          <w:rPr>
            <w:noProof/>
          </w:rPr>
          <w:t>CADTH 2014</w:t>
        </w:r>
      </w:hyperlink>
      <w:r w:rsidR="008E0B00">
        <w:rPr>
          <w:noProof/>
        </w:rPr>
        <w:t>)</w:t>
      </w:r>
      <w:r w:rsidR="008E0B00">
        <w:fldChar w:fldCharType="end"/>
      </w:r>
      <w:r w:rsidR="00620849" w:rsidRPr="00A269C8">
        <w:t xml:space="preserve"> </w:t>
      </w:r>
      <w:r>
        <w:t>B</w:t>
      </w:r>
      <w:r w:rsidRPr="00A269C8">
        <w:t>.</w:t>
      </w:r>
      <w:r>
        <w:t xml:space="preserve"> </w:t>
      </w:r>
      <w:r w:rsidRPr="00A269C8">
        <w:t>The rapid response report from</w:t>
      </w:r>
      <w:r w:rsidR="00620849">
        <w:t xml:space="preserve"> CADTH </w:t>
      </w:r>
      <w:r w:rsidRPr="00A269C8">
        <w:t xml:space="preserve">noted that there were no economic evaluations identified in the literature that compared the cost-effectiveness of magnetic resonance spectroscopic imaging versus </w:t>
      </w:r>
      <w:r>
        <w:t>TRUSGB</w:t>
      </w:r>
      <w:r w:rsidRPr="00A269C8">
        <w:t xml:space="preserve"> for prostate disease diagnosis in men aged 50 years and older.</w:t>
      </w:r>
      <w:r>
        <w:t xml:space="preserve"> </w:t>
      </w:r>
    </w:p>
    <w:p w14:paraId="09AC7A0E" w14:textId="022A27BC" w:rsidR="00742247" w:rsidRDefault="00742247" w:rsidP="00A3402C">
      <w:pPr>
        <w:pStyle w:val="ListParagraph"/>
        <w:numPr>
          <w:ilvl w:val="0"/>
          <w:numId w:val="32"/>
        </w:numPr>
        <w:contextualSpacing w:val="0"/>
        <w:jc w:val="left"/>
      </w:pPr>
      <w:r>
        <w:t xml:space="preserve">NICE: The clinical guidelines for prostate cancer: diagnosis and management </w:t>
      </w:r>
      <w:r w:rsidR="00620849">
        <w:t xml:space="preserve"> </w:t>
      </w:r>
      <w:r w:rsidR="008E0B00">
        <w:fldChar w:fldCharType="begin"/>
      </w:r>
      <w:r w:rsidR="008E0B00">
        <w:instrText xml:space="preserve"> ADDIN EN.CITE &lt;EndNote&gt;&lt;Cite&gt;&lt;Author&gt;NICE&lt;/Author&gt;&lt;Year&gt;2014&lt;/Year&gt;&lt;RecNum&gt;18&lt;/RecNum&gt;&lt;DisplayText&gt;(NICE 2014)&lt;/DisplayText&gt;&lt;record&gt;&lt;rec-number&gt;18&lt;/rec-number&gt;&lt;foreign-keys&gt;&lt;key app="EN" db-id="2p9terxr22fx91epzebpfdwuzrwtw2a2ep2t" timestamp="1472684602"&gt;18&lt;/key&gt;&lt;/foreign-keys&gt;&lt;ref-type name="Web Page"&gt;12&lt;/ref-type&gt;&lt;contributors&gt;&lt;authors&gt;&lt;author&gt;NICE&lt;/author&gt;&lt;/authors&gt;&lt;/contributors&gt;&lt;titles&gt;&lt;title&gt;Prostate Cancer: diagnosis and treatment. Clinical guideline. Full guideline January 2014. &lt;/title&gt;&lt;/titles&gt;&lt;number&gt;22 Jul 2016&lt;/number&gt;&lt;dates&gt;&lt;year&gt;2014&lt;/year&gt;&lt;/dates&gt;&lt;pub-location&gt;London&lt;/pub-location&gt;&lt;publisher&gt;NICE&lt;/publisher&gt;&lt;urls&gt;&lt;/urls&gt;&lt;/record&gt;&lt;/Cite&gt;&lt;/EndNote&gt;</w:instrText>
      </w:r>
      <w:r w:rsidR="008E0B00">
        <w:fldChar w:fldCharType="separate"/>
      </w:r>
      <w:r w:rsidR="008E0B00">
        <w:rPr>
          <w:noProof/>
        </w:rPr>
        <w:t>(</w:t>
      </w:r>
      <w:hyperlink w:anchor="_ENREF_103" w:tooltip="NICE, 2014 #18" w:history="1">
        <w:r w:rsidR="008E0B00">
          <w:rPr>
            <w:noProof/>
          </w:rPr>
          <w:t>NICE 2014</w:t>
        </w:r>
      </w:hyperlink>
      <w:r w:rsidR="008E0B00">
        <w:rPr>
          <w:noProof/>
        </w:rPr>
        <w:t>)</w:t>
      </w:r>
      <w:r w:rsidR="008E0B00">
        <w:fldChar w:fldCharType="end"/>
      </w:r>
      <w:r>
        <w:t xml:space="preserve"> have recommended to consider mpMRI in men with a negative TRUSGB to determine if another biopsy is needed. </w:t>
      </w:r>
      <w:r w:rsidR="007E5AB6">
        <w:t>Noting that the basis for this recommendation was not substantiated in this guideline.</w:t>
      </w:r>
      <w:r w:rsidR="007E5AB6" w:rsidDel="007E5AB6">
        <w:t xml:space="preserve"> </w:t>
      </w:r>
    </w:p>
    <w:p w14:paraId="38D3163F" w14:textId="72AF803C" w:rsidR="00742247" w:rsidRDefault="00673BD6" w:rsidP="007E5AB6">
      <w:r>
        <w:t>N</w:t>
      </w:r>
      <w:r w:rsidR="00742247" w:rsidRPr="00C752B5">
        <w:t xml:space="preserve">o </w:t>
      </w:r>
      <w:r w:rsidR="00055C87">
        <w:t>studies</w:t>
      </w:r>
      <w:r>
        <w:t xml:space="preserve"> were identified that assessed the cost-e</w:t>
      </w:r>
      <w:r w:rsidR="00742247" w:rsidRPr="00C752B5">
        <w:t xml:space="preserve">ffectiveness or cost-utility of mpMRI alone compared with </w:t>
      </w:r>
      <w:r w:rsidR="00742247">
        <w:t>TRUSGB</w:t>
      </w:r>
      <w:r>
        <w:t xml:space="preserve"> or </w:t>
      </w:r>
      <w:r w:rsidR="00742247">
        <w:t>TPUSGB</w:t>
      </w:r>
      <w:r w:rsidR="00742247" w:rsidRPr="00C752B5">
        <w:t xml:space="preserve"> in either </w:t>
      </w:r>
      <w:r w:rsidR="00742247">
        <w:t>Population 1</w:t>
      </w:r>
      <w:r w:rsidR="00742247" w:rsidRPr="00C752B5">
        <w:t xml:space="preserve"> or </w:t>
      </w:r>
      <w:r w:rsidR="00742247">
        <w:t xml:space="preserve">Population </w:t>
      </w:r>
      <w:r>
        <w:t>2</w:t>
      </w:r>
      <w:r w:rsidR="00742247" w:rsidRPr="00C752B5">
        <w:t>. The</w:t>
      </w:r>
      <w:r w:rsidR="00742247">
        <w:t xml:space="preserve"> economic evaluations pertaining to mpMRI identified reviewed the clinical management sequence of mpMRI followed by MRIGB. Although this contracted assessment is specific for mpMRI since MRIGB is being assessed separately (CA 1424), the </w:t>
      </w:r>
      <w:r w:rsidR="00055C87">
        <w:t>studies</w:t>
      </w:r>
      <w:r w:rsidR="00742247">
        <w:t xml:space="preserve"> were retained as the clinical algorithm and model structure presented in this assessment (CA</w:t>
      </w:r>
      <w:r>
        <w:t xml:space="preserve"> </w:t>
      </w:r>
      <w:r w:rsidR="00742247">
        <w:t xml:space="preserve">1397) follow the sequence of mpMRI followed by biopsy. </w:t>
      </w:r>
    </w:p>
    <w:p w14:paraId="15093A58" w14:textId="06AC7527" w:rsidR="00742247" w:rsidRDefault="00742247" w:rsidP="00742247">
      <w:r>
        <w:t xml:space="preserve">Gordon et al. </w:t>
      </w:r>
      <w:r w:rsidR="00673BD6">
        <w:t>(</w:t>
      </w:r>
      <w:r>
        <w:t>2016) evaluated the cost-effectiveness of two mpMRI strategies compared with usual care (TRUSGB or TPUSGB)</w:t>
      </w:r>
      <w:r w:rsidR="00620849">
        <w:t xml:space="preserve"> </w:t>
      </w:r>
      <w:r w:rsidR="008E0B00">
        <w:fldChar w:fldCharType="begin"/>
      </w:r>
      <w:r w:rsidR="008E0B00">
        <w:instrText xml:space="preserve"> ADDIN EN.CITE &lt;EndNote&gt;&lt;Cite&gt;&lt;Author&gt;Gordon&lt;/Author&gt;&lt;Year&gt;2016&lt;/Year&gt;&lt;RecNum&gt;171&lt;/RecNum&gt;&lt;DisplayText&gt;(Gordon et al. 2016)&lt;/DisplayText&gt;&lt;record&gt;&lt;rec-number&gt;171&lt;/rec-number&gt;&lt;foreign-keys&gt;&lt;key app="EN" db-id="2p9terxr22fx91epzebpfdwuzrwtw2a2ep2t" timestamp="1472684645"&gt;171&lt;/key&gt;&lt;/foreign-keys&gt;&lt;ref-type name="Web Page"&gt;12&lt;/ref-type&gt;&lt;contributors&gt;&lt;authors&gt;&lt;author&gt;Gordon, L&lt;/author&gt;&lt;author&gt;Tuffaha, H&lt;/author&gt;&lt;author&gt;James, R&lt;/author&gt;&lt;author&gt;Scuffham, P&lt;/author&gt;&lt;/authors&gt;&lt;/contributors&gt;&lt;titles&gt;&lt;title&gt;Economic modelling of healthcare services for prostate cancer&lt;/title&gt;&lt;/titles&gt;&lt;volume&gt;2016&lt;/volume&gt;&lt;number&gt;1 September&lt;/number&gt;&lt;dates&gt;&lt;year&gt;2016&lt;/year&gt;&lt;/dates&gt;&lt;urls&gt;&lt;related-urls&gt;&lt;url&gt;http://www.prostate.org.au/media/725545/pcfa-monograph-economic-modelling.pdf&lt;/url&gt;&lt;/related-urls&gt;&lt;/urls&gt;&lt;/record&gt;&lt;/Cite&gt;&lt;/EndNote&gt;</w:instrText>
      </w:r>
      <w:r w:rsidR="008E0B00">
        <w:fldChar w:fldCharType="separate"/>
      </w:r>
      <w:r w:rsidR="008E0B00">
        <w:rPr>
          <w:noProof/>
        </w:rPr>
        <w:t>(</w:t>
      </w:r>
      <w:hyperlink w:anchor="_ENREF_54" w:tooltip="Gordon, 2016 #171" w:history="1">
        <w:r w:rsidR="008E0B00">
          <w:rPr>
            <w:noProof/>
          </w:rPr>
          <w:t>Gordon et al. 2016</w:t>
        </w:r>
      </w:hyperlink>
      <w:r w:rsidR="008E0B00">
        <w:rPr>
          <w:noProof/>
        </w:rPr>
        <w:t>)</w:t>
      </w:r>
      <w:r w:rsidR="008E0B00">
        <w:fldChar w:fldCharType="end"/>
      </w:r>
      <w:r>
        <w:t xml:space="preserve">. This economic evaluation does meet the criteria for inclusion and has been retained for further review. Results from this economic evaluation (CA 1397) </w:t>
      </w:r>
      <w:r w:rsidR="000C6F09">
        <w:t>are</w:t>
      </w:r>
      <w:r>
        <w:t xml:space="preserve"> compared with the evaluation conducted by Gordon et al. (2016)</w:t>
      </w:r>
      <w:r w:rsidR="000C6F09">
        <w:t xml:space="preserve"> (Subsection</w:t>
      </w:r>
      <w:r w:rsidR="00DC693C">
        <w:t xml:space="preserve"> D3)</w:t>
      </w:r>
      <w:r>
        <w:t>. Authors from this publication are also part of the assessment group that are conducting the evaluation for MRIGB (CA 1424).</w:t>
      </w:r>
    </w:p>
    <w:p w14:paraId="1E0FF213" w14:textId="0AF3217F" w:rsidR="00742247" w:rsidRPr="0043708D" w:rsidRDefault="00742247" w:rsidP="00742247">
      <w:r w:rsidRPr="00257125">
        <w:t xml:space="preserve">All the identified economic models included a comparison of the technologies in men with suspected </w:t>
      </w:r>
      <w:r w:rsidR="00673BD6">
        <w:t>PCa</w:t>
      </w:r>
      <w:r w:rsidRPr="00257125">
        <w:t>. There were no economic models comparing mpMRI ± TRUSGB or TPUSGB or MRIGB with TRUSGB/TPUSGB, where the preliminary health state comprised of men with low to i</w:t>
      </w:r>
      <w:r w:rsidRPr="009E7539">
        <w:t xml:space="preserve">ntermediate risk </w:t>
      </w:r>
      <w:r w:rsidR="00673BD6">
        <w:t>PCa</w:t>
      </w:r>
      <w:r w:rsidRPr="009E7539">
        <w:t xml:space="preserve">. There were </w:t>
      </w:r>
      <w:r>
        <w:t>six</w:t>
      </w:r>
      <w:r w:rsidRPr="009E7539">
        <w:t xml:space="preserve"> </w:t>
      </w:r>
      <w:r w:rsidR="00055C87">
        <w:t>studies</w:t>
      </w:r>
      <w:r w:rsidRPr="009E7539">
        <w:t xml:space="preserve"> of interest identified</w:t>
      </w:r>
      <w:r w:rsidR="00620849">
        <w:t xml:space="preserve"> </w:t>
      </w:r>
      <w:r w:rsidR="008E0B00">
        <w:fldChar w:fldCharType="begin">
          <w:fldData xml:space="preserve">PEVuZE5vdGU+PENpdGU+PEF1dGhvcj5DZXJhbnRvbGE8L0F1dGhvcj48WWVhcj4yMDE2PC9ZZWFy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</w:fldData>
        </w:fldChar>
      </w:r>
      <w:r w:rsidR="008E0B00">
        <w:instrText xml:space="preserve"> ADDIN EN.CITE </w:instrText>
      </w:r>
      <w:r w:rsidR="008E0B00">
        <w:fldChar w:fldCharType="begin">
          <w:fldData xml:space="preserve">PEVuZE5vdGU+PENpdGU+PEF1dGhvcj5DZXJhbnRvbGE8L0F1dGhvcj48WWVhcj4yMDE2PC9ZZWFy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27" w:tooltip="Cerantola, 2016 #166" w:history="1">
        <w:r w:rsidR="008E0B00">
          <w:rPr>
            <w:noProof/>
          </w:rPr>
          <w:t>Cerantola et al. 2016</w:t>
        </w:r>
      </w:hyperlink>
      <w:r w:rsidR="008E0B00">
        <w:rPr>
          <w:noProof/>
        </w:rPr>
        <w:t xml:space="preserve">; </w:t>
      </w:r>
      <w:hyperlink w:anchor="_ENREF_35" w:tooltip="de Rooij, 2014 #167" w:history="1">
        <w:r w:rsidR="008E0B00">
          <w:rPr>
            <w:noProof/>
          </w:rPr>
          <w:t>de Rooij et al. 2014</w:t>
        </w:r>
      </w:hyperlink>
      <w:r w:rsidR="008E0B00">
        <w:rPr>
          <w:noProof/>
        </w:rPr>
        <w:t xml:space="preserve">; </w:t>
      </w:r>
      <w:hyperlink w:anchor="_ENREF_54" w:tooltip="Gordon, 2016 #171" w:history="1">
        <w:r w:rsidR="008E0B00">
          <w:rPr>
            <w:noProof/>
          </w:rPr>
          <w:t>Gordon et al. 2016</w:t>
        </w:r>
      </w:hyperlink>
      <w:r w:rsidR="008E0B00">
        <w:rPr>
          <w:noProof/>
        </w:rPr>
        <w:t xml:space="preserve">; </w:t>
      </w:r>
      <w:hyperlink w:anchor="_ENREF_67" w:tooltip="Hutchinson, 2016 #168" w:history="1">
        <w:r w:rsidR="008E0B00">
          <w:rPr>
            <w:noProof/>
          </w:rPr>
          <w:t>Hutchinson et al. 2016</w:t>
        </w:r>
      </w:hyperlink>
      <w:r w:rsidR="008E0B00">
        <w:rPr>
          <w:noProof/>
        </w:rPr>
        <w:t xml:space="preserve">; </w:t>
      </w:r>
      <w:hyperlink w:anchor="_ENREF_88" w:tooltip="Lotan, 2015 #169" w:history="1">
        <w:r w:rsidR="008E0B00">
          <w:rPr>
            <w:noProof/>
          </w:rPr>
          <w:t>Lotan et al. 2015</w:t>
        </w:r>
      </w:hyperlink>
      <w:r w:rsidR="008E0B00">
        <w:rPr>
          <w:noProof/>
        </w:rPr>
        <w:t xml:space="preserve">; </w:t>
      </w:r>
      <w:hyperlink w:anchor="_ENREF_96" w:tooltip="Mowatt, 2013 #170" w:history="1">
        <w:r w:rsidR="008E0B00">
          <w:rPr>
            <w:noProof/>
          </w:rPr>
          <w:t>Mowatt et al. 2013</w:t>
        </w:r>
      </w:hyperlink>
      <w:r w:rsidR="008E0B00">
        <w:rPr>
          <w:noProof/>
        </w:rPr>
        <w:t>)</w:t>
      </w:r>
      <w:r w:rsidR="008E0B00">
        <w:fldChar w:fldCharType="end"/>
      </w:r>
      <w:r w:rsidRPr="009E7539">
        <w:t xml:space="preserve">  that performed an economic evaluation of mpMRI plus prostate biopsy (MRIGB or TRUSGB) compared with TRUSGB in </w:t>
      </w:r>
      <w:r w:rsidRPr="009E7539">
        <w:lastRenderedPageBreak/>
        <w:t>men suspected of prostate cancer. One publication by</w:t>
      </w:r>
      <w:r w:rsidR="00620849">
        <w:t xml:space="preserve"> </w:t>
      </w:r>
      <w:r w:rsidR="008E0B00">
        <w:fldChar w:fldCharType="begin"/>
      </w:r>
      <w:r w:rsidR="008E0B00">
        <w:instrText xml:space="preserve"> ADDIN EN.CITE &lt;EndNote&gt;&lt;Cite&gt;&lt;Author&gt;Nicholson&lt;/Author&gt;&lt;Year&gt;2015&lt;/Year&gt;&lt;RecNum&gt;172&lt;/RecNum&gt;&lt;DisplayText&gt;(Nicholson et al. 2015)&lt;/DisplayText&gt;&lt;record&gt;&lt;rec-number&gt;172&lt;/rec-number&gt;&lt;foreign-keys&gt;&lt;key app="EN" db-id="2p9terxr22fx91epzebpfdwuzrwtw2a2ep2t" timestamp="1472684645"&gt;172&lt;/key&gt;&lt;/foreign-keys&gt;&lt;ref-type name="Journal Article"&gt;17&lt;/ref-type&gt;&lt;contributors&gt;&lt;authors&gt;&lt;author&gt;Nicholson, A.&lt;/author&gt;&lt;author&gt;Mahon, J.&lt;/author&gt;&lt;author&gt;Boland, A.&lt;/author&gt;&lt;author&gt;Beale, S.&lt;/author&gt;&lt;author&gt;Dwan, K.&lt;/author&gt;&lt;author&gt;Fleeman, N.&lt;/author&gt;&lt;author&gt;Hockenhull, J.&lt;/author&gt;&lt;author&gt;Dundar, Y.&lt;/author&gt;&lt;/authors&gt;&lt;/contributors&gt;&lt;auth-address&gt;Liverpool Reviews and Implementation Group, University of Liverpool, Liverpool, UK.&lt;/auth-address&gt;&lt;titles&gt;&lt;title&gt;The clinical effectiveness and cost-effectiveness of the PROGENSA(R) prostate cancer antigen 3 assay and the Prostate Health Index in the diagnosis of prostate cancer: a systematic review and economic evaluation&lt;/title&gt;&lt;secondary-title&gt;Health Technol Assess&lt;/secondary-title&gt;&lt;alt-title&gt;Health technology assessment (Winchester, England)&lt;/alt-title&gt;&lt;/titles&gt;&lt;periodical&gt;&lt;full-title&gt;Health Technol Assess&lt;/full-title&gt;&lt;abbr-1&gt;Health technology assessment (Winchester, England)&lt;/abbr-1&gt;&lt;/periodical&gt;&lt;alt-periodical&gt;&lt;full-title&gt;Health Technol Assess&lt;/full-title&gt;&lt;abbr-1&gt;Health technology assessment (Winchester, England)&lt;/abbr-1&gt;&lt;/alt-periodical&gt;&lt;pages&gt;i-xxxi, 1-191&lt;/pages&gt;&lt;volume&gt;19&lt;/volume&gt;&lt;number&gt;87&lt;/number&gt;&lt;edition&gt;2015/10/29&lt;/edition&gt;&lt;dates&gt;&lt;year&gt;2015&lt;/year&gt;&lt;pub-dates&gt;&lt;date&gt;Oct&lt;/date&gt;&lt;/pub-dates&gt;&lt;/dates&gt;&lt;isbn&gt;2046-4924 (Electronic)&amp;#xD;1366-5278 (Linking)&lt;/isbn&gt;&lt;accession-num&gt;26507078&lt;/accession-num&gt;&lt;urls&gt;&lt;/urls&gt;&lt;custom2&gt;PMC4780983&lt;/custom2&gt;&lt;electronic-resource-num&gt;10.3310/hta19870&lt;/electronic-resource-num&gt;&lt;remote-database-provider&gt;NLM&lt;/remote-database-provider&gt;&lt;language&gt;eng&lt;/language&gt;&lt;/record&gt;&lt;/Cite&gt;&lt;/EndNote&gt;</w:instrText>
      </w:r>
      <w:r w:rsidR="008E0B00">
        <w:fldChar w:fldCharType="separate"/>
      </w:r>
      <w:r w:rsidR="008E0B00">
        <w:rPr>
          <w:noProof/>
        </w:rPr>
        <w:t>(</w:t>
      </w:r>
      <w:hyperlink w:anchor="_ENREF_104" w:tooltip="Nicholson, 2015 #172" w:history="1">
        <w:r w:rsidR="008E0B00">
          <w:rPr>
            <w:noProof/>
          </w:rPr>
          <w:t>Nicholson et al. 2015</w:t>
        </w:r>
      </w:hyperlink>
      <w:r w:rsidR="008E0B00">
        <w:rPr>
          <w:noProof/>
        </w:rPr>
        <w:t>)</w:t>
      </w:r>
      <w:r w:rsidR="008E0B00">
        <w:fldChar w:fldCharType="end"/>
      </w:r>
      <w:r w:rsidRPr="009E7539">
        <w:t xml:space="preserve"> used mpMRI and/or MRIGB as part of a mixed comparator arm.</w:t>
      </w:r>
      <w:r w:rsidRPr="004808EF">
        <w:t xml:space="preserve"> </w:t>
      </w:r>
    </w:p>
    <w:p w14:paraId="64C68DE7" w14:textId="7F652635" w:rsidR="00742247" w:rsidRPr="007E0D6B" w:rsidRDefault="00742247" w:rsidP="00742247">
      <w:r w:rsidRPr="0079235A">
        <w:t>The models described in the literature did not completely match the criteria for this submission on review of the full text</w:t>
      </w:r>
      <w:r w:rsidR="005F20AE">
        <w:t xml:space="preserve"> and a rationale for their exclusion is presented in </w:t>
      </w:r>
      <w:r w:rsidRPr="0079235A">
        <w:fldChar w:fldCharType="begin"/>
      </w:r>
      <w:r w:rsidRPr="0079235A">
        <w:instrText xml:space="preserve"> REF _Ref455746148 \h  \* MERGEFORMAT </w:instrText>
      </w:r>
      <w:r w:rsidRPr="0079235A">
        <w:fldChar w:fldCharType="separate"/>
      </w:r>
      <w:r w:rsidR="0029649D" w:rsidRPr="002D269C">
        <w:t xml:space="preserve">Table </w:t>
      </w:r>
      <w:r w:rsidR="0029649D">
        <w:rPr>
          <w:noProof/>
        </w:rPr>
        <w:t>52</w:t>
      </w:r>
      <w:r w:rsidRPr="0079235A">
        <w:fldChar w:fldCharType="end"/>
      </w:r>
      <w:r w:rsidR="005F20AE">
        <w:t xml:space="preserve">. </w:t>
      </w:r>
      <w:r w:rsidR="00DC693C">
        <w:t>H</w:t>
      </w:r>
      <w:r w:rsidR="005F20AE">
        <w:t>owever, a</w:t>
      </w:r>
      <w:r w:rsidRPr="00017BE6">
        <w:t xml:space="preserve"> summary of these economic evaluations </w:t>
      </w:r>
      <w:r w:rsidR="005F20AE">
        <w:t>is</w:t>
      </w:r>
      <w:r w:rsidRPr="00017BE6">
        <w:t xml:space="preserve"> </w:t>
      </w:r>
      <w:r w:rsidR="005F20AE">
        <w:t xml:space="preserve">detailed </w:t>
      </w:r>
      <w:r w:rsidRPr="00017BE6">
        <w:t xml:space="preserve">in </w:t>
      </w:r>
      <w:r w:rsidRPr="00017BE6">
        <w:fldChar w:fldCharType="begin"/>
      </w:r>
      <w:r w:rsidRPr="00017BE6">
        <w:instrText xml:space="preserve"> REF _Ref454805483 \h  \* MERGEFORMAT </w:instrText>
      </w:r>
      <w:r w:rsidRPr="00017BE6">
        <w:fldChar w:fldCharType="separate"/>
      </w:r>
      <w:r w:rsidR="0029649D" w:rsidRPr="002D269C">
        <w:t xml:space="preserve">Table </w:t>
      </w:r>
      <w:r w:rsidR="0029649D">
        <w:rPr>
          <w:noProof/>
        </w:rPr>
        <w:t>53</w:t>
      </w:r>
      <w:r w:rsidRPr="00017BE6">
        <w:fldChar w:fldCharType="end"/>
      </w:r>
      <w:r w:rsidRPr="00017BE6">
        <w:t>.</w:t>
      </w:r>
    </w:p>
    <w:p w14:paraId="303ED04E" w14:textId="77777777" w:rsidR="00742247" w:rsidRDefault="00742247" w:rsidP="00742247">
      <w:pPr>
        <w:pStyle w:val="Caption"/>
        <w:tabs>
          <w:tab w:val="left" w:pos="1134"/>
        </w:tabs>
        <w:ind w:left="1134" w:hanging="1134"/>
      </w:pPr>
      <w:bookmarkStart w:id="542" w:name="_Ref455746148"/>
      <w:bookmarkStart w:id="543" w:name="_Toc455916108"/>
      <w:bookmarkStart w:id="544" w:name="_Toc457383674"/>
      <w:bookmarkStart w:id="545" w:name="_Toc459987912"/>
      <w:bookmarkStart w:id="546" w:name="_Toc460514552"/>
      <w:r w:rsidRPr="002D269C">
        <w:t xml:space="preserve">Table </w:t>
      </w:r>
      <w:fldSimple w:instr=" SEQ Table \* ARABIC ">
        <w:r w:rsidR="0029649D">
          <w:rPr>
            <w:noProof/>
          </w:rPr>
          <w:t>52</w:t>
        </w:r>
      </w:fldSimple>
      <w:bookmarkEnd w:id="542"/>
      <w:r w:rsidRPr="002D269C">
        <w:tab/>
      </w:r>
      <w:r>
        <w:t>Grounds for not using a published economic evaluation</w:t>
      </w:r>
      <w:bookmarkEnd w:id="543"/>
      <w:r>
        <w:t xml:space="preserve"> in the current assessment</w:t>
      </w:r>
      <w:bookmarkEnd w:id="544"/>
      <w:bookmarkEnd w:id="545"/>
      <w:bookmarkEnd w:id="546"/>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691"/>
        <w:gridCol w:w="7421"/>
      </w:tblGrid>
      <w:tr w:rsidR="00742247" w:rsidRPr="00A34EE4" w14:paraId="75E424C0" w14:textId="77777777" w:rsidTr="00A34EE4">
        <w:trPr>
          <w:trHeight w:val="397"/>
          <w:tblHeader/>
        </w:trPr>
        <w:tc>
          <w:tcPr>
            <w:tcW w:w="928" w:type="pct"/>
            <w:tcBorders>
              <w:top w:val="single" w:sz="4" w:space="0" w:color="auto"/>
              <w:left w:val="single" w:sz="4" w:space="0" w:color="auto"/>
              <w:bottom w:val="single" w:sz="4" w:space="0" w:color="auto"/>
              <w:right w:val="single" w:sz="4" w:space="0" w:color="auto"/>
            </w:tcBorders>
          </w:tcPr>
          <w:p w14:paraId="74C9FDB3" w14:textId="77777777" w:rsidR="00742247" w:rsidRPr="00A34EE4" w:rsidRDefault="00742247" w:rsidP="00620849">
            <w:pPr>
              <w:pStyle w:val="Tableheading1"/>
            </w:pPr>
            <w:r w:rsidRPr="00A34EE4">
              <w:t>Trial ID</w:t>
            </w:r>
          </w:p>
        </w:tc>
        <w:tc>
          <w:tcPr>
            <w:tcW w:w="4072" w:type="pct"/>
            <w:tcBorders>
              <w:top w:val="single" w:sz="4" w:space="0" w:color="auto"/>
              <w:left w:val="single" w:sz="4" w:space="0" w:color="auto"/>
              <w:bottom w:val="single" w:sz="4" w:space="0" w:color="auto"/>
              <w:right w:val="single" w:sz="4" w:space="0" w:color="auto"/>
            </w:tcBorders>
            <w:vAlign w:val="center"/>
          </w:tcPr>
          <w:p w14:paraId="0416B32B" w14:textId="77777777" w:rsidR="00742247" w:rsidRPr="00A34EE4" w:rsidRDefault="00742247" w:rsidP="00620849">
            <w:pPr>
              <w:pStyle w:val="Tableheading1"/>
            </w:pPr>
            <w:r w:rsidRPr="00A34EE4">
              <w:t>Grounds for not using model</w:t>
            </w:r>
          </w:p>
        </w:tc>
      </w:tr>
      <w:tr w:rsidR="00742247" w:rsidRPr="004F4F2A" w14:paraId="2779EC38" w14:textId="77777777" w:rsidTr="00A34EE4">
        <w:trPr>
          <w:trHeight w:val="397"/>
          <w:tblHeader/>
        </w:trPr>
        <w:tc>
          <w:tcPr>
            <w:tcW w:w="928" w:type="pct"/>
            <w:tcBorders>
              <w:top w:val="single" w:sz="4" w:space="0" w:color="auto"/>
              <w:left w:val="single" w:sz="4" w:space="0" w:color="auto"/>
              <w:bottom w:val="single" w:sz="4" w:space="0" w:color="auto"/>
              <w:right w:val="single" w:sz="4" w:space="0" w:color="auto"/>
            </w:tcBorders>
          </w:tcPr>
          <w:p w14:paraId="4C62D96D" w14:textId="067EBBD3" w:rsidR="00742247" w:rsidRPr="00CB3265" w:rsidRDefault="00742247" w:rsidP="00620849">
            <w:pPr>
              <w:pStyle w:val="Tabletext1"/>
            </w:pPr>
            <w:r w:rsidRPr="00CB3265">
              <w:t xml:space="preserve">Gordon </w:t>
            </w:r>
            <w:r w:rsidR="003A23AF">
              <w:t>et al. (</w:t>
            </w:r>
            <w:r w:rsidRPr="00CB3265">
              <w:t>2016</w:t>
            </w:r>
            <w:r w:rsidR="003A23AF">
              <w:t>)</w:t>
            </w:r>
          </w:p>
        </w:tc>
        <w:tc>
          <w:tcPr>
            <w:tcW w:w="4072" w:type="pct"/>
            <w:tcBorders>
              <w:top w:val="single" w:sz="4" w:space="0" w:color="auto"/>
              <w:left w:val="single" w:sz="4" w:space="0" w:color="auto"/>
              <w:bottom w:val="single" w:sz="4" w:space="0" w:color="auto"/>
              <w:right w:val="single" w:sz="4" w:space="0" w:color="auto"/>
            </w:tcBorders>
            <w:vAlign w:val="center"/>
          </w:tcPr>
          <w:p w14:paraId="073C1839" w14:textId="77777777" w:rsidR="00742247" w:rsidRPr="00CB3265" w:rsidRDefault="00742247" w:rsidP="00620849">
            <w:pPr>
              <w:pStyle w:val="Tabletext1"/>
            </w:pPr>
            <w:r>
              <w:t>The results in the model are specific for Population 1, however, cost-effectiveness in Population 2 are not reported.</w:t>
            </w:r>
          </w:p>
        </w:tc>
      </w:tr>
      <w:tr w:rsidR="00742247" w:rsidRPr="004F4F2A" w14:paraId="49FB178D" w14:textId="77777777" w:rsidTr="00A34EE4">
        <w:trPr>
          <w:trHeight w:val="397"/>
        </w:trPr>
        <w:tc>
          <w:tcPr>
            <w:tcW w:w="928" w:type="pct"/>
            <w:tcBorders>
              <w:top w:val="single" w:sz="4" w:space="0" w:color="auto"/>
              <w:left w:val="single" w:sz="4" w:space="0" w:color="auto"/>
              <w:bottom w:val="single" w:sz="4" w:space="0" w:color="auto"/>
              <w:right w:val="single" w:sz="4" w:space="0" w:color="auto"/>
            </w:tcBorders>
          </w:tcPr>
          <w:p w14:paraId="0B67EBF3" w14:textId="7DA679E8" w:rsidR="00742247" w:rsidRDefault="00742247" w:rsidP="00620849">
            <w:pPr>
              <w:pStyle w:val="Tabletext1"/>
            </w:pPr>
            <w:r>
              <w:t xml:space="preserve">Cerantola </w:t>
            </w:r>
            <w:r w:rsidR="003A23AF">
              <w:t>et al. (</w:t>
            </w:r>
            <w:r>
              <w:t>2016</w:t>
            </w:r>
            <w:r w:rsidR="003A23AF">
              <w:t>)</w:t>
            </w:r>
          </w:p>
        </w:tc>
        <w:tc>
          <w:tcPr>
            <w:tcW w:w="4072" w:type="pct"/>
            <w:tcBorders>
              <w:top w:val="single" w:sz="4" w:space="0" w:color="auto"/>
              <w:left w:val="single" w:sz="4" w:space="0" w:color="auto"/>
              <w:bottom w:val="single" w:sz="4" w:space="0" w:color="auto"/>
              <w:right w:val="single" w:sz="4" w:space="0" w:color="auto"/>
            </w:tcBorders>
          </w:tcPr>
          <w:p w14:paraId="2CD38752" w14:textId="77777777" w:rsidR="00742247" w:rsidRPr="008B70F4" w:rsidRDefault="00742247" w:rsidP="00620849">
            <w:pPr>
              <w:pStyle w:val="Tabletext1"/>
            </w:pPr>
            <w:r w:rsidRPr="008B70F4">
              <w:t>The perspective in the evaluation (Canadian Provincial public health system) is not applicable to the Australian population.</w:t>
            </w:r>
          </w:p>
        </w:tc>
      </w:tr>
      <w:tr w:rsidR="00742247" w:rsidRPr="004F4F2A" w14:paraId="5945097D" w14:textId="77777777" w:rsidTr="00A34EE4">
        <w:trPr>
          <w:trHeight w:val="397"/>
        </w:trPr>
        <w:tc>
          <w:tcPr>
            <w:tcW w:w="928" w:type="pct"/>
            <w:tcBorders>
              <w:top w:val="single" w:sz="4" w:space="0" w:color="auto"/>
              <w:left w:val="single" w:sz="4" w:space="0" w:color="auto"/>
              <w:bottom w:val="single" w:sz="4" w:space="0" w:color="auto"/>
              <w:right w:val="single" w:sz="4" w:space="0" w:color="auto"/>
            </w:tcBorders>
          </w:tcPr>
          <w:p w14:paraId="40C34FFE" w14:textId="6651362D" w:rsidR="00742247" w:rsidRPr="008B70F4" w:rsidRDefault="00742247" w:rsidP="00620849">
            <w:pPr>
              <w:pStyle w:val="Tabletext1"/>
            </w:pPr>
            <w:r>
              <w:t xml:space="preserve">Lotan </w:t>
            </w:r>
            <w:r w:rsidR="003A23AF">
              <w:t>et al. (</w:t>
            </w:r>
            <w:r>
              <w:t>2015</w:t>
            </w:r>
            <w:r w:rsidR="003A23AF">
              <w:t>)</w:t>
            </w:r>
          </w:p>
        </w:tc>
        <w:tc>
          <w:tcPr>
            <w:tcW w:w="4072" w:type="pct"/>
            <w:tcBorders>
              <w:top w:val="single" w:sz="4" w:space="0" w:color="auto"/>
              <w:left w:val="single" w:sz="4" w:space="0" w:color="auto"/>
              <w:bottom w:val="single" w:sz="4" w:space="0" w:color="auto"/>
              <w:right w:val="single" w:sz="4" w:space="0" w:color="auto"/>
            </w:tcBorders>
          </w:tcPr>
          <w:p w14:paraId="1FE09FF6" w14:textId="77777777" w:rsidR="00742247" w:rsidRPr="008B70F4" w:rsidRDefault="00742247" w:rsidP="00620849">
            <w:pPr>
              <w:pStyle w:val="Tabletext1"/>
            </w:pPr>
            <w:r w:rsidRPr="008B70F4">
              <w:t xml:space="preserve">The evaluation presented in this publication is a cost-analysis and does not provide a full economic evaluation. </w:t>
            </w:r>
          </w:p>
          <w:p w14:paraId="07656E4C" w14:textId="77777777" w:rsidR="00742247" w:rsidRPr="008B70F4" w:rsidRDefault="00742247" w:rsidP="00620849">
            <w:pPr>
              <w:pStyle w:val="Tabletext1"/>
            </w:pPr>
            <w:r w:rsidRPr="008B70F4">
              <w:t>The population is a subset of the target population requested by this submission i.e. only men with a prior negative biopsy.</w:t>
            </w:r>
            <w:r>
              <w:t xml:space="preserve"> </w:t>
            </w:r>
            <w:r w:rsidRPr="008B70F4">
              <w:t>Population 2 is not included in the evaluation.</w:t>
            </w:r>
            <w:r>
              <w:t xml:space="preserve"> </w:t>
            </w:r>
            <w:r w:rsidRPr="008B70F4">
              <w:t xml:space="preserve"> </w:t>
            </w:r>
          </w:p>
        </w:tc>
      </w:tr>
      <w:tr w:rsidR="00742247" w:rsidRPr="004F4F2A" w14:paraId="3EBD27FB" w14:textId="77777777" w:rsidTr="00A34EE4">
        <w:trPr>
          <w:trHeight w:val="397"/>
        </w:trPr>
        <w:tc>
          <w:tcPr>
            <w:tcW w:w="928" w:type="pct"/>
            <w:tcBorders>
              <w:top w:val="single" w:sz="4" w:space="0" w:color="auto"/>
              <w:left w:val="single" w:sz="4" w:space="0" w:color="auto"/>
              <w:bottom w:val="single" w:sz="4" w:space="0" w:color="auto"/>
              <w:right w:val="single" w:sz="4" w:space="0" w:color="auto"/>
            </w:tcBorders>
          </w:tcPr>
          <w:p w14:paraId="4889DCDF" w14:textId="6EE21B6B" w:rsidR="00742247" w:rsidRDefault="00742247" w:rsidP="00620849">
            <w:pPr>
              <w:pStyle w:val="Tabletext1"/>
            </w:pPr>
            <w:r>
              <w:t xml:space="preserve">Nicolson </w:t>
            </w:r>
            <w:r w:rsidR="003A23AF">
              <w:t>et al. (</w:t>
            </w:r>
            <w:r>
              <w:t>2015</w:t>
            </w:r>
            <w:r w:rsidR="003A23AF">
              <w:t>)</w:t>
            </w:r>
            <w:r>
              <w:t xml:space="preserve"> </w:t>
            </w:r>
          </w:p>
        </w:tc>
        <w:tc>
          <w:tcPr>
            <w:tcW w:w="4072" w:type="pct"/>
            <w:tcBorders>
              <w:top w:val="single" w:sz="4" w:space="0" w:color="auto"/>
              <w:left w:val="single" w:sz="4" w:space="0" w:color="auto"/>
              <w:bottom w:val="single" w:sz="4" w:space="0" w:color="auto"/>
              <w:right w:val="single" w:sz="4" w:space="0" w:color="auto"/>
            </w:tcBorders>
          </w:tcPr>
          <w:p w14:paraId="6BEB3665" w14:textId="77777777" w:rsidR="00742247" w:rsidRPr="008B70F4" w:rsidRDefault="00742247" w:rsidP="00620849">
            <w:pPr>
              <w:pStyle w:val="Tabletext1"/>
            </w:pPr>
            <w:r w:rsidRPr="008B70F4">
              <w:t>The economic evaluation compares different diagnostic tests from this evaluation. It is a cost-effectiveness analysis of:</w:t>
            </w:r>
          </w:p>
          <w:p w14:paraId="3992A34C" w14:textId="77777777" w:rsidR="00742247" w:rsidRPr="008B70F4" w:rsidRDefault="00742247" w:rsidP="00620849">
            <w:pPr>
              <w:pStyle w:val="Tabletext1"/>
            </w:pPr>
            <w:r w:rsidRPr="008B70F4">
              <w:t xml:space="preserve">PCA3 score or phi in combination with existing tests; </w:t>
            </w:r>
          </w:p>
          <w:p w14:paraId="498F75F2" w14:textId="77777777" w:rsidR="00742247" w:rsidRPr="008B70F4" w:rsidRDefault="00742247" w:rsidP="00620849">
            <w:pPr>
              <w:pStyle w:val="Tabletext1"/>
            </w:pPr>
            <w:r w:rsidRPr="008B70F4">
              <w:t>Existing tests (including histopathology results, PSA level and DRE), mpMRI and clinical judgement.</w:t>
            </w:r>
          </w:p>
          <w:p w14:paraId="1FACAEDD" w14:textId="77777777" w:rsidR="00742247" w:rsidRPr="008B70F4" w:rsidRDefault="00742247" w:rsidP="00620849">
            <w:pPr>
              <w:pStyle w:val="Tabletext1"/>
            </w:pPr>
            <w:r w:rsidRPr="008B70F4">
              <w:t xml:space="preserve">The population is a subset of the target population requested by this submission i.e. only men with a prior negative biopsy in men with suspected PCa. </w:t>
            </w:r>
          </w:p>
        </w:tc>
      </w:tr>
      <w:tr w:rsidR="00742247" w:rsidRPr="004F4F2A" w14:paraId="51D671AC" w14:textId="77777777" w:rsidTr="00A34EE4">
        <w:trPr>
          <w:trHeight w:val="397"/>
        </w:trPr>
        <w:tc>
          <w:tcPr>
            <w:tcW w:w="928" w:type="pct"/>
            <w:tcBorders>
              <w:top w:val="single" w:sz="4" w:space="0" w:color="auto"/>
              <w:left w:val="single" w:sz="4" w:space="0" w:color="auto"/>
              <w:bottom w:val="single" w:sz="4" w:space="0" w:color="auto"/>
              <w:right w:val="single" w:sz="4" w:space="0" w:color="auto"/>
            </w:tcBorders>
          </w:tcPr>
          <w:p w14:paraId="79B39DE6" w14:textId="62299388" w:rsidR="00742247" w:rsidRDefault="00742247" w:rsidP="00620849">
            <w:pPr>
              <w:pStyle w:val="Tabletext1"/>
            </w:pPr>
            <w:r>
              <w:t xml:space="preserve">de Rooij </w:t>
            </w:r>
            <w:r w:rsidR="003A23AF">
              <w:t>et al. (</w:t>
            </w:r>
            <w:r>
              <w:t>2014</w:t>
            </w:r>
            <w:r w:rsidR="003A23AF">
              <w:t>)</w:t>
            </w:r>
          </w:p>
        </w:tc>
        <w:tc>
          <w:tcPr>
            <w:tcW w:w="4072" w:type="pct"/>
            <w:tcBorders>
              <w:top w:val="single" w:sz="4" w:space="0" w:color="auto"/>
              <w:left w:val="single" w:sz="4" w:space="0" w:color="auto"/>
              <w:bottom w:val="single" w:sz="4" w:space="0" w:color="auto"/>
              <w:right w:val="single" w:sz="4" w:space="0" w:color="auto"/>
            </w:tcBorders>
          </w:tcPr>
          <w:p w14:paraId="7ABD78F6" w14:textId="77777777" w:rsidR="00742247" w:rsidRPr="008B70F4" w:rsidRDefault="00742247" w:rsidP="00620849">
            <w:pPr>
              <w:pStyle w:val="Tabletext1"/>
            </w:pPr>
            <w:r w:rsidRPr="008B70F4">
              <w:t>The perspective in the evaluation (i.e. Dutch healthcare perspective) is not applicable to the Australian population.</w:t>
            </w:r>
          </w:p>
        </w:tc>
      </w:tr>
      <w:tr w:rsidR="00742247" w:rsidRPr="004F4F2A" w14:paraId="0F9899E9" w14:textId="77777777" w:rsidTr="00A34EE4">
        <w:trPr>
          <w:trHeight w:val="397"/>
        </w:trPr>
        <w:tc>
          <w:tcPr>
            <w:tcW w:w="928" w:type="pct"/>
            <w:tcBorders>
              <w:top w:val="single" w:sz="4" w:space="0" w:color="auto"/>
              <w:left w:val="single" w:sz="4" w:space="0" w:color="auto"/>
              <w:bottom w:val="single" w:sz="4" w:space="0" w:color="auto"/>
              <w:right w:val="single" w:sz="4" w:space="0" w:color="auto"/>
            </w:tcBorders>
          </w:tcPr>
          <w:p w14:paraId="2AD3BA83" w14:textId="5A8E2916" w:rsidR="00742247" w:rsidRDefault="00742247" w:rsidP="00620849">
            <w:pPr>
              <w:pStyle w:val="Tabletext1"/>
            </w:pPr>
            <w:r>
              <w:t xml:space="preserve">Mowatt </w:t>
            </w:r>
            <w:r w:rsidR="003A23AF">
              <w:t>et al. (</w:t>
            </w:r>
            <w:r>
              <w:t>2013</w:t>
            </w:r>
            <w:r w:rsidR="003A23AF">
              <w:t>)</w:t>
            </w:r>
          </w:p>
        </w:tc>
        <w:tc>
          <w:tcPr>
            <w:tcW w:w="4072" w:type="pct"/>
            <w:tcBorders>
              <w:top w:val="single" w:sz="4" w:space="0" w:color="auto"/>
              <w:left w:val="single" w:sz="4" w:space="0" w:color="auto"/>
              <w:bottom w:val="single" w:sz="4" w:space="0" w:color="auto"/>
              <w:right w:val="single" w:sz="4" w:space="0" w:color="auto"/>
            </w:tcBorders>
          </w:tcPr>
          <w:p w14:paraId="17A70411" w14:textId="77777777" w:rsidR="00742247" w:rsidRPr="008B70F4" w:rsidRDefault="00742247" w:rsidP="00620849">
            <w:pPr>
              <w:pStyle w:val="Tabletext1"/>
            </w:pPr>
            <w:r w:rsidRPr="008B70F4">
              <w:t xml:space="preserve">A different decision problem is addressed: </w:t>
            </w:r>
          </w:p>
          <w:p w14:paraId="7D53B6CC" w14:textId="77777777" w:rsidR="00742247" w:rsidRPr="008B70F4" w:rsidRDefault="00742247" w:rsidP="00620849">
            <w:pPr>
              <w:pStyle w:val="Tabletext1"/>
            </w:pPr>
            <w:r w:rsidRPr="008B70F4">
              <w:t xml:space="preserve">The use of different forms of mpMRI, including T2-MRI, to inform the location of a second biopsy rather than to inform whether or not a biopsy should be undertaken (Nicolson 2015). </w:t>
            </w:r>
          </w:p>
        </w:tc>
      </w:tr>
    </w:tbl>
    <w:p w14:paraId="6C554567" w14:textId="6D4044A0" w:rsidR="00742247" w:rsidRDefault="00742247" w:rsidP="00742247">
      <w:pPr>
        <w:pStyle w:val="TableNotes"/>
      </w:pPr>
      <w:r w:rsidRPr="00277508">
        <w:t>DRE</w:t>
      </w:r>
      <w:r w:rsidR="006D4B7D">
        <w:t xml:space="preserve"> =</w:t>
      </w:r>
      <w:r w:rsidRPr="00277508">
        <w:t xml:space="preserve"> digital rectal examination</w:t>
      </w:r>
      <w:r w:rsidR="006D4B7D">
        <w:t>,</w:t>
      </w:r>
      <w:r w:rsidRPr="00277508">
        <w:t xml:space="preserve"> mpMRI</w:t>
      </w:r>
      <w:r w:rsidR="006D4B7D">
        <w:t xml:space="preserve"> =</w:t>
      </w:r>
      <w:r w:rsidRPr="00277508">
        <w:t xml:space="preserve"> multiparametric MRI</w:t>
      </w:r>
      <w:r w:rsidR="006D4B7D">
        <w:t>,</w:t>
      </w:r>
      <w:r w:rsidRPr="00277508">
        <w:t xml:space="preserve"> PCa</w:t>
      </w:r>
      <w:r w:rsidR="006D4B7D">
        <w:t xml:space="preserve"> =</w:t>
      </w:r>
      <w:r w:rsidRPr="00277508">
        <w:t xml:space="preserve"> prostate cancer</w:t>
      </w:r>
      <w:r w:rsidR="006D4B7D">
        <w:t>,</w:t>
      </w:r>
      <w:r w:rsidRPr="00277508">
        <w:t xml:space="preserve"> PCA3</w:t>
      </w:r>
      <w:r w:rsidR="006D4B7D">
        <w:t xml:space="preserve"> =</w:t>
      </w:r>
      <w:r w:rsidRPr="00277508">
        <w:t xml:space="preserve"> prostate cancer gene 3</w:t>
      </w:r>
      <w:r w:rsidR="006D4B7D">
        <w:t>,</w:t>
      </w:r>
      <w:r w:rsidRPr="00277508">
        <w:t xml:space="preserve"> PSA </w:t>
      </w:r>
      <w:r w:rsidR="006D4B7D">
        <w:t xml:space="preserve">= </w:t>
      </w:r>
      <w:r w:rsidRPr="00277508">
        <w:t>prostate specific antigen;</w:t>
      </w:r>
      <w:r>
        <w:t xml:space="preserve"> </w:t>
      </w:r>
      <w:r w:rsidR="006D4B7D">
        <w:t>PSA = prostate specific antigen.</w:t>
      </w:r>
    </w:p>
    <w:p w14:paraId="1E545E61" w14:textId="77777777" w:rsidR="00742247" w:rsidRDefault="00742247" w:rsidP="00742247">
      <w:pPr>
        <w:spacing w:after="0" w:line="240" w:lineRule="auto"/>
      </w:pPr>
    </w:p>
    <w:p w14:paraId="25B5808A" w14:textId="77777777" w:rsidR="00742247" w:rsidRDefault="00742247" w:rsidP="00742247">
      <w:pPr>
        <w:spacing w:after="0" w:line="240" w:lineRule="auto"/>
        <w:sectPr w:rsidR="00742247" w:rsidSect="00F669EC">
          <w:headerReference w:type="default" r:id="rId47"/>
          <w:type w:val="oddPage"/>
          <w:pgSz w:w="11906" w:h="16838"/>
          <w:pgMar w:top="1440" w:right="1440" w:bottom="1440" w:left="1440" w:header="720" w:footer="720" w:gutter="0"/>
          <w:paperSrc w:first="500" w:other="500"/>
          <w:pgNumType w:start="112"/>
          <w:cols w:space="720"/>
        </w:sectPr>
      </w:pPr>
    </w:p>
    <w:p w14:paraId="3F10E4AE" w14:textId="77777777" w:rsidR="00742247" w:rsidRDefault="00742247" w:rsidP="00742247">
      <w:pPr>
        <w:pStyle w:val="Caption"/>
        <w:tabs>
          <w:tab w:val="left" w:pos="1134"/>
        </w:tabs>
      </w:pPr>
      <w:bookmarkStart w:id="547" w:name="_Ref454805412"/>
      <w:bookmarkStart w:id="548" w:name="_Ref454805483"/>
      <w:bookmarkStart w:id="549" w:name="_Toc455916109"/>
      <w:bookmarkStart w:id="550" w:name="_Toc457383675"/>
      <w:bookmarkStart w:id="551" w:name="_Toc459987913"/>
      <w:bookmarkStart w:id="552" w:name="_Toc460514553"/>
      <w:r w:rsidRPr="002D269C">
        <w:lastRenderedPageBreak/>
        <w:t xml:space="preserve">Table </w:t>
      </w:r>
      <w:fldSimple w:instr=" SEQ Table \* ARABIC ">
        <w:r w:rsidR="0029649D">
          <w:rPr>
            <w:noProof/>
          </w:rPr>
          <w:t>53</w:t>
        </w:r>
      </w:fldSimple>
      <w:bookmarkEnd w:id="547"/>
      <w:bookmarkEnd w:id="548"/>
      <w:r w:rsidRPr="002D269C">
        <w:tab/>
        <w:t>Summary economic evaluation</w:t>
      </w:r>
      <w:r>
        <w:t>s identified in the literature</w:t>
      </w:r>
      <w:bookmarkEnd w:id="549"/>
      <w:bookmarkEnd w:id="550"/>
      <w:bookmarkEnd w:id="551"/>
      <w:bookmarkEnd w:id="552"/>
    </w:p>
    <w:tbl>
      <w:tblPr>
        <w:tblW w:w="5000" w:type="pct"/>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1520"/>
        <w:gridCol w:w="2841"/>
        <w:gridCol w:w="1963"/>
        <w:gridCol w:w="1963"/>
        <w:gridCol w:w="1963"/>
        <w:gridCol w:w="1962"/>
        <w:gridCol w:w="1962"/>
      </w:tblGrid>
      <w:tr w:rsidR="00742247" w:rsidRPr="00072E82" w14:paraId="1021153F" w14:textId="77777777" w:rsidTr="00A34EE4">
        <w:trPr>
          <w:trHeight w:val="20"/>
          <w:tblHeader/>
        </w:trPr>
        <w:tc>
          <w:tcPr>
            <w:tcW w:w="536" w:type="pct"/>
            <w:tcBorders>
              <w:top w:val="single" w:sz="4" w:space="0" w:color="auto"/>
              <w:left w:val="single" w:sz="4" w:space="0" w:color="auto"/>
              <w:bottom w:val="single" w:sz="4" w:space="0" w:color="auto"/>
              <w:right w:val="single" w:sz="4" w:space="0" w:color="auto"/>
            </w:tcBorders>
          </w:tcPr>
          <w:p w14:paraId="0621CA0C" w14:textId="77777777" w:rsidR="00742247" w:rsidRPr="00072E82" w:rsidRDefault="00742247" w:rsidP="00620849">
            <w:pPr>
              <w:pStyle w:val="Tableheading1"/>
            </w:pPr>
          </w:p>
        </w:tc>
        <w:tc>
          <w:tcPr>
            <w:tcW w:w="1002" w:type="pct"/>
            <w:tcBorders>
              <w:top w:val="single" w:sz="4" w:space="0" w:color="auto"/>
              <w:left w:val="single" w:sz="4" w:space="0" w:color="auto"/>
              <w:bottom w:val="single" w:sz="4" w:space="0" w:color="auto"/>
              <w:right w:val="single" w:sz="4" w:space="0" w:color="auto"/>
            </w:tcBorders>
          </w:tcPr>
          <w:p w14:paraId="5950D1E0" w14:textId="1FB4AFE3" w:rsidR="00742247" w:rsidRPr="00072E82" w:rsidRDefault="00742247" w:rsidP="00620849">
            <w:pPr>
              <w:pStyle w:val="Tableheading1"/>
            </w:pPr>
            <w:r w:rsidRPr="00072E82">
              <w:t xml:space="preserve">Gordon </w:t>
            </w:r>
            <w:r w:rsidR="002B71EE" w:rsidRPr="00072E82">
              <w:t>et al. (</w:t>
            </w:r>
            <w:r w:rsidRPr="00072E82">
              <w:t>2016</w:t>
            </w:r>
            <w:r w:rsidR="002B71EE" w:rsidRPr="00072E82">
              <w:t>)</w:t>
            </w:r>
          </w:p>
        </w:tc>
        <w:tc>
          <w:tcPr>
            <w:tcW w:w="692" w:type="pct"/>
            <w:tcBorders>
              <w:top w:val="single" w:sz="4" w:space="0" w:color="auto"/>
              <w:left w:val="single" w:sz="4" w:space="0" w:color="auto"/>
              <w:bottom w:val="single" w:sz="4" w:space="0" w:color="auto"/>
              <w:right w:val="single" w:sz="4" w:space="0" w:color="auto"/>
            </w:tcBorders>
          </w:tcPr>
          <w:p w14:paraId="0C905BF7" w14:textId="3A2F47EE" w:rsidR="00742247" w:rsidRPr="00072E82" w:rsidRDefault="00742247" w:rsidP="00620849">
            <w:pPr>
              <w:pStyle w:val="Tableheading1"/>
            </w:pPr>
            <w:r w:rsidRPr="00072E82">
              <w:t xml:space="preserve">Cerantola </w:t>
            </w:r>
            <w:r w:rsidR="002B71EE" w:rsidRPr="00072E82">
              <w:t>et al. (</w:t>
            </w:r>
            <w:r w:rsidRPr="00072E82">
              <w:t>2016</w:t>
            </w:r>
            <w:r w:rsidR="002B71EE" w:rsidRPr="00072E82">
              <w:t>)</w:t>
            </w:r>
          </w:p>
        </w:tc>
        <w:tc>
          <w:tcPr>
            <w:tcW w:w="692" w:type="pct"/>
            <w:tcBorders>
              <w:top w:val="single" w:sz="4" w:space="0" w:color="auto"/>
              <w:left w:val="single" w:sz="4" w:space="0" w:color="auto"/>
              <w:bottom w:val="single" w:sz="4" w:space="0" w:color="auto"/>
              <w:right w:val="single" w:sz="4" w:space="0" w:color="auto"/>
            </w:tcBorders>
          </w:tcPr>
          <w:p w14:paraId="1924C130" w14:textId="44B01FCC" w:rsidR="00742247" w:rsidRPr="00072E82" w:rsidRDefault="00742247" w:rsidP="00620849">
            <w:pPr>
              <w:pStyle w:val="Tableheading1"/>
            </w:pPr>
            <w:r w:rsidRPr="00072E82">
              <w:t xml:space="preserve">Lotan </w:t>
            </w:r>
            <w:r w:rsidR="002B71EE" w:rsidRPr="00072E82">
              <w:t>et al. (</w:t>
            </w:r>
            <w:r w:rsidRPr="00072E82">
              <w:t>2015</w:t>
            </w:r>
            <w:r w:rsidR="002B71EE" w:rsidRPr="00072E82">
              <w:t>)</w:t>
            </w:r>
          </w:p>
        </w:tc>
        <w:tc>
          <w:tcPr>
            <w:tcW w:w="692" w:type="pct"/>
            <w:tcBorders>
              <w:top w:val="single" w:sz="4" w:space="0" w:color="auto"/>
              <w:left w:val="single" w:sz="4" w:space="0" w:color="auto"/>
              <w:bottom w:val="single" w:sz="4" w:space="0" w:color="auto"/>
              <w:right w:val="single" w:sz="4" w:space="0" w:color="auto"/>
            </w:tcBorders>
          </w:tcPr>
          <w:p w14:paraId="32141997" w14:textId="0ACD8D9E" w:rsidR="00742247" w:rsidRPr="00072E82" w:rsidRDefault="00742247" w:rsidP="00620849">
            <w:pPr>
              <w:pStyle w:val="Tableheading1"/>
            </w:pPr>
            <w:r w:rsidRPr="00072E82">
              <w:t xml:space="preserve">Nicholson </w:t>
            </w:r>
            <w:r w:rsidR="002B71EE" w:rsidRPr="00072E82">
              <w:t>et al. (</w:t>
            </w:r>
            <w:r w:rsidRPr="00072E82">
              <w:t>2015</w:t>
            </w:r>
            <w:r w:rsidR="002B71EE" w:rsidRPr="00072E82">
              <w:t>)</w:t>
            </w:r>
          </w:p>
        </w:tc>
        <w:tc>
          <w:tcPr>
            <w:tcW w:w="692" w:type="pct"/>
            <w:tcBorders>
              <w:top w:val="single" w:sz="4" w:space="0" w:color="auto"/>
              <w:left w:val="single" w:sz="4" w:space="0" w:color="auto"/>
              <w:bottom w:val="single" w:sz="4" w:space="0" w:color="auto"/>
              <w:right w:val="single" w:sz="4" w:space="0" w:color="auto"/>
            </w:tcBorders>
          </w:tcPr>
          <w:p w14:paraId="482696D0" w14:textId="549D7AA9" w:rsidR="00742247" w:rsidRPr="00072E82" w:rsidRDefault="00742247" w:rsidP="00620849">
            <w:pPr>
              <w:pStyle w:val="Tableheading1"/>
            </w:pPr>
            <w:r w:rsidRPr="00072E82">
              <w:t xml:space="preserve">de Rooij </w:t>
            </w:r>
            <w:r w:rsidR="002B71EE" w:rsidRPr="00072E82">
              <w:t>et al. (</w:t>
            </w:r>
            <w:r w:rsidRPr="00072E82">
              <w:t>2014</w:t>
            </w:r>
            <w:r w:rsidR="002B71EE" w:rsidRPr="00072E82">
              <w:t>)</w:t>
            </w:r>
          </w:p>
        </w:tc>
        <w:tc>
          <w:tcPr>
            <w:tcW w:w="692" w:type="pct"/>
            <w:tcBorders>
              <w:top w:val="single" w:sz="4" w:space="0" w:color="auto"/>
              <w:left w:val="single" w:sz="4" w:space="0" w:color="auto"/>
              <w:bottom w:val="single" w:sz="4" w:space="0" w:color="auto"/>
              <w:right w:val="single" w:sz="4" w:space="0" w:color="auto"/>
            </w:tcBorders>
          </w:tcPr>
          <w:p w14:paraId="0B74850E" w14:textId="5B16D571" w:rsidR="00742247" w:rsidRPr="00072E82" w:rsidRDefault="00742247" w:rsidP="00620849">
            <w:pPr>
              <w:pStyle w:val="Tableheading1"/>
            </w:pPr>
            <w:r w:rsidRPr="00072E82">
              <w:t xml:space="preserve">Mowatt </w:t>
            </w:r>
            <w:r w:rsidR="002B71EE" w:rsidRPr="00072E82">
              <w:t>et al. (</w:t>
            </w:r>
            <w:r w:rsidRPr="00072E82">
              <w:t>2013</w:t>
            </w:r>
            <w:r w:rsidR="002B71EE" w:rsidRPr="00072E82">
              <w:t>)</w:t>
            </w:r>
          </w:p>
        </w:tc>
      </w:tr>
      <w:tr w:rsidR="00742247" w:rsidRPr="00183E4D" w14:paraId="54AD61B1"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6038DD56" w14:textId="77777777" w:rsidR="00742247" w:rsidRPr="00D276F1" w:rsidRDefault="00742247" w:rsidP="00620849">
            <w:pPr>
              <w:pStyle w:val="Tabletext1"/>
            </w:pPr>
            <w:r w:rsidRPr="00D276F1">
              <w:t>Perspective</w:t>
            </w:r>
          </w:p>
        </w:tc>
        <w:tc>
          <w:tcPr>
            <w:tcW w:w="1002" w:type="pct"/>
            <w:tcBorders>
              <w:top w:val="single" w:sz="4" w:space="0" w:color="auto"/>
              <w:left w:val="single" w:sz="4" w:space="0" w:color="auto"/>
              <w:bottom w:val="single" w:sz="4" w:space="0" w:color="auto"/>
              <w:right w:val="single" w:sz="4" w:space="0" w:color="auto"/>
            </w:tcBorders>
          </w:tcPr>
          <w:p w14:paraId="358488E8" w14:textId="61814C72" w:rsidR="00742247" w:rsidRPr="00DE327B" w:rsidRDefault="00742247" w:rsidP="00620849">
            <w:pPr>
              <w:pStyle w:val="Tabletext1"/>
            </w:pPr>
            <w:r w:rsidRPr="00DE327B">
              <w:t>Health care system (Australia) and</w:t>
            </w:r>
            <w:r w:rsidR="008A71E9">
              <w:t xml:space="preserve"> </w:t>
            </w:r>
            <w:r w:rsidRPr="00DE327B">
              <w:t xml:space="preserve">out of pocket costs for patients. </w:t>
            </w:r>
          </w:p>
        </w:tc>
        <w:tc>
          <w:tcPr>
            <w:tcW w:w="692" w:type="pct"/>
            <w:tcBorders>
              <w:top w:val="single" w:sz="4" w:space="0" w:color="auto"/>
              <w:left w:val="single" w:sz="4" w:space="0" w:color="auto"/>
              <w:bottom w:val="single" w:sz="4" w:space="0" w:color="auto"/>
              <w:right w:val="single" w:sz="4" w:space="0" w:color="auto"/>
            </w:tcBorders>
          </w:tcPr>
          <w:p w14:paraId="3884FF4E" w14:textId="77777777" w:rsidR="00742247" w:rsidRDefault="00742247" w:rsidP="00620849">
            <w:pPr>
              <w:pStyle w:val="Tabletext1"/>
            </w:pPr>
            <w:r>
              <w:t>Health care system (Canada) [P</w:t>
            </w:r>
            <w:r w:rsidRPr="0009368A">
              <w:t>rovincial public</w:t>
            </w:r>
            <w:r>
              <w:t xml:space="preserve"> </w:t>
            </w:r>
            <w:r w:rsidRPr="0009368A">
              <w:t>health</w:t>
            </w:r>
            <w:r>
              <w:t xml:space="preserve"> </w:t>
            </w:r>
            <w:r w:rsidRPr="0009368A">
              <w:t>system</w:t>
            </w:r>
            <w:r>
              <w:t>]</w:t>
            </w:r>
          </w:p>
        </w:tc>
        <w:tc>
          <w:tcPr>
            <w:tcW w:w="692" w:type="pct"/>
            <w:tcBorders>
              <w:top w:val="single" w:sz="4" w:space="0" w:color="auto"/>
              <w:left w:val="single" w:sz="4" w:space="0" w:color="auto"/>
              <w:bottom w:val="single" w:sz="4" w:space="0" w:color="auto"/>
              <w:right w:val="single" w:sz="4" w:space="0" w:color="auto"/>
            </w:tcBorders>
          </w:tcPr>
          <w:p w14:paraId="61431C2A" w14:textId="77777777" w:rsidR="00742247" w:rsidRDefault="00742247" w:rsidP="00620849">
            <w:pPr>
              <w:pStyle w:val="Tabletext1"/>
            </w:pPr>
            <w:r>
              <w:t xml:space="preserve">Not explicitly reported. </w:t>
            </w:r>
          </w:p>
          <w:p w14:paraId="669C6660" w14:textId="77777777" w:rsidR="00742247" w:rsidRDefault="00742247" w:rsidP="00620849">
            <w:pPr>
              <w:pStyle w:val="Tabletext1"/>
            </w:pPr>
            <w:r>
              <w:t>(USA) [~societal]</w:t>
            </w:r>
          </w:p>
        </w:tc>
        <w:tc>
          <w:tcPr>
            <w:tcW w:w="692" w:type="pct"/>
            <w:tcBorders>
              <w:top w:val="single" w:sz="4" w:space="0" w:color="auto"/>
              <w:left w:val="single" w:sz="4" w:space="0" w:color="auto"/>
              <w:bottom w:val="single" w:sz="4" w:space="0" w:color="auto"/>
              <w:right w:val="single" w:sz="4" w:space="0" w:color="auto"/>
            </w:tcBorders>
          </w:tcPr>
          <w:p w14:paraId="19105907" w14:textId="77777777" w:rsidR="00742247" w:rsidRDefault="00742247" w:rsidP="00620849">
            <w:pPr>
              <w:pStyle w:val="Tabletext1"/>
            </w:pPr>
            <w:r>
              <w:t>Healthcare perspective</w:t>
            </w:r>
          </w:p>
          <w:p w14:paraId="23342774" w14:textId="77777777" w:rsidR="00742247" w:rsidRDefault="00742247" w:rsidP="00620849">
            <w:pPr>
              <w:pStyle w:val="Tabletext1"/>
            </w:pPr>
            <w:r>
              <w:t xml:space="preserve">[UK, </w:t>
            </w:r>
            <w:r w:rsidRPr="00E93BD0">
              <w:t>NHS</w:t>
            </w:r>
            <w:r>
              <w:t>]</w:t>
            </w:r>
          </w:p>
        </w:tc>
        <w:tc>
          <w:tcPr>
            <w:tcW w:w="692" w:type="pct"/>
            <w:tcBorders>
              <w:top w:val="single" w:sz="4" w:space="0" w:color="auto"/>
              <w:left w:val="single" w:sz="4" w:space="0" w:color="auto"/>
              <w:bottom w:val="single" w:sz="4" w:space="0" w:color="auto"/>
              <w:right w:val="single" w:sz="4" w:space="0" w:color="auto"/>
            </w:tcBorders>
          </w:tcPr>
          <w:p w14:paraId="22DA52AD" w14:textId="77777777" w:rsidR="00742247" w:rsidRDefault="00742247" w:rsidP="00620849">
            <w:pPr>
              <w:pStyle w:val="Tabletext1"/>
            </w:pPr>
            <w:r>
              <w:t>Healthcare perspective</w:t>
            </w:r>
          </w:p>
          <w:p w14:paraId="2CA27FE7" w14:textId="77777777" w:rsidR="00742247" w:rsidRDefault="00742247" w:rsidP="00620849">
            <w:pPr>
              <w:pStyle w:val="Tabletext1"/>
            </w:pPr>
            <w:r>
              <w:t>[The Netherlands]</w:t>
            </w:r>
          </w:p>
        </w:tc>
        <w:tc>
          <w:tcPr>
            <w:tcW w:w="692" w:type="pct"/>
            <w:tcBorders>
              <w:top w:val="single" w:sz="4" w:space="0" w:color="auto"/>
              <w:left w:val="single" w:sz="4" w:space="0" w:color="auto"/>
              <w:bottom w:val="single" w:sz="4" w:space="0" w:color="auto"/>
              <w:right w:val="single" w:sz="4" w:space="0" w:color="auto"/>
            </w:tcBorders>
          </w:tcPr>
          <w:p w14:paraId="71119E93" w14:textId="77777777" w:rsidR="00742247" w:rsidRDefault="00742247" w:rsidP="00620849">
            <w:pPr>
              <w:pStyle w:val="Tabletext1"/>
            </w:pPr>
            <w:r>
              <w:t>Healthcare perspective</w:t>
            </w:r>
          </w:p>
          <w:p w14:paraId="4BFD6F8D" w14:textId="77777777" w:rsidR="00742247" w:rsidRDefault="00742247" w:rsidP="00620849">
            <w:pPr>
              <w:pStyle w:val="Tabletext1"/>
            </w:pPr>
            <w:r>
              <w:t xml:space="preserve">[UK, </w:t>
            </w:r>
            <w:r w:rsidRPr="00E93BD0">
              <w:t>NHS</w:t>
            </w:r>
            <w:r>
              <w:t>]</w:t>
            </w:r>
          </w:p>
        </w:tc>
      </w:tr>
      <w:tr w:rsidR="00742247" w:rsidRPr="00183E4D" w14:paraId="1F446338"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1A89AB9B" w14:textId="77777777" w:rsidR="00742247" w:rsidRPr="00D276F1" w:rsidRDefault="00742247" w:rsidP="00620849">
            <w:pPr>
              <w:pStyle w:val="Tabletext1"/>
            </w:pPr>
            <w:r w:rsidRPr="00D276F1">
              <w:t>Population</w:t>
            </w:r>
          </w:p>
        </w:tc>
        <w:tc>
          <w:tcPr>
            <w:tcW w:w="1002" w:type="pct"/>
            <w:tcBorders>
              <w:top w:val="single" w:sz="4" w:space="0" w:color="auto"/>
              <w:left w:val="single" w:sz="4" w:space="0" w:color="auto"/>
              <w:bottom w:val="single" w:sz="4" w:space="0" w:color="auto"/>
              <w:right w:val="single" w:sz="4" w:space="0" w:color="auto"/>
            </w:tcBorders>
          </w:tcPr>
          <w:p w14:paraId="2E8906CB" w14:textId="77777777" w:rsidR="00742247" w:rsidRPr="007E0D6B" w:rsidRDefault="00742247" w:rsidP="00620849">
            <w:pPr>
              <w:pStyle w:val="Tabletext1"/>
              <w:rPr>
                <w:i/>
              </w:rPr>
            </w:pPr>
            <w:r w:rsidRPr="007E0D6B">
              <w:rPr>
                <w:i/>
              </w:rPr>
              <w:t>Population 1</w:t>
            </w:r>
          </w:p>
          <w:p w14:paraId="59D65709" w14:textId="77777777" w:rsidR="00742247" w:rsidRPr="00156161" w:rsidRDefault="00742247" w:rsidP="00620849">
            <w:pPr>
              <w:pStyle w:val="Tabletext1"/>
              <w:rPr>
                <w:highlight w:val="yellow"/>
              </w:rPr>
            </w:pPr>
            <w:r w:rsidRPr="007E0D6B">
              <w:t xml:space="preserve">Men with suspected PCa who have not had a prior biopsy. </w:t>
            </w:r>
          </w:p>
        </w:tc>
        <w:tc>
          <w:tcPr>
            <w:tcW w:w="692" w:type="pct"/>
            <w:tcBorders>
              <w:top w:val="single" w:sz="4" w:space="0" w:color="auto"/>
              <w:left w:val="single" w:sz="4" w:space="0" w:color="auto"/>
              <w:bottom w:val="single" w:sz="4" w:space="0" w:color="auto"/>
              <w:right w:val="single" w:sz="4" w:space="0" w:color="auto"/>
            </w:tcBorders>
          </w:tcPr>
          <w:p w14:paraId="0ED5E471" w14:textId="77777777" w:rsidR="00742247" w:rsidRDefault="00742247" w:rsidP="00620849">
            <w:pPr>
              <w:pStyle w:val="Tabletext1"/>
            </w:pPr>
            <w:r>
              <w:rPr>
                <w:i/>
              </w:rPr>
              <w:t>Population 1</w:t>
            </w:r>
          </w:p>
          <w:p w14:paraId="3EA9734E" w14:textId="7EE0CC16" w:rsidR="00742247" w:rsidRDefault="00742247" w:rsidP="00620849">
            <w:pPr>
              <w:pStyle w:val="Tabletext1"/>
            </w:pPr>
            <w:r w:rsidRPr="004A4F0E">
              <w:t>Biopsy naïve men with clinical suspic</w:t>
            </w:r>
            <w:r>
              <w:t>ion of PCa based on DRE and PSA &gt; </w:t>
            </w:r>
            <w:r w:rsidR="006D4B7D">
              <w:t>4-10</w:t>
            </w:r>
            <w:r w:rsidR="001D697C">
              <w:t>n</w:t>
            </w:r>
            <w:r w:rsidRPr="004A4F0E">
              <w:t>g/</w:t>
            </w:r>
            <w:r w:rsidR="001D697C">
              <w:t>ml</w:t>
            </w:r>
            <w:r w:rsidRPr="004A4F0E">
              <w:t>.</w:t>
            </w:r>
          </w:p>
          <w:p w14:paraId="05B95048" w14:textId="77777777" w:rsidR="00742247" w:rsidRPr="00E22840" w:rsidRDefault="00742247" w:rsidP="00620849">
            <w:pPr>
              <w:pStyle w:val="Tabletext1"/>
              <w:rPr>
                <w:i/>
              </w:rPr>
            </w:pPr>
            <w:r w:rsidRPr="00E22840">
              <w:rPr>
                <w:i/>
              </w:rPr>
              <w:t>Note: Population 2 are modelled, but are not the baseline cohort.</w:t>
            </w:r>
            <w:r>
              <w:rPr>
                <w:i/>
              </w:rPr>
              <w:t xml:space="preserve"> </w:t>
            </w:r>
          </w:p>
        </w:tc>
        <w:tc>
          <w:tcPr>
            <w:tcW w:w="692" w:type="pct"/>
            <w:tcBorders>
              <w:top w:val="single" w:sz="4" w:space="0" w:color="auto"/>
              <w:left w:val="single" w:sz="4" w:space="0" w:color="auto"/>
              <w:bottom w:val="single" w:sz="4" w:space="0" w:color="auto"/>
              <w:right w:val="single" w:sz="4" w:space="0" w:color="auto"/>
            </w:tcBorders>
          </w:tcPr>
          <w:p w14:paraId="31497E93" w14:textId="77777777" w:rsidR="00742247" w:rsidRPr="0032734E" w:rsidRDefault="00742247" w:rsidP="00620849">
            <w:pPr>
              <w:pStyle w:val="Tabletext1"/>
              <w:rPr>
                <w:i/>
              </w:rPr>
            </w:pPr>
            <w:r>
              <w:rPr>
                <w:i/>
              </w:rPr>
              <w:t>Population 1</w:t>
            </w:r>
          </w:p>
          <w:p w14:paraId="6B898B84" w14:textId="77777777" w:rsidR="00742247" w:rsidRDefault="00742247" w:rsidP="00620849">
            <w:pPr>
              <w:pStyle w:val="Tabletext1"/>
            </w:pPr>
            <w:r w:rsidRPr="003365D0">
              <w:t>Men with prior negative biopsy</w:t>
            </w:r>
          </w:p>
        </w:tc>
        <w:tc>
          <w:tcPr>
            <w:tcW w:w="692" w:type="pct"/>
            <w:tcBorders>
              <w:top w:val="single" w:sz="4" w:space="0" w:color="auto"/>
              <w:left w:val="single" w:sz="4" w:space="0" w:color="auto"/>
              <w:bottom w:val="single" w:sz="4" w:space="0" w:color="auto"/>
              <w:right w:val="single" w:sz="4" w:space="0" w:color="auto"/>
            </w:tcBorders>
          </w:tcPr>
          <w:p w14:paraId="16BA370C" w14:textId="77777777" w:rsidR="00742247" w:rsidRDefault="00742247" w:rsidP="00620849">
            <w:pPr>
              <w:pStyle w:val="Tabletext1"/>
            </w:pPr>
            <w:r>
              <w:rPr>
                <w:i/>
              </w:rPr>
              <w:t>Population 1</w:t>
            </w:r>
          </w:p>
          <w:p w14:paraId="00DE9703" w14:textId="77777777" w:rsidR="00742247" w:rsidRDefault="00742247" w:rsidP="00620849">
            <w:pPr>
              <w:pStyle w:val="Tabletext1"/>
            </w:pPr>
            <w:r w:rsidRPr="003365D0">
              <w:t xml:space="preserve">Men with </w:t>
            </w:r>
            <w:r>
              <w:t>suspected PCa with prior</w:t>
            </w:r>
            <w:r w:rsidRPr="003365D0">
              <w:t xml:space="preserve"> negative </w:t>
            </w:r>
            <w:r>
              <w:t xml:space="preserve">or equivocal </w:t>
            </w:r>
            <w:r w:rsidRPr="003365D0">
              <w:t>biopsy</w:t>
            </w:r>
          </w:p>
        </w:tc>
        <w:tc>
          <w:tcPr>
            <w:tcW w:w="692" w:type="pct"/>
            <w:tcBorders>
              <w:top w:val="single" w:sz="4" w:space="0" w:color="auto"/>
              <w:left w:val="single" w:sz="4" w:space="0" w:color="auto"/>
              <w:bottom w:val="single" w:sz="4" w:space="0" w:color="auto"/>
              <w:right w:val="single" w:sz="4" w:space="0" w:color="auto"/>
            </w:tcBorders>
          </w:tcPr>
          <w:p w14:paraId="765404C9" w14:textId="77777777" w:rsidR="00742247" w:rsidRDefault="00742247" w:rsidP="00620849">
            <w:pPr>
              <w:pStyle w:val="Tabletext1"/>
            </w:pPr>
            <w:r>
              <w:rPr>
                <w:i/>
              </w:rPr>
              <w:t>Population 1</w:t>
            </w:r>
          </w:p>
          <w:p w14:paraId="104883CA" w14:textId="5B665977" w:rsidR="00742247" w:rsidRDefault="00742247" w:rsidP="00620849">
            <w:pPr>
              <w:pStyle w:val="Tabletext1"/>
            </w:pPr>
            <w:r>
              <w:t>Men with elevated PSA (&gt;</w:t>
            </w:r>
            <w:r w:rsidR="00A34EE4">
              <w:t>4</w:t>
            </w:r>
            <w:r w:rsidRPr="00825003">
              <w:t>ng/mL)</w:t>
            </w:r>
            <w:r>
              <w:t xml:space="preserve"> who never had a prostate biopsy</w:t>
            </w:r>
          </w:p>
        </w:tc>
        <w:tc>
          <w:tcPr>
            <w:tcW w:w="692" w:type="pct"/>
            <w:tcBorders>
              <w:top w:val="single" w:sz="4" w:space="0" w:color="auto"/>
              <w:left w:val="single" w:sz="4" w:space="0" w:color="auto"/>
              <w:bottom w:val="single" w:sz="4" w:space="0" w:color="auto"/>
              <w:right w:val="single" w:sz="4" w:space="0" w:color="auto"/>
            </w:tcBorders>
          </w:tcPr>
          <w:p w14:paraId="48F4A97C" w14:textId="77777777" w:rsidR="00742247" w:rsidRDefault="00742247" w:rsidP="00620849">
            <w:pPr>
              <w:pStyle w:val="Tabletext1"/>
            </w:pPr>
            <w:r>
              <w:rPr>
                <w:i/>
              </w:rPr>
              <w:t>Population 1</w:t>
            </w:r>
          </w:p>
          <w:p w14:paraId="6D16D05D" w14:textId="77777777" w:rsidR="00742247" w:rsidRDefault="00742247" w:rsidP="00620849">
            <w:pPr>
              <w:pStyle w:val="Tabletext1"/>
            </w:pPr>
            <w:r w:rsidRPr="003365D0">
              <w:t>Men with prior negative biopsy</w:t>
            </w:r>
          </w:p>
        </w:tc>
      </w:tr>
      <w:tr w:rsidR="00742247" w:rsidRPr="00183E4D" w14:paraId="605EDABF"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1D9F1052" w14:textId="77777777" w:rsidR="00742247" w:rsidRPr="00D276F1" w:rsidRDefault="00742247" w:rsidP="00620849">
            <w:pPr>
              <w:pStyle w:val="Tabletext1"/>
            </w:pPr>
            <w:r w:rsidRPr="00D276F1">
              <w:t>Interventions</w:t>
            </w:r>
          </w:p>
        </w:tc>
        <w:tc>
          <w:tcPr>
            <w:tcW w:w="1002" w:type="pct"/>
            <w:tcBorders>
              <w:top w:val="single" w:sz="4" w:space="0" w:color="auto"/>
              <w:left w:val="single" w:sz="4" w:space="0" w:color="auto"/>
              <w:bottom w:val="single" w:sz="4" w:space="0" w:color="auto"/>
              <w:right w:val="single" w:sz="4" w:space="0" w:color="auto"/>
            </w:tcBorders>
          </w:tcPr>
          <w:p w14:paraId="7A41DD5F" w14:textId="77777777" w:rsidR="00742247" w:rsidRDefault="00742247" w:rsidP="00620849">
            <w:pPr>
              <w:pStyle w:val="Tabletext1"/>
            </w:pPr>
            <w:r>
              <w:t>Strategy 2: mpMRI ± MRIGB</w:t>
            </w:r>
          </w:p>
          <w:p w14:paraId="4BD67F92" w14:textId="77777777" w:rsidR="00742247" w:rsidRDefault="00742247" w:rsidP="00620849">
            <w:pPr>
              <w:pStyle w:val="Tabletext1"/>
            </w:pPr>
            <w:r>
              <w:t xml:space="preserve">Strategy 3: mpMRI ± (MRIGB or TRUSGB or TPUSGB) </w:t>
            </w:r>
          </w:p>
        </w:tc>
        <w:tc>
          <w:tcPr>
            <w:tcW w:w="692" w:type="pct"/>
            <w:tcBorders>
              <w:top w:val="single" w:sz="4" w:space="0" w:color="auto"/>
              <w:left w:val="single" w:sz="4" w:space="0" w:color="auto"/>
              <w:bottom w:val="single" w:sz="4" w:space="0" w:color="auto"/>
              <w:right w:val="single" w:sz="4" w:space="0" w:color="auto"/>
            </w:tcBorders>
          </w:tcPr>
          <w:p w14:paraId="7EE8D9D4" w14:textId="77777777" w:rsidR="00742247" w:rsidRDefault="00742247" w:rsidP="00620849">
            <w:pPr>
              <w:pStyle w:val="Tabletext1"/>
            </w:pPr>
            <w:r>
              <w:t>MRIGB</w:t>
            </w:r>
          </w:p>
          <w:p w14:paraId="45F99965" w14:textId="77777777" w:rsidR="00742247" w:rsidRDefault="00742247" w:rsidP="00620849">
            <w:pPr>
              <w:pStyle w:val="Tabletext1"/>
            </w:pPr>
            <w:r>
              <w:t>[mpMRI + MRIGB]</w:t>
            </w:r>
          </w:p>
        </w:tc>
        <w:tc>
          <w:tcPr>
            <w:tcW w:w="692" w:type="pct"/>
            <w:tcBorders>
              <w:top w:val="single" w:sz="4" w:space="0" w:color="auto"/>
              <w:left w:val="single" w:sz="4" w:space="0" w:color="auto"/>
              <w:bottom w:val="single" w:sz="4" w:space="0" w:color="auto"/>
              <w:right w:val="single" w:sz="4" w:space="0" w:color="auto"/>
            </w:tcBorders>
          </w:tcPr>
          <w:p w14:paraId="137E8971" w14:textId="235E7EE2" w:rsidR="00742247" w:rsidRDefault="00A34EE4" w:rsidP="00620849">
            <w:pPr>
              <w:pStyle w:val="Tabletext1"/>
            </w:pPr>
            <w:r>
              <w:t>mpMRI with biopsy TRUSGB</w:t>
            </w:r>
          </w:p>
        </w:tc>
        <w:tc>
          <w:tcPr>
            <w:tcW w:w="692" w:type="pct"/>
            <w:tcBorders>
              <w:top w:val="single" w:sz="4" w:space="0" w:color="auto"/>
              <w:left w:val="single" w:sz="4" w:space="0" w:color="auto"/>
              <w:bottom w:val="single" w:sz="4" w:space="0" w:color="auto"/>
              <w:right w:val="single" w:sz="4" w:space="0" w:color="auto"/>
            </w:tcBorders>
          </w:tcPr>
          <w:p w14:paraId="786B6E0B" w14:textId="77777777" w:rsidR="00742247" w:rsidRDefault="00742247" w:rsidP="00620849">
            <w:pPr>
              <w:pStyle w:val="Tabletext1"/>
            </w:pPr>
            <w:r>
              <w:t>PCA3 score or phi in combination with existing tests [comparators as below]</w:t>
            </w:r>
          </w:p>
        </w:tc>
        <w:tc>
          <w:tcPr>
            <w:tcW w:w="692" w:type="pct"/>
            <w:tcBorders>
              <w:top w:val="single" w:sz="4" w:space="0" w:color="auto"/>
              <w:left w:val="single" w:sz="4" w:space="0" w:color="auto"/>
              <w:bottom w:val="single" w:sz="4" w:space="0" w:color="auto"/>
              <w:right w:val="single" w:sz="4" w:space="0" w:color="auto"/>
            </w:tcBorders>
          </w:tcPr>
          <w:p w14:paraId="4C698C77" w14:textId="77777777" w:rsidR="00742247" w:rsidRDefault="00742247" w:rsidP="00620849">
            <w:pPr>
              <w:pStyle w:val="Tabletext1"/>
            </w:pPr>
            <w:r>
              <w:t>mpMRI + MRIGB</w:t>
            </w:r>
          </w:p>
        </w:tc>
        <w:tc>
          <w:tcPr>
            <w:tcW w:w="692" w:type="pct"/>
            <w:tcBorders>
              <w:top w:val="single" w:sz="4" w:space="0" w:color="auto"/>
              <w:left w:val="single" w:sz="4" w:space="0" w:color="auto"/>
              <w:bottom w:val="single" w:sz="4" w:space="0" w:color="auto"/>
              <w:right w:val="single" w:sz="4" w:space="0" w:color="auto"/>
            </w:tcBorders>
          </w:tcPr>
          <w:p w14:paraId="083E7D70" w14:textId="77777777" w:rsidR="00742247" w:rsidRDefault="00742247" w:rsidP="00620849">
            <w:pPr>
              <w:pStyle w:val="Tabletext1"/>
            </w:pPr>
            <w:r>
              <w:t>MRS/MRI sequences to direct TRUSGB</w:t>
            </w:r>
          </w:p>
        </w:tc>
      </w:tr>
      <w:tr w:rsidR="00742247" w:rsidRPr="00183E4D" w14:paraId="4039935D"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31FABFE8" w14:textId="77777777" w:rsidR="00742247" w:rsidRPr="00D276F1" w:rsidRDefault="00742247" w:rsidP="00620849">
            <w:pPr>
              <w:pStyle w:val="Tabletext1"/>
            </w:pPr>
            <w:r w:rsidRPr="00D276F1">
              <w:t>Comparator</w:t>
            </w:r>
          </w:p>
        </w:tc>
        <w:tc>
          <w:tcPr>
            <w:tcW w:w="1002" w:type="pct"/>
            <w:tcBorders>
              <w:top w:val="single" w:sz="4" w:space="0" w:color="auto"/>
              <w:left w:val="single" w:sz="4" w:space="0" w:color="auto"/>
              <w:bottom w:val="single" w:sz="4" w:space="0" w:color="auto"/>
              <w:right w:val="single" w:sz="4" w:space="0" w:color="auto"/>
            </w:tcBorders>
          </w:tcPr>
          <w:p w14:paraId="7BA0FE0B" w14:textId="77777777" w:rsidR="00742247" w:rsidRDefault="00742247" w:rsidP="00620849">
            <w:pPr>
              <w:pStyle w:val="Tabletext1"/>
            </w:pPr>
            <w:r>
              <w:t>Strategy 1: TRUSGB</w:t>
            </w:r>
          </w:p>
        </w:tc>
        <w:tc>
          <w:tcPr>
            <w:tcW w:w="692" w:type="pct"/>
            <w:tcBorders>
              <w:top w:val="single" w:sz="4" w:space="0" w:color="auto"/>
              <w:left w:val="single" w:sz="4" w:space="0" w:color="auto"/>
              <w:bottom w:val="single" w:sz="4" w:space="0" w:color="auto"/>
              <w:right w:val="single" w:sz="4" w:space="0" w:color="auto"/>
            </w:tcBorders>
          </w:tcPr>
          <w:p w14:paraId="6A3EF93C" w14:textId="77777777" w:rsidR="00742247" w:rsidRPr="00713298" w:rsidRDefault="00742247" w:rsidP="00620849">
            <w:pPr>
              <w:pStyle w:val="Tabletext1"/>
            </w:pPr>
            <w:r>
              <w:t>TRUSGB (12-core)</w:t>
            </w:r>
          </w:p>
        </w:tc>
        <w:tc>
          <w:tcPr>
            <w:tcW w:w="692" w:type="pct"/>
            <w:tcBorders>
              <w:top w:val="single" w:sz="4" w:space="0" w:color="auto"/>
              <w:left w:val="single" w:sz="4" w:space="0" w:color="auto"/>
              <w:bottom w:val="single" w:sz="4" w:space="0" w:color="auto"/>
              <w:right w:val="single" w:sz="4" w:space="0" w:color="auto"/>
            </w:tcBorders>
          </w:tcPr>
          <w:p w14:paraId="0CEC5BC6" w14:textId="77777777" w:rsidR="00742247" w:rsidRPr="00713298" w:rsidRDefault="00742247" w:rsidP="00620849">
            <w:pPr>
              <w:pStyle w:val="Tabletext1"/>
            </w:pPr>
            <w:r>
              <w:t>TRUSGB</w:t>
            </w:r>
          </w:p>
        </w:tc>
        <w:tc>
          <w:tcPr>
            <w:tcW w:w="692" w:type="pct"/>
            <w:tcBorders>
              <w:top w:val="single" w:sz="4" w:space="0" w:color="auto"/>
              <w:left w:val="single" w:sz="4" w:space="0" w:color="auto"/>
              <w:bottom w:val="single" w:sz="4" w:space="0" w:color="auto"/>
              <w:right w:val="single" w:sz="4" w:space="0" w:color="auto"/>
            </w:tcBorders>
          </w:tcPr>
          <w:p w14:paraId="628980C3" w14:textId="77777777" w:rsidR="00742247" w:rsidRDefault="00742247" w:rsidP="00620849">
            <w:pPr>
              <w:pStyle w:val="Tabletext1"/>
            </w:pPr>
            <w:r>
              <w:t>clinical assessment</w:t>
            </w:r>
          </w:p>
          <w:p w14:paraId="501D9DC5" w14:textId="77777777" w:rsidR="00742247" w:rsidRDefault="00742247" w:rsidP="00620849">
            <w:pPr>
              <w:pStyle w:val="Tabletext1"/>
            </w:pPr>
            <w:r>
              <w:t>clinical assessment and MRI</w:t>
            </w:r>
          </w:p>
          <w:p w14:paraId="1B3A5BBF" w14:textId="73510D50" w:rsidR="00742247" w:rsidRPr="00153EF4" w:rsidRDefault="00742247" w:rsidP="00620849">
            <w:pPr>
              <w:pStyle w:val="Tabletext1"/>
              <w:rPr>
                <w:i/>
              </w:rPr>
            </w:pPr>
            <w:r>
              <w:rPr>
                <w:i/>
              </w:rPr>
              <w:t xml:space="preserve">mpMRI and </w:t>
            </w:r>
            <w:r w:rsidR="00E96DDA">
              <w:rPr>
                <w:i/>
              </w:rPr>
              <w:t>MRIGB</w:t>
            </w:r>
            <w:r>
              <w:rPr>
                <w:i/>
              </w:rPr>
              <w:t xml:space="preserve"> is part of clinical assessment. </w:t>
            </w:r>
          </w:p>
        </w:tc>
        <w:tc>
          <w:tcPr>
            <w:tcW w:w="692" w:type="pct"/>
            <w:tcBorders>
              <w:top w:val="single" w:sz="4" w:space="0" w:color="auto"/>
              <w:left w:val="single" w:sz="4" w:space="0" w:color="auto"/>
              <w:bottom w:val="single" w:sz="4" w:space="0" w:color="auto"/>
              <w:right w:val="single" w:sz="4" w:space="0" w:color="auto"/>
            </w:tcBorders>
          </w:tcPr>
          <w:p w14:paraId="28DE6550" w14:textId="77777777" w:rsidR="00742247" w:rsidRPr="00713298" w:rsidRDefault="00742247" w:rsidP="00620849">
            <w:pPr>
              <w:pStyle w:val="Tabletext1"/>
            </w:pPr>
            <w:r>
              <w:t>TRUSGB</w:t>
            </w:r>
          </w:p>
        </w:tc>
        <w:tc>
          <w:tcPr>
            <w:tcW w:w="692" w:type="pct"/>
            <w:tcBorders>
              <w:top w:val="single" w:sz="4" w:space="0" w:color="auto"/>
              <w:left w:val="single" w:sz="4" w:space="0" w:color="auto"/>
              <w:bottom w:val="single" w:sz="4" w:space="0" w:color="auto"/>
              <w:right w:val="single" w:sz="4" w:space="0" w:color="auto"/>
            </w:tcBorders>
          </w:tcPr>
          <w:p w14:paraId="76E16701" w14:textId="77777777" w:rsidR="00742247" w:rsidRPr="00535FB1" w:rsidRDefault="00742247" w:rsidP="00620849">
            <w:pPr>
              <w:pStyle w:val="Tabletext1"/>
            </w:pPr>
            <w:r>
              <w:t>Extended TRUSGB</w:t>
            </w:r>
          </w:p>
        </w:tc>
      </w:tr>
      <w:tr w:rsidR="00742247" w:rsidRPr="00183E4D" w14:paraId="67E7E1E3"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7BD73651" w14:textId="77777777" w:rsidR="00742247" w:rsidRPr="00D276F1" w:rsidRDefault="00742247" w:rsidP="00620849">
            <w:pPr>
              <w:pStyle w:val="Tabletext1"/>
            </w:pPr>
            <w:r w:rsidRPr="00D276F1">
              <w:t>Type of economic evaluation</w:t>
            </w:r>
          </w:p>
        </w:tc>
        <w:tc>
          <w:tcPr>
            <w:tcW w:w="1002" w:type="pct"/>
            <w:tcBorders>
              <w:top w:val="single" w:sz="4" w:space="0" w:color="auto"/>
              <w:left w:val="single" w:sz="4" w:space="0" w:color="auto"/>
              <w:bottom w:val="single" w:sz="4" w:space="0" w:color="auto"/>
              <w:right w:val="single" w:sz="4" w:space="0" w:color="auto"/>
            </w:tcBorders>
          </w:tcPr>
          <w:p w14:paraId="0A4BB1F9" w14:textId="77777777" w:rsidR="00742247" w:rsidRDefault="00742247" w:rsidP="00620849">
            <w:pPr>
              <w:pStyle w:val="Tabletext1"/>
            </w:pPr>
            <w:r>
              <w:t>CEA and CUA</w:t>
            </w:r>
          </w:p>
        </w:tc>
        <w:tc>
          <w:tcPr>
            <w:tcW w:w="692" w:type="pct"/>
            <w:tcBorders>
              <w:top w:val="single" w:sz="4" w:space="0" w:color="auto"/>
              <w:left w:val="single" w:sz="4" w:space="0" w:color="auto"/>
              <w:bottom w:val="single" w:sz="4" w:space="0" w:color="auto"/>
              <w:right w:val="single" w:sz="4" w:space="0" w:color="auto"/>
            </w:tcBorders>
          </w:tcPr>
          <w:p w14:paraId="14F74A31" w14:textId="77777777" w:rsidR="00742247" w:rsidRPr="00A0651D" w:rsidRDefault="00742247" w:rsidP="00620849">
            <w:pPr>
              <w:pStyle w:val="Tabletext1"/>
            </w:pPr>
            <w:r>
              <w:t>CUA</w:t>
            </w:r>
          </w:p>
        </w:tc>
        <w:tc>
          <w:tcPr>
            <w:tcW w:w="692" w:type="pct"/>
            <w:tcBorders>
              <w:top w:val="single" w:sz="4" w:space="0" w:color="auto"/>
              <w:left w:val="single" w:sz="4" w:space="0" w:color="auto"/>
              <w:bottom w:val="single" w:sz="4" w:space="0" w:color="auto"/>
              <w:right w:val="single" w:sz="4" w:space="0" w:color="auto"/>
            </w:tcBorders>
          </w:tcPr>
          <w:p w14:paraId="6DE5FE22" w14:textId="77777777" w:rsidR="00742247" w:rsidRPr="00A0651D" w:rsidRDefault="00742247" w:rsidP="00620849">
            <w:pPr>
              <w:pStyle w:val="Tabletext1"/>
            </w:pPr>
            <w:r>
              <w:t>Cost analysis</w:t>
            </w:r>
          </w:p>
        </w:tc>
        <w:tc>
          <w:tcPr>
            <w:tcW w:w="692" w:type="pct"/>
            <w:tcBorders>
              <w:top w:val="single" w:sz="4" w:space="0" w:color="auto"/>
              <w:left w:val="single" w:sz="4" w:space="0" w:color="auto"/>
              <w:bottom w:val="single" w:sz="4" w:space="0" w:color="auto"/>
              <w:right w:val="single" w:sz="4" w:space="0" w:color="auto"/>
            </w:tcBorders>
          </w:tcPr>
          <w:p w14:paraId="2B53515E" w14:textId="77777777" w:rsidR="00742247" w:rsidRPr="00A0651D" w:rsidRDefault="00742247" w:rsidP="00620849">
            <w:pPr>
              <w:pStyle w:val="Tabletext1"/>
            </w:pPr>
            <w:r>
              <w:t>CEA and CUA</w:t>
            </w:r>
          </w:p>
        </w:tc>
        <w:tc>
          <w:tcPr>
            <w:tcW w:w="692" w:type="pct"/>
            <w:tcBorders>
              <w:top w:val="single" w:sz="4" w:space="0" w:color="auto"/>
              <w:left w:val="single" w:sz="4" w:space="0" w:color="auto"/>
              <w:bottom w:val="single" w:sz="4" w:space="0" w:color="auto"/>
              <w:right w:val="single" w:sz="4" w:space="0" w:color="auto"/>
            </w:tcBorders>
          </w:tcPr>
          <w:p w14:paraId="36655618" w14:textId="77777777" w:rsidR="00742247" w:rsidRPr="00A0651D" w:rsidRDefault="00742247" w:rsidP="00620849">
            <w:pPr>
              <w:pStyle w:val="Tabletext1"/>
            </w:pPr>
            <w:r>
              <w:t>CUA</w:t>
            </w:r>
          </w:p>
        </w:tc>
        <w:tc>
          <w:tcPr>
            <w:tcW w:w="692" w:type="pct"/>
            <w:tcBorders>
              <w:top w:val="single" w:sz="4" w:space="0" w:color="auto"/>
              <w:left w:val="single" w:sz="4" w:space="0" w:color="auto"/>
              <w:bottom w:val="single" w:sz="4" w:space="0" w:color="auto"/>
              <w:right w:val="single" w:sz="4" w:space="0" w:color="auto"/>
            </w:tcBorders>
          </w:tcPr>
          <w:p w14:paraId="68A4B37A" w14:textId="77777777" w:rsidR="00742247" w:rsidRDefault="00742247" w:rsidP="00620849">
            <w:pPr>
              <w:pStyle w:val="Tabletext1"/>
            </w:pPr>
            <w:r>
              <w:t>Cost analysis,</w:t>
            </w:r>
          </w:p>
          <w:p w14:paraId="11864A95" w14:textId="77777777" w:rsidR="00742247" w:rsidRPr="00A0651D" w:rsidRDefault="00742247" w:rsidP="00620849">
            <w:pPr>
              <w:pStyle w:val="Tabletext1"/>
            </w:pPr>
            <w:r>
              <w:t>CEA and CUA</w:t>
            </w:r>
          </w:p>
        </w:tc>
      </w:tr>
      <w:tr w:rsidR="00742247" w:rsidRPr="00183E4D" w14:paraId="228201BB"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45D19E4D" w14:textId="77777777" w:rsidR="00742247" w:rsidRPr="00D276F1" w:rsidRDefault="00742247" w:rsidP="00620849">
            <w:pPr>
              <w:pStyle w:val="Tabletext1"/>
            </w:pPr>
            <w:r w:rsidRPr="00D276F1">
              <w:t>Sources of evidence</w:t>
            </w:r>
          </w:p>
        </w:tc>
        <w:tc>
          <w:tcPr>
            <w:tcW w:w="1002" w:type="pct"/>
            <w:tcBorders>
              <w:top w:val="single" w:sz="4" w:space="0" w:color="auto"/>
              <w:left w:val="single" w:sz="4" w:space="0" w:color="auto"/>
              <w:bottom w:val="single" w:sz="4" w:space="0" w:color="auto"/>
              <w:right w:val="single" w:sz="4" w:space="0" w:color="auto"/>
            </w:tcBorders>
          </w:tcPr>
          <w:p w14:paraId="15B2CBD6" w14:textId="77777777" w:rsidR="00742247" w:rsidRPr="00ED36F2" w:rsidRDefault="00742247" w:rsidP="00620849">
            <w:pPr>
              <w:pStyle w:val="Tabletext1"/>
            </w:pPr>
            <w:r>
              <w:t>Systematic literature review</w:t>
            </w:r>
          </w:p>
        </w:tc>
        <w:tc>
          <w:tcPr>
            <w:tcW w:w="692" w:type="pct"/>
            <w:tcBorders>
              <w:top w:val="single" w:sz="4" w:space="0" w:color="auto"/>
              <w:left w:val="single" w:sz="4" w:space="0" w:color="auto"/>
              <w:bottom w:val="single" w:sz="4" w:space="0" w:color="auto"/>
              <w:right w:val="single" w:sz="4" w:space="0" w:color="auto"/>
            </w:tcBorders>
          </w:tcPr>
          <w:p w14:paraId="07429EBF" w14:textId="77777777" w:rsidR="00742247" w:rsidRPr="00FC1F87" w:rsidRDefault="00742247" w:rsidP="00620849">
            <w:pPr>
              <w:pStyle w:val="Tabletext1"/>
            </w:pPr>
            <w:r w:rsidRPr="00ED36F2">
              <w:t>Literature [unclear if review was systematic]; base</w:t>
            </w:r>
            <w:r>
              <w:t xml:space="preserve"> assumptions were made by authors and expert opinion. </w:t>
            </w:r>
          </w:p>
        </w:tc>
        <w:tc>
          <w:tcPr>
            <w:tcW w:w="692" w:type="pct"/>
            <w:tcBorders>
              <w:top w:val="single" w:sz="4" w:space="0" w:color="auto"/>
              <w:left w:val="single" w:sz="4" w:space="0" w:color="auto"/>
              <w:bottom w:val="single" w:sz="4" w:space="0" w:color="auto"/>
              <w:right w:val="single" w:sz="4" w:space="0" w:color="auto"/>
            </w:tcBorders>
          </w:tcPr>
          <w:p w14:paraId="21D0BC3D" w14:textId="77777777" w:rsidR="00742247" w:rsidRPr="00DB298A" w:rsidRDefault="00742247" w:rsidP="00620849">
            <w:pPr>
              <w:pStyle w:val="Tabletext1"/>
            </w:pPr>
            <w:r>
              <w:t>Systematic literature review</w:t>
            </w:r>
            <w:r w:rsidRPr="00DB298A">
              <w:t xml:space="preserve"> </w:t>
            </w:r>
          </w:p>
        </w:tc>
        <w:tc>
          <w:tcPr>
            <w:tcW w:w="692" w:type="pct"/>
            <w:tcBorders>
              <w:top w:val="single" w:sz="4" w:space="0" w:color="auto"/>
              <w:left w:val="single" w:sz="4" w:space="0" w:color="auto"/>
              <w:bottom w:val="single" w:sz="4" w:space="0" w:color="auto"/>
              <w:right w:val="single" w:sz="4" w:space="0" w:color="auto"/>
            </w:tcBorders>
          </w:tcPr>
          <w:p w14:paraId="5FD22223" w14:textId="77777777" w:rsidR="00742247" w:rsidRPr="00DD6FB2" w:rsidRDefault="00742247" w:rsidP="00620849">
            <w:pPr>
              <w:pStyle w:val="Tabletext1"/>
            </w:pPr>
            <w:r>
              <w:t>Systematic literature review</w:t>
            </w:r>
          </w:p>
        </w:tc>
        <w:tc>
          <w:tcPr>
            <w:tcW w:w="692" w:type="pct"/>
            <w:tcBorders>
              <w:top w:val="single" w:sz="4" w:space="0" w:color="auto"/>
              <w:left w:val="single" w:sz="4" w:space="0" w:color="auto"/>
              <w:bottom w:val="single" w:sz="4" w:space="0" w:color="auto"/>
              <w:right w:val="single" w:sz="4" w:space="0" w:color="auto"/>
            </w:tcBorders>
          </w:tcPr>
          <w:p w14:paraId="1B74787A" w14:textId="77777777" w:rsidR="00742247" w:rsidRPr="00212C92" w:rsidRDefault="00742247" w:rsidP="00620849">
            <w:pPr>
              <w:pStyle w:val="Tabletext1"/>
            </w:pPr>
            <w:r>
              <w:t>S</w:t>
            </w:r>
            <w:r w:rsidRPr="00212C92">
              <w:t>ystematic literature searches, meta-analyses, and expert opinion</w:t>
            </w:r>
          </w:p>
        </w:tc>
        <w:tc>
          <w:tcPr>
            <w:tcW w:w="692" w:type="pct"/>
            <w:tcBorders>
              <w:top w:val="single" w:sz="4" w:space="0" w:color="auto"/>
              <w:left w:val="single" w:sz="4" w:space="0" w:color="auto"/>
              <w:bottom w:val="single" w:sz="4" w:space="0" w:color="auto"/>
              <w:right w:val="single" w:sz="4" w:space="0" w:color="auto"/>
            </w:tcBorders>
          </w:tcPr>
          <w:p w14:paraId="5E3E990A" w14:textId="77777777" w:rsidR="00742247" w:rsidRPr="003234FE" w:rsidRDefault="00742247" w:rsidP="00620849">
            <w:pPr>
              <w:pStyle w:val="Tabletext1"/>
            </w:pPr>
            <w:r w:rsidRPr="003234FE">
              <w:t xml:space="preserve">Systematic literature searches, meta-analyses, </w:t>
            </w:r>
            <w:r>
              <w:t xml:space="preserve">indirect comparison, and expert opinion. </w:t>
            </w:r>
          </w:p>
        </w:tc>
      </w:tr>
      <w:tr w:rsidR="00742247" w:rsidRPr="00183E4D" w14:paraId="38F5B9EF"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hideMark/>
          </w:tcPr>
          <w:p w14:paraId="70892864" w14:textId="77777777" w:rsidR="00742247" w:rsidRPr="00D276F1" w:rsidRDefault="00742247" w:rsidP="00620849">
            <w:pPr>
              <w:pStyle w:val="Tabletext1"/>
            </w:pPr>
            <w:r w:rsidRPr="00D276F1">
              <w:lastRenderedPageBreak/>
              <w:t>Time horizon</w:t>
            </w:r>
          </w:p>
        </w:tc>
        <w:tc>
          <w:tcPr>
            <w:tcW w:w="1002" w:type="pct"/>
            <w:tcBorders>
              <w:top w:val="single" w:sz="4" w:space="0" w:color="auto"/>
              <w:left w:val="single" w:sz="4" w:space="0" w:color="auto"/>
              <w:bottom w:val="single" w:sz="4" w:space="0" w:color="auto"/>
              <w:right w:val="single" w:sz="4" w:space="0" w:color="auto"/>
            </w:tcBorders>
          </w:tcPr>
          <w:p w14:paraId="58DF6CC7" w14:textId="77777777" w:rsidR="00742247" w:rsidRDefault="00742247" w:rsidP="00620849">
            <w:pPr>
              <w:pStyle w:val="Tabletext1"/>
            </w:pPr>
            <w:r>
              <w:t xml:space="preserve">Lifetime: ~30 years, max. age is when age 90 is reached unless they die earlier. </w:t>
            </w:r>
          </w:p>
        </w:tc>
        <w:tc>
          <w:tcPr>
            <w:tcW w:w="692" w:type="pct"/>
            <w:tcBorders>
              <w:top w:val="single" w:sz="4" w:space="0" w:color="auto"/>
              <w:left w:val="single" w:sz="4" w:space="0" w:color="auto"/>
              <w:bottom w:val="single" w:sz="4" w:space="0" w:color="auto"/>
              <w:right w:val="single" w:sz="4" w:space="0" w:color="auto"/>
            </w:tcBorders>
          </w:tcPr>
          <w:p w14:paraId="0E5CF014" w14:textId="77777777" w:rsidR="00742247" w:rsidRPr="00871F74" w:rsidRDefault="00742247" w:rsidP="00620849">
            <w:pPr>
              <w:pStyle w:val="Tabletext1"/>
              <w:rPr>
                <w:highlight w:val="magenta"/>
              </w:rPr>
            </w:pPr>
            <w:r>
              <w:t>5, 10, 15 and 20 years</w:t>
            </w:r>
          </w:p>
        </w:tc>
        <w:tc>
          <w:tcPr>
            <w:tcW w:w="692" w:type="pct"/>
            <w:tcBorders>
              <w:top w:val="single" w:sz="4" w:space="0" w:color="auto"/>
              <w:left w:val="single" w:sz="4" w:space="0" w:color="auto"/>
              <w:bottom w:val="single" w:sz="4" w:space="0" w:color="auto"/>
              <w:right w:val="single" w:sz="4" w:space="0" w:color="auto"/>
            </w:tcBorders>
          </w:tcPr>
          <w:p w14:paraId="1E72E451" w14:textId="77777777" w:rsidR="00742247" w:rsidRPr="00871F74" w:rsidRDefault="00742247" w:rsidP="00620849">
            <w:pPr>
              <w:pStyle w:val="Tabletext1"/>
              <w:rPr>
                <w:highlight w:val="magenta"/>
              </w:rPr>
            </w:pPr>
            <w:r>
              <w:t>not stated</w:t>
            </w:r>
          </w:p>
        </w:tc>
        <w:tc>
          <w:tcPr>
            <w:tcW w:w="692" w:type="pct"/>
            <w:tcBorders>
              <w:top w:val="single" w:sz="4" w:space="0" w:color="auto"/>
              <w:left w:val="single" w:sz="4" w:space="0" w:color="auto"/>
              <w:bottom w:val="single" w:sz="4" w:space="0" w:color="auto"/>
              <w:right w:val="single" w:sz="4" w:space="0" w:color="auto"/>
            </w:tcBorders>
          </w:tcPr>
          <w:p w14:paraId="38ADC1FB" w14:textId="7E92F2DC" w:rsidR="00742247" w:rsidRPr="009134F7" w:rsidRDefault="002955B5" w:rsidP="00620849">
            <w:pPr>
              <w:pStyle w:val="Tabletext1"/>
            </w:pPr>
            <w:r>
              <w:t>Base-case</w:t>
            </w:r>
            <w:r w:rsidR="00742247" w:rsidRPr="009134F7">
              <w:t>: 3 years</w:t>
            </w:r>
          </w:p>
          <w:p w14:paraId="7CF789C1" w14:textId="77777777" w:rsidR="00742247" w:rsidRPr="00871F74" w:rsidRDefault="00742247" w:rsidP="00620849">
            <w:pPr>
              <w:pStyle w:val="Tabletext1"/>
              <w:rPr>
                <w:highlight w:val="magenta"/>
              </w:rPr>
            </w:pPr>
            <w:r w:rsidRPr="009134F7">
              <w:t>Sensitivity: 1 and 6 years</w:t>
            </w:r>
          </w:p>
        </w:tc>
        <w:tc>
          <w:tcPr>
            <w:tcW w:w="692" w:type="pct"/>
            <w:tcBorders>
              <w:top w:val="single" w:sz="4" w:space="0" w:color="auto"/>
              <w:left w:val="single" w:sz="4" w:space="0" w:color="auto"/>
              <w:bottom w:val="single" w:sz="4" w:space="0" w:color="auto"/>
              <w:right w:val="single" w:sz="4" w:space="0" w:color="auto"/>
            </w:tcBorders>
          </w:tcPr>
          <w:p w14:paraId="3F6CAD92" w14:textId="77777777" w:rsidR="00742247" w:rsidRPr="00871F74" w:rsidRDefault="00742247" w:rsidP="00620849">
            <w:pPr>
              <w:pStyle w:val="Tabletext1"/>
              <w:rPr>
                <w:highlight w:val="magenta"/>
              </w:rPr>
            </w:pPr>
            <w:r w:rsidRPr="00213C01">
              <w:t>10 years over initial suspicion of PCa [after this time no differences was assumed]</w:t>
            </w:r>
          </w:p>
        </w:tc>
        <w:tc>
          <w:tcPr>
            <w:tcW w:w="692" w:type="pct"/>
            <w:tcBorders>
              <w:top w:val="single" w:sz="4" w:space="0" w:color="auto"/>
              <w:left w:val="single" w:sz="4" w:space="0" w:color="auto"/>
              <w:bottom w:val="single" w:sz="4" w:space="0" w:color="auto"/>
              <w:right w:val="single" w:sz="4" w:space="0" w:color="auto"/>
            </w:tcBorders>
          </w:tcPr>
          <w:p w14:paraId="474B88A4" w14:textId="77777777" w:rsidR="00742247" w:rsidRDefault="00742247" w:rsidP="00620849">
            <w:pPr>
              <w:pStyle w:val="Tabletext1"/>
            </w:pPr>
            <w:r>
              <w:t>Lifetime: ~30 years</w:t>
            </w:r>
          </w:p>
          <w:p w14:paraId="37C5C3CF" w14:textId="77777777" w:rsidR="00742247" w:rsidRPr="00871F74" w:rsidRDefault="00742247" w:rsidP="00620849">
            <w:pPr>
              <w:pStyle w:val="Tabletext1"/>
              <w:rPr>
                <w:highlight w:val="magenta"/>
              </w:rPr>
            </w:pPr>
            <w:r>
              <w:t>Sensitivity: shorter time horizons</w:t>
            </w:r>
          </w:p>
        </w:tc>
      </w:tr>
      <w:tr w:rsidR="00742247" w:rsidRPr="00183E4D" w14:paraId="126A0EBD"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hideMark/>
          </w:tcPr>
          <w:p w14:paraId="45EAE894" w14:textId="77777777" w:rsidR="00742247" w:rsidRPr="00D276F1" w:rsidRDefault="00742247" w:rsidP="00620849">
            <w:pPr>
              <w:pStyle w:val="Tabletext1"/>
            </w:pPr>
            <w:r w:rsidRPr="00D276F1">
              <w:t>Outcomes</w:t>
            </w:r>
          </w:p>
        </w:tc>
        <w:tc>
          <w:tcPr>
            <w:tcW w:w="1002" w:type="pct"/>
            <w:tcBorders>
              <w:top w:val="single" w:sz="4" w:space="0" w:color="auto"/>
              <w:left w:val="single" w:sz="4" w:space="0" w:color="auto"/>
              <w:bottom w:val="single" w:sz="4" w:space="0" w:color="auto"/>
              <w:right w:val="single" w:sz="4" w:space="0" w:color="auto"/>
            </w:tcBorders>
          </w:tcPr>
          <w:p w14:paraId="5FE95F0A" w14:textId="77777777" w:rsidR="00742247" w:rsidRDefault="00742247" w:rsidP="00620849">
            <w:pPr>
              <w:pStyle w:val="Tabletext1"/>
            </w:pPr>
            <w:r>
              <w:t xml:space="preserve">No. of biopsies </w:t>
            </w:r>
          </w:p>
          <w:p w14:paraId="16EFE458" w14:textId="77777777" w:rsidR="00742247" w:rsidRDefault="00742247" w:rsidP="00620849">
            <w:pPr>
              <w:pStyle w:val="Tabletext1"/>
            </w:pPr>
            <w:r>
              <w:t>Costs</w:t>
            </w:r>
          </w:p>
          <w:p w14:paraId="0C17B20E" w14:textId="77777777" w:rsidR="00742247" w:rsidRDefault="00742247" w:rsidP="00620849">
            <w:pPr>
              <w:pStyle w:val="Tabletext1"/>
            </w:pPr>
            <w:r>
              <w:t>LYs</w:t>
            </w:r>
          </w:p>
          <w:p w14:paraId="04166B67" w14:textId="77777777" w:rsidR="00742247" w:rsidRDefault="00742247" w:rsidP="00620849">
            <w:pPr>
              <w:pStyle w:val="Tabletext1"/>
            </w:pPr>
            <w:r>
              <w:t>QALYs</w:t>
            </w:r>
          </w:p>
        </w:tc>
        <w:tc>
          <w:tcPr>
            <w:tcW w:w="692" w:type="pct"/>
            <w:tcBorders>
              <w:top w:val="single" w:sz="4" w:space="0" w:color="auto"/>
              <w:left w:val="single" w:sz="4" w:space="0" w:color="auto"/>
              <w:bottom w:val="single" w:sz="4" w:space="0" w:color="auto"/>
              <w:right w:val="single" w:sz="4" w:space="0" w:color="auto"/>
            </w:tcBorders>
          </w:tcPr>
          <w:p w14:paraId="6B22F740" w14:textId="77777777" w:rsidR="00742247" w:rsidRDefault="00742247" w:rsidP="00620849">
            <w:pPr>
              <w:pStyle w:val="Tabletext1"/>
            </w:pPr>
            <w:r>
              <w:t>Costs</w:t>
            </w:r>
          </w:p>
          <w:p w14:paraId="3774523A" w14:textId="77777777" w:rsidR="00742247" w:rsidRPr="00472064" w:rsidRDefault="00742247" w:rsidP="00620849">
            <w:pPr>
              <w:pStyle w:val="Tabletext1"/>
            </w:pPr>
            <w:r>
              <w:t>QALYs</w:t>
            </w:r>
          </w:p>
        </w:tc>
        <w:tc>
          <w:tcPr>
            <w:tcW w:w="692" w:type="pct"/>
            <w:tcBorders>
              <w:top w:val="single" w:sz="4" w:space="0" w:color="auto"/>
              <w:left w:val="single" w:sz="4" w:space="0" w:color="auto"/>
              <w:bottom w:val="single" w:sz="4" w:space="0" w:color="auto"/>
              <w:right w:val="single" w:sz="4" w:space="0" w:color="auto"/>
            </w:tcBorders>
          </w:tcPr>
          <w:p w14:paraId="04835E34" w14:textId="77777777" w:rsidR="00742247" w:rsidRDefault="00742247" w:rsidP="00620849">
            <w:pPr>
              <w:pStyle w:val="Tabletext1"/>
            </w:pPr>
            <w:r>
              <w:t>Costs</w:t>
            </w:r>
          </w:p>
          <w:p w14:paraId="3EC1B048" w14:textId="77777777" w:rsidR="00742247" w:rsidRDefault="00742247" w:rsidP="00620849">
            <w:pPr>
              <w:pStyle w:val="Tabletext1"/>
            </w:pPr>
            <w:r>
              <w:t xml:space="preserve">No. of biopsies </w:t>
            </w:r>
          </w:p>
          <w:p w14:paraId="27948742" w14:textId="77777777" w:rsidR="00742247" w:rsidRPr="00472064" w:rsidRDefault="00742247" w:rsidP="00620849">
            <w:pPr>
              <w:pStyle w:val="Tabletext1"/>
            </w:pPr>
            <w:r>
              <w:t>No. cancers detected</w:t>
            </w:r>
          </w:p>
        </w:tc>
        <w:tc>
          <w:tcPr>
            <w:tcW w:w="692" w:type="pct"/>
            <w:tcBorders>
              <w:top w:val="single" w:sz="4" w:space="0" w:color="auto"/>
              <w:left w:val="single" w:sz="4" w:space="0" w:color="auto"/>
              <w:bottom w:val="single" w:sz="4" w:space="0" w:color="auto"/>
              <w:right w:val="single" w:sz="4" w:space="0" w:color="auto"/>
            </w:tcBorders>
          </w:tcPr>
          <w:p w14:paraId="0815C54C" w14:textId="77777777" w:rsidR="00742247" w:rsidRDefault="00742247" w:rsidP="00620849">
            <w:pPr>
              <w:pStyle w:val="Tabletext1"/>
            </w:pPr>
            <w:r>
              <w:t>Costs</w:t>
            </w:r>
          </w:p>
          <w:p w14:paraId="463EB1AD" w14:textId="77777777" w:rsidR="00742247" w:rsidRDefault="00742247" w:rsidP="00620849">
            <w:pPr>
              <w:pStyle w:val="Tabletext1"/>
            </w:pPr>
            <w:r>
              <w:t>LYs</w:t>
            </w:r>
          </w:p>
          <w:p w14:paraId="6E33151C" w14:textId="77777777" w:rsidR="00742247" w:rsidRPr="00472064" w:rsidRDefault="00742247" w:rsidP="00620849">
            <w:pPr>
              <w:pStyle w:val="Tabletext1"/>
            </w:pPr>
            <w:r>
              <w:t>QALYs</w:t>
            </w:r>
          </w:p>
        </w:tc>
        <w:tc>
          <w:tcPr>
            <w:tcW w:w="692" w:type="pct"/>
            <w:tcBorders>
              <w:top w:val="single" w:sz="4" w:space="0" w:color="auto"/>
              <w:left w:val="single" w:sz="4" w:space="0" w:color="auto"/>
              <w:bottom w:val="single" w:sz="4" w:space="0" w:color="auto"/>
              <w:right w:val="single" w:sz="4" w:space="0" w:color="auto"/>
            </w:tcBorders>
          </w:tcPr>
          <w:p w14:paraId="38BDB627" w14:textId="77777777" w:rsidR="00742247" w:rsidRDefault="00742247" w:rsidP="00620849">
            <w:pPr>
              <w:pStyle w:val="Tabletext1"/>
            </w:pPr>
            <w:r>
              <w:t>Costs</w:t>
            </w:r>
          </w:p>
          <w:p w14:paraId="6101CE0F" w14:textId="77777777" w:rsidR="00742247" w:rsidRPr="00472064" w:rsidRDefault="00742247" w:rsidP="00620849">
            <w:pPr>
              <w:pStyle w:val="Tabletext1"/>
            </w:pPr>
            <w:r>
              <w:t>QALYs</w:t>
            </w:r>
          </w:p>
        </w:tc>
        <w:tc>
          <w:tcPr>
            <w:tcW w:w="692" w:type="pct"/>
            <w:tcBorders>
              <w:top w:val="single" w:sz="4" w:space="0" w:color="auto"/>
              <w:left w:val="single" w:sz="4" w:space="0" w:color="auto"/>
              <w:bottom w:val="single" w:sz="4" w:space="0" w:color="auto"/>
              <w:right w:val="single" w:sz="4" w:space="0" w:color="auto"/>
            </w:tcBorders>
          </w:tcPr>
          <w:p w14:paraId="1D4AF1C3" w14:textId="77777777" w:rsidR="00742247" w:rsidRDefault="00742247" w:rsidP="00620849">
            <w:pPr>
              <w:pStyle w:val="Tabletext1"/>
            </w:pPr>
            <w:r>
              <w:t>Costs</w:t>
            </w:r>
          </w:p>
          <w:p w14:paraId="5F299749" w14:textId="77777777" w:rsidR="00742247" w:rsidRDefault="00742247" w:rsidP="00620849">
            <w:pPr>
              <w:pStyle w:val="Tabletext1"/>
            </w:pPr>
            <w:r>
              <w:t>LYs</w:t>
            </w:r>
          </w:p>
          <w:p w14:paraId="599DB65E" w14:textId="77777777" w:rsidR="00742247" w:rsidRPr="00472064" w:rsidRDefault="00742247" w:rsidP="00620849">
            <w:pPr>
              <w:pStyle w:val="Tabletext1"/>
            </w:pPr>
            <w:r>
              <w:t>QALYs</w:t>
            </w:r>
          </w:p>
        </w:tc>
      </w:tr>
      <w:tr w:rsidR="00742247" w:rsidRPr="00183E4D" w14:paraId="72210283"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hideMark/>
          </w:tcPr>
          <w:p w14:paraId="09C4334B" w14:textId="77777777" w:rsidR="00742247" w:rsidRPr="00D276F1" w:rsidRDefault="00742247" w:rsidP="00620849">
            <w:pPr>
              <w:pStyle w:val="Tabletext1"/>
            </w:pPr>
            <w:r w:rsidRPr="00D276F1">
              <w:t>Methods used to generate results</w:t>
            </w:r>
          </w:p>
        </w:tc>
        <w:tc>
          <w:tcPr>
            <w:tcW w:w="1002" w:type="pct"/>
            <w:tcBorders>
              <w:top w:val="single" w:sz="4" w:space="0" w:color="auto"/>
              <w:left w:val="single" w:sz="4" w:space="0" w:color="auto"/>
              <w:bottom w:val="single" w:sz="4" w:space="0" w:color="auto"/>
              <w:right w:val="single" w:sz="4" w:space="0" w:color="auto"/>
            </w:tcBorders>
          </w:tcPr>
          <w:p w14:paraId="46F0746D" w14:textId="77777777" w:rsidR="00742247" w:rsidRDefault="00742247" w:rsidP="00620849">
            <w:pPr>
              <w:pStyle w:val="Tabletext1"/>
            </w:pPr>
            <w:r>
              <w:t xml:space="preserve">Markov model </w:t>
            </w:r>
            <w:r w:rsidRPr="00AB652F">
              <w:t>using cohort expected value analysis</w:t>
            </w:r>
          </w:p>
        </w:tc>
        <w:tc>
          <w:tcPr>
            <w:tcW w:w="692" w:type="pct"/>
            <w:tcBorders>
              <w:top w:val="single" w:sz="4" w:space="0" w:color="auto"/>
              <w:left w:val="single" w:sz="4" w:space="0" w:color="auto"/>
              <w:bottom w:val="single" w:sz="4" w:space="0" w:color="auto"/>
              <w:right w:val="single" w:sz="4" w:space="0" w:color="auto"/>
            </w:tcBorders>
          </w:tcPr>
          <w:p w14:paraId="11AF4B93" w14:textId="77777777" w:rsidR="00742247" w:rsidRPr="00AB652F" w:rsidRDefault="00742247" w:rsidP="00620849">
            <w:pPr>
              <w:pStyle w:val="Tabletext1"/>
            </w:pPr>
            <w:r>
              <w:t xml:space="preserve">Markov model with Monte Carlo microsimulations </w:t>
            </w:r>
          </w:p>
        </w:tc>
        <w:tc>
          <w:tcPr>
            <w:tcW w:w="692" w:type="pct"/>
            <w:tcBorders>
              <w:top w:val="single" w:sz="4" w:space="0" w:color="auto"/>
              <w:left w:val="single" w:sz="4" w:space="0" w:color="auto"/>
              <w:bottom w:val="single" w:sz="4" w:space="0" w:color="auto"/>
              <w:right w:val="single" w:sz="4" w:space="0" w:color="auto"/>
            </w:tcBorders>
          </w:tcPr>
          <w:p w14:paraId="0CF2EEF1" w14:textId="77777777" w:rsidR="00742247" w:rsidRPr="00AB652F" w:rsidRDefault="00742247" w:rsidP="00620849">
            <w:pPr>
              <w:pStyle w:val="Tabletext1"/>
            </w:pPr>
            <w:r>
              <w:t xml:space="preserve">Decision tree model </w:t>
            </w:r>
          </w:p>
        </w:tc>
        <w:tc>
          <w:tcPr>
            <w:tcW w:w="692" w:type="pct"/>
            <w:tcBorders>
              <w:top w:val="single" w:sz="4" w:space="0" w:color="auto"/>
              <w:left w:val="single" w:sz="4" w:space="0" w:color="auto"/>
              <w:bottom w:val="single" w:sz="4" w:space="0" w:color="auto"/>
              <w:right w:val="single" w:sz="4" w:space="0" w:color="auto"/>
            </w:tcBorders>
          </w:tcPr>
          <w:p w14:paraId="5EC5514A" w14:textId="77777777" w:rsidR="00742247" w:rsidRPr="00AB652F" w:rsidRDefault="00742247" w:rsidP="00620849">
            <w:pPr>
              <w:pStyle w:val="Tabletext1"/>
            </w:pPr>
            <w:r>
              <w:t xml:space="preserve">Decision tree </w:t>
            </w:r>
          </w:p>
        </w:tc>
        <w:tc>
          <w:tcPr>
            <w:tcW w:w="692" w:type="pct"/>
            <w:tcBorders>
              <w:top w:val="single" w:sz="4" w:space="0" w:color="auto"/>
              <w:left w:val="single" w:sz="4" w:space="0" w:color="auto"/>
              <w:bottom w:val="single" w:sz="4" w:space="0" w:color="auto"/>
              <w:right w:val="single" w:sz="4" w:space="0" w:color="auto"/>
            </w:tcBorders>
          </w:tcPr>
          <w:p w14:paraId="52CC777F" w14:textId="77777777" w:rsidR="00742247" w:rsidRPr="00AB652F" w:rsidRDefault="00742247" w:rsidP="00620849">
            <w:pPr>
              <w:pStyle w:val="Tabletext1"/>
            </w:pPr>
            <w:r>
              <w:t>Combined decision tree and Markov model</w:t>
            </w:r>
          </w:p>
        </w:tc>
        <w:tc>
          <w:tcPr>
            <w:tcW w:w="692" w:type="pct"/>
            <w:tcBorders>
              <w:top w:val="single" w:sz="4" w:space="0" w:color="auto"/>
              <w:left w:val="single" w:sz="4" w:space="0" w:color="auto"/>
              <w:bottom w:val="single" w:sz="4" w:space="0" w:color="auto"/>
              <w:right w:val="single" w:sz="4" w:space="0" w:color="auto"/>
            </w:tcBorders>
          </w:tcPr>
          <w:p w14:paraId="09112765" w14:textId="77777777" w:rsidR="00742247" w:rsidRPr="00AB652F" w:rsidRDefault="00742247" w:rsidP="00620849">
            <w:pPr>
              <w:pStyle w:val="Tabletext1"/>
            </w:pPr>
            <w:r>
              <w:t xml:space="preserve">Markov model </w:t>
            </w:r>
          </w:p>
        </w:tc>
      </w:tr>
      <w:tr w:rsidR="00742247" w:rsidRPr="00183E4D" w14:paraId="6FC552BD"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776A5DF6" w14:textId="77777777" w:rsidR="00742247" w:rsidRPr="00D276F1" w:rsidRDefault="00742247" w:rsidP="00620849">
            <w:pPr>
              <w:pStyle w:val="Tabletext1"/>
            </w:pPr>
            <w:r w:rsidRPr="00D276F1">
              <w:t>Health states</w:t>
            </w:r>
          </w:p>
        </w:tc>
        <w:tc>
          <w:tcPr>
            <w:tcW w:w="1002" w:type="pct"/>
            <w:tcBorders>
              <w:top w:val="single" w:sz="4" w:space="0" w:color="auto"/>
              <w:left w:val="single" w:sz="4" w:space="0" w:color="auto"/>
              <w:bottom w:val="single" w:sz="4" w:space="0" w:color="auto"/>
              <w:right w:val="single" w:sz="4" w:space="0" w:color="auto"/>
            </w:tcBorders>
          </w:tcPr>
          <w:p w14:paraId="46A3A8AB" w14:textId="77777777" w:rsidR="00742247" w:rsidRPr="00330667" w:rsidRDefault="00742247" w:rsidP="00620849">
            <w:pPr>
              <w:pStyle w:val="Tabletext1"/>
            </w:pPr>
            <w:r w:rsidRPr="00330667">
              <w:t xml:space="preserve">The </w:t>
            </w:r>
            <w:r>
              <w:t xml:space="preserve">PCa </w:t>
            </w:r>
            <w:r w:rsidRPr="00330667">
              <w:t xml:space="preserve">base model consisted of 17 health states (Markov model) </w:t>
            </w:r>
            <w:r w:rsidRPr="00330667">
              <w:rPr>
                <w:vertAlign w:val="superscript"/>
              </w:rPr>
              <w:t>a</w:t>
            </w:r>
          </w:p>
          <w:p w14:paraId="0F8A7D2B" w14:textId="77777777" w:rsidR="00742247" w:rsidRPr="00330667" w:rsidRDefault="00742247" w:rsidP="00620849">
            <w:pPr>
              <w:pStyle w:val="Tabletext1"/>
              <w:rPr>
                <w:i/>
              </w:rPr>
            </w:pPr>
          </w:p>
          <w:p w14:paraId="4EF09451" w14:textId="3F50F0EE" w:rsidR="00742247" w:rsidRPr="00330667" w:rsidRDefault="00742247" w:rsidP="00620849">
            <w:pPr>
              <w:pStyle w:val="Tabletext1"/>
              <w:rPr>
                <w:i/>
              </w:rPr>
            </w:pPr>
            <w:r w:rsidRPr="00330667">
              <w:rPr>
                <w:i/>
              </w:rPr>
              <w:t xml:space="preserve">The </w:t>
            </w:r>
            <w:r>
              <w:rPr>
                <w:i/>
              </w:rPr>
              <w:t xml:space="preserve">PCa </w:t>
            </w:r>
            <w:r w:rsidRPr="00330667">
              <w:rPr>
                <w:i/>
              </w:rPr>
              <w:t xml:space="preserve">base model was altered to address </w:t>
            </w:r>
            <w:r>
              <w:rPr>
                <w:i/>
              </w:rPr>
              <w:t>cost-effectiveness for mpMRI strategies compared with TRUSGB,</w:t>
            </w:r>
            <w:r w:rsidRPr="00330667">
              <w:rPr>
                <w:i/>
              </w:rPr>
              <w:t xml:space="preserve"> and included additional health states</w:t>
            </w:r>
            <w:r w:rsidR="00FD109E">
              <w:rPr>
                <w:i/>
              </w:rPr>
              <w:t xml:space="preserve"> </w:t>
            </w:r>
            <w:r w:rsidRPr="00330667">
              <w:rPr>
                <w:i/>
              </w:rPr>
              <w:t xml:space="preserve">(n=3): </w:t>
            </w:r>
          </w:p>
          <w:p w14:paraId="7E76BC04" w14:textId="77777777" w:rsidR="00742247" w:rsidRPr="00330667" w:rsidRDefault="00742247" w:rsidP="00620849">
            <w:pPr>
              <w:pStyle w:val="Tabletext1"/>
            </w:pPr>
            <w:r w:rsidRPr="00330667">
              <w:t xml:space="preserve">Biopsy naïve; </w:t>
            </w:r>
          </w:p>
          <w:p w14:paraId="2C17E86E" w14:textId="77777777" w:rsidR="00742247" w:rsidRDefault="00742247" w:rsidP="00620849">
            <w:pPr>
              <w:pStyle w:val="Tabletext1"/>
            </w:pPr>
            <w:r w:rsidRPr="00330667">
              <w:t xml:space="preserve">PCa negative, missed PCa; </w:t>
            </w:r>
          </w:p>
          <w:p w14:paraId="2C3C8AEB" w14:textId="77777777" w:rsidR="00742247" w:rsidRPr="00E3218E" w:rsidRDefault="00742247" w:rsidP="00620849">
            <w:pPr>
              <w:pStyle w:val="Tabletext1"/>
            </w:pPr>
            <w:r w:rsidRPr="00330667">
              <w:t>PCa negative, PSA monitor.</w:t>
            </w:r>
          </w:p>
        </w:tc>
        <w:tc>
          <w:tcPr>
            <w:tcW w:w="692" w:type="pct"/>
            <w:tcBorders>
              <w:top w:val="single" w:sz="4" w:space="0" w:color="auto"/>
              <w:left w:val="single" w:sz="4" w:space="0" w:color="auto"/>
              <w:bottom w:val="single" w:sz="4" w:space="0" w:color="auto"/>
              <w:right w:val="single" w:sz="4" w:space="0" w:color="auto"/>
            </w:tcBorders>
          </w:tcPr>
          <w:p w14:paraId="29AA33BC" w14:textId="77777777" w:rsidR="00742247" w:rsidRDefault="00742247" w:rsidP="00620849">
            <w:pPr>
              <w:pStyle w:val="Tabletext1"/>
              <w:rPr>
                <w:vertAlign w:val="superscript"/>
              </w:rPr>
            </w:pPr>
            <w:r>
              <w:t>10 health states</w:t>
            </w:r>
          </w:p>
          <w:p w14:paraId="018F8F63" w14:textId="34DF985D" w:rsidR="00742247" w:rsidRPr="00EE2CD2" w:rsidRDefault="00E96DDA" w:rsidP="00620849">
            <w:pPr>
              <w:pStyle w:val="Tabletext1"/>
            </w:pPr>
            <w:r>
              <w:t>MRIGB</w:t>
            </w:r>
            <w:r w:rsidR="00742247">
              <w:t xml:space="preserve"> (mpMRI) or Biopsy positive (TRUSGB); Follow up; LR PCa; I-HR PCa; </w:t>
            </w:r>
            <w:r w:rsidR="00AB1EEA">
              <w:t>AS</w:t>
            </w:r>
            <w:r w:rsidR="00742247">
              <w:t xml:space="preserve">; treatment; relapse; CRPC; Death PCa; Death, all causes.  </w:t>
            </w:r>
          </w:p>
        </w:tc>
        <w:tc>
          <w:tcPr>
            <w:tcW w:w="692" w:type="pct"/>
            <w:tcBorders>
              <w:top w:val="single" w:sz="4" w:space="0" w:color="auto"/>
              <w:left w:val="single" w:sz="4" w:space="0" w:color="auto"/>
              <w:bottom w:val="single" w:sz="4" w:space="0" w:color="auto"/>
              <w:right w:val="single" w:sz="4" w:space="0" w:color="auto"/>
            </w:tcBorders>
          </w:tcPr>
          <w:p w14:paraId="7B7C8581" w14:textId="5B5408DF" w:rsidR="00742247" w:rsidRPr="00AF3107" w:rsidRDefault="00CB27C2" w:rsidP="00620849">
            <w:pPr>
              <w:pStyle w:val="Tabletext1"/>
            </w:pPr>
            <w:r>
              <w:t>N</w:t>
            </w:r>
            <w:r w:rsidR="00742247">
              <w:t>ot applicable</w:t>
            </w:r>
          </w:p>
        </w:tc>
        <w:tc>
          <w:tcPr>
            <w:tcW w:w="692" w:type="pct"/>
            <w:tcBorders>
              <w:top w:val="single" w:sz="4" w:space="0" w:color="auto"/>
              <w:left w:val="single" w:sz="4" w:space="0" w:color="auto"/>
              <w:bottom w:val="single" w:sz="4" w:space="0" w:color="auto"/>
              <w:right w:val="single" w:sz="4" w:space="0" w:color="auto"/>
            </w:tcBorders>
          </w:tcPr>
          <w:p w14:paraId="731A9D13" w14:textId="12A859D5" w:rsidR="00742247" w:rsidRPr="00AF3107" w:rsidRDefault="00CB27C2" w:rsidP="00620849">
            <w:pPr>
              <w:pStyle w:val="Tabletext1"/>
            </w:pPr>
            <w:r>
              <w:t>N</w:t>
            </w:r>
            <w:r w:rsidR="00742247">
              <w:t>ot applicable</w:t>
            </w:r>
          </w:p>
        </w:tc>
        <w:tc>
          <w:tcPr>
            <w:tcW w:w="692" w:type="pct"/>
            <w:tcBorders>
              <w:top w:val="single" w:sz="4" w:space="0" w:color="auto"/>
              <w:left w:val="single" w:sz="4" w:space="0" w:color="auto"/>
              <w:bottom w:val="single" w:sz="4" w:space="0" w:color="auto"/>
              <w:right w:val="single" w:sz="4" w:space="0" w:color="auto"/>
            </w:tcBorders>
          </w:tcPr>
          <w:p w14:paraId="5F08C6D4" w14:textId="77777777" w:rsidR="00742247" w:rsidRPr="00AF3107" w:rsidRDefault="00742247" w:rsidP="00620849">
            <w:pPr>
              <w:pStyle w:val="Tabletext1"/>
            </w:pPr>
            <w:r>
              <w:t xml:space="preserve">2 health states: alive and dead. </w:t>
            </w:r>
          </w:p>
        </w:tc>
        <w:tc>
          <w:tcPr>
            <w:tcW w:w="692" w:type="pct"/>
            <w:tcBorders>
              <w:top w:val="single" w:sz="4" w:space="0" w:color="auto"/>
              <w:left w:val="single" w:sz="4" w:space="0" w:color="auto"/>
              <w:bottom w:val="single" w:sz="4" w:space="0" w:color="auto"/>
              <w:right w:val="single" w:sz="4" w:space="0" w:color="auto"/>
            </w:tcBorders>
          </w:tcPr>
          <w:p w14:paraId="6EC0A6A1" w14:textId="77777777" w:rsidR="00742247" w:rsidRPr="00AF3107" w:rsidRDefault="00742247" w:rsidP="00620849">
            <w:pPr>
              <w:pStyle w:val="Tabletext1"/>
            </w:pPr>
            <w:r>
              <w:t>7 basic states: (1) no or undetectable cancer; (2) localised (T1–T2) PC (low risk); (3) localised PC (intermediate risk); (4) localised PC (high risk); (5) locally advanced cancer (T3); (6) metastatic cancer; and (7) PC death.</w:t>
            </w:r>
          </w:p>
        </w:tc>
      </w:tr>
      <w:tr w:rsidR="00742247" w:rsidRPr="00183E4D" w14:paraId="7F194AA4"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hideMark/>
          </w:tcPr>
          <w:p w14:paraId="00041E37" w14:textId="77777777" w:rsidR="00742247" w:rsidRPr="00D276F1" w:rsidRDefault="00742247" w:rsidP="00620849">
            <w:pPr>
              <w:pStyle w:val="Tabletext1"/>
            </w:pPr>
            <w:r w:rsidRPr="00D276F1">
              <w:t>Cycle length</w:t>
            </w:r>
          </w:p>
        </w:tc>
        <w:tc>
          <w:tcPr>
            <w:tcW w:w="1002" w:type="pct"/>
            <w:tcBorders>
              <w:top w:val="single" w:sz="4" w:space="0" w:color="auto"/>
              <w:left w:val="single" w:sz="4" w:space="0" w:color="auto"/>
              <w:bottom w:val="single" w:sz="4" w:space="0" w:color="auto"/>
              <w:right w:val="single" w:sz="4" w:space="0" w:color="auto"/>
            </w:tcBorders>
          </w:tcPr>
          <w:p w14:paraId="3907D9B4" w14:textId="77777777" w:rsidR="00742247" w:rsidRPr="00AF3107" w:rsidRDefault="00742247" w:rsidP="00620849">
            <w:pPr>
              <w:pStyle w:val="Tabletext1"/>
            </w:pPr>
            <w:r>
              <w:t>1 year</w:t>
            </w:r>
          </w:p>
        </w:tc>
        <w:tc>
          <w:tcPr>
            <w:tcW w:w="692" w:type="pct"/>
            <w:tcBorders>
              <w:top w:val="single" w:sz="4" w:space="0" w:color="auto"/>
              <w:left w:val="single" w:sz="4" w:space="0" w:color="auto"/>
              <w:bottom w:val="single" w:sz="4" w:space="0" w:color="auto"/>
              <w:right w:val="single" w:sz="4" w:space="0" w:color="auto"/>
            </w:tcBorders>
          </w:tcPr>
          <w:p w14:paraId="7D37B14B" w14:textId="77777777" w:rsidR="00742247" w:rsidRPr="00AF3107" w:rsidRDefault="00742247" w:rsidP="00620849">
            <w:pPr>
              <w:pStyle w:val="Tabletext1"/>
            </w:pPr>
            <w:r w:rsidRPr="00AF3107">
              <w:t>1 year</w:t>
            </w:r>
          </w:p>
        </w:tc>
        <w:tc>
          <w:tcPr>
            <w:tcW w:w="692" w:type="pct"/>
            <w:tcBorders>
              <w:top w:val="single" w:sz="4" w:space="0" w:color="auto"/>
              <w:left w:val="single" w:sz="4" w:space="0" w:color="auto"/>
              <w:bottom w:val="single" w:sz="4" w:space="0" w:color="auto"/>
              <w:right w:val="single" w:sz="4" w:space="0" w:color="auto"/>
            </w:tcBorders>
          </w:tcPr>
          <w:p w14:paraId="5C998F51" w14:textId="77777777" w:rsidR="00742247" w:rsidRPr="00AF3107" w:rsidRDefault="00742247" w:rsidP="00620849">
            <w:pPr>
              <w:pStyle w:val="Tabletext1"/>
            </w:pPr>
            <w:r>
              <w:t>not applicable</w:t>
            </w:r>
          </w:p>
        </w:tc>
        <w:tc>
          <w:tcPr>
            <w:tcW w:w="692" w:type="pct"/>
            <w:tcBorders>
              <w:top w:val="single" w:sz="4" w:space="0" w:color="auto"/>
              <w:left w:val="single" w:sz="4" w:space="0" w:color="auto"/>
              <w:bottom w:val="single" w:sz="4" w:space="0" w:color="auto"/>
              <w:right w:val="single" w:sz="4" w:space="0" w:color="auto"/>
            </w:tcBorders>
          </w:tcPr>
          <w:p w14:paraId="0A1C070C" w14:textId="77777777" w:rsidR="00742247" w:rsidRPr="00AF3107" w:rsidRDefault="00742247" w:rsidP="00620849">
            <w:pPr>
              <w:pStyle w:val="Tabletext1"/>
            </w:pPr>
            <w:r>
              <w:t>not applicable</w:t>
            </w:r>
          </w:p>
        </w:tc>
        <w:tc>
          <w:tcPr>
            <w:tcW w:w="692" w:type="pct"/>
            <w:tcBorders>
              <w:top w:val="single" w:sz="4" w:space="0" w:color="auto"/>
              <w:left w:val="single" w:sz="4" w:space="0" w:color="auto"/>
              <w:bottom w:val="single" w:sz="4" w:space="0" w:color="auto"/>
              <w:right w:val="single" w:sz="4" w:space="0" w:color="auto"/>
            </w:tcBorders>
          </w:tcPr>
          <w:p w14:paraId="70470B0F" w14:textId="77777777" w:rsidR="00742247" w:rsidRPr="00AF3107" w:rsidRDefault="00742247" w:rsidP="00620849">
            <w:pPr>
              <w:pStyle w:val="Tabletext1"/>
            </w:pPr>
            <w:r w:rsidRPr="00AF3107">
              <w:t>1 year</w:t>
            </w:r>
          </w:p>
        </w:tc>
        <w:tc>
          <w:tcPr>
            <w:tcW w:w="692" w:type="pct"/>
            <w:tcBorders>
              <w:top w:val="single" w:sz="4" w:space="0" w:color="auto"/>
              <w:left w:val="single" w:sz="4" w:space="0" w:color="auto"/>
              <w:bottom w:val="single" w:sz="4" w:space="0" w:color="auto"/>
              <w:right w:val="single" w:sz="4" w:space="0" w:color="auto"/>
            </w:tcBorders>
          </w:tcPr>
          <w:p w14:paraId="70802506" w14:textId="77777777" w:rsidR="00742247" w:rsidRPr="00AF3107" w:rsidRDefault="00742247" w:rsidP="00620849">
            <w:pPr>
              <w:pStyle w:val="Tabletext1"/>
            </w:pPr>
            <w:r>
              <w:t>3 months</w:t>
            </w:r>
          </w:p>
        </w:tc>
      </w:tr>
      <w:tr w:rsidR="00742247" w:rsidRPr="00183E4D" w14:paraId="07CDF69A"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08517256" w14:textId="77777777" w:rsidR="00742247" w:rsidRPr="00D276F1" w:rsidRDefault="00742247" w:rsidP="00620849">
            <w:pPr>
              <w:pStyle w:val="Tabletext1"/>
            </w:pPr>
            <w:r w:rsidRPr="00D276F1">
              <w:t>Currency and year</w:t>
            </w:r>
          </w:p>
        </w:tc>
        <w:tc>
          <w:tcPr>
            <w:tcW w:w="1002" w:type="pct"/>
            <w:tcBorders>
              <w:top w:val="single" w:sz="4" w:space="0" w:color="auto"/>
              <w:left w:val="single" w:sz="4" w:space="0" w:color="auto"/>
              <w:bottom w:val="single" w:sz="4" w:space="0" w:color="auto"/>
              <w:right w:val="single" w:sz="4" w:space="0" w:color="auto"/>
            </w:tcBorders>
          </w:tcPr>
          <w:p w14:paraId="379C115A" w14:textId="77777777" w:rsidR="00742247" w:rsidRDefault="00742247" w:rsidP="00620849">
            <w:pPr>
              <w:pStyle w:val="Tabletext1"/>
            </w:pPr>
            <w:r>
              <w:t>2015 AUD $</w:t>
            </w:r>
          </w:p>
        </w:tc>
        <w:tc>
          <w:tcPr>
            <w:tcW w:w="692" w:type="pct"/>
            <w:tcBorders>
              <w:top w:val="single" w:sz="4" w:space="0" w:color="auto"/>
              <w:left w:val="single" w:sz="4" w:space="0" w:color="auto"/>
              <w:bottom w:val="single" w:sz="4" w:space="0" w:color="auto"/>
              <w:right w:val="single" w:sz="4" w:space="0" w:color="auto"/>
            </w:tcBorders>
          </w:tcPr>
          <w:p w14:paraId="795287CD" w14:textId="77777777" w:rsidR="00742247" w:rsidRPr="00D02796" w:rsidRDefault="00742247" w:rsidP="00620849">
            <w:pPr>
              <w:pStyle w:val="Tabletext1"/>
            </w:pPr>
            <w:r>
              <w:t>2014 CAD $</w:t>
            </w:r>
          </w:p>
        </w:tc>
        <w:tc>
          <w:tcPr>
            <w:tcW w:w="692" w:type="pct"/>
            <w:tcBorders>
              <w:top w:val="single" w:sz="4" w:space="0" w:color="auto"/>
              <w:left w:val="single" w:sz="4" w:space="0" w:color="auto"/>
              <w:bottom w:val="single" w:sz="4" w:space="0" w:color="auto"/>
              <w:right w:val="single" w:sz="4" w:space="0" w:color="auto"/>
            </w:tcBorders>
          </w:tcPr>
          <w:p w14:paraId="6E30C911" w14:textId="77777777" w:rsidR="00742247" w:rsidRPr="00D02796" w:rsidRDefault="00742247" w:rsidP="00620849">
            <w:pPr>
              <w:pStyle w:val="Tabletext1"/>
            </w:pPr>
            <w:r>
              <w:t>2014 USD $</w:t>
            </w:r>
          </w:p>
        </w:tc>
        <w:tc>
          <w:tcPr>
            <w:tcW w:w="692" w:type="pct"/>
            <w:tcBorders>
              <w:top w:val="single" w:sz="4" w:space="0" w:color="auto"/>
              <w:left w:val="single" w:sz="4" w:space="0" w:color="auto"/>
              <w:bottom w:val="single" w:sz="4" w:space="0" w:color="auto"/>
              <w:right w:val="single" w:sz="4" w:space="0" w:color="auto"/>
            </w:tcBorders>
          </w:tcPr>
          <w:p w14:paraId="609E8C48" w14:textId="77777777" w:rsidR="00742247" w:rsidRPr="00D02796" w:rsidRDefault="00742247" w:rsidP="00620849">
            <w:pPr>
              <w:pStyle w:val="Tabletext1"/>
            </w:pPr>
            <w:r>
              <w:t>2012/13 GBP £</w:t>
            </w:r>
          </w:p>
        </w:tc>
        <w:tc>
          <w:tcPr>
            <w:tcW w:w="692" w:type="pct"/>
            <w:tcBorders>
              <w:top w:val="single" w:sz="4" w:space="0" w:color="auto"/>
              <w:left w:val="single" w:sz="4" w:space="0" w:color="auto"/>
              <w:bottom w:val="single" w:sz="4" w:space="0" w:color="auto"/>
              <w:right w:val="single" w:sz="4" w:space="0" w:color="auto"/>
            </w:tcBorders>
          </w:tcPr>
          <w:p w14:paraId="3D7890C8" w14:textId="77777777" w:rsidR="00742247" w:rsidRPr="00D02796" w:rsidRDefault="00742247" w:rsidP="00620849">
            <w:pPr>
              <w:pStyle w:val="Tabletext1"/>
            </w:pPr>
            <w:r w:rsidRPr="009A4214">
              <w:t>[Year, NR]</w:t>
            </w:r>
            <w:r w:rsidRPr="00DB2398">
              <w:rPr>
                <w:color w:val="FF0000"/>
              </w:rPr>
              <w:t xml:space="preserve"> </w:t>
            </w:r>
            <w:r>
              <w:t>EUR €</w:t>
            </w:r>
          </w:p>
        </w:tc>
        <w:tc>
          <w:tcPr>
            <w:tcW w:w="692" w:type="pct"/>
            <w:tcBorders>
              <w:top w:val="single" w:sz="4" w:space="0" w:color="auto"/>
              <w:left w:val="single" w:sz="4" w:space="0" w:color="auto"/>
              <w:bottom w:val="single" w:sz="4" w:space="0" w:color="auto"/>
              <w:right w:val="single" w:sz="4" w:space="0" w:color="auto"/>
            </w:tcBorders>
          </w:tcPr>
          <w:p w14:paraId="55570E57" w14:textId="77777777" w:rsidR="00742247" w:rsidRPr="00D02796" w:rsidRDefault="00742247" w:rsidP="00620849">
            <w:pPr>
              <w:pStyle w:val="Tabletext1"/>
            </w:pPr>
            <w:r>
              <w:t>2009/10 GBP £</w:t>
            </w:r>
          </w:p>
        </w:tc>
      </w:tr>
      <w:tr w:rsidR="00742247" w:rsidRPr="00183E4D" w14:paraId="26927747"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037A2101" w14:textId="77777777" w:rsidR="00742247" w:rsidRPr="00D276F1" w:rsidRDefault="00742247" w:rsidP="00620849">
            <w:pPr>
              <w:pStyle w:val="Tabletext1"/>
            </w:pPr>
            <w:r w:rsidRPr="00D276F1">
              <w:t>Discount rate</w:t>
            </w:r>
          </w:p>
        </w:tc>
        <w:tc>
          <w:tcPr>
            <w:tcW w:w="1002" w:type="pct"/>
            <w:tcBorders>
              <w:top w:val="single" w:sz="4" w:space="0" w:color="auto"/>
              <w:left w:val="single" w:sz="4" w:space="0" w:color="auto"/>
              <w:bottom w:val="single" w:sz="4" w:space="0" w:color="auto"/>
              <w:right w:val="single" w:sz="4" w:space="0" w:color="auto"/>
            </w:tcBorders>
          </w:tcPr>
          <w:p w14:paraId="7F50D988" w14:textId="77777777" w:rsidR="00742247" w:rsidRDefault="00742247" w:rsidP="00620849">
            <w:pPr>
              <w:pStyle w:val="Tabletext1"/>
            </w:pPr>
            <w:r>
              <w:t>5% (costs and benefits)</w:t>
            </w:r>
          </w:p>
        </w:tc>
        <w:tc>
          <w:tcPr>
            <w:tcW w:w="692" w:type="pct"/>
            <w:tcBorders>
              <w:top w:val="single" w:sz="4" w:space="0" w:color="auto"/>
              <w:left w:val="single" w:sz="4" w:space="0" w:color="auto"/>
              <w:bottom w:val="single" w:sz="4" w:space="0" w:color="auto"/>
              <w:right w:val="single" w:sz="4" w:space="0" w:color="auto"/>
            </w:tcBorders>
          </w:tcPr>
          <w:p w14:paraId="5BB6431F" w14:textId="77777777" w:rsidR="00742247" w:rsidRPr="00D02796" w:rsidRDefault="00742247" w:rsidP="00620849">
            <w:pPr>
              <w:pStyle w:val="Tabletext1"/>
            </w:pPr>
            <w:r>
              <w:t>5% (costs and benefits)</w:t>
            </w:r>
          </w:p>
        </w:tc>
        <w:tc>
          <w:tcPr>
            <w:tcW w:w="692" w:type="pct"/>
            <w:tcBorders>
              <w:top w:val="single" w:sz="4" w:space="0" w:color="auto"/>
              <w:left w:val="single" w:sz="4" w:space="0" w:color="auto"/>
              <w:bottom w:val="single" w:sz="4" w:space="0" w:color="auto"/>
              <w:right w:val="single" w:sz="4" w:space="0" w:color="auto"/>
            </w:tcBorders>
          </w:tcPr>
          <w:p w14:paraId="7A39DABE" w14:textId="77777777" w:rsidR="00742247" w:rsidRPr="00D02796" w:rsidRDefault="00742247" w:rsidP="00620849">
            <w:pPr>
              <w:pStyle w:val="Tabletext1"/>
            </w:pPr>
            <w:r>
              <w:t>Not stated</w:t>
            </w:r>
          </w:p>
        </w:tc>
        <w:tc>
          <w:tcPr>
            <w:tcW w:w="692" w:type="pct"/>
            <w:tcBorders>
              <w:top w:val="single" w:sz="4" w:space="0" w:color="auto"/>
              <w:left w:val="single" w:sz="4" w:space="0" w:color="auto"/>
              <w:bottom w:val="single" w:sz="4" w:space="0" w:color="auto"/>
              <w:right w:val="single" w:sz="4" w:space="0" w:color="auto"/>
            </w:tcBorders>
          </w:tcPr>
          <w:p w14:paraId="1889AD1A" w14:textId="77777777" w:rsidR="00742247" w:rsidRPr="00D02796" w:rsidRDefault="00742247" w:rsidP="00620849">
            <w:pPr>
              <w:pStyle w:val="Tabletext1"/>
            </w:pPr>
            <w:r w:rsidRPr="00E93BD0">
              <w:t>3.5% pa (costs and benefits)</w:t>
            </w:r>
          </w:p>
        </w:tc>
        <w:tc>
          <w:tcPr>
            <w:tcW w:w="692" w:type="pct"/>
            <w:tcBorders>
              <w:top w:val="single" w:sz="4" w:space="0" w:color="auto"/>
              <w:left w:val="single" w:sz="4" w:space="0" w:color="auto"/>
              <w:bottom w:val="single" w:sz="4" w:space="0" w:color="auto"/>
              <w:right w:val="single" w:sz="4" w:space="0" w:color="auto"/>
            </w:tcBorders>
          </w:tcPr>
          <w:p w14:paraId="74C27E82" w14:textId="77777777" w:rsidR="00742247" w:rsidRDefault="00742247" w:rsidP="00620849">
            <w:pPr>
              <w:pStyle w:val="Tabletext1"/>
            </w:pPr>
            <w:r>
              <w:t>Costs 4%</w:t>
            </w:r>
          </w:p>
          <w:p w14:paraId="647C26AD" w14:textId="77777777" w:rsidR="00742247" w:rsidRPr="00D02796" w:rsidRDefault="00742247" w:rsidP="00620849">
            <w:pPr>
              <w:pStyle w:val="Tabletext1"/>
            </w:pPr>
            <w:r>
              <w:t>Benefits: QALYs 1.5%</w:t>
            </w:r>
          </w:p>
        </w:tc>
        <w:tc>
          <w:tcPr>
            <w:tcW w:w="692" w:type="pct"/>
            <w:tcBorders>
              <w:top w:val="single" w:sz="4" w:space="0" w:color="auto"/>
              <w:left w:val="single" w:sz="4" w:space="0" w:color="auto"/>
              <w:bottom w:val="single" w:sz="4" w:space="0" w:color="auto"/>
              <w:right w:val="single" w:sz="4" w:space="0" w:color="auto"/>
            </w:tcBorders>
          </w:tcPr>
          <w:p w14:paraId="09E4B8CE" w14:textId="77777777" w:rsidR="00742247" w:rsidRPr="00D02796" w:rsidRDefault="00742247" w:rsidP="00620849">
            <w:pPr>
              <w:pStyle w:val="Tabletext1"/>
            </w:pPr>
            <w:r w:rsidRPr="00E93BD0">
              <w:t>3.5% pa (costs and benefits)</w:t>
            </w:r>
          </w:p>
        </w:tc>
      </w:tr>
      <w:tr w:rsidR="00742247" w:rsidRPr="00183E4D" w14:paraId="44B0D5A7"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hideMark/>
          </w:tcPr>
          <w:p w14:paraId="5BF69A5C" w14:textId="77777777" w:rsidR="00742247" w:rsidRPr="00D276F1" w:rsidRDefault="00742247" w:rsidP="00620849">
            <w:pPr>
              <w:pStyle w:val="Tabletext1"/>
            </w:pPr>
            <w:r w:rsidRPr="00D276F1">
              <w:t>Software packages used</w:t>
            </w:r>
          </w:p>
        </w:tc>
        <w:tc>
          <w:tcPr>
            <w:tcW w:w="1002" w:type="pct"/>
            <w:tcBorders>
              <w:top w:val="single" w:sz="4" w:space="0" w:color="auto"/>
              <w:left w:val="single" w:sz="4" w:space="0" w:color="auto"/>
              <w:bottom w:val="single" w:sz="4" w:space="0" w:color="auto"/>
              <w:right w:val="single" w:sz="4" w:space="0" w:color="auto"/>
            </w:tcBorders>
          </w:tcPr>
          <w:p w14:paraId="1E8CA4C6" w14:textId="77777777" w:rsidR="00742247" w:rsidRDefault="00742247" w:rsidP="00620849">
            <w:pPr>
              <w:pStyle w:val="Tabletext1"/>
            </w:pPr>
            <w:r>
              <w:t>TreeAge Pro 2015</w:t>
            </w:r>
          </w:p>
        </w:tc>
        <w:tc>
          <w:tcPr>
            <w:tcW w:w="692" w:type="pct"/>
            <w:tcBorders>
              <w:top w:val="single" w:sz="4" w:space="0" w:color="auto"/>
              <w:left w:val="single" w:sz="4" w:space="0" w:color="auto"/>
              <w:bottom w:val="single" w:sz="4" w:space="0" w:color="auto"/>
              <w:right w:val="single" w:sz="4" w:space="0" w:color="auto"/>
            </w:tcBorders>
          </w:tcPr>
          <w:p w14:paraId="149A023F" w14:textId="77777777" w:rsidR="00742247" w:rsidRDefault="00742247" w:rsidP="00620849">
            <w:pPr>
              <w:pStyle w:val="Tabletext1"/>
            </w:pPr>
            <w:r>
              <w:t>TreeAge Pro 2013</w:t>
            </w:r>
          </w:p>
        </w:tc>
        <w:tc>
          <w:tcPr>
            <w:tcW w:w="692" w:type="pct"/>
            <w:tcBorders>
              <w:top w:val="single" w:sz="4" w:space="0" w:color="auto"/>
              <w:left w:val="single" w:sz="4" w:space="0" w:color="auto"/>
              <w:bottom w:val="single" w:sz="4" w:space="0" w:color="auto"/>
              <w:right w:val="single" w:sz="4" w:space="0" w:color="auto"/>
            </w:tcBorders>
          </w:tcPr>
          <w:p w14:paraId="7354D4D8" w14:textId="77777777" w:rsidR="00742247" w:rsidRDefault="00742247" w:rsidP="00620849">
            <w:pPr>
              <w:pStyle w:val="Tabletext1"/>
            </w:pPr>
            <w:r>
              <w:t>TreeAge Pro [year not stated]</w:t>
            </w:r>
          </w:p>
        </w:tc>
        <w:tc>
          <w:tcPr>
            <w:tcW w:w="692" w:type="pct"/>
            <w:tcBorders>
              <w:top w:val="single" w:sz="4" w:space="0" w:color="auto"/>
              <w:left w:val="single" w:sz="4" w:space="0" w:color="auto"/>
              <w:bottom w:val="single" w:sz="4" w:space="0" w:color="auto"/>
              <w:right w:val="single" w:sz="4" w:space="0" w:color="auto"/>
            </w:tcBorders>
          </w:tcPr>
          <w:p w14:paraId="187657E2" w14:textId="1211F4F7" w:rsidR="00742247" w:rsidRDefault="00CB27C2" w:rsidP="00620849">
            <w:pPr>
              <w:pStyle w:val="Tabletext1"/>
            </w:pPr>
            <w:r>
              <w:t>Not stated</w:t>
            </w:r>
          </w:p>
        </w:tc>
        <w:tc>
          <w:tcPr>
            <w:tcW w:w="692" w:type="pct"/>
            <w:tcBorders>
              <w:top w:val="single" w:sz="4" w:space="0" w:color="auto"/>
              <w:left w:val="single" w:sz="4" w:space="0" w:color="auto"/>
              <w:bottom w:val="single" w:sz="4" w:space="0" w:color="auto"/>
              <w:right w:val="single" w:sz="4" w:space="0" w:color="auto"/>
            </w:tcBorders>
          </w:tcPr>
          <w:p w14:paraId="0F1644DB" w14:textId="77777777" w:rsidR="00742247" w:rsidRDefault="00742247" w:rsidP="00620849">
            <w:pPr>
              <w:pStyle w:val="Tabletext1"/>
            </w:pPr>
            <w:r w:rsidRPr="00E02691">
              <w:t>TreeAge Pro 2012</w:t>
            </w:r>
          </w:p>
        </w:tc>
        <w:tc>
          <w:tcPr>
            <w:tcW w:w="692" w:type="pct"/>
            <w:tcBorders>
              <w:top w:val="single" w:sz="4" w:space="0" w:color="auto"/>
              <w:left w:val="single" w:sz="4" w:space="0" w:color="auto"/>
              <w:bottom w:val="single" w:sz="4" w:space="0" w:color="auto"/>
              <w:right w:val="single" w:sz="4" w:space="0" w:color="auto"/>
            </w:tcBorders>
          </w:tcPr>
          <w:p w14:paraId="645C5189" w14:textId="77777777" w:rsidR="00742247" w:rsidRDefault="00742247" w:rsidP="00620849">
            <w:pPr>
              <w:pStyle w:val="Tabletext1"/>
            </w:pPr>
            <w:r>
              <w:t xml:space="preserve">Not stated. </w:t>
            </w:r>
          </w:p>
        </w:tc>
      </w:tr>
      <w:tr w:rsidR="00742247" w:rsidRPr="00183E4D" w14:paraId="4AE003FD" w14:textId="77777777" w:rsidTr="00A34EE4">
        <w:trPr>
          <w:trHeight w:val="20"/>
        </w:trPr>
        <w:tc>
          <w:tcPr>
            <w:tcW w:w="536" w:type="pct"/>
            <w:tcBorders>
              <w:top w:val="single" w:sz="4" w:space="0" w:color="auto"/>
              <w:left w:val="single" w:sz="4" w:space="0" w:color="auto"/>
              <w:bottom w:val="single" w:sz="4" w:space="0" w:color="auto"/>
              <w:right w:val="single" w:sz="4" w:space="0" w:color="auto"/>
            </w:tcBorders>
          </w:tcPr>
          <w:p w14:paraId="4F013C30" w14:textId="3A81CD15" w:rsidR="00742247" w:rsidRPr="00D276F1" w:rsidRDefault="002955B5" w:rsidP="00620849">
            <w:pPr>
              <w:pStyle w:val="Tabletext1"/>
            </w:pPr>
            <w:r>
              <w:t>Base-case</w:t>
            </w:r>
            <w:r w:rsidR="00742247" w:rsidRPr="00D276F1">
              <w:t xml:space="preserve"> result</w:t>
            </w:r>
          </w:p>
        </w:tc>
        <w:tc>
          <w:tcPr>
            <w:tcW w:w="1002" w:type="pct"/>
            <w:tcBorders>
              <w:top w:val="single" w:sz="4" w:space="0" w:color="auto"/>
              <w:left w:val="single" w:sz="4" w:space="0" w:color="auto"/>
              <w:bottom w:val="single" w:sz="4" w:space="0" w:color="auto"/>
              <w:right w:val="single" w:sz="4" w:space="0" w:color="auto"/>
            </w:tcBorders>
          </w:tcPr>
          <w:p w14:paraId="7D6ED314" w14:textId="042E663F" w:rsidR="00742247" w:rsidRDefault="00742247" w:rsidP="00620849">
            <w:pPr>
              <w:pStyle w:val="Tabletext1"/>
              <w:rPr>
                <w:rFonts w:cs="Arial"/>
              </w:rPr>
            </w:pPr>
            <w:r>
              <w:rPr>
                <w:rFonts w:cs="Arial"/>
              </w:rPr>
              <w:t xml:space="preserve">The mpMRI (Strategies 2 and 3) were marginally inferior to </w:t>
            </w:r>
            <w:r>
              <w:rPr>
                <w:rFonts w:cs="Arial"/>
              </w:rPr>
              <w:lastRenderedPageBreak/>
              <w:t>TRUSGB (Strategy 1) [</w:t>
            </w:r>
            <w:r w:rsidR="002955B5">
              <w:rPr>
                <w:rFonts w:cs="Arial"/>
              </w:rPr>
              <w:t>base-case</w:t>
            </w:r>
            <w:r>
              <w:rPr>
                <w:rFonts w:cs="Arial"/>
              </w:rPr>
              <w:t xml:space="preserve"> results are presented in Gordon et al 2016 Table 12 p33]</w:t>
            </w:r>
          </w:p>
        </w:tc>
        <w:tc>
          <w:tcPr>
            <w:tcW w:w="692" w:type="pct"/>
            <w:tcBorders>
              <w:top w:val="single" w:sz="4" w:space="0" w:color="auto"/>
              <w:left w:val="single" w:sz="4" w:space="0" w:color="auto"/>
              <w:bottom w:val="single" w:sz="4" w:space="0" w:color="auto"/>
              <w:right w:val="single" w:sz="4" w:space="0" w:color="auto"/>
            </w:tcBorders>
          </w:tcPr>
          <w:p w14:paraId="1FA497B6" w14:textId="616A723D" w:rsidR="00742247" w:rsidRDefault="00E96DDA" w:rsidP="00620849">
            <w:pPr>
              <w:pStyle w:val="Tabletext1"/>
            </w:pPr>
            <w:r>
              <w:rPr>
                <w:rFonts w:cs="Arial"/>
              </w:rPr>
              <w:lastRenderedPageBreak/>
              <w:t>MRIGB</w:t>
            </w:r>
            <w:r w:rsidR="00742247" w:rsidRPr="00745DA5">
              <w:rPr>
                <w:rFonts w:cs="Arial"/>
              </w:rPr>
              <w:t xml:space="preserve"> was the dominant strategy </w:t>
            </w:r>
            <w:r w:rsidR="00742247" w:rsidRPr="00745DA5">
              <w:rPr>
                <w:rFonts w:cs="Arial"/>
              </w:rPr>
              <w:lastRenderedPageBreak/>
              <w:t xml:space="preserve">over 5, 10, 15 and 20 years in the </w:t>
            </w:r>
            <w:r w:rsidR="002955B5">
              <w:rPr>
                <w:rFonts w:cs="Arial"/>
              </w:rPr>
              <w:t>base-case</w:t>
            </w:r>
            <w:r w:rsidR="00742247" w:rsidRPr="00745DA5">
              <w:rPr>
                <w:rFonts w:cs="Arial"/>
              </w:rPr>
              <w:t>.</w:t>
            </w:r>
          </w:p>
        </w:tc>
        <w:tc>
          <w:tcPr>
            <w:tcW w:w="692" w:type="pct"/>
            <w:tcBorders>
              <w:top w:val="single" w:sz="4" w:space="0" w:color="auto"/>
              <w:left w:val="single" w:sz="4" w:space="0" w:color="auto"/>
              <w:bottom w:val="single" w:sz="4" w:space="0" w:color="auto"/>
              <w:right w:val="single" w:sz="4" w:space="0" w:color="auto"/>
            </w:tcBorders>
          </w:tcPr>
          <w:p w14:paraId="085CD4BF" w14:textId="77777777" w:rsidR="00742247" w:rsidRDefault="00742247" w:rsidP="00620849">
            <w:pPr>
              <w:pStyle w:val="Tabletext1"/>
            </w:pPr>
            <w:r>
              <w:lastRenderedPageBreak/>
              <w:t>[PCa prevalence 24%]</w:t>
            </w:r>
          </w:p>
          <w:p w14:paraId="6C5A5CA1" w14:textId="77777777" w:rsidR="00742247" w:rsidRDefault="00742247" w:rsidP="00620849">
            <w:pPr>
              <w:pStyle w:val="Tabletext1"/>
            </w:pPr>
            <w:r>
              <w:t>TRUSBx: $90,400</w:t>
            </w:r>
          </w:p>
          <w:p w14:paraId="61A083FF" w14:textId="77777777" w:rsidR="00742247" w:rsidRDefault="00742247" w:rsidP="00620849">
            <w:pPr>
              <w:pStyle w:val="Tabletext1"/>
            </w:pPr>
            <w:r>
              <w:lastRenderedPageBreak/>
              <w:t>mpMRI: $87,700</w:t>
            </w:r>
          </w:p>
          <w:p w14:paraId="65F4C30C" w14:textId="77777777" w:rsidR="00742247" w:rsidRDefault="00742247" w:rsidP="00620849">
            <w:pPr>
              <w:pStyle w:val="Tabletext1"/>
            </w:pPr>
            <w:r w:rsidRPr="008D3C58">
              <w:t>The MRI arm detected fewer cancers (16 vs. 20.4), while 73 biopsies were avoided</w:t>
            </w:r>
            <w:r>
              <w:t xml:space="preserve">. </w:t>
            </w:r>
          </w:p>
        </w:tc>
        <w:tc>
          <w:tcPr>
            <w:tcW w:w="692" w:type="pct"/>
            <w:tcBorders>
              <w:top w:val="single" w:sz="4" w:space="0" w:color="auto"/>
              <w:left w:val="single" w:sz="4" w:space="0" w:color="auto"/>
              <w:bottom w:val="single" w:sz="4" w:space="0" w:color="auto"/>
              <w:right w:val="single" w:sz="4" w:space="0" w:color="auto"/>
            </w:tcBorders>
          </w:tcPr>
          <w:p w14:paraId="79EB9566" w14:textId="77777777" w:rsidR="00742247" w:rsidRPr="002A5630" w:rsidRDefault="00742247" w:rsidP="00620849">
            <w:pPr>
              <w:pStyle w:val="Tabletext1"/>
              <w:rPr>
                <w:rFonts w:cs="Arial"/>
              </w:rPr>
            </w:pPr>
            <w:r w:rsidRPr="002A5630">
              <w:rPr>
                <w:rFonts w:cs="Arial"/>
              </w:rPr>
              <w:lastRenderedPageBreak/>
              <w:t xml:space="preserve">Clinical assessment + MRI costs less but is </w:t>
            </w:r>
            <w:r w:rsidRPr="002A5630">
              <w:rPr>
                <w:rFonts w:cs="Arial"/>
              </w:rPr>
              <w:lastRenderedPageBreak/>
              <w:t>less effective than:</w:t>
            </w:r>
          </w:p>
          <w:p w14:paraId="5DCF556D" w14:textId="77777777" w:rsidR="00742247" w:rsidRPr="002A5630" w:rsidRDefault="00742247" w:rsidP="00620849">
            <w:pPr>
              <w:pStyle w:val="Tabletext1"/>
              <w:rPr>
                <w:rFonts w:cs="Arial"/>
              </w:rPr>
            </w:pPr>
            <w:r w:rsidRPr="002A5630">
              <w:rPr>
                <w:rFonts w:cs="Arial"/>
              </w:rPr>
              <w:t xml:space="preserve">clinical assessment + MRI + PCA3 £5,418,366/QALYG </w:t>
            </w:r>
          </w:p>
          <w:p w14:paraId="760D1BAC" w14:textId="4EA8251E" w:rsidR="00742247" w:rsidRPr="002A5630" w:rsidRDefault="00B80D15" w:rsidP="00620849">
            <w:pPr>
              <w:pStyle w:val="Tabletext1"/>
              <w:rPr>
                <w:rFonts w:cs="Arial"/>
              </w:rPr>
            </w:pPr>
            <w:r>
              <w:rPr>
                <w:rFonts w:cs="Arial"/>
              </w:rPr>
              <w:t>clinical assessment + MRI + PHI</w:t>
            </w:r>
            <w:r w:rsidR="00742247" w:rsidRPr="002A5630">
              <w:rPr>
                <w:rFonts w:cs="Arial"/>
              </w:rPr>
              <w:t>: £2,500,530/QALYG</w:t>
            </w:r>
          </w:p>
          <w:p w14:paraId="6FEB96F5" w14:textId="77777777" w:rsidR="00742247" w:rsidRPr="002A5630" w:rsidRDefault="00742247" w:rsidP="00620849">
            <w:pPr>
              <w:pStyle w:val="Tabletext1"/>
              <w:rPr>
                <w:rFonts w:cs="Arial"/>
                <w:i/>
              </w:rPr>
            </w:pPr>
            <w:r w:rsidRPr="002A5630">
              <w:rPr>
                <w:rFonts w:cs="Arial"/>
                <w:i/>
              </w:rPr>
              <w:t xml:space="preserve">Other results: </w:t>
            </w:r>
          </w:p>
          <w:p w14:paraId="3C0B3069" w14:textId="77777777" w:rsidR="00742247" w:rsidRPr="00FD19DB" w:rsidRDefault="00742247" w:rsidP="00620849">
            <w:pPr>
              <w:pStyle w:val="Tabletext1"/>
              <w:rPr>
                <w:i/>
              </w:rPr>
            </w:pPr>
            <w:r w:rsidRPr="002A5630">
              <w:rPr>
                <w:rFonts w:cs="Arial"/>
                <w:i/>
              </w:rPr>
              <w:t>mpMRI is not cost-effective compared with clinical assessment alone (p134).</w:t>
            </w:r>
          </w:p>
        </w:tc>
        <w:tc>
          <w:tcPr>
            <w:tcW w:w="692" w:type="pct"/>
            <w:tcBorders>
              <w:top w:val="single" w:sz="4" w:space="0" w:color="auto"/>
              <w:left w:val="single" w:sz="4" w:space="0" w:color="auto"/>
              <w:bottom w:val="single" w:sz="4" w:space="0" w:color="auto"/>
              <w:right w:val="single" w:sz="4" w:space="0" w:color="auto"/>
            </w:tcBorders>
          </w:tcPr>
          <w:p w14:paraId="144D0C48" w14:textId="30B5CF51" w:rsidR="00742247" w:rsidRDefault="00CB27C2" w:rsidP="00620849">
            <w:pPr>
              <w:pStyle w:val="Tabletext1"/>
            </w:pPr>
            <w:r>
              <w:lastRenderedPageBreak/>
              <w:t>€</w:t>
            </w:r>
            <w:r w:rsidR="00742247">
              <w:t>323 / QALYG</w:t>
            </w:r>
          </w:p>
          <w:p w14:paraId="6ADCDB5A" w14:textId="0FC3D686" w:rsidR="00742247" w:rsidRDefault="00742247" w:rsidP="00620849">
            <w:pPr>
              <w:pStyle w:val="Tabletext1"/>
            </w:pPr>
            <w:r>
              <w:t xml:space="preserve">Assuming </w:t>
            </w:r>
            <w:r w:rsidR="00E96DDA">
              <w:t>MRIGB</w:t>
            </w:r>
            <w:r>
              <w:t xml:space="preserve">: </w:t>
            </w:r>
          </w:p>
          <w:p w14:paraId="35D80A8D" w14:textId="77777777" w:rsidR="00742247" w:rsidRDefault="00742247" w:rsidP="00620849">
            <w:pPr>
              <w:pStyle w:val="Tabletext1"/>
            </w:pPr>
            <w:r>
              <w:lastRenderedPageBreak/>
              <w:t xml:space="preserve">100% specificity </w:t>
            </w:r>
          </w:p>
          <w:p w14:paraId="3C198AA1" w14:textId="77777777" w:rsidR="00742247" w:rsidRDefault="00742247" w:rsidP="00620849">
            <w:pPr>
              <w:pStyle w:val="Tabletext1"/>
            </w:pPr>
            <w:r>
              <w:t>90% sensitivity</w:t>
            </w:r>
          </w:p>
        </w:tc>
        <w:tc>
          <w:tcPr>
            <w:tcW w:w="692" w:type="pct"/>
            <w:tcBorders>
              <w:top w:val="single" w:sz="4" w:space="0" w:color="auto"/>
              <w:left w:val="single" w:sz="4" w:space="0" w:color="auto"/>
              <w:bottom w:val="single" w:sz="4" w:space="0" w:color="auto"/>
              <w:right w:val="single" w:sz="4" w:space="0" w:color="auto"/>
            </w:tcBorders>
          </w:tcPr>
          <w:p w14:paraId="3AE8204D" w14:textId="77777777" w:rsidR="00742247" w:rsidRDefault="00742247" w:rsidP="00620849">
            <w:pPr>
              <w:pStyle w:val="Tabletext1"/>
            </w:pPr>
            <w:r>
              <w:lastRenderedPageBreak/>
              <w:t xml:space="preserve">Discounted lifetime costs: </w:t>
            </w:r>
          </w:p>
          <w:p w14:paraId="762BED55" w14:textId="0B092DE9" w:rsidR="00742247" w:rsidRDefault="00CB27C2" w:rsidP="00620849">
            <w:pPr>
              <w:pStyle w:val="Tabletext1"/>
            </w:pPr>
            <w:r>
              <w:lastRenderedPageBreak/>
              <w:t>TRUSGB: £</w:t>
            </w:r>
            <w:r w:rsidR="00742247">
              <w:t>3895</w:t>
            </w:r>
          </w:p>
          <w:p w14:paraId="0E3CBB09" w14:textId="10B22CC4" w:rsidR="00742247" w:rsidRDefault="00CB27C2" w:rsidP="00620849">
            <w:pPr>
              <w:pStyle w:val="Tabletext1"/>
            </w:pPr>
            <w:r>
              <w:t>T2-MRI or DCE-MRI: £</w:t>
            </w:r>
            <w:r w:rsidR="00742247">
              <w:t>4056</w:t>
            </w:r>
          </w:p>
        </w:tc>
      </w:tr>
    </w:tbl>
    <w:p w14:paraId="2A3ACD30" w14:textId="385E8E7A" w:rsidR="00CB27C2" w:rsidRDefault="00CB27C2" w:rsidP="00742247">
      <w:pPr>
        <w:pStyle w:val="Tabletext1"/>
      </w:pPr>
      <w:bookmarkStart w:id="553" w:name="_Toc395200800"/>
      <w:r w:rsidRPr="00D34AED">
        <w:rPr>
          <w:vertAlign w:val="superscript"/>
        </w:rPr>
        <w:lastRenderedPageBreak/>
        <w:t>a</w:t>
      </w:r>
      <w:r>
        <w:t>: In Gordon et al</w:t>
      </w:r>
      <w:r w:rsidR="008A71E9">
        <w:t>.</w:t>
      </w:r>
      <w:r>
        <w:t xml:space="preserve"> (2016), the base model consisted of 17 health states separated into initial health states, subsequent health states after the first year of diagnosis, and health states describing are treatment options after the first year of diagnosis. </w:t>
      </w:r>
      <w:r w:rsidRPr="007C7124">
        <w:rPr>
          <w:i/>
        </w:rPr>
        <w:t xml:space="preserve">Initial </w:t>
      </w:r>
      <w:r>
        <w:rPr>
          <w:i/>
        </w:rPr>
        <w:t xml:space="preserve">Health States (n=4): </w:t>
      </w:r>
      <w:r>
        <w:t xml:space="preserve">Very low and low risk (T1-T2a, Gl ≤6, PSA&lt;10ng/ml); Intermediate risk (T2b-T2c, Gl 7, PSA 10-20ng/ml); High risk to locally advanced (T3-T4, Gl 8-10, PSA &gt;20ng/ml); Advanced disease (node positive, metastatic); </w:t>
      </w:r>
      <w:r w:rsidRPr="00E3218E">
        <w:rPr>
          <w:i/>
        </w:rPr>
        <w:t>Su</w:t>
      </w:r>
      <w:r>
        <w:rPr>
          <w:i/>
        </w:rPr>
        <w:t>b</w:t>
      </w:r>
      <w:r w:rsidRPr="00E3218E">
        <w:rPr>
          <w:i/>
        </w:rPr>
        <w:t xml:space="preserve">sequent </w:t>
      </w:r>
      <w:r>
        <w:rPr>
          <w:i/>
        </w:rPr>
        <w:t>HS</w:t>
      </w:r>
      <w:r w:rsidRPr="007C7124">
        <w:rPr>
          <w:i/>
        </w:rPr>
        <w:t xml:space="preserve"> </w:t>
      </w:r>
      <w:r>
        <w:rPr>
          <w:i/>
        </w:rPr>
        <w:t xml:space="preserve">(n=8) </w:t>
      </w:r>
      <w:r w:rsidRPr="007C7124">
        <w:rPr>
          <w:i/>
        </w:rPr>
        <w:t>after first year of diagnosis</w:t>
      </w:r>
      <w:r>
        <w:rPr>
          <w:i/>
        </w:rPr>
        <w:t xml:space="preserve">: </w:t>
      </w:r>
      <w:r>
        <w:t>Post surgery (LR); Post surgery (IHR); Post radiation as 1</w:t>
      </w:r>
      <w:r w:rsidRPr="007C7124">
        <w:rPr>
          <w:vertAlign w:val="superscript"/>
        </w:rPr>
        <w:t>st</w:t>
      </w:r>
      <w:r>
        <w:t>-line (LR); Post radiation as 1</w:t>
      </w:r>
      <w:r w:rsidRPr="007C7124">
        <w:rPr>
          <w:vertAlign w:val="superscript"/>
        </w:rPr>
        <w:t>st</w:t>
      </w:r>
      <w:r>
        <w:t>-line (IHR); Post ADT+radiation; Post surgery + radiation; Post 1</w:t>
      </w:r>
      <w:r w:rsidRPr="007C7124">
        <w:rPr>
          <w:vertAlign w:val="superscript"/>
        </w:rPr>
        <w:t>st</w:t>
      </w:r>
      <w:r>
        <w:t>-line chemotherapy; and Post 2</w:t>
      </w:r>
      <w:r w:rsidRPr="007C7124">
        <w:rPr>
          <w:vertAlign w:val="superscript"/>
        </w:rPr>
        <w:t>nd</w:t>
      </w:r>
      <w:r>
        <w:t>-line chemotherapy;</w:t>
      </w:r>
      <w:r>
        <w:rPr>
          <w:i/>
        </w:rPr>
        <w:t xml:space="preserve"> </w:t>
      </w:r>
      <w:r w:rsidRPr="007C7124">
        <w:rPr>
          <w:i/>
        </w:rPr>
        <w:t xml:space="preserve">HS </w:t>
      </w:r>
      <w:r>
        <w:rPr>
          <w:i/>
        </w:rPr>
        <w:t xml:space="preserve">describes care after the </w:t>
      </w:r>
      <w:r w:rsidRPr="007C7124">
        <w:rPr>
          <w:i/>
        </w:rPr>
        <w:t>a</w:t>
      </w:r>
      <w:r>
        <w:rPr>
          <w:i/>
        </w:rPr>
        <w:t xml:space="preserve">fter first year of treatment </w:t>
      </w:r>
      <w:r w:rsidRPr="007C7124">
        <w:rPr>
          <w:i/>
        </w:rPr>
        <w:t>(n=5):</w:t>
      </w:r>
      <w:r>
        <w:rPr>
          <w:i/>
        </w:rPr>
        <w:t xml:space="preserve"> </w:t>
      </w:r>
      <w:r>
        <w:t xml:space="preserve">Castrate-resistant prostate cancer; Active surveillance; Watchful waiting; Palliative care; Death. </w:t>
      </w:r>
    </w:p>
    <w:p w14:paraId="0F05D1D6" w14:textId="2CDE8327" w:rsidR="00742247" w:rsidRDefault="00CB27C2" w:rsidP="00742247">
      <w:pPr>
        <w:pStyle w:val="Tabletext1"/>
      </w:pPr>
      <w:r>
        <w:t>ADT =</w:t>
      </w:r>
      <w:r w:rsidR="00742247">
        <w:t xml:space="preserve"> androgen deprivation therapy</w:t>
      </w:r>
      <w:r>
        <w:t>,</w:t>
      </w:r>
      <w:r w:rsidR="00742247">
        <w:t xml:space="preserve"> </w:t>
      </w:r>
      <w:r w:rsidR="00742247" w:rsidRPr="00167D4F">
        <w:t>CAD</w:t>
      </w:r>
      <w:r>
        <w:t xml:space="preserve"> =</w:t>
      </w:r>
      <w:r w:rsidR="00742247" w:rsidRPr="00167D4F">
        <w:t xml:space="preserve"> Canadian dollars</w:t>
      </w:r>
      <w:r>
        <w:t>,</w:t>
      </w:r>
      <w:r w:rsidR="00742247" w:rsidRPr="00167D4F">
        <w:t xml:space="preserve"> CEA</w:t>
      </w:r>
      <w:r>
        <w:t xml:space="preserve"> =</w:t>
      </w:r>
      <w:r w:rsidR="00742247" w:rsidRPr="00167D4F">
        <w:t xml:space="preserve"> cost effectiveness analysis</w:t>
      </w:r>
      <w:r>
        <w:t>,</w:t>
      </w:r>
      <w:r w:rsidR="00742247" w:rsidRPr="00167D4F">
        <w:t xml:space="preserve"> CRPC</w:t>
      </w:r>
      <w:r>
        <w:t xml:space="preserve"> =</w:t>
      </w:r>
      <w:r w:rsidR="00742247" w:rsidRPr="00167D4F">
        <w:t xml:space="preserve"> castrate resistant prostate cancer</w:t>
      </w:r>
      <w:r>
        <w:t>,</w:t>
      </w:r>
      <w:r w:rsidR="00742247" w:rsidRPr="00167D4F">
        <w:t xml:space="preserve"> CUA</w:t>
      </w:r>
      <w:r>
        <w:t xml:space="preserve"> =</w:t>
      </w:r>
      <w:r w:rsidR="00742247" w:rsidRPr="00167D4F">
        <w:t xml:space="preserve"> cost utility analysis</w:t>
      </w:r>
      <w:r>
        <w:t>,</w:t>
      </w:r>
      <w:r w:rsidR="00742247" w:rsidRPr="00167D4F">
        <w:t xml:space="preserve"> DCE</w:t>
      </w:r>
      <w:r>
        <w:t xml:space="preserve">= </w:t>
      </w:r>
      <w:r w:rsidR="00742247" w:rsidRPr="00167D4F">
        <w:t>dynamic-contrast enhanced</w:t>
      </w:r>
      <w:r>
        <w:t>,</w:t>
      </w:r>
      <w:r w:rsidR="00742247" w:rsidRPr="00167D4F">
        <w:t xml:space="preserve"> DRE</w:t>
      </w:r>
      <w:r>
        <w:t xml:space="preserve"> =</w:t>
      </w:r>
      <w:r w:rsidR="00742247" w:rsidRPr="00167D4F">
        <w:t xml:space="preserve"> digital rectal examination</w:t>
      </w:r>
      <w:r>
        <w:t>,</w:t>
      </w:r>
      <w:r w:rsidR="00742247" w:rsidRPr="00167D4F">
        <w:t xml:space="preserve"> EUR</w:t>
      </w:r>
      <w:r>
        <w:t xml:space="preserve"> =</w:t>
      </w:r>
      <w:r w:rsidR="00742247" w:rsidRPr="00167D4F">
        <w:t xml:space="preserve"> Euros</w:t>
      </w:r>
      <w:r>
        <w:t>,</w:t>
      </w:r>
      <w:r w:rsidR="00742247" w:rsidRPr="00167D4F">
        <w:t xml:space="preserve"> GBP</w:t>
      </w:r>
      <w:r>
        <w:t xml:space="preserve"> =</w:t>
      </w:r>
      <w:r w:rsidR="00742247" w:rsidRPr="00167D4F">
        <w:t xml:space="preserve"> Great British pound</w:t>
      </w:r>
      <w:r>
        <w:t>,</w:t>
      </w:r>
      <w:r w:rsidR="00742247" w:rsidRPr="00167D4F">
        <w:t xml:space="preserve"> </w:t>
      </w:r>
      <w:r w:rsidR="00742247">
        <w:t>HS</w:t>
      </w:r>
      <w:r>
        <w:t xml:space="preserve"> =</w:t>
      </w:r>
      <w:r w:rsidR="00742247">
        <w:t xml:space="preserve"> health state</w:t>
      </w:r>
      <w:r>
        <w:t>,</w:t>
      </w:r>
      <w:r w:rsidR="00742247">
        <w:t xml:space="preserve"> </w:t>
      </w:r>
      <w:r w:rsidR="00742247" w:rsidRPr="00167D4F">
        <w:t>IHR</w:t>
      </w:r>
      <w:r>
        <w:t xml:space="preserve"> =</w:t>
      </w:r>
      <w:r w:rsidR="00742247" w:rsidRPr="00167D4F">
        <w:t xml:space="preserve"> intermediate to high risk</w:t>
      </w:r>
      <w:r>
        <w:t>,</w:t>
      </w:r>
      <w:r w:rsidR="00742247" w:rsidRPr="00167D4F">
        <w:t xml:space="preserve"> LR</w:t>
      </w:r>
      <w:r>
        <w:t xml:space="preserve"> =</w:t>
      </w:r>
      <w:r w:rsidR="00742247" w:rsidRPr="00167D4F">
        <w:t xml:space="preserve"> low risk</w:t>
      </w:r>
      <w:r>
        <w:t>,</w:t>
      </w:r>
      <w:r w:rsidR="00742247" w:rsidRPr="00167D4F">
        <w:t xml:space="preserve"> LY</w:t>
      </w:r>
      <w:r>
        <w:t xml:space="preserve"> =</w:t>
      </w:r>
      <w:r w:rsidR="00742247" w:rsidRPr="00167D4F">
        <w:t xml:space="preserve"> Life years</w:t>
      </w:r>
      <w:r>
        <w:t>,</w:t>
      </w:r>
      <w:r w:rsidR="00742247">
        <w:t xml:space="preserve"> mpMRI</w:t>
      </w:r>
      <w:r>
        <w:t xml:space="preserve"> =</w:t>
      </w:r>
      <w:r w:rsidR="00742247">
        <w:t xml:space="preserve"> multiparametric MRI</w:t>
      </w:r>
      <w:r>
        <w:t>,</w:t>
      </w:r>
      <w:r w:rsidR="00742247">
        <w:t xml:space="preserve"> </w:t>
      </w:r>
      <w:r w:rsidR="00E96DDA">
        <w:t>MRIGB</w:t>
      </w:r>
      <w:r>
        <w:t xml:space="preserve"> =</w:t>
      </w:r>
      <w:r w:rsidR="00742247" w:rsidRPr="00167D4F">
        <w:t xml:space="preserve"> magnetic resonance guided biopsy</w:t>
      </w:r>
      <w:r>
        <w:t>,</w:t>
      </w:r>
      <w:r w:rsidR="00742247" w:rsidRPr="00167D4F">
        <w:t xml:space="preserve"> MRI</w:t>
      </w:r>
      <w:r>
        <w:t xml:space="preserve"> =</w:t>
      </w:r>
      <w:r w:rsidR="00742247" w:rsidRPr="00167D4F">
        <w:t xml:space="preserve"> magnetic resonance imaging</w:t>
      </w:r>
      <w:r>
        <w:t>,</w:t>
      </w:r>
      <w:r w:rsidR="00742247" w:rsidRPr="00167D4F">
        <w:t xml:space="preserve"> NHS</w:t>
      </w:r>
      <w:r>
        <w:t xml:space="preserve"> =</w:t>
      </w:r>
      <w:r w:rsidR="00742247" w:rsidRPr="00167D4F">
        <w:t xml:space="preserve"> National Health System</w:t>
      </w:r>
      <w:r>
        <w:t>,</w:t>
      </w:r>
      <w:r w:rsidR="00742247" w:rsidRPr="00167D4F">
        <w:t xml:space="preserve"> NR</w:t>
      </w:r>
      <w:r>
        <w:t xml:space="preserve"> =</w:t>
      </w:r>
      <w:r w:rsidR="00742247" w:rsidRPr="00167D4F">
        <w:t xml:space="preserve"> not reported</w:t>
      </w:r>
      <w:r>
        <w:t>,</w:t>
      </w:r>
      <w:r w:rsidR="00742247" w:rsidRPr="00167D4F">
        <w:t xml:space="preserve"> PCa</w:t>
      </w:r>
      <w:r>
        <w:t xml:space="preserve"> =</w:t>
      </w:r>
      <w:r w:rsidR="00742247" w:rsidRPr="00167D4F">
        <w:t xml:space="preserve"> prostate cancer</w:t>
      </w:r>
      <w:r>
        <w:t>,</w:t>
      </w:r>
      <w:r w:rsidR="00742247" w:rsidRPr="00167D4F">
        <w:t xml:space="preserve"> PCA3</w:t>
      </w:r>
      <w:r>
        <w:t xml:space="preserve"> =</w:t>
      </w:r>
      <w:r w:rsidR="00742247" w:rsidRPr="00167D4F">
        <w:t xml:space="preserve"> prostate cancer gene 3</w:t>
      </w:r>
      <w:r>
        <w:t>,</w:t>
      </w:r>
      <w:r w:rsidR="00742247" w:rsidRPr="00167D4F">
        <w:t xml:space="preserve"> PHI</w:t>
      </w:r>
      <w:r>
        <w:t xml:space="preserve"> =</w:t>
      </w:r>
      <w:r w:rsidR="00742247" w:rsidRPr="00167D4F">
        <w:t xml:space="preserve"> prostate health index</w:t>
      </w:r>
      <w:r>
        <w:t>,</w:t>
      </w:r>
      <w:r w:rsidR="00742247" w:rsidRPr="00167D4F">
        <w:t xml:space="preserve"> PSA</w:t>
      </w:r>
      <w:r>
        <w:t xml:space="preserve"> =</w:t>
      </w:r>
      <w:r w:rsidR="00742247" w:rsidRPr="00167D4F">
        <w:t xml:space="preserve"> prostate specific antigen</w:t>
      </w:r>
      <w:r>
        <w:t>,</w:t>
      </w:r>
      <w:r w:rsidR="00742247" w:rsidRPr="00167D4F">
        <w:t xml:space="preserve"> QALY</w:t>
      </w:r>
      <w:r>
        <w:t xml:space="preserve"> =</w:t>
      </w:r>
      <w:r w:rsidR="00742247" w:rsidRPr="00167D4F">
        <w:t xml:space="preserve"> Quality adjusted life year</w:t>
      </w:r>
      <w:r>
        <w:t>,</w:t>
      </w:r>
      <w:r w:rsidR="00742247" w:rsidRPr="00167D4F">
        <w:t xml:space="preserve"> QALYG</w:t>
      </w:r>
      <w:r>
        <w:t xml:space="preserve"> =</w:t>
      </w:r>
      <w:r w:rsidR="00742247" w:rsidRPr="00167D4F">
        <w:t xml:space="preserve"> Quality </w:t>
      </w:r>
      <w:r w:rsidR="00742247">
        <w:t>adjusted life year gained</w:t>
      </w:r>
      <w:r>
        <w:t>,</w:t>
      </w:r>
      <w:r w:rsidR="00742247">
        <w:t xml:space="preserve"> TPUS</w:t>
      </w:r>
      <w:r w:rsidR="00742247" w:rsidRPr="00167D4F">
        <w:t>GB</w:t>
      </w:r>
      <w:r>
        <w:t xml:space="preserve"> =</w:t>
      </w:r>
      <w:r w:rsidR="00742247" w:rsidRPr="00167D4F">
        <w:t xml:space="preserve"> trans</w:t>
      </w:r>
      <w:r>
        <w:t>-</w:t>
      </w:r>
      <w:r w:rsidR="00742247" w:rsidRPr="00167D4F">
        <w:t>perineal</w:t>
      </w:r>
      <w:r w:rsidR="00742247">
        <w:t xml:space="preserve"> ultrasound guided biopsy</w:t>
      </w:r>
      <w:r>
        <w:t>,</w:t>
      </w:r>
      <w:r w:rsidR="00742247">
        <w:t xml:space="preserve"> TRUS</w:t>
      </w:r>
      <w:r w:rsidR="00742247" w:rsidRPr="00167D4F">
        <w:t>GB</w:t>
      </w:r>
      <w:r>
        <w:t xml:space="preserve"> =</w:t>
      </w:r>
      <w:r w:rsidR="00742247" w:rsidRPr="00167D4F">
        <w:t xml:space="preserve"> trans</w:t>
      </w:r>
      <w:r>
        <w:t>-</w:t>
      </w:r>
      <w:r w:rsidR="00742247" w:rsidRPr="00167D4F">
        <w:t>rectal ultrasound guided biopsy</w:t>
      </w:r>
      <w:r>
        <w:t>,</w:t>
      </w:r>
      <w:r w:rsidR="00742247" w:rsidRPr="00167D4F">
        <w:t xml:space="preserve"> USD</w:t>
      </w:r>
      <w:r>
        <w:t xml:space="preserve"> = United States D</w:t>
      </w:r>
      <w:r w:rsidR="00742247" w:rsidRPr="00167D4F">
        <w:t>ollars.</w:t>
      </w:r>
      <w:r w:rsidR="00742247">
        <w:t xml:space="preserve"> </w:t>
      </w:r>
    </w:p>
    <w:p w14:paraId="6D4FB8CF" w14:textId="47E555ED" w:rsidR="00742247" w:rsidRPr="00081852" w:rsidRDefault="00742247" w:rsidP="00742247">
      <w:pPr>
        <w:pStyle w:val="Tabletext1"/>
        <w:rPr>
          <w:i/>
        </w:rPr>
      </w:pPr>
    </w:p>
    <w:p w14:paraId="59635EE3" w14:textId="77777777" w:rsidR="00742247" w:rsidRPr="00074085" w:rsidRDefault="00742247" w:rsidP="00742247">
      <w:pPr>
        <w:sectPr w:rsidR="00742247" w:rsidRPr="00074085" w:rsidSect="002768CD">
          <w:type w:val="oddPage"/>
          <w:pgSz w:w="16838" w:h="11906" w:orient="landscape"/>
          <w:pgMar w:top="1440" w:right="1440" w:bottom="1440" w:left="1440" w:header="720" w:footer="720" w:gutter="0"/>
          <w:paperSrc w:first="7" w:other="7"/>
          <w:cols w:space="720"/>
        </w:sectPr>
      </w:pPr>
    </w:p>
    <w:p w14:paraId="543C129D" w14:textId="77777777" w:rsidR="00742247" w:rsidRPr="00121321" w:rsidRDefault="00742247" w:rsidP="00742247">
      <w:pPr>
        <w:pStyle w:val="Heading3"/>
      </w:pPr>
      <w:bookmarkStart w:id="554" w:name="_Toc455916062"/>
      <w:bookmarkStart w:id="555" w:name="_Toc457383619"/>
      <w:bookmarkStart w:id="556" w:name="_Toc459987867"/>
      <w:bookmarkStart w:id="557" w:name="_Toc460513987"/>
      <w:r>
        <w:lastRenderedPageBreak/>
        <w:t>Structure of the economic evaluation</w:t>
      </w:r>
      <w:bookmarkEnd w:id="553"/>
      <w:bookmarkEnd w:id="554"/>
      <w:bookmarkEnd w:id="555"/>
      <w:bookmarkEnd w:id="556"/>
      <w:bookmarkEnd w:id="557"/>
    </w:p>
    <w:p w14:paraId="1FA2FD4F" w14:textId="4A1B51FA" w:rsidR="00742247" w:rsidRDefault="009714E9" w:rsidP="00742247">
      <w:r>
        <w:t xml:space="preserve">A </w:t>
      </w:r>
      <w:r w:rsidR="00742247">
        <w:t xml:space="preserve">combined decision tree and Markov model and was </w:t>
      </w:r>
      <w:r>
        <w:t>used in this evaluation (TreeAge 2015)</w:t>
      </w:r>
      <w:r w:rsidR="00742247">
        <w:t>. Cohort expected value analyses were performed for an average male patient (starting age 66 years).</w:t>
      </w:r>
    </w:p>
    <w:p w14:paraId="4ADC853B" w14:textId="77777777" w:rsidR="00742247" w:rsidRPr="009420C2" w:rsidRDefault="00742247" w:rsidP="00742247">
      <w:r>
        <w:t xml:space="preserve">An Australian health care </w:t>
      </w:r>
      <w:r w:rsidRPr="006F4B94">
        <w:t xml:space="preserve">perspective </w:t>
      </w:r>
      <w:r>
        <w:t>was taken</w:t>
      </w:r>
      <w:r w:rsidRPr="006F4B94">
        <w:t>.</w:t>
      </w:r>
      <w:r>
        <w:t xml:space="preserve"> </w:t>
      </w:r>
      <w:r w:rsidRPr="006F4B94">
        <w:t xml:space="preserve">A discount rate of 5% </w:t>
      </w:r>
      <w:r>
        <w:t>wa</w:t>
      </w:r>
      <w:r w:rsidRPr="006F4B94">
        <w:t xml:space="preserve">s applied to costs and </w:t>
      </w:r>
      <w:r w:rsidRPr="009420C2">
        <w:t>outcomes.</w:t>
      </w:r>
      <w:r>
        <w:t xml:space="preserve"> </w:t>
      </w:r>
      <w:r w:rsidRPr="009420C2">
        <w:t xml:space="preserve">Results without discounting are presented in a sensitivity analysis. </w:t>
      </w:r>
    </w:p>
    <w:p w14:paraId="08F017DB" w14:textId="23A4C219" w:rsidR="00742247" w:rsidRDefault="00742247" w:rsidP="00742247">
      <w:r w:rsidRPr="009420C2">
        <w:t>The decision analysis compares the use of mpMRI</w:t>
      </w:r>
      <w:r>
        <w:t xml:space="preserve"> </w:t>
      </w:r>
      <w:r w:rsidRPr="009420C2">
        <w:t>(+ biopsy for a proportion of patients) with biopsy for all.</w:t>
      </w:r>
      <w:r>
        <w:t xml:space="preserve"> </w:t>
      </w:r>
      <w:r w:rsidRPr="009420C2">
        <w:t>The Markov structure includes five health states, “no cancer”, “low to intermediate risk cancer (active surveillance)”, “intermediate to high risk cancer”, “advanced cancer” and “death”. A cycle length of 1-year w</w:t>
      </w:r>
      <w:r>
        <w:t xml:space="preserve">as applied, without half cycle </w:t>
      </w:r>
      <w:r w:rsidRPr="009420C2">
        <w:t xml:space="preserve">correction. The impact of including a half cycle correction was tested in a sensitivity analysis (see </w:t>
      </w:r>
      <w:r w:rsidR="00B80D15">
        <w:t>Sub</w:t>
      </w:r>
      <w:r w:rsidRPr="009420C2">
        <w:t>section D.6).</w:t>
      </w:r>
      <w:r>
        <w:t xml:space="preserve"> </w:t>
      </w:r>
      <w:r w:rsidRPr="009420C2">
        <w:t>In each cycle subjects may transition through health states, however subjects cannot transition back from:</w:t>
      </w:r>
    </w:p>
    <w:p w14:paraId="7DCFE3DA" w14:textId="77777777" w:rsidR="00742247" w:rsidRDefault="00742247" w:rsidP="00A3402C">
      <w:pPr>
        <w:pStyle w:val="ListParagraph"/>
        <w:numPr>
          <w:ilvl w:val="0"/>
          <w:numId w:val="31"/>
        </w:numPr>
        <w:spacing w:after="120"/>
        <w:ind w:left="714" w:hanging="357"/>
        <w:contextualSpacing w:val="0"/>
        <w:jc w:val="left"/>
      </w:pPr>
      <w:r>
        <w:t>“low to intermediate risk cancer” or “intermediate to high risk cancer” to “no cancer”; or</w:t>
      </w:r>
    </w:p>
    <w:p w14:paraId="2B652459" w14:textId="77777777" w:rsidR="00742247" w:rsidRDefault="00742247" w:rsidP="00A3402C">
      <w:pPr>
        <w:pStyle w:val="ListParagraph"/>
        <w:numPr>
          <w:ilvl w:val="0"/>
          <w:numId w:val="31"/>
        </w:numPr>
        <w:spacing w:after="120"/>
        <w:ind w:left="714" w:hanging="357"/>
        <w:contextualSpacing w:val="0"/>
        <w:jc w:val="left"/>
      </w:pPr>
      <w:r>
        <w:t>“intermediate to high risk cancer” to “low to intermediate risk cancer”; or</w:t>
      </w:r>
    </w:p>
    <w:p w14:paraId="62303170" w14:textId="77777777" w:rsidR="00742247" w:rsidRDefault="00742247" w:rsidP="00A3402C">
      <w:pPr>
        <w:pStyle w:val="ListParagraph"/>
        <w:numPr>
          <w:ilvl w:val="0"/>
          <w:numId w:val="31"/>
        </w:numPr>
        <w:spacing w:after="120"/>
        <w:ind w:left="714" w:hanging="357"/>
        <w:contextualSpacing w:val="0"/>
        <w:jc w:val="left"/>
      </w:pPr>
      <w:r>
        <w:t>“Advanced prostate cancer” to “intermediate to high risk cancer” to “low to intermediate risk cancer”; or</w:t>
      </w:r>
    </w:p>
    <w:p w14:paraId="6DE57DFC" w14:textId="77777777" w:rsidR="00742247" w:rsidRDefault="00742247" w:rsidP="00A3402C">
      <w:pPr>
        <w:pStyle w:val="ListParagraph"/>
        <w:numPr>
          <w:ilvl w:val="0"/>
          <w:numId w:val="31"/>
        </w:numPr>
        <w:contextualSpacing w:val="0"/>
        <w:jc w:val="left"/>
      </w:pPr>
      <w:r>
        <w:t xml:space="preserve">“death”, subjects remain in this state. </w:t>
      </w:r>
    </w:p>
    <w:p w14:paraId="181F26C2" w14:textId="1B5DCBEA" w:rsidR="00742247" w:rsidRDefault="00742247" w:rsidP="00742247">
      <w:pPr>
        <w:rPr>
          <w:noProof/>
        </w:rPr>
      </w:pPr>
      <w:r>
        <w:rPr>
          <w:noProof/>
        </w:rPr>
        <w:t xml:space="preserve">All subjects enter the model as “men suspected of having prostate cancer” (Population 1) in the decision tree portion of the model. Men in the “low to intermediate risk cancer” health state are assumed to undergo </w:t>
      </w:r>
      <w:r w:rsidR="00AB1EEA">
        <w:rPr>
          <w:noProof/>
        </w:rPr>
        <w:t>AS</w:t>
      </w:r>
      <w:r>
        <w:rPr>
          <w:noProof/>
        </w:rPr>
        <w:t xml:space="preserve"> (Population 2). </w:t>
      </w:r>
    </w:p>
    <w:p w14:paraId="7E1E9DD7" w14:textId="77777777" w:rsidR="00742247" w:rsidRDefault="00742247" w:rsidP="00742247">
      <w:pPr>
        <w:rPr>
          <w:noProof/>
        </w:rPr>
      </w:pPr>
      <w:r>
        <w:rPr>
          <w:noProof/>
        </w:rPr>
        <w:t xml:space="preserve">Descriptions of each of the health states are as follows: </w:t>
      </w:r>
    </w:p>
    <w:p w14:paraId="779A383D" w14:textId="77777777" w:rsidR="00742247" w:rsidRPr="00C54646" w:rsidRDefault="00742247" w:rsidP="00A3402C">
      <w:pPr>
        <w:pStyle w:val="ListParagraph"/>
        <w:numPr>
          <w:ilvl w:val="0"/>
          <w:numId w:val="36"/>
        </w:numPr>
        <w:contextualSpacing w:val="0"/>
        <w:jc w:val="left"/>
        <w:rPr>
          <w:noProof/>
        </w:rPr>
      </w:pPr>
      <w:r>
        <w:rPr>
          <w:noProof/>
        </w:rPr>
        <w:t xml:space="preserve">The “no cancer” health state describes patients that have not been diagnosed with prostate </w:t>
      </w:r>
      <w:r w:rsidRPr="00C54646">
        <w:rPr>
          <w:noProof/>
        </w:rPr>
        <w:t>cancer</w:t>
      </w:r>
      <w:r>
        <w:rPr>
          <w:noProof/>
        </w:rPr>
        <w:t>.</w:t>
      </w:r>
    </w:p>
    <w:p w14:paraId="726C7504" w14:textId="77777777" w:rsidR="00742247" w:rsidRPr="00C54646" w:rsidRDefault="00742247" w:rsidP="00A3402C">
      <w:pPr>
        <w:pStyle w:val="ListParagraph"/>
        <w:numPr>
          <w:ilvl w:val="0"/>
          <w:numId w:val="36"/>
        </w:numPr>
        <w:contextualSpacing w:val="0"/>
        <w:jc w:val="left"/>
      </w:pPr>
      <w:r w:rsidRPr="00C54646">
        <w:rPr>
          <w:noProof/>
        </w:rPr>
        <w:t xml:space="preserve">The </w:t>
      </w:r>
      <w:r w:rsidRPr="00C54646">
        <w:t>“low to intermediate risk cancer” health state describes men with PCa undertaking active surveillance and consist</w:t>
      </w:r>
      <w:r>
        <w:t xml:space="preserve">s of patients in Population 2. </w:t>
      </w:r>
    </w:p>
    <w:p w14:paraId="45D21A35" w14:textId="77777777" w:rsidR="00742247" w:rsidRDefault="00742247" w:rsidP="00A3402C">
      <w:pPr>
        <w:pStyle w:val="ListParagraph"/>
        <w:numPr>
          <w:ilvl w:val="0"/>
          <w:numId w:val="36"/>
        </w:numPr>
        <w:contextualSpacing w:val="0"/>
        <w:jc w:val="left"/>
      </w:pPr>
      <w:r>
        <w:t xml:space="preserve">The </w:t>
      </w:r>
      <w:r w:rsidRPr="00C54646">
        <w:t xml:space="preserve">“intermediate to high risk cancer” health state </w:t>
      </w:r>
      <w:r>
        <w:t xml:space="preserve">includes men with intermediate to high risk PCa undertaking active treatment and follow-up. These patients are followed up indefinitely. </w:t>
      </w:r>
    </w:p>
    <w:p w14:paraId="2844318E" w14:textId="77777777" w:rsidR="00742247" w:rsidRPr="00C54646" w:rsidRDefault="00742247" w:rsidP="00A3402C">
      <w:pPr>
        <w:pStyle w:val="ListParagraph"/>
        <w:numPr>
          <w:ilvl w:val="0"/>
          <w:numId w:val="36"/>
        </w:numPr>
        <w:contextualSpacing w:val="0"/>
        <w:jc w:val="left"/>
      </w:pPr>
      <w:r>
        <w:t xml:space="preserve">The “advanced prostate cancer” health state includes men undertaking active treatment and follow up. These patients are followed up indefinitely. </w:t>
      </w:r>
    </w:p>
    <w:p w14:paraId="5B2DE74E" w14:textId="77777777" w:rsidR="00742247" w:rsidRDefault="00742247" w:rsidP="00A3402C">
      <w:pPr>
        <w:pStyle w:val="ListParagraph"/>
        <w:numPr>
          <w:ilvl w:val="0"/>
          <w:numId w:val="36"/>
        </w:numPr>
        <w:contextualSpacing w:val="0"/>
        <w:jc w:val="left"/>
        <w:rPr>
          <w:noProof/>
        </w:rPr>
      </w:pPr>
      <w:r w:rsidRPr="00C54646">
        <w:t>The “death” state is an absorbing</w:t>
      </w:r>
      <w:r>
        <w:t xml:space="preserve"> health state and includes all patients who have died. </w:t>
      </w:r>
    </w:p>
    <w:p w14:paraId="0B0F898F" w14:textId="401C4A6C" w:rsidR="00742247" w:rsidRDefault="00742247" w:rsidP="00742247">
      <w:pPr>
        <w:rPr>
          <w:noProof/>
        </w:rPr>
      </w:pPr>
      <w:r w:rsidRPr="009420C2">
        <w:rPr>
          <w:noProof/>
        </w:rPr>
        <w:lastRenderedPageBreak/>
        <w:t>Costs and health effects are assigned for each health state.</w:t>
      </w:r>
      <w:r>
        <w:rPr>
          <w:noProof/>
        </w:rPr>
        <w:t xml:space="preserve"> </w:t>
      </w:r>
      <w:r w:rsidRPr="009420C2">
        <w:rPr>
          <w:noProof/>
        </w:rPr>
        <w:t>Disutilities associated with biopsy procedures and treatment complications are applied as decremements.</w:t>
      </w:r>
      <w:r>
        <w:rPr>
          <w:noProof/>
        </w:rPr>
        <w:t xml:space="preserve"> </w:t>
      </w:r>
      <w:r w:rsidRPr="009420C2">
        <w:rPr>
          <w:noProof/>
        </w:rPr>
        <w:t>A description of the interventions being compared, outcomes and costs included are presented in S</w:t>
      </w:r>
      <w:r w:rsidR="00B80D15">
        <w:rPr>
          <w:noProof/>
        </w:rPr>
        <w:t>ubs</w:t>
      </w:r>
      <w:r w:rsidRPr="009420C2">
        <w:rPr>
          <w:noProof/>
        </w:rPr>
        <w:t>ection D.4.</w:t>
      </w:r>
      <w:r>
        <w:rPr>
          <w:noProof/>
        </w:rPr>
        <w:t xml:space="preserve"> </w:t>
      </w:r>
      <w:r w:rsidRPr="009420C2">
        <w:rPr>
          <w:noProof/>
        </w:rPr>
        <w:t>Utility values are presented in S</w:t>
      </w:r>
      <w:r w:rsidR="00B80D15">
        <w:rPr>
          <w:noProof/>
        </w:rPr>
        <w:t>ubs</w:t>
      </w:r>
      <w:r w:rsidRPr="009420C2">
        <w:rPr>
          <w:noProof/>
        </w:rPr>
        <w:t>ection C.4.</w:t>
      </w:r>
      <w:r>
        <w:rPr>
          <w:noProof/>
        </w:rPr>
        <w:t xml:space="preserve"> </w:t>
      </w:r>
    </w:p>
    <w:p w14:paraId="6E1CEDD7" w14:textId="31C37CDE" w:rsidR="00742247" w:rsidRDefault="00742247" w:rsidP="00742247">
      <w:pPr>
        <w:rPr>
          <w:noProof/>
        </w:rPr>
      </w:pPr>
      <w:r w:rsidRPr="001419F7">
        <w:rPr>
          <w:noProof/>
        </w:rPr>
        <w:t xml:space="preserve">As </w:t>
      </w:r>
      <w:r w:rsidR="009714E9">
        <w:rPr>
          <w:noProof/>
        </w:rPr>
        <w:t>PCa</w:t>
      </w:r>
      <w:r w:rsidRPr="001419F7">
        <w:rPr>
          <w:noProof/>
        </w:rPr>
        <w:t xml:space="preserve"> grows slowly </w:t>
      </w:r>
      <w:r w:rsidR="008E0B00">
        <w:rPr>
          <w:noProof/>
        </w:rPr>
        <w:fldChar w:fldCharType="begin"/>
      </w:r>
      <w:r w:rsidR="008E0B00">
        <w:rPr>
          <w:noProof/>
        </w:rPr>
        <w:instrText xml:space="preserve"> ADDIN EN.CITE &lt;EndNote&gt;&lt;Cite&gt;&lt;Author&gt;AIHW&lt;/Author&gt;&lt;Year&gt;2013&lt;/Year&gt;&lt;RecNum&gt;173&lt;/RecNum&gt;&lt;DisplayText&gt;(AIHW 2013)&lt;/DisplayText&gt;&lt;record&gt;&lt;rec-number&gt;173&lt;/rec-number&gt;&lt;foreign-keys&gt;&lt;key app="EN" db-id="2p9terxr22fx91epzebpfdwuzrwtw2a2ep2t" timestamp="1472684645"&gt;173&lt;/key&gt;&lt;/foreign-keys&gt;&lt;ref-type name="Government Document"&gt;46&lt;/ref-type&gt;&lt;contributors&gt;&lt;authors&gt;&lt;author&gt;AIHW,&lt;/author&gt;&lt;/authors&gt;&lt;secondary-authors&gt;&lt;author&gt;Australian Institute of Health and Welfare, &lt;/author&gt;&lt;/secondary-authors&gt;&lt;/contributors&gt;&lt;titles&gt;&lt;title&gt;Prostate cancer in Australia. Cancer series no. 79. Cat. no. CAN 76. Canberra: AIHW.&lt;/title&gt;&lt;/titles&gt;&lt;dates&gt;&lt;year&gt;2013&lt;/year&gt;&lt;/dates&gt;&lt;urls&gt;&lt;/urls&gt;&lt;/record&gt;&lt;/Cite&gt;&lt;/EndNote&gt;</w:instrText>
      </w:r>
      <w:r w:rsidR="008E0B00">
        <w:rPr>
          <w:noProof/>
        </w:rPr>
        <w:fldChar w:fldCharType="separate"/>
      </w:r>
      <w:r w:rsidR="008E0B00">
        <w:rPr>
          <w:noProof/>
        </w:rPr>
        <w:t>(</w:t>
      </w:r>
      <w:hyperlink w:anchor="_ENREF_4" w:tooltip="AIHW, 2013 #173" w:history="1">
        <w:r w:rsidR="008E0B00">
          <w:rPr>
            <w:noProof/>
          </w:rPr>
          <w:t>AIHW 2013</w:t>
        </w:r>
      </w:hyperlink>
      <w:r w:rsidR="008E0B00">
        <w:rPr>
          <w:noProof/>
        </w:rPr>
        <w:t>)</w:t>
      </w:r>
      <w:r w:rsidR="008E0B00">
        <w:rPr>
          <w:noProof/>
        </w:rPr>
        <w:fldChar w:fldCharType="end"/>
      </w:r>
      <w:r w:rsidRPr="001419F7">
        <w:rPr>
          <w:noProof/>
        </w:rPr>
        <w:t>, a cycle length of one year and a lifetime time horizon (25 years) is used in the</w:t>
      </w:r>
      <w:r>
        <w:rPr>
          <w:noProof/>
        </w:rPr>
        <w:t xml:space="preserve"> model. This is consistent with the assessment for </w:t>
      </w:r>
      <w:r w:rsidR="00E96DDA">
        <w:rPr>
          <w:noProof/>
        </w:rPr>
        <w:t>MRIGB</w:t>
      </w:r>
      <w:r>
        <w:rPr>
          <w:noProof/>
        </w:rPr>
        <w:t xml:space="preserve"> (CA 1424) and with other recent economic evaluations identified in the literature</w:t>
      </w:r>
      <w:r w:rsidR="00923955">
        <w:rPr>
          <w:noProof/>
        </w:rPr>
        <w:t xml:space="preserve"> </w:t>
      </w:r>
      <w:r w:rsidR="008E0B00">
        <w:rPr>
          <w:noProof/>
        </w:rPr>
        <w:fldChar w:fldCharType="begin">
          <w:fldData xml:space="preserve">PEVuZE5vdGU+PENpdGU+PEF1dGhvcj5DZXJhbnRvbGE8L0F1dGhvcj48WWVhcj4yMDE2PC9ZZWFy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</w:fldData>
        </w:fldChar>
      </w:r>
      <w:r w:rsidR="008E0B00">
        <w:rPr>
          <w:noProof/>
        </w:rPr>
        <w:instrText xml:space="preserve"> ADDIN EN.CITE </w:instrText>
      </w:r>
      <w:r w:rsidR="008E0B00">
        <w:rPr>
          <w:noProof/>
        </w:rPr>
        <w:fldChar w:fldCharType="begin">
          <w:fldData xml:space="preserve">PEVuZE5vdGU+PENpdGU+PEF1dGhvcj5DZXJhbnRvbGE8L0F1dGhvcj48WWVhcj4yMDE2PC9ZZWFy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</w:fldData>
        </w:fldChar>
      </w:r>
      <w:r w:rsidR="008E0B00">
        <w:rPr>
          <w:noProof/>
        </w:rPr>
        <w:instrText xml:space="preserve"> ADDIN EN.CITE.DATA </w:instrText>
      </w:r>
      <w:r w:rsidR="008E0B00">
        <w:rPr>
          <w:noProof/>
        </w:rPr>
      </w:r>
      <w:r w:rsidR="008E0B00">
        <w:rPr>
          <w:noProof/>
        </w:rPr>
        <w:fldChar w:fldCharType="end"/>
      </w:r>
      <w:r w:rsidR="008E0B00">
        <w:rPr>
          <w:noProof/>
        </w:rPr>
      </w:r>
      <w:r w:rsidR="008E0B00">
        <w:rPr>
          <w:noProof/>
        </w:rPr>
        <w:fldChar w:fldCharType="separate"/>
      </w:r>
      <w:r w:rsidR="008E0B00">
        <w:rPr>
          <w:noProof/>
        </w:rPr>
        <w:t>(</w:t>
      </w:r>
      <w:hyperlink w:anchor="_ENREF_27" w:tooltip="Cerantola, 2016 #166" w:history="1">
        <w:r w:rsidR="008E0B00">
          <w:rPr>
            <w:noProof/>
          </w:rPr>
          <w:t>Cerantola et al. 2016</w:t>
        </w:r>
      </w:hyperlink>
      <w:r w:rsidR="008E0B00">
        <w:rPr>
          <w:noProof/>
        </w:rPr>
        <w:t xml:space="preserve">; </w:t>
      </w:r>
      <w:hyperlink w:anchor="_ENREF_35" w:tooltip="de Rooij, 2014 #167" w:history="1">
        <w:r w:rsidR="008E0B00">
          <w:rPr>
            <w:noProof/>
          </w:rPr>
          <w:t>de Rooij et al. 2014</w:t>
        </w:r>
      </w:hyperlink>
      <w:r w:rsidR="008E0B00">
        <w:rPr>
          <w:noProof/>
        </w:rPr>
        <w:t>)</w:t>
      </w:r>
      <w:r w:rsidR="008E0B00">
        <w:rPr>
          <w:noProof/>
        </w:rPr>
        <w:fldChar w:fldCharType="end"/>
      </w:r>
      <w:r>
        <w:rPr>
          <w:noProof/>
        </w:rPr>
        <w:t xml:space="preserve">. </w:t>
      </w:r>
    </w:p>
    <w:p w14:paraId="66DD4877" w14:textId="77777777" w:rsidR="00742247" w:rsidRDefault="00742247" w:rsidP="00742247">
      <w:pPr>
        <w:rPr>
          <w:noProof/>
        </w:rPr>
      </w:pPr>
      <w:r w:rsidRPr="00013791">
        <w:rPr>
          <w:noProof/>
        </w:rPr>
        <w:t xml:space="preserve">The structure of </w:t>
      </w:r>
      <w:r>
        <w:rPr>
          <w:noProof/>
        </w:rPr>
        <w:t xml:space="preserve">the </w:t>
      </w:r>
      <w:r w:rsidRPr="00013791">
        <w:rPr>
          <w:noProof/>
        </w:rPr>
        <w:t xml:space="preserve">economic </w:t>
      </w:r>
      <w:r>
        <w:rPr>
          <w:noProof/>
        </w:rPr>
        <w:t>model is</w:t>
      </w:r>
      <w:r w:rsidRPr="00013791">
        <w:rPr>
          <w:noProof/>
        </w:rPr>
        <w:t xml:space="preserve"> shown in</w:t>
      </w:r>
      <w:r>
        <w:rPr>
          <w:noProof/>
        </w:rPr>
        <w:t xml:space="preserve"> </w:t>
      </w:r>
      <w:r>
        <w:rPr>
          <w:noProof/>
        </w:rPr>
        <w:fldChar w:fldCharType="begin"/>
      </w:r>
      <w:r>
        <w:rPr>
          <w:noProof/>
        </w:rPr>
        <w:instrText xml:space="preserve"> REF _Ref459981371 \h </w:instrText>
      </w:r>
      <w:r>
        <w:rPr>
          <w:noProof/>
        </w:rPr>
      </w:r>
      <w:r>
        <w:rPr>
          <w:noProof/>
        </w:rPr>
        <w:fldChar w:fldCharType="separate"/>
      </w:r>
      <w:r w:rsidR="0029649D" w:rsidRPr="005C7CA4">
        <w:t xml:space="preserve">Figure </w:t>
      </w:r>
      <w:r w:rsidR="0029649D">
        <w:rPr>
          <w:noProof/>
        </w:rPr>
        <w:t>13</w:t>
      </w:r>
      <w:r>
        <w:rPr>
          <w:noProof/>
        </w:rPr>
        <w:fldChar w:fldCharType="end"/>
      </w:r>
      <w:r>
        <w:rPr>
          <w:noProof/>
        </w:rPr>
        <w:t xml:space="preserve"> (Population 1, mpMRI), </w:t>
      </w:r>
      <w:r>
        <w:rPr>
          <w:noProof/>
        </w:rPr>
        <w:fldChar w:fldCharType="begin"/>
      </w:r>
      <w:r>
        <w:rPr>
          <w:noProof/>
        </w:rPr>
        <w:instrText xml:space="preserve"> REF _Ref457210112 \h  \* MERGEFORMAT </w:instrText>
      </w:r>
      <w:r>
        <w:rPr>
          <w:noProof/>
        </w:rPr>
      </w:r>
      <w:r>
        <w:rPr>
          <w:noProof/>
        </w:rPr>
        <w:fldChar w:fldCharType="separate"/>
      </w:r>
      <w:r w:rsidR="0029649D" w:rsidRPr="005C7CA4">
        <w:rPr>
          <w:noProof/>
        </w:rPr>
        <w:t xml:space="preserve">Figure </w:t>
      </w:r>
      <w:r w:rsidR="0029649D">
        <w:rPr>
          <w:noProof/>
        </w:rPr>
        <w:t>14</w:t>
      </w:r>
      <w:r>
        <w:rPr>
          <w:noProof/>
        </w:rPr>
        <w:fldChar w:fldCharType="end"/>
      </w:r>
      <w:r>
        <w:rPr>
          <w:noProof/>
        </w:rPr>
        <w:t xml:space="preserve"> (Population 1, TRUSGB), </w:t>
      </w:r>
      <w:r>
        <w:rPr>
          <w:noProof/>
        </w:rPr>
        <w:fldChar w:fldCharType="begin"/>
      </w:r>
      <w:r>
        <w:rPr>
          <w:noProof/>
        </w:rPr>
        <w:instrText xml:space="preserve"> REF _Ref457210114 \h  \* MERGEFORMAT </w:instrText>
      </w:r>
      <w:r>
        <w:rPr>
          <w:noProof/>
        </w:rPr>
      </w:r>
      <w:r>
        <w:rPr>
          <w:noProof/>
        </w:rPr>
        <w:fldChar w:fldCharType="separate"/>
      </w:r>
      <w:r w:rsidR="0029649D" w:rsidRPr="005C7CA4">
        <w:rPr>
          <w:noProof/>
        </w:rPr>
        <w:t xml:space="preserve">Figure </w:t>
      </w:r>
      <w:r w:rsidR="0029649D">
        <w:rPr>
          <w:noProof/>
        </w:rPr>
        <w:t>15</w:t>
      </w:r>
      <w:r>
        <w:rPr>
          <w:noProof/>
        </w:rPr>
        <w:fldChar w:fldCharType="end"/>
      </w:r>
      <w:r>
        <w:rPr>
          <w:noProof/>
        </w:rPr>
        <w:t xml:space="preserve"> (Population 2, mpMRI), </w:t>
      </w:r>
      <w:r>
        <w:rPr>
          <w:noProof/>
        </w:rPr>
        <w:fldChar w:fldCharType="begin"/>
      </w:r>
      <w:r>
        <w:rPr>
          <w:noProof/>
        </w:rPr>
        <w:instrText xml:space="preserve"> REF _Ref459984188 \h </w:instrText>
      </w:r>
      <w:r>
        <w:rPr>
          <w:noProof/>
        </w:rPr>
      </w:r>
      <w:r>
        <w:rPr>
          <w:noProof/>
        </w:rPr>
        <w:fldChar w:fldCharType="separate"/>
      </w:r>
      <w:r w:rsidR="0029649D" w:rsidRPr="005C7CA4">
        <w:t xml:space="preserve">Figure </w:t>
      </w:r>
      <w:r w:rsidR="0029649D">
        <w:rPr>
          <w:noProof/>
        </w:rPr>
        <w:t>16</w:t>
      </w:r>
      <w:r>
        <w:rPr>
          <w:noProof/>
        </w:rPr>
        <w:fldChar w:fldCharType="end"/>
      </w:r>
      <w:r>
        <w:rPr>
          <w:noProof/>
        </w:rPr>
        <w:t xml:space="preserve"> (Population 2, TRUSGB) and </w:t>
      </w:r>
      <w:r>
        <w:rPr>
          <w:noProof/>
        </w:rPr>
        <w:fldChar w:fldCharType="begin"/>
      </w:r>
      <w:r>
        <w:rPr>
          <w:noProof/>
        </w:rPr>
        <w:instrText xml:space="preserve"> REF _Ref457210116 \h  \* MERGEFORMAT </w:instrText>
      </w:r>
      <w:r>
        <w:rPr>
          <w:noProof/>
        </w:rPr>
      </w:r>
      <w:r>
        <w:rPr>
          <w:noProof/>
        </w:rPr>
        <w:fldChar w:fldCharType="separate"/>
      </w:r>
      <w:r w:rsidR="0029649D" w:rsidRPr="005C7CA4">
        <w:rPr>
          <w:noProof/>
        </w:rPr>
        <w:t xml:space="preserve">Figure </w:t>
      </w:r>
      <w:r w:rsidR="0029649D">
        <w:rPr>
          <w:noProof/>
        </w:rPr>
        <w:t>17</w:t>
      </w:r>
      <w:r>
        <w:rPr>
          <w:noProof/>
        </w:rPr>
        <w:fldChar w:fldCharType="end"/>
      </w:r>
      <w:r>
        <w:rPr>
          <w:noProof/>
        </w:rPr>
        <w:t xml:space="preserve"> (Population 1 and 2, markov structure). </w:t>
      </w:r>
      <w:bookmarkStart w:id="558" w:name="_Ref457210111"/>
      <w:bookmarkStart w:id="559" w:name="_Toc457383695"/>
    </w:p>
    <w:p w14:paraId="5231E4B5" w14:textId="77777777" w:rsidR="00742247" w:rsidRDefault="00742247" w:rsidP="00742247">
      <w:pPr>
        <w:pStyle w:val="Caption"/>
        <w:sectPr w:rsidR="00742247" w:rsidSect="0080059D">
          <w:footerReference w:type="even" r:id="rId48"/>
          <w:type w:val="oddPage"/>
          <w:pgSz w:w="11906" w:h="16838"/>
          <w:pgMar w:top="1440" w:right="1440" w:bottom="1440" w:left="1440" w:header="720" w:footer="720" w:gutter="0"/>
          <w:paperSrc w:first="7" w:other="7"/>
          <w:cols w:space="720"/>
        </w:sectPr>
      </w:pPr>
      <w:bookmarkStart w:id="560" w:name="_Ref459901670"/>
    </w:p>
    <w:p w14:paraId="5F1FC7AC" w14:textId="77777777" w:rsidR="00742247" w:rsidRDefault="00742247" w:rsidP="00742247">
      <w:pPr>
        <w:pStyle w:val="Caption"/>
      </w:pPr>
      <w:bookmarkStart w:id="561" w:name="_Ref459981371"/>
      <w:bookmarkStart w:id="562" w:name="_Toc459987931"/>
      <w:bookmarkStart w:id="563" w:name="_Toc460514620"/>
      <w:r w:rsidRPr="005C7CA4">
        <w:lastRenderedPageBreak/>
        <w:t xml:space="preserve">Figure </w:t>
      </w:r>
      <w:fldSimple w:instr=" SEQ Figure \* ARABIC ">
        <w:r w:rsidR="0029649D">
          <w:rPr>
            <w:noProof/>
          </w:rPr>
          <w:t>13</w:t>
        </w:r>
      </w:fldSimple>
      <w:bookmarkEnd w:id="558"/>
      <w:bookmarkEnd w:id="560"/>
      <w:bookmarkEnd w:id="561"/>
      <w:r>
        <w:rPr>
          <w:noProof/>
        </w:rPr>
        <w:tab/>
      </w:r>
      <w:r>
        <w:t>Population 1: mpMRI</w:t>
      </w:r>
      <w:bookmarkEnd w:id="559"/>
      <w:bookmarkEnd w:id="562"/>
      <w:bookmarkEnd w:id="563"/>
    </w:p>
    <w:p w14:paraId="613BFC1B" w14:textId="28DF993F" w:rsidR="00742247" w:rsidRPr="00BB069C" w:rsidRDefault="008618E1" w:rsidP="00742247">
      <w:r>
        <w:rPr>
          <w:noProof/>
        </w:rPr>
        <w:drawing>
          <wp:inline distT="0" distB="0" distL="0" distR="0" wp14:anchorId="0140E41E" wp14:editId="35907A50">
            <wp:extent cx="8863330" cy="3959905"/>
            <wp:effectExtent l="0" t="0" r="0" b="2540"/>
            <wp:docPr id="4" name="Picture 4" descr="Diagrammatic structure of the economic model for population 1 mpMRI.  Information about the economic models for the assessment can be found on pg141 to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SERNIP-S data\DHA\DHA CA 1397 mpMRI prostate\Sections C, D, and E\D3 Figure 1.t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63330" cy="3959905"/>
                    </a:xfrm>
                    <a:prstGeom prst="rect">
                      <a:avLst/>
                    </a:prstGeom>
                    <a:noFill/>
                    <a:ln>
                      <a:noFill/>
                    </a:ln>
                  </pic:spPr>
                </pic:pic>
              </a:graphicData>
            </a:graphic>
          </wp:inline>
        </w:drawing>
      </w:r>
    </w:p>
    <w:p w14:paraId="554383DB" w14:textId="77777777" w:rsidR="00742247" w:rsidRDefault="00742247" w:rsidP="00742247">
      <w:pPr>
        <w:pStyle w:val="Caption"/>
        <w:ind w:left="1134" w:hanging="1134"/>
      </w:pPr>
      <w:bookmarkStart w:id="564" w:name="_Ref457210112"/>
      <w:bookmarkStart w:id="565" w:name="_Toc457383696"/>
      <w:bookmarkStart w:id="566" w:name="_Toc459987932"/>
      <w:bookmarkStart w:id="567" w:name="_Toc460514621"/>
      <w:r w:rsidRPr="005C7CA4">
        <w:lastRenderedPageBreak/>
        <w:t xml:space="preserve">Figure </w:t>
      </w:r>
      <w:fldSimple w:instr=" SEQ Figure \* ARABIC ">
        <w:r w:rsidR="0029649D">
          <w:rPr>
            <w:noProof/>
          </w:rPr>
          <w:t>14</w:t>
        </w:r>
      </w:fldSimple>
      <w:bookmarkEnd w:id="564"/>
      <w:r>
        <w:rPr>
          <w:noProof/>
        </w:rPr>
        <w:tab/>
      </w:r>
      <w:r>
        <w:t>Population 1: TRUSGB</w:t>
      </w:r>
      <w:bookmarkEnd w:id="565"/>
      <w:bookmarkEnd w:id="566"/>
      <w:bookmarkEnd w:id="567"/>
    </w:p>
    <w:p w14:paraId="1A263F8E" w14:textId="20B20069" w:rsidR="00742247" w:rsidRPr="00BB069C" w:rsidRDefault="008618E1" w:rsidP="00742247">
      <w:r>
        <w:rPr>
          <w:noProof/>
        </w:rPr>
        <w:drawing>
          <wp:inline distT="0" distB="0" distL="0" distR="0" wp14:anchorId="79946D08" wp14:editId="433282E0">
            <wp:extent cx="8863330" cy="3081138"/>
            <wp:effectExtent l="0" t="0" r="0" b="5080"/>
            <wp:docPr id="11" name="Picture 11" descr="Diagrammatic structure of the economic model for population 1: TRUSGB.  Information about the economic models for the assessment can be found on pg141 to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SERNIP-S data\DHA\DHA CA 1397 mpMRI prostate\Sections C, D, and E\D3 figure 2.t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63330" cy="3081138"/>
                    </a:xfrm>
                    <a:prstGeom prst="rect">
                      <a:avLst/>
                    </a:prstGeom>
                    <a:noFill/>
                    <a:ln>
                      <a:noFill/>
                    </a:ln>
                  </pic:spPr>
                </pic:pic>
              </a:graphicData>
            </a:graphic>
          </wp:inline>
        </w:drawing>
      </w:r>
    </w:p>
    <w:p w14:paraId="4860D9A4" w14:textId="77777777" w:rsidR="00742247" w:rsidRDefault="00742247" w:rsidP="00742247">
      <w:pPr>
        <w:pStyle w:val="Caption"/>
        <w:ind w:left="1134" w:hanging="1134"/>
      </w:pPr>
      <w:bookmarkStart w:id="568" w:name="_Ref457210114"/>
      <w:bookmarkStart w:id="569" w:name="_Toc457383697"/>
      <w:bookmarkStart w:id="570" w:name="_Toc459987933"/>
      <w:bookmarkStart w:id="571" w:name="_Toc460514622"/>
      <w:r w:rsidRPr="005C7CA4">
        <w:lastRenderedPageBreak/>
        <w:t xml:space="preserve">Figure </w:t>
      </w:r>
      <w:fldSimple w:instr=" SEQ Figure \* ARABIC ">
        <w:r w:rsidR="0029649D">
          <w:rPr>
            <w:noProof/>
          </w:rPr>
          <w:t>15</w:t>
        </w:r>
      </w:fldSimple>
      <w:bookmarkEnd w:id="568"/>
      <w:r>
        <w:rPr>
          <w:noProof/>
        </w:rPr>
        <w:tab/>
      </w:r>
      <w:r>
        <w:t>Population 2: mpMRI</w:t>
      </w:r>
      <w:bookmarkStart w:id="572" w:name="_Ref457210115"/>
      <w:bookmarkStart w:id="573" w:name="_Toc457383698"/>
      <w:bookmarkEnd w:id="569"/>
      <w:bookmarkEnd w:id="570"/>
      <w:bookmarkEnd w:id="571"/>
    </w:p>
    <w:p w14:paraId="468A451D" w14:textId="0FA80625" w:rsidR="00742247" w:rsidRPr="00BB069C" w:rsidRDefault="008618E1" w:rsidP="00742247">
      <w:r>
        <w:rPr>
          <w:noProof/>
        </w:rPr>
        <w:drawing>
          <wp:inline distT="0" distB="0" distL="0" distR="0" wp14:anchorId="68146F10" wp14:editId="549FE638">
            <wp:extent cx="8863330" cy="3203734"/>
            <wp:effectExtent l="0" t="0" r="0" b="0"/>
            <wp:docPr id="12" name="Picture 12" descr="Diagrammatic structure of the economic model for population 2: mpMRI.  Information about the economic models for the assessment can be found on pg141 to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SERNIP-S data\DHA\DHA CA 1397 mpMRI prostate\Sections C, D, and E\D3 figure 3.t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863330" cy="3203734"/>
                    </a:xfrm>
                    <a:prstGeom prst="rect">
                      <a:avLst/>
                    </a:prstGeom>
                    <a:noFill/>
                    <a:ln>
                      <a:noFill/>
                    </a:ln>
                  </pic:spPr>
                </pic:pic>
              </a:graphicData>
            </a:graphic>
          </wp:inline>
        </w:drawing>
      </w:r>
    </w:p>
    <w:p w14:paraId="418A4FE3" w14:textId="77777777" w:rsidR="00742247" w:rsidRDefault="00742247" w:rsidP="00742247">
      <w:pPr>
        <w:pStyle w:val="Caption"/>
        <w:ind w:left="1134" w:hanging="1134"/>
      </w:pPr>
      <w:bookmarkStart w:id="574" w:name="_Ref459984188"/>
      <w:bookmarkStart w:id="575" w:name="_Toc459987934"/>
      <w:bookmarkStart w:id="576" w:name="_Toc460514623"/>
      <w:r w:rsidRPr="005C7CA4">
        <w:lastRenderedPageBreak/>
        <w:t xml:space="preserve">Figure </w:t>
      </w:r>
      <w:fldSimple w:instr=" SEQ Figure \* ARABIC ">
        <w:r w:rsidR="0029649D">
          <w:rPr>
            <w:noProof/>
          </w:rPr>
          <w:t>16</w:t>
        </w:r>
      </w:fldSimple>
      <w:bookmarkEnd w:id="572"/>
      <w:bookmarkEnd w:id="574"/>
      <w:r>
        <w:rPr>
          <w:noProof/>
        </w:rPr>
        <w:tab/>
      </w:r>
      <w:r>
        <w:t>Population 2: TRUSGB</w:t>
      </w:r>
      <w:bookmarkEnd w:id="573"/>
      <w:bookmarkEnd w:id="575"/>
      <w:bookmarkEnd w:id="576"/>
    </w:p>
    <w:p w14:paraId="722795F2" w14:textId="700ACD97" w:rsidR="00742247" w:rsidRDefault="008618E1" w:rsidP="00742247">
      <w:r>
        <w:rPr>
          <w:noProof/>
        </w:rPr>
        <w:drawing>
          <wp:inline distT="0" distB="0" distL="0" distR="0" wp14:anchorId="65EF1104" wp14:editId="33D89F81">
            <wp:extent cx="8863330" cy="4266582"/>
            <wp:effectExtent l="0" t="0" r="0" b="635"/>
            <wp:docPr id="14" name="Picture 14" descr="Diagrammatic structure of the economic model for population 2: TRUSGB.  Information about the economic models for the assessment can be found on pg141 to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ASERNIP-S data\DHA\DHA CA 1397 mpMRI prostate\Sections C, D, and E\D3 figure 4.t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863330" cy="4266582"/>
                    </a:xfrm>
                    <a:prstGeom prst="rect">
                      <a:avLst/>
                    </a:prstGeom>
                    <a:noFill/>
                    <a:ln>
                      <a:noFill/>
                    </a:ln>
                  </pic:spPr>
                </pic:pic>
              </a:graphicData>
            </a:graphic>
          </wp:inline>
        </w:drawing>
      </w:r>
    </w:p>
    <w:p w14:paraId="73B066FD" w14:textId="77777777" w:rsidR="00742247" w:rsidRDefault="00742247" w:rsidP="00742247"/>
    <w:p w14:paraId="516BDE56" w14:textId="77777777" w:rsidR="00742247" w:rsidRDefault="00742247" w:rsidP="00742247">
      <w:pPr>
        <w:sectPr w:rsidR="00742247" w:rsidSect="002768CD">
          <w:type w:val="oddPage"/>
          <w:pgSz w:w="16838" w:h="11906" w:orient="landscape" w:code="9"/>
          <w:pgMar w:top="1440" w:right="1440" w:bottom="1440" w:left="1440" w:header="720" w:footer="720" w:gutter="0"/>
          <w:paperSrc w:first="500" w:other="500"/>
          <w:cols w:space="720"/>
        </w:sectPr>
      </w:pPr>
    </w:p>
    <w:p w14:paraId="323D6EC5" w14:textId="77777777" w:rsidR="00742247" w:rsidRDefault="00742247" w:rsidP="00742247">
      <w:pPr>
        <w:pStyle w:val="Caption"/>
        <w:ind w:left="1134" w:hanging="1134"/>
      </w:pPr>
      <w:bookmarkStart w:id="577" w:name="_Ref457210116"/>
      <w:bookmarkStart w:id="578" w:name="_Toc457383699"/>
      <w:bookmarkStart w:id="579" w:name="_Toc459987935"/>
      <w:bookmarkStart w:id="580" w:name="_Toc460514624"/>
      <w:r w:rsidRPr="005C7CA4">
        <w:lastRenderedPageBreak/>
        <w:t xml:space="preserve">Figure </w:t>
      </w:r>
      <w:fldSimple w:instr=" SEQ Figure \* ARABIC ">
        <w:r w:rsidR="0029649D">
          <w:rPr>
            <w:noProof/>
          </w:rPr>
          <w:t>17</w:t>
        </w:r>
      </w:fldSimple>
      <w:bookmarkEnd w:id="577"/>
      <w:r>
        <w:tab/>
        <w:t>Markov transition state</w:t>
      </w:r>
      <w:bookmarkEnd w:id="578"/>
      <w:r>
        <w:t>s</w:t>
      </w:r>
      <w:bookmarkEnd w:id="579"/>
      <w:bookmarkEnd w:id="580"/>
    </w:p>
    <w:tbl>
      <w:tblPr>
        <w:tblStyle w:val="TableGrid"/>
        <w:tblW w:w="0" w:type="auto"/>
        <w:tblLook w:val="04A0" w:firstRow="1" w:lastRow="0" w:firstColumn="1" w:lastColumn="0" w:noHBand="0" w:noVBand="1"/>
        <w:tblDescription w:val="Markov transition states"/>
      </w:tblPr>
      <w:tblGrid>
        <w:gridCol w:w="9242"/>
      </w:tblGrid>
      <w:tr w:rsidR="00742247" w14:paraId="22C1604F" w14:textId="77777777" w:rsidTr="002768CD">
        <w:trPr>
          <w:tblHeader/>
        </w:trPr>
        <w:tc>
          <w:tcPr>
            <w:tcW w:w="9242" w:type="dxa"/>
          </w:tcPr>
          <w:p w14:paraId="79CF5A1F" w14:textId="77777777" w:rsidR="00742247" w:rsidRDefault="00742247" w:rsidP="002768CD">
            <w:pPr>
              <w:ind w:left="28"/>
            </w:pPr>
            <w:r>
              <w:rPr>
                <w:noProof/>
              </w:rPr>
              <w:drawing>
                <wp:inline distT="0" distB="0" distL="0" distR="0" wp14:anchorId="1B7F7967" wp14:editId="046114FA">
                  <wp:extent cx="5610225" cy="3503671"/>
                  <wp:effectExtent l="0" t="0" r="0" b="1905"/>
                  <wp:docPr id="30" name="Picture 30" descr="Po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5876" cy="3500955"/>
                          </a:xfrm>
                          <a:prstGeom prst="rect">
                            <a:avLst/>
                          </a:prstGeom>
                          <a:noFill/>
                          <a:ln>
                            <a:noFill/>
                          </a:ln>
                        </pic:spPr>
                      </pic:pic>
                    </a:graphicData>
                  </a:graphic>
                </wp:inline>
              </w:drawing>
            </w:r>
          </w:p>
        </w:tc>
      </w:tr>
    </w:tbl>
    <w:p w14:paraId="6F9872B7" w14:textId="77777777" w:rsidR="00742247" w:rsidRDefault="00742247" w:rsidP="00742247"/>
    <w:p w14:paraId="4675C347" w14:textId="0B547EC8" w:rsidR="00742247" w:rsidRDefault="00742247" w:rsidP="00742247">
      <w:r>
        <w:t>A comparison of the economic model presented in this assessment (CA 1397) and the economic model presented by Gordon et al</w:t>
      </w:r>
      <w:r w:rsidR="009714E9">
        <w:t>.</w:t>
      </w:r>
      <w:r>
        <w:t xml:space="preserve"> (2016) is provided in </w:t>
      </w:r>
      <w:r>
        <w:fldChar w:fldCharType="begin"/>
      </w:r>
      <w:r>
        <w:instrText xml:space="preserve"> REF _Ref459714802 \h </w:instrText>
      </w:r>
      <w:r>
        <w:fldChar w:fldCharType="separate"/>
      </w:r>
      <w:r w:rsidR="0029649D" w:rsidRPr="002D269C">
        <w:t xml:space="preserve">Table </w:t>
      </w:r>
      <w:r w:rsidR="0029649D">
        <w:rPr>
          <w:noProof/>
        </w:rPr>
        <w:t>54</w:t>
      </w:r>
      <w:r>
        <w:fldChar w:fldCharType="end"/>
      </w:r>
      <w:r>
        <w:t>. The main differences between the models are the number of health states and perspectives presented. The economic evaluation presented by Gordon et al</w:t>
      </w:r>
      <w:r w:rsidR="009714E9">
        <w:t>.</w:t>
      </w:r>
      <w:r>
        <w:t xml:space="preserve"> (2016) presented 20 health states (17 health states for patients with PCa, and 3 additional states for patients undergoing screening) and in this assessment 5 health states are presented. Gordon et al</w:t>
      </w:r>
      <w:r w:rsidR="009714E9">
        <w:t>.</w:t>
      </w:r>
      <w:r>
        <w:t xml:space="preserve"> (2016) included out-of-pocket costs for patients, whereas this assessment only takes the perspective of the MBS. The key structural assumptions are the same; mean age of the cohort is 65-66 years, time horizon applied for a lifetime up to age 90 years, costs and benefits are discounted at 5</w:t>
      </w:r>
      <w:r w:rsidR="00E96DDA">
        <w:t xml:space="preserve"> per cent</w:t>
      </w:r>
      <w:r>
        <w:t xml:space="preserve">. </w:t>
      </w:r>
    </w:p>
    <w:p w14:paraId="2ED14ABE" w14:textId="3A5EF6C9" w:rsidR="00742247" w:rsidRDefault="00742247" w:rsidP="00742247">
      <w:pPr>
        <w:pStyle w:val="Caption"/>
        <w:tabs>
          <w:tab w:val="left" w:pos="1134"/>
        </w:tabs>
      </w:pPr>
      <w:bookmarkStart w:id="581" w:name="_Ref459714802"/>
      <w:bookmarkStart w:id="582" w:name="_Toc459987914"/>
      <w:bookmarkStart w:id="583" w:name="_Toc460514554"/>
      <w:r w:rsidRPr="002D269C">
        <w:t xml:space="preserve">Table </w:t>
      </w:r>
      <w:fldSimple w:instr=" SEQ Table \* ARABIC ">
        <w:r w:rsidR="0029649D">
          <w:rPr>
            <w:noProof/>
          </w:rPr>
          <w:t>54</w:t>
        </w:r>
      </w:fldSimple>
      <w:bookmarkEnd w:id="581"/>
      <w:r w:rsidRPr="002D269C">
        <w:tab/>
      </w:r>
      <w:r>
        <w:t xml:space="preserve">Comparison of key </w:t>
      </w:r>
      <w:r w:rsidRPr="002D269C">
        <w:t>economic evaluation</w:t>
      </w:r>
      <w:r>
        <w:t xml:space="preserve">s: CA 1397 and Gordon </w:t>
      </w:r>
      <w:r w:rsidR="00AA59F4">
        <w:t xml:space="preserve">et al. </w:t>
      </w:r>
      <w:r>
        <w:t>(2016)</w:t>
      </w:r>
      <w:bookmarkEnd w:id="582"/>
      <w:bookmarkEnd w:id="583"/>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84"/>
        <w:gridCol w:w="3913"/>
        <w:gridCol w:w="3915"/>
      </w:tblGrid>
      <w:tr w:rsidR="00742247" w:rsidRPr="00AA59F4" w14:paraId="3C988840" w14:textId="77777777" w:rsidTr="00AA59F4">
        <w:trPr>
          <w:trHeight w:val="20"/>
          <w:tblHeader/>
        </w:trPr>
        <w:tc>
          <w:tcPr>
            <w:tcW w:w="705" w:type="pct"/>
            <w:tcBorders>
              <w:top w:val="single" w:sz="4" w:space="0" w:color="auto"/>
              <w:left w:val="single" w:sz="4" w:space="0" w:color="auto"/>
              <w:bottom w:val="single" w:sz="4" w:space="0" w:color="auto"/>
              <w:right w:val="single" w:sz="4" w:space="0" w:color="auto"/>
            </w:tcBorders>
          </w:tcPr>
          <w:p w14:paraId="2E2D2D99" w14:textId="77777777" w:rsidR="00742247" w:rsidRPr="00AA59F4" w:rsidRDefault="00742247" w:rsidP="00722E7D">
            <w:pPr>
              <w:pStyle w:val="Tableheading1"/>
            </w:pPr>
          </w:p>
        </w:tc>
        <w:tc>
          <w:tcPr>
            <w:tcW w:w="2147" w:type="pct"/>
            <w:tcBorders>
              <w:top w:val="single" w:sz="4" w:space="0" w:color="auto"/>
              <w:left w:val="single" w:sz="4" w:space="0" w:color="auto"/>
              <w:bottom w:val="single" w:sz="4" w:space="0" w:color="auto"/>
              <w:right w:val="single" w:sz="4" w:space="0" w:color="auto"/>
            </w:tcBorders>
          </w:tcPr>
          <w:p w14:paraId="163B0081" w14:textId="77777777" w:rsidR="00742247" w:rsidRPr="00AA59F4" w:rsidRDefault="00742247" w:rsidP="00722E7D">
            <w:pPr>
              <w:pStyle w:val="Tableheading1"/>
            </w:pPr>
            <w:r w:rsidRPr="00AA59F4">
              <w:t>CA 1397</w:t>
            </w:r>
          </w:p>
        </w:tc>
        <w:tc>
          <w:tcPr>
            <w:tcW w:w="2148" w:type="pct"/>
            <w:tcBorders>
              <w:top w:val="single" w:sz="4" w:space="0" w:color="auto"/>
              <w:left w:val="single" w:sz="4" w:space="0" w:color="auto"/>
              <w:bottom w:val="single" w:sz="4" w:space="0" w:color="auto"/>
              <w:right w:val="single" w:sz="4" w:space="0" w:color="auto"/>
            </w:tcBorders>
          </w:tcPr>
          <w:p w14:paraId="708F17FF" w14:textId="682E40D4" w:rsidR="00742247" w:rsidRPr="00AA59F4" w:rsidRDefault="00742247" w:rsidP="00722E7D">
            <w:pPr>
              <w:pStyle w:val="Tableheading1"/>
            </w:pPr>
            <w:r w:rsidRPr="00AA59F4">
              <w:t>Gordon</w:t>
            </w:r>
            <w:r w:rsidR="00AA59F4" w:rsidRPr="00AA59F4">
              <w:t xml:space="preserve"> et al.</w:t>
            </w:r>
            <w:r w:rsidRPr="00AA59F4">
              <w:t xml:space="preserve"> 2016</w:t>
            </w:r>
          </w:p>
        </w:tc>
      </w:tr>
      <w:tr w:rsidR="00742247" w14:paraId="7CD18145"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42AFC768" w14:textId="77777777" w:rsidR="00742247" w:rsidRPr="00AA59F4" w:rsidRDefault="00742247" w:rsidP="00722E7D">
            <w:pPr>
              <w:pStyle w:val="Tabletext1"/>
            </w:pPr>
            <w:r w:rsidRPr="00AA59F4">
              <w:t>Perspective</w:t>
            </w:r>
          </w:p>
        </w:tc>
        <w:tc>
          <w:tcPr>
            <w:tcW w:w="2147" w:type="pct"/>
            <w:tcBorders>
              <w:top w:val="single" w:sz="4" w:space="0" w:color="auto"/>
              <w:left w:val="single" w:sz="4" w:space="0" w:color="auto"/>
              <w:bottom w:val="single" w:sz="4" w:space="0" w:color="auto"/>
              <w:right w:val="single" w:sz="4" w:space="0" w:color="auto"/>
            </w:tcBorders>
          </w:tcPr>
          <w:p w14:paraId="6C81B78C" w14:textId="77777777" w:rsidR="00742247" w:rsidRDefault="00742247" w:rsidP="00722E7D">
            <w:pPr>
              <w:pStyle w:val="Tabletext1"/>
            </w:pPr>
            <w:r>
              <w:t>MBS, health care system (Australia)</w:t>
            </w:r>
          </w:p>
        </w:tc>
        <w:tc>
          <w:tcPr>
            <w:tcW w:w="2148" w:type="pct"/>
            <w:tcBorders>
              <w:top w:val="single" w:sz="4" w:space="0" w:color="auto"/>
              <w:left w:val="single" w:sz="4" w:space="0" w:color="auto"/>
              <w:bottom w:val="single" w:sz="4" w:space="0" w:color="auto"/>
              <w:right w:val="single" w:sz="4" w:space="0" w:color="auto"/>
            </w:tcBorders>
          </w:tcPr>
          <w:p w14:paraId="476B5CBC" w14:textId="77777777" w:rsidR="00742247" w:rsidRDefault="00742247" w:rsidP="00722E7D">
            <w:pPr>
              <w:pStyle w:val="Tabletext1"/>
            </w:pPr>
            <w:r>
              <w:t xml:space="preserve">Health care system (Australia); Out of pocket costs for patients. </w:t>
            </w:r>
          </w:p>
        </w:tc>
      </w:tr>
      <w:tr w:rsidR="00742247" w:rsidRPr="00156161" w14:paraId="14582FCD"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0C592044" w14:textId="77777777" w:rsidR="00742247" w:rsidRPr="00AA59F4" w:rsidRDefault="00742247" w:rsidP="00722E7D">
            <w:pPr>
              <w:pStyle w:val="Tabletext1"/>
            </w:pPr>
            <w:r w:rsidRPr="00AA59F4">
              <w:t>Population</w:t>
            </w:r>
          </w:p>
        </w:tc>
        <w:tc>
          <w:tcPr>
            <w:tcW w:w="2147" w:type="pct"/>
            <w:tcBorders>
              <w:top w:val="single" w:sz="4" w:space="0" w:color="auto"/>
              <w:left w:val="single" w:sz="4" w:space="0" w:color="auto"/>
              <w:bottom w:val="single" w:sz="4" w:space="0" w:color="auto"/>
              <w:right w:val="single" w:sz="4" w:space="0" w:color="auto"/>
            </w:tcBorders>
          </w:tcPr>
          <w:p w14:paraId="52378F44" w14:textId="77777777" w:rsidR="00742247" w:rsidRPr="007E0D6B" w:rsidRDefault="00742247" w:rsidP="00722E7D">
            <w:pPr>
              <w:pStyle w:val="Tabletext1"/>
              <w:rPr>
                <w:i/>
              </w:rPr>
            </w:pPr>
            <w:r w:rsidRPr="007E0D6B">
              <w:rPr>
                <w:i/>
              </w:rPr>
              <w:t>Population 1</w:t>
            </w:r>
          </w:p>
          <w:p w14:paraId="3880173E" w14:textId="77777777" w:rsidR="00742247" w:rsidRDefault="00742247" w:rsidP="00722E7D">
            <w:pPr>
              <w:pStyle w:val="Tabletext1"/>
            </w:pPr>
            <w:r w:rsidRPr="007E0D6B">
              <w:t>Men with suspected PCa</w:t>
            </w:r>
            <w:r>
              <w:t>.</w:t>
            </w:r>
          </w:p>
          <w:p w14:paraId="250882D0" w14:textId="77777777" w:rsidR="00742247" w:rsidRDefault="00742247" w:rsidP="00722E7D">
            <w:pPr>
              <w:pStyle w:val="Tabletext1"/>
              <w:rPr>
                <w:i/>
              </w:rPr>
            </w:pPr>
          </w:p>
          <w:p w14:paraId="528F1E82" w14:textId="77777777" w:rsidR="00742247" w:rsidRDefault="00742247" w:rsidP="00722E7D">
            <w:pPr>
              <w:pStyle w:val="Tabletext1"/>
              <w:rPr>
                <w:i/>
              </w:rPr>
            </w:pPr>
            <w:r>
              <w:rPr>
                <w:i/>
              </w:rPr>
              <w:t>Population 2</w:t>
            </w:r>
          </w:p>
          <w:p w14:paraId="57923CDD" w14:textId="7BBCF37B" w:rsidR="00742247" w:rsidRPr="009E1464" w:rsidRDefault="00742247" w:rsidP="00722E7D">
            <w:pPr>
              <w:pStyle w:val="Tabletext1"/>
            </w:pPr>
            <w:r w:rsidRPr="009E1464">
              <w:t xml:space="preserve">Men with low to intermediate risk PCa in </w:t>
            </w:r>
            <w:r w:rsidR="00AB1EEA">
              <w:t>AS</w:t>
            </w:r>
            <w:r w:rsidRPr="009E1464">
              <w:t xml:space="preserve">. </w:t>
            </w:r>
          </w:p>
        </w:tc>
        <w:tc>
          <w:tcPr>
            <w:tcW w:w="2148" w:type="pct"/>
            <w:tcBorders>
              <w:top w:val="single" w:sz="4" w:space="0" w:color="auto"/>
              <w:left w:val="single" w:sz="4" w:space="0" w:color="auto"/>
              <w:bottom w:val="single" w:sz="4" w:space="0" w:color="auto"/>
              <w:right w:val="single" w:sz="4" w:space="0" w:color="auto"/>
            </w:tcBorders>
          </w:tcPr>
          <w:p w14:paraId="2035C9BF" w14:textId="77777777" w:rsidR="00742247" w:rsidRPr="007E0D6B" w:rsidRDefault="00742247" w:rsidP="00722E7D">
            <w:pPr>
              <w:pStyle w:val="Tabletext1"/>
              <w:rPr>
                <w:i/>
              </w:rPr>
            </w:pPr>
            <w:r w:rsidRPr="007E0D6B">
              <w:rPr>
                <w:i/>
              </w:rPr>
              <w:t>Population 1</w:t>
            </w:r>
          </w:p>
          <w:p w14:paraId="4A896799" w14:textId="77777777" w:rsidR="00742247" w:rsidRPr="00156161" w:rsidRDefault="00742247" w:rsidP="00722E7D">
            <w:pPr>
              <w:pStyle w:val="Tabletext1"/>
              <w:rPr>
                <w:highlight w:val="yellow"/>
              </w:rPr>
            </w:pPr>
            <w:r w:rsidRPr="007E0D6B">
              <w:t xml:space="preserve">Men with suspected PCa who have not had a prior biopsy. </w:t>
            </w:r>
          </w:p>
        </w:tc>
      </w:tr>
      <w:tr w:rsidR="00742247" w14:paraId="4376CD44"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162E8F6F" w14:textId="77777777" w:rsidR="00742247" w:rsidRPr="00AA59F4" w:rsidRDefault="00742247" w:rsidP="00722E7D">
            <w:pPr>
              <w:pStyle w:val="Tabletext1"/>
            </w:pPr>
            <w:r w:rsidRPr="00AA59F4">
              <w:t>Interventions</w:t>
            </w:r>
          </w:p>
        </w:tc>
        <w:tc>
          <w:tcPr>
            <w:tcW w:w="2147" w:type="pct"/>
            <w:tcBorders>
              <w:top w:val="single" w:sz="4" w:space="0" w:color="auto"/>
              <w:left w:val="single" w:sz="4" w:space="0" w:color="auto"/>
              <w:bottom w:val="single" w:sz="4" w:space="0" w:color="auto"/>
              <w:right w:val="single" w:sz="4" w:space="0" w:color="auto"/>
            </w:tcBorders>
          </w:tcPr>
          <w:p w14:paraId="13416580" w14:textId="77777777" w:rsidR="00742247" w:rsidRDefault="00742247" w:rsidP="00722E7D">
            <w:pPr>
              <w:pStyle w:val="Tabletext1"/>
            </w:pPr>
            <w:r>
              <w:t>mpMRI ± TRUSGB/TPUSGB [75%:25%]</w:t>
            </w:r>
          </w:p>
        </w:tc>
        <w:tc>
          <w:tcPr>
            <w:tcW w:w="2148" w:type="pct"/>
            <w:tcBorders>
              <w:top w:val="single" w:sz="4" w:space="0" w:color="auto"/>
              <w:left w:val="single" w:sz="4" w:space="0" w:color="auto"/>
              <w:bottom w:val="single" w:sz="4" w:space="0" w:color="auto"/>
              <w:right w:val="single" w:sz="4" w:space="0" w:color="auto"/>
            </w:tcBorders>
          </w:tcPr>
          <w:p w14:paraId="4EDFA09D" w14:textId="77777777" w:rsidR="00742247" w:rsidRDefault="00742247" w:rsidP="00722E7D">
            <w:pPr>
              <w:pStyle w:val="Tabletext1"/>
            </w:pPr>
            <w:r>
              <w:t>Strategy 2: mpMRI ± MRIGB</w:t>
            </w:r>
          </w:p>
          <w:p w14:paraId="74217AF4" w14:textId="77777777" w:rsidR="00742247" w:rsidRDefault="00742247" w:rsidP="00722E7D">
            <w:pPr>
              <w:pStyle w:val="Tabletext1"/>
            </w:pPr>
            <w:r>
              <w:t xml:space="preserve">Strategy 3: mpMRI ± (MRIGB or TRUSGB or </w:t>
            </w:r>
            <w:r>
              <w:lastRenderedPageBreak/>
              <w:t>TPUSGB) [33.3% of each type of biopsy]</w:t>
            </w:r>
          </w:p>
        </w:tc>
      </w:tr>
      <w:tr w:rsidR="00742247" w14:paraId="1F026F0D"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3FAD6F76" w14:textId="77777777" w:rsidR="00742247" w:rsidRPr="00AA59F4" w:rsidRDefault="00742247" w:rsidP="00722E7D">
            <w:pPr>
              <w:pStyle w:val="Tabletext1"/>
            </w:pPr>
            <w:r w:rsidRPr="00AA59F4">
              <w:lastRenderedPageBreak/>
              <w:t>Comparator</w:t>
            </w:r>
          </w:p>
        </w:tc>
        <w:tc>
          <w:tcPr>
            <w:tcW w:w="2147" w:type="pct"/>
            <w:tcBorders>
              <w:top w:val="single" w:sz="4" w:space="0" w:color="auto"/>
              <w:left w:val="single" w:sz="4" w:space="0" w:color="auto"/>
              <w:bottom w:val="single" w:sz="4" w:space="0" w:color="auto"/>
              <w:right w:val="single" w:sz="4" w:space="0" w:color="auto"/>
            </w:tcBorders>
          </w:tcPr>
          <w:p w14:paraId="7B99DFD3" w14:textId="77777777" w:rsidR="00742247" w:rsidRDefault="00742247" w:rsidP="00722E7D">
            <w:pPr>
              <w:pStyle w:val="Tabletext1"/>
            </w:pPr>
            <w:r>
              <w:t>TRUS</w:t>
            </w:r>
            <w:r w:rsidRPr="00713298">
              <w:t>GB</w:t>
            </w:r>
            <w:r>
              <w:t>/TPUSGB</w:t>
            </w:r>
          </w:p>
        </w:tc>
        <w:tc>
          <w:tcPr>
            <w:tcW w:w="2148" w:type="pct"/>
            <w:tcBorders>
              <w:top w:val="single" w:sz="4" w:space="0" w:color="auto"/>
              <w:left w:val="single" w:sz="4" w:space="0" w:color="auto"/>
              <w:bottom w:val="single" w:sz="4" w:space="0" w:color="auto"/>
              <w:right w:val="single" w:sz="4" w:space="0" w:color="auto"/>
            </w:tcBorders>
          </w:tcPr>
          <w:p w14:paraId="592C9950" w14:textId="77777777" w:rsidR="00742247" w:rsidRDefault="00742247" w:rsidP="00722E7D">
            <w:pPr>
              <w:pStyle w:val="Tabletext1"/>
            </w:pPr>
            <w:r>
              <w:t>Strategy 1: TRUSGB</w:t>
            </w:r>
          </w:p>
        </w:tc>
      </w:tr>
      <w:tr w:rsidR="00742247" w14:paraId="197BACCA"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3B6B0929" w14:textId="77777777" w:rsidR="00742247" w:rsidRPr="00AA59F4" w:rsidRDefault="00742247" w:rsidP="00722E7D">
            <w:pPr>
              <w:pStyle w:val="Tabletext1"/>
            </w:pPr>
            <w:r w:rsidRPr="00AA59F4">
              <w:t>Type of economic evaluation</w:t>
            </w:r>
          </w:p>
        </w:tc>
        <w:tc>
          <w:tcPr>
            <w:tcW w:w="2147" w:type="pct"/>
            <w:tcBorders>
              <w:top w:val="single" w:sz="4" w:space="0" w:color="auto"/>
              <w:left w:val="single" w:sz="4" w:space="0" w:color="auto"/>
              <w:bottom w:val="single" w:sz="4" w:space="0" w:color="auto"/>
              <w:right w:val="single" w:sz="4" w:space="0" w:color="auto"/>
            </w:tcBorders>
          </w:tcPr>
          <w:p w14:paraId="144B2FA8" w14:textId="77777777" w:rsidR="00742247" w:rsidRDefault="00742247" w:rsidP="00722E7D">
            <w:pPr>
              <w:pStyle w:val="Tabletext1"/>
            </w:pPr>
            <w:r>
              <w:t>CEA and CUA</w:t>
            </w:r>
          </w:p>
        </w:tc>
        <w:tc>
          <w:tcPr>
            <w:tcW w:w="2148" w:type="pct"/>
            <w:tcBorders>
              <w:top w:val="single" w:sz="4" w:space="0" w:color="auto"/>
              <w:left w:val="single" w:sz="4" w:space="0" w:color="auto"/>
              <w:bottom w:val="single" w:sz="4" w:space="0" w:color="auto"/>
              <w:right w:val="single" w:sz="4" w:space="0" w:color="auto"/>
            </w:tcBorders>
          </w:tcPr>
          <w:p w14:paraId="236FF7A1" w14:textId="77777777" w:rsidR="00742247" w:rsidRDefault="00742247" w:rsidP="00722E7D">
            <w:pPr>
              <w:pStyle w:val="Tabletext1"/>
            </w:pPr>
            <w:r>
              <w:t xml:space="preserve">CEA and CUA </w:t>
            </w:r>
          </w:p>
        </w:tc>
      </w:tr>
      <w:tr w:rsidR="00742247" w:rsidRPr="00ED36F2" w14:paraId="75283C35"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38A077EE" w14:textId="77777777" w:rsidR="00742247" w:rsidRPr="00AA59F4" w:rsidRDefault="00742247" w:rsidP="00722E7D">
            <w:pPr>
              <w:pStyle w:val="Tabletext1"/>
            </w:pPr>
            <w:r w:rsidRPr="00AA59F4">
              <w:t>Sources of evidence</w:t>
            </w:r>
          </w:p>
        </w:tc>
        <w:tc>
          <w:tcPr>
            <w:tcW w:w="2147" w:type="pct"/>
            <w:tcBorders>
              <w:top w:val="single" w:sz="4" w:space="0" w:color="auto"/>
              <w:left w:val="single" w:sz="4" w:space="0" w:color="auto"/>
              <w:bottom w:val="single" w:sz="4" w:space="0" w:color="auto"/>
              <w:right w:val="single" w:sz="4" w:space="0" w:color="auto"/>
            </w:tcBorders>
          </w:tcPr>
          <w:p w14:paraId="7F25C84A" w14:textId="73784C8E" w:rsidR="00742247" w:rsidRDefault="00742247" w:rsidP="00722E7D">
            <w:pPr>
              <w:pStyle w:val="Tabletext1"/>
            </w:pPr>
            <w:r w:rsidRPr="0017535D">
              <w:t xml:space="preserve">Systematic review and meta-analysis of clinical trials </w:t>
            </w:r>
            <w:r w:rsidR="006D4B7D">
              <w:t>(</w:t>
            </w:r>
            <w:r w:rsidRPr="0017535D">
              <w:t>presented in Section B</w:t>
            </w:r>
            <w:r w:rsidR="006D4B7D">
              <w:t>)</w:t>
            </w:r>
            <w:r w:rsidRPr="0017535D">
              <w:t xml:space="preserve"> </w:t>
            </w:r>
          </w:p>
        </w:tc>
        <w:tc>
          <w:tcPr>
            <w:tcW w:w="2148" w:type="pct"/>
            <w:tcBorders>
              <w:top w:val="single" w:sz="4" w:space="0" w:color="auto"/>
              <w:left w:val="single" w:sz="4" w:space="0" w:color="auto"/>
              <w:bottom w:val="single" w:sz="4" w:space="0" w:color="auto"/>
              <w:right w:val="single" w:sz="4" w:space="0" w:color="auto"/>
            </w:tcBorders>
          </w:tcPr>
          <w:p w14:paraId="6781AF20" w14:textId="77777777" w:rsidR="00742247" w:rsidRPr="00ED36F2" w:rsidRDefault="00742247" w:rsidP="00722E7D">
            <w:pPr>
              <w:pStyle w:val="Tabletext1"/>
            </w:pPr>
            <w:r>
              <w:t>Systematic literature review</w:t>
            </w:r>
          </w:p>
        </w:tc>
      </w:tr>
      <w:tr w:rsidR="00742247" w14:paraId="32AC594D"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hideMark/>
          </w:tcPr>
          <w:p w14:paraId="239AB870" w14:textId="77777777" w:rsidR="00742247" w:rsidRPr="00AA59F4" w:rsidRDefault="00742247" w:rsidP="00722E7D">
            <w:pPr>
              <w:pStyle w:val="Tabletext1"/>
            </w:pPr>
            <w:r w:rsidRPr="00AA59F4">
              <w:t>Time horizon</w:t>
            </w:r>
          </w:p>
        </w:tc>
        <w:tc>
          <w:tcPr>
            <w:tcW w:w="2147" w:type="pct"/>
            <w:tcBorders>
              <w:top w:val="single" w:sz="4" w:space="0" w:color="auto"/>
              <w:left w:val="single" w:sz="4" w:space="0" w:color="auto"/>
              <w:bottom w:val="single" w:sz="4" w:space="0" w:color="auto"/>
              <w:right w:val="single" w:sz="4" w:space="0" w:color="auto"/>
            </w:tcBorders>
          </w:tcPr>
          <w:p w14:paraId="01A26BD8" w14:textId="56B80DF5" w:rsidR="00742247" w:rsidRDefault="00742247" w:rsidP="00722E7D">
            <w:pPr>
              <w:pStyle w:val="Tabletext1"/>
            </w:pPr>
            <w:r>
              <w:t xml:space="preserve">Lifetime time horizon (25 </w:t>
            </w:r>
            <w:r w:rsidRPr="00C8788F">
              <w:t xml:space="preserve">years) in the model </w:t>
            </w:r>
            <w:r w:rsidR="002955B5">
              <w:t>base-case</w:t>
            </w:r>
          </w:p>
        </w:tc>
        <w:tc>
          <w:tcPr>
            <w:tcW w:w="2148" w:type="pct"/>
            <w:tcBorders>
              <w:top w:val="single" w:sz="4" w:space="0" w:color="auto"/>
              <w:left w:val="single" w:sz="4" w:space="0" w:color="auto"/>
              <w:bottom w:val="single" w:sz="4" w:space="0" w:color="auto"/>
              <w:right w:val="single" w:sz="4" w:space="0" w:color="auto"/>
            </w:tcBorders>
          </w:tcPr>
          <w:p w14:paraId="4F0FF810" w14:textId="60EB7CF4" w:rsidR="00742247" w:rsidRDefault="00742247" w:rsidP="00722E7D">
            <w:pPr>
              <w:pStyle w:val="Tabletext1"/>
            </w:pPr>
            <w:r>
              <w:t>Lifetime: ~30 years, max</w:t>
            </w:r>
            <w:r w:rsidR="006D4B7D">
              <w:t>imum</w:t>
            </w:r>
            <w:r>
              <w:t xml:space="preserve"> is when men reach age 90 unless they die earlier. </w:t>
            </w:r>
          </w:p>
        </w:tc>
      </w:tr>
      <w:tr w:rsidR="00742247" w14:paraId="0F80F5C8"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hideMark/>
          </w:tcPr>
          <w:p w14:paraId="18EABBF6" w14:textId="77777777" w:rsidR="00742247" w:rsidRPr="00AA59F4" w:rsidRDefault="00742247" w:rsidP="00722E7D">
            <w:pPr>
              <w:pStyle w:val="Tabletext1"/>
            </w:pPr>
            <w:r w:rsidRPr="00AA59F4">
              <w:t>Outcomes</w:t>
            </w:r>
          </w:p>
        </w:tc>
        <w:tc>
          <w:tcPr>
            <w:tcW w:w="2147" w:type="pct"/>
            <w:tcBorders>
              <w:top w:val="single" w:sz="4" w:space="0" w:color="auto"/>
              <w:left w:val="single" w:sz="4" w:space="0" w:color="auto"/>
              <w:bottom w:val="single" w:sz="4" w:space="0" w:color="auto"/>
              <w:right w:val="single" w:sz="4" w:space="0" w:color="auto"/>
            </w:tcBorders>
          </w:tcPr>
          <w:p w14:paraId="00398FCF" w14:textId="77777777" w:rsidR="00742247" w:rsidRDefault="00742247" w:rsidP="00722E7D">
            <w:pPr>
              <w:pStyle w:val="Tabletext1"/>
            </w:pPr>
            <w:r>
              <w:t xml:space="preserve">No. of biopsies </w:t>
            </w:r>
          </w:p>
          <w:p w14:paraId="3B4E9798" w14:textId="77777777" w:rsidR="00742247" w:rsidRDefault="00742247" w:rsidP="00722E7D">
            <w:pPr>
              <w:pStyle w:val="Tabletext1"/>
            </w:pPr>
            <w:r>
              <w:t>Costs</w:t>
            </w:r>
          </w:p>
          <w:p w14:paraId="511A802E" w14:textId="77777777" w:rsidR="00742247" w:rsidRDefault="00742247" w:rsidP="00722E7D">
            <w:pPr>
              <w:pStyle w:val="Tabletext1"/>
            </w:pPr>
            <w:r>
              <w:t>QALYs</w:t>
            </w:r>
          </w:p>
        </w:tc>
        <w:tc>
          <w:tcPr>
            <w:tcW w:w="2148" w:type="pct"/>
            <w:tcBorders>
              <w:top w:val="single" w:sz="4" w:space="0" w:color="auto"/>
              <w:left w:val="single" w:sz="4" w:space="0" w:color="auto"/>
              <w:bottom w:val="single" w:sz="4" w:space="0" w:color="auto"/>
              <w:right w:val="single" w:sz="4" w:space="0" w:color="auto"/>
            </w:tcBorders>
          </w:tcPr>
          <w:p w14:paraId="00B44466" w14:textId="77777777" w:rsidR="00742247" w:rsidRDefault="00742247" w:rsidP="00722E7D">
            <w:pPr>
              <w:pStyle w:val="Tabletext1"/>
            </w:pPr>
            <w:r>
              <w:t xml:space="preserve">No. of biopsies </w:t>
            </w:r>
          </w:p>
          <w:p w14:paraId="1EB0AECF" w14:textId="77777777" w:rsidR="00742247" w:rsidRDefault="00742247" w:rsidP="00722E7D">
            <w:pPr>
              <w:pStyle w:val="Tabletext1"/>
            </w:pPr>
            <w:r>
              <w:t>Costs</w:t>
            </w:r>
          </w:p>
          <w:p w14:paraId="7B2F060D" w14:textId="77777777" w:rsidR="00742247" w:rsidRDefault="00742247" w:rsidP="00722E7D">
            <w:pPr>
              <w:pStyle w:val="Tabletext1"/>
            </w:pPr>
            <w:r>
              <w:t>LYs</w:t>
            </w:r>
          </w:p>
          <w:p w14:paraId="560817AC" w14:textId="77777777" w:rsidR="00742247" w:rsidRDefault="00742247" w:rsidP="00722E7D">
            <w:pPr>
              <w:pStyle w:val="Tabletext1"/>
            </w:pPr>
            <w:r>
              <w:t>QALYs</w:t>
            </w:r>
          </w:p>
        </w:tc>
      </w:tr>
      <w:tr w:rsidR="00742247" w14:paraId="1F21A128"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hideMark/>
          </w:tcPr>
          <w:p w14:paraId="6161BA65" w14:textId="77777777" w:rsidR="00742247" w:rsidRPr="00AA59F4" w:rsidRDefault="00742247" w:rsidP="00722E7D">
            <w:pPr>
              <w:pStyle w:val="Tabletext1"/>
            </w:pPr>
            <w:r w:rsidRPr="00AA59F4">
              <w:t>Methods used to generate results</w:t>
            </w:r>
          </w:p>
        </w:tc>
        <w:tc>
          <w:tcPr>
            <w:tcW w:w="2147" w:type="pct"/>
            <w:tcBorders>
              <w:top w:val="single" w:sz="4" w:space="0" w:color="auto"/>
              <w:left w:val="single" w:sz="4" w:space="0" w:color="auto"/>
              <w:bottom w:val="single" w:sz="4" w:space="0" w:color="auto"/>
              <w:right w:val="single" w:sz="4" w:space="0" w:color="auto"/>
            </w:tcBorders>
          </w:tcPr>
          <w:p w14:paraId="7D388C21" w14:textId="77777777" w:rsidR="00742247" w:rsidRDefault="00742247" w:rsidP="00722E7D">
            <w:pPr>
              <w:pStyle w:val="Tabletext1"/>
            </w:pPr>
            <w:r w:rsidRPr="00AB652F">
              <w:t>Combined decision tree and Markov model using cohort expected value analysis</w:t>
            </w:r>
          </w:p>
        </w:tc>
        <w:tc>
          <w:tcPr>
            <w:tcW w:w="2148" w:type="pct"/>
            <w:tcBorders>
              <w:top w:val="single" w:sz="4" w:space="0" w:color="auto"/>
              <w:left w:val="single" w:sz="4" w:space="0" w:color="auto"/>
              <w:bottom w:val="single" w:sz="4" w:space="0" w:color="auto"/>
              <w:right w:val="single" w:sz="4" w:space="0" w:color="auto"/>
            </w:tcBorders>
          </w:tcPr>
          <w:p w14:paraId="7D64CD37" w14:textId="77777777" w:rsidR="00742247" w:rsidRDefault="00742247" w:rsidP="00722E7D">
            <w:pPr>
              <w:pStyle w:val="Tabletext1"/>
            </w:pPr>
            <w:r>
              <w:t xml:space="preserve">Markov model </w:t>
            </w:r>
            <w:r w:rsidRPr="00AB652F">
              <w:t>using cohort expected value analysis</w:t>
            </w:r>
          </w:p>
        </w:tc>
      </w:tr>
      <w:tr w:rsidR="00742247" w:rsidRPr="00E3218E" w14:paraId="6DC10975"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68303DD7" w14:textId="5179ED9D" w:rsidR="00742247" w:rsidRPr="00AA59F4" w:rsidRDefault="00742247" w:rsidP="00722E7D">
            <w:pPr>
              <w:pStyle w:val="Tabletext1"/>
            </w:pPr>
            <w:r w:rsidRPr="00AA59F4">
              <w:t xml:space="preserve">Health states </w:t>
            </w:r>
          </w:p>
        </w:tc>
        <w:tc>
          <w:tcPr>
            <w:tcW w:w="2147" w:type="pct"/>
            <w:tcBorders>
              <w:top w:val="single" w:sz="4" w:space="0" w:color="auto"/>
              <w:left w:val="single" w:sz="4" w:space="0" w:color="auto"/>
              <w:bottom w:val="single" w:sz="4" w:space="0" w:color="auto"/>
              <w:right w:val="single" w:sz="4" w:space="0" w:color="auto"/>
            </w:tcBorders>
          </w:tcPr>
          <w:p w14:paraId="1DC157CB" w14:textId="77777777" w:rsidR="00742247" w:rsidRDefault="00742247" w:rsidP="00722E7D">
            <w:pPr>
              <w:pStyle w:val="Tabletext1"/>
            </w:pPr>
            <w:r>
              <w:t>No prostate cancer</w:t>
            </w:r>
          </w:p>
          <w:p w14:paraId="1D51D5CC" w14:textId="77777777" w:rsidR="00742247" w:rsidRDefault="00742247" w:rsidP="00722E7D">
            <w:pPr>
              <w:pStyle w:val="Tabletext1"/>
            </w:pPr>
            <w:r>
              <w:t>Low to intermediate risk prostate cancer (insignificant cancer)</w:t>
            </w:r>
          </w:p>
          <w:p w14:paraId="6783BEC9" w14:textId="77777777" w:rsidR="00742247" w:rsidRDefault="00742247" w:rsidP="00722E7D">
            <w:pPr>
              <w:pStyle w:val="Tabletext1"/>
            </w:pPr>
            <w:r>
              <w:t>Intermediate to high risk prostate cancer (significant cancer)</w:t>
            </w:r>
          </w:p>
          <w:p w14:paraId="443B1064" w14:textId="77777777" w:rsidR="00742247" w:rsidRDefault="00742247" w:rsidP="00722E7D">
            <w:pPr>
              <w:pStyle w:val="Tabletext1"/>
            </w:pPr>
            <w:r>
              <w:t>Advanced prostate cancer</w:t>
            </w:r>
          </w:p>
          <w:p w14:paraId="28F0B155" w14:textId="77777777" w:rsidR="00742247" w:rsidRPr="0036424D" w:rsidRDefault="00742247" w:rsidP="00722E7D">
            <w:pPr>
              <w:pStyle w:val="Tabletext1"/>
            </w:pPr>
            <w:r>
              <w:t>Death</w:t>
            </w:r>
          </w:p>
        </w:tc>
        <w:tc>
          <w:tcPr>
            <w:tcW w:w="2148" w:type="pct"/>
            <w:tcBorders>
              <w:top w:val="single" w:sz="4" w:space="0" w:color="auto"/>
              <w:left w:val="single" w:sz="4" w:space="0" w:color="auto"/>
              <w:bottom w:val="single" w:sz="4" w:space="0" w:color="auto"/>
              <w:right w:val="single" w:sz="4" w:space="0" w:color="auto"/>
            </w:tcBorders>
          </w:tcPr>
          <w:p w14:paraId="34CFDE06" w14:textId="372C5E39" w:rsidR="00742247" w:rsidRPr="00BD2F9E" w:rsidRDefault="00742247" w:rsidP="00722E7D">
            <w:pPr>
              <w:pStyle w:val="Tabletext1"/>
            </w:pPr>
            <w:r w:rsidRPr="00BD2F9E">
              <w:t>The base model consisted of 17 health states (Markov model), which was altered to address research question and included additional health states</w:t>
            </w:r>
            <w:r w:rsidR="00FD109E">
              <w:t xml:space="preserve"> </w:t>
            </w:r>
            <w:r w:rsidRPr="00BD2F9E">
              <w:t>(n=3):</w:t>
            </w:r>
            <w:r w:rsidRPr="00BD2F9E">
              <w:rPr>
                <w:i/>
              </w:rPr>
              <w:t xml:space="preserve"> </w:t>
            </w:r>
          </w:p>
          <w:p w14:paraId="25856559" w14:textId="77777777" w:rsidR="00742247" w:rsidRPr="00BD2F9E" w:rsidRDefault="00742247" w:rsidP="00722E7D">
            <w:pPr>
              <w:pStyle w:val="Tabletext1"/>
            </w:pPr>
            <w:r w:rsidRPr="00BD2F9E">
              <w:t xml:space="preserve">Biopsy naïve; </w:t>
            </w:r>
          </w:p>
          <w:p w14:paraId="098DC0A8" w14:textId="77777777" w:rsidR="00742247" w:rsidRDefault="00742247" w:rsidP="00722E7D">
            <w:pPr>
              <w:pStyle w:val="Tabletext1"/>
            </w:pPr>
            <w:r w:rsidRPr="00BD2F9E">
              <w:t>PCa negative, missed PCa</w:t>
            </w:r>
            <w:r>
              <w:t xml:space="preserve"> [false negatives]</w:t>
            </w:r>
            <w:r w:rsidRPr="00BD2F9E">
              <w:t xml:space="preserve">; </w:t>
            </w:r>
          </w:p>
          <w:p w14:paraId="1E249EC9" w14:textId="77777777" w:rsidR="00742247" w:rsidRDefault="00742247" w:rsidP="00722E7D">
            <w:pPr>
              <w:pStyle w:val="Tabletext1"/>
            </w:pPr>
            <w:r w:rsidRPr="00BD2F9E">
              <w:t>PCa negative, PSA monitor</w:t>
            </w:r>
            <w:r>
              <w:t xml:space="preserve"> [true negatives]</w:t>
            </w:r>
            <w:r w:rsidRPr="00BD2F9E">
              <w:t>.</w:t>
            </w:r>
            <w:r>
              <w:t xml:space="preserve">  </w:t>
            </w:r>
          </w:p>
          <w:p w14:paraId="7DEC4FDF" w14:textId="77777777" w:rsidR="00742247" w:rsidRPr="00BD2F9E" w:rsidRDefault="00742247" w:rsidP="00722E7D">
            <w:pPr>
              <w:pStyle w:val="Tabletext1"/>
            </w:pPr>
            <w:r>
              <w:t xml:space="preserve">Men enter the base model when PCa is detected. </w:t>
            </w:r>
          </w:p>
        </w:tc>
      </w:tr>
      <w:tr w:rsidR="00742247" w:rsidRPr="00AF3107" w14:paraId="3AC37B48"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hideMark/>
          </w:tcPr>
          <w:p w14:paraId="2194B97A" w14:textId="77777777" w:rsidR="00742247" w:rsidRPr="00AA59F4" w:rsidRDefault="00742247" w:rsidP="00722E7D">
            <w:pPr>
              <w:pStyle w:val="Tabletext1"/>
            </w:pPr>
            <w:r w:rsidRPr="00AA59F4">
              <w:t>Cycle length</w:t>
            </w:r>
          </w:p>
        </w:tc>
        <w:tc>
          <w:tcPr>
            <w:tcW w:w="2147" w:type="pct"/>
            <w:tcBorders>
              <w:top w:val="single" w:sz="4" w:space="0" w:color="auto"/>
              <w:left w:val="single" w:sz="4" w:space="0" w:color="auto"/>
              <w:bottom w:val="single" w:sz="4" w:space="0" w:color="auto"/>
              <w:right w:val="single" w:sz="4" w:space="0" w:color="auto"/>
            </w:tcBorders>
          </w:tcPr>
          <w:p w14:paraId="619C4D6B" w14:textId="77777777" w:rsidR="00742247" w:rsidRDefault="00742247" w:rsidP="00722E7D">
            <w:pPr>
              <w:pStyle w:val="Tabletext1"/>
            </w:pPr>
            <w:r w:rsidRPr="00565EE7">
              <w:t>1 year</w:t>
            </w:r>
            <w:r>
              <w:t>, half-cycle correction only applied in a sensitivity analysis</w:t>
            </w:r>
          </w:p>
        </w:tc>
        <w:tc>
          <w:tcPr>
            <w:tcW w:w="2148" w:type="pct"/>
            <w:tcBorders>
              <w:top w:val="single" w:sz="4" w:space="0" w:color="auto"/>
              <w:left w:val="single" w:sz="4" w:space="0" w:color="auto"/>
              <w:bottom w:val="single" w:sz="4" w:space="0" w:color="auto"/>
              <w:right w:val="single" w:sz="4" w:space="0" w:color="auto"/>
            </w:tcBorders>
          </w:tcPr>
          <w:p w14:paraId="4452E261" w14:textId="0583D44C" w:rsidR="00742247" w:rsidRPr="00AF3107" w:rsidRDefault="00742247" w:rsidP="00722E7D">
            <w:pPr>
              <w:pStyle w:val="Tabletext1"/>
            </w:pPr>
            <w:r>
              <w:t xml:space="preserve">1 year, half cycle correction applied in the </w:t>
            </w:r>
            <w:r w:rsidR="002955B5">
              <w:t>base-case</w:t>
            </w:r>
            <w:r>
              <w:t xml:space="preserve">. </w:t>
            </w:r>
          </w:p>
        </w:tc>
      </w:tr>
      <w:tr w:rsidR="00742247" w14:paraId="2EAF270B"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785D3D0A" w14:textId="77777777" w:rsidR="00742247" w:rsidRPr="00AA59F4" w:rsidRDefault="00742247" w:rsidP="00722E7D">
            <w:pPr>
              <w:pStyle w:val="Tabletext1"/>
            </w:pPr>
            <w:r w:rsidRPr="00AA59F4">
              <w:t>Currency and year</w:t>
            </w:r>
          </w:p>
        </w:tc>
        <w:tc>
          <w:tcPr>
            <w:tcW w:w="2147" w:type="pct"/>
            <w:tcBorders>
              <w:top w:val="single" w:sz="4" w:space="0" w:color="auto"/>
              <w:left w:val="single" w:sz="4" w:space="0" w:color="auto"/>
              <w:bottom w:val="single" w:sz="4" w:space="0" w:color="auto"/>
              <w:right w:val="single" w:sz="4" w:space="0" w:color="auto"/>
            </w:tcBorders>
          </w:tcPr>
          <w:p w14:paraId="2BFB9834" w14:textId="77777777" w:rsidR="00742247" w:rsidRDefault="00742247" w:rsidP="00722E7D">
            <w:pPr>
              <w:pStyle w:val="Tabletext1"/>
            </w:pPr>
            <w:r>
              <w:t>2014 AUD $</w:t>
            </w:r>
          </w:p>
        </w:tc>
        <w:tc>
          <w:tcPr>
            <w:tcW w:w="2148" w:type="pct"/>
            <w:tcBorders>
              <w:top w:val="single" w:sz="4" w:space="0" w:color="auto"/>
              <w:left w:val="single" w:sz="4" w:space="0" w:color="auto"/>
              <w:bottom w:val="single" w:sz="4" w:space="0" w:color="auto"/>
              <w:right w:val="single" w:sz="4" w:space="0" w:color="auto"/>
            </w:tcBorders>
          </w:tcPr>
          <w:p w14:paraId="6E0AC832" w14:textId="77777777" w:rsidR="00742247" w:rsidRDefault="00742247" w:rsidP="00722E7D">
            <w:pPr>
              <w:pStyle w:val="Tabletext1"/>
            </w:pPr>
            <w:r>
              <w:t>2015 AUD $</w:t>
            </w:r>
          </w:p>
        </w:tc>
      </w:tr>
      <w:tr w:rsidR="00742247" w14:paraId="3C2A05C3" w14:textId="77777777" w:rsidTr="00AA59F4">
        <w:trPr>
          <w:trHeight w:val="20"/>
        </w:trPr>
        <w:tc>
          <w:tcPr>
            <w:tcW w:w="705" w:type="pct"/>
            <w:tcBorders>
              <w:top w:val="single" w:sz="4" w:space="0" w:color="auto"/>
              <w:left w:val="single" w:sz="4" w:space="0" w:color="auto"/>
              <w:bottom w:val="single" w:sz="4" w:space="0" w:color="auto"/>
              <w:right w:val="single" w:sz="4" w:space="0" w:color="auto"/>
            </w:tcBorders>
          </w:tcPr>
          <w:p w14:paraId="107994A9" w14:textId="77777777" w:rsidR="00742247" w:rsidRPr="00AA59F4" w:rsidRDefault="00742247" w:rsidP="00722E7D">
            <w:pPr>
              <w:pStyle w:val="Tabletext1"/>
            </w:pPr>
            <w:r w:rsidRPr="00AA59F4">
              <w:t>Discount rate</w:t>
            </w:r>
          </w:p>
        </w:tc>
        <w:tc>
          <w:tcPr>
            <w:tcW w:w="2147" w:type="pct"/>
            <w:tcBorders>
              <w:top w:val="single" w:sz="4" w:space="0" w:color="auto"/>
              <w:left w:val="single" w:sz="4" w:space="0" w:color="auto"/>
              <w:bottom w:val="single" w:sz="4" w:space="0" w:color="auto"/>
              <w:right w:val="single" w:sz="4" w:space="0" w:color="auto"/>
            </w:tcBorders>
          </w:tcPr>
          <w:p w14:paraId="2348CBB2" w14:textId="77777777" w:rsidR="00742247" w:rsidRDefault="00742247" w:rsidP="00722E7D">
            <w:pPr>
              <w:pStyle w:val="Tabletext1"/>
            </w:pPr>
            <w:r>
              <w:t>5% (costs and benefits)</w:t>
            </w:r>
          </w:p>
        </w:tc>
        <w:tc>
          <w:tcPr>
            <w:tcW w:w="2148" w:type="pct"/>
            <w:tcBorders>
              <w:top w:val="single" w:sz="4" w:space="0" w:color="auto"/>
              <w:left w:val="single" w:sz="4" w:space="0" w:color="auto"/>
              <w:bottom w:val="single" w:sz="4" w:space="0" w:color="auto"/>
              <w:right w:val="single" w:sz="4" w:space="0" w:color="auto"/>
            </w:tcBorders>
          </w:tcPr>
          <w:p w14:paraId="3ABB3D43" w14:textId="77777777" w:rsidR="00742247" w:rsidRDefault="00742247" w:rsidP="00722E7D">
            <w:pPr>
              <w:pStyle w:val="Tabletext1"/>
            </w:pPr>
            <w:r>
              <w:t>5% (costs and benefits)</w:t>
            </w:r>
          </w:p>
        </w:tc>
      </w:tr>
    </w:tbl>
    <w:p w14:paraId="332BDC30" w14:textId="233F146A" w:rsidR="00742247" w:rsidRDefault="006D4B7D" w:rsidP="006D4B7D">
      <w:pPr>
        <w:pStyle w:val="TableNotes"/>
      </w:pPr>
      <w:r>
        <w:t xml:space="preserve">MBS = medical benefits scheme, mpMRI = multiparametric MRI, MRIGB = MRI guided biopsy, TRUSGB = trans-rectal ultrasound guided biopsy, TPUSGB = trans-perineal ultrasound guided biopsy, CEA = cost-effectiveness analysis, CUA = cost-utility analysis, QALY = quality of life-years, AUD = Australian dollar, LY = life years, PCa = prostate cancer. </w:t>
      </w:r>
    </w:p>
    <w:p w14:paraId="34AAE8D1" w14:textId="77777777" w:rsidR="00742247" w:rsidRPr="00183E4D" w:rsidRDefault="00742247" w:rsidP="00742247">
      <w:pPr>
        <w:pStyle w:val="Heading3"/>
      </w:pPr>
      <w:bookmarkStart w:id="584" w:name="_Toc455916063"/>
      <w:bookmarkStart w:id="585" w:name="_Toc457383620"/>
      <w:bookmarkStart w:id="586" w:name="_Toc459987868"/>
      <w:bookmarkStart w:id="587" w:name="_Toc460513988"/>
      <w:r w:rsidRPr="00183E4D">
        <w:t>Assumptions incorp</w:t>
      </w:r>
      <w:r>
        <w:t>orated into the model structure</w:t>
      </w:r>
      <w:bookmarkEnd w:id="584"/>
      <w:bookmarkEnd w:id="585"/>
      <w:bookmarkEnd w:id="586"/>
      <w:bookmarkEnd w:id="587"/>
    </w:p>
    <w:p w14:paraId="1BB2696D" w14:textId="77777777" w:rsidR="00742247" w:rsidRPr="008E167A" w:rsidRDefault="00742247" w:rsidP="00742247">
      <w:r>
        <w:t>In estimating the costs and outcomes of mpMRI ± prostate biopsy compared with prostate biopsy, several assumptions were made:</w:t>
      </w:r>
    </w:p>
    <w:p w14:paraId="268349B9" w14:textId="77777777" w:rsidR="00742247" w:rsidRPr="008E167A" w:rsidRDefault="00742247" w:rsidP="00A3402C">
      <w:pPr>
        <w:pStyle w:val="ListParagraph"/>
        <w:numPr>
          <w:ilvl w:val="0"/>
          <w:numId w:val="30"/>
        </w:numPr>
        <w:contextualSpacing w:val="0"/>
        <w:jc w:val="left"/>
      </w:pPr>
      <w:r w:rsidRPr="008E167A">
        <w:t>All patients enter the model at age 66, which is the mean age of PCa diagnosis in Australia. Over time patients that have entered the model will age, and their background mortality</w:t>
      </w:r>
      <w:r>
        <w:t xml:space="preserve"> (obtained from ABS statistics) will</w:t>
      </w:r>
      <w:r w:rsidRPr="008E167A">
        <w:t xml:space="preserve"> change accordingly.</w:t>
      </w:r>
    </w:p>
    <w:p w14:paraId="15B010DB" w14:textId="03A4ED4F" w:rsidR="00742247" w:rsidRPr="00DD7461" w:rsidRDefault="00742247" w:rsidP="00A3402C">
      <w:pPr>
        <w:pStyle w:val="ListParagraph"/>
        <w:numPr>
          <w:ilvl w:val="0"/>
          <w:numId w:val="30"/>
        </w:numPr>
        <w:contextualSpacing w:val="0"/>
      </w:pPr>
      <w:r>
        <w:t xml:space="preserve">All patients enter the model as men with suspected PCa (Population 1). Patients that are entering Population 2, men with low or intermediate risk prostate cancer undergoing </w:t>
      </w:r>
      <w:r w:rsidR="00AB1EEA">
        <w:t>AS</w:t>
      </w:r>
      <w:r>
        <w:t xml:space="preserve">, are a subset of what previously used to be Population 1. </w:t>
      </w:r>
    </w:p>
    <w:p w14:paraId="1E836273" w14:textId="507B5500" w:rsidR="00742247" w:rsidRDefault="00742247" w:rsidP="00A3402C">
      <w:pPr>
        <w:pStyle w:val="ListParagraph"/>
        <w:numPr>
          <w:ilvl w:val="0"/>
          <w:numId w:val="30"/>
        </w:numPr>
        <w:contextualSpacing w:val="0"/>
        <w:jc w:val="left"/>
      </w:pPr>
      <w:r>
        <w:lastRenderedPageBreak/>
        <w:t>A</w:t>
      </w:r>
      <w:r w:rsidRPr="00DD7461">
        <w:t xml:space="preserve"> cost associated with delayed diagnosis is applied for patients with false negative results.</w:t>
      </w:r>
      <w:r>
        <w:t xml:space="preserve"> Delayed diagnosis was assumed not to impact PCa prognosis (see </w:t>
      </w:r>
      <w:r w:rsidR="003B2A31">
        <w:t>Sub</w:t>
      </w:r>
      <w:r>
        <w:t xml:space="preserve">section C.3). </w:t>
      </w:r>
    </w:p>
    <w:p w14:paraId="316494CB" w14:textId="77777777" w:rsidR="00742247" w:rsidRDefault="00742247" w:rsidP="00A3402C">
      <w:pPr>
        <w:pStyle w:val="ListParagraph"/>
        <w:numPr>
          <w:ilvl w:val="0"/>
          <w:numId w:val="30"/>
        </w:numPr>
        <w:contextualSpacing w:val="0"/>
      </w:pPr>
      <w:r w:rsidRPr="00304C28">
        <w:t xml:space="preserve">Patients with false positive results have the same prognosis as </w:t>
      </w:r>
      <w:r>
        <w:t xml:space="preserve">other patients without cancer, but were assumed to spend a year under “active surveillance” (like low/intermediate risk prostate cancer patients).  </w:t>
      </w:r>
    </w:p>
    <w:p w14:paraId="7AAD005E" w14:textId="77777777" w:rsidR="00742247" w:rsidRDefault="00742247" w:rsidP="00A3402C">
      <w:pPr>
        <w:pStyle w:val="ListParagraph"/>
        <w:numPr>
          <w:ilvl w:val="0"/>
          <w:numId w:val="30"/>
        </w:numPr>
        <w:contextualSpacing w:val="0"/>
      </w:pPr>
      <w:r>
        <w:t xml:space="preserve">Patients may remain in any health state or progress, but may not regress. </w:t>
      </w:r>
    </w:p>
    <w:p w14:paraId="59F40112" w14:textId="588B0052" w:rsidR="00742247" w:rsidRDefault="00742247" w:rsidP="00A3402C">
      <w:pPr>
        <w:pStyle w:val="ListParagraph"/>
        <w:numPr>
          <w:ilvl w:val="0"/>
          <w:numId w:val="30"/>
        </w:numPr>
        <w:contextualSpacing w:val="0"/>
      </w:pPr>
      <w:r>
        <w:t>The introduction of m</w:t>
      </w:r>
      <w:r w:rsidRPr="00735093">
        <w:t xml:space="preserve">pMRI </w:t>
      </w:r>
      <w:r>
        <w:t>does not alter the rest of the clinical treatment algorithm, i.e. the types of biopsies used remain the same. For t</w:t>
      </w:r>
      <w:r w:rsidRPr="00735093">
        <w:t xml:space="preserve">he </w:t>
      </w:r>
      <w:r w:rsidR="002955B5">
        <w:t>base-case</w:t>
      </w:r>
      <w:r>
        <w:t xml:space="preserve">, a weighted </w:t>
      </w:r>
      <w:r w:rsidRPr="00912DB8">
        <w:t>average of the various t</w:t>
      </w:r>
      <w:r>
        <w:t>ypes of biopsy is assumed (TRUSGB, 75%; and TPUS</w:t>
      </w:r>
      <w:r w:rsidRPr="00912DB8">
        <w:t xml:space="preserve">GB 25%). </w:t>
      </w:r>
      <w:r>
        <w:t xml:space="preserve">This assumption is made as </w:t>
      </w:r>
      <w:r w:rsidR="00E96DDA">
        <w:t>MRIGB</w:t>
      </w:r>
      <w:r>
        <w:t xml:space="preserve"> is currently not available on the MBS. The use of </w:t>
      </w:r>
      <w:r w:rsidR="00E96DDA">
        <w:t>MRIGB</w:t>
      </w:r>
      <w:r w:rsidRPr="00912DB8">
        <w:t xml:space="preserve"> </w:t>
      </w:r>
      <w:r>
        <w:t>wa</w:t>
      </w:r>
      <w:r w:rsidRPr="00912DB8">
        <w:t>s included in a sensitivity analysis</w:t>
      </w:r>
      <w:r>
        <w:t xml:space="preserve">. Accuracy of </w:t>
      </w:r>
      <w:r w:rsidR="00E96DDA">
        <w:t>MRIGB</w:t>
      </w:r>
      <w:r>
        <w:t xml:space="preserve"> was aligned with </w:t>
      </w:r>
      <w:r w:rsidRPr="00912DB8">
        <w:t>the as</w:t>
      </w:r>
      <w:r>
        <w:t xml:space="preserve">sessment being conducted for </w:t>
      </w:r>
      <w:r w:rsidR="00E96DDA">
        <w:t>MRIGB</w:t>
      </w:r>
      <w:r w:rsidRPr="00912DB8">
        <w:t xml:space="preserve"> (</w:t>
      </w:r>
      <w:r>
        <w:t>CA 1424</w:t>
      </w:r>
      <w:r w:rsidRPr="00912DB8">
        <w:t>).</w:t>
      </w:r>
      <w:r>
        <w:t xml:space="preserve"> </w:t>
      </w:r>
    </w:p>
    <w:p w14:paraId="00D9F12D" w14:textId="77777777" w:rsidR="00742247" w:rsidRPr="00DD7461" w:rsidRDefault="00742247" w:rsidP="00A3402C">
      <w:pPr>
        <w:pStyle w:val="ListParagraph"/>
        <w:numPr>
          <w:ilvl w:val="0"/>
          <w:numId w:val="30"/>
        </w:numPr>
        <w:contextualSpacing w:val="0"/>
      </w:pPr>
      <w:r>
        <w:t>Patients are managed according to the clinical algorithms presented in Section A.</w:t>
      </w:r>
    </w:p>
    <w:p w14:paraId="4405F276" w14:textId="77777777" w:rsidR="00742247" w:rsidRDefault="00742247" w:rsidP="00742247">
      <w:pPr>
        <w:pStyle w:val="Heading2"/>
        <w:numPr>
          <w:ilvl w:val="3"/>
          <w:numId w:val="8"/>
        </w:numPr>
        <w:jc w:val="left"/>
      </w:pPr>
      <w:bookmarkStart w:id="588" w:name="_Toc381796479"/>
      <w:bookmarkStart w:id="589" w:name="_Toc455916064"/>
      <w:bookmarkStart w:id="590" w:name="_Toc457383621"/>
      <w:bookmarkStart w:id="591" w:name="_Toc459987869"/>
      <w:bookmarkStart w:id="592" w:name="_Toc460513989"/>
      <w:r w:rsidRPr="00183E4D">
        <w:t>Inputs to the economic evaluation</w:t>
      </w:r>
      <w:bookmarkEnd w:id="588"/>
      <w:bookmarkEnd w:id="589"/>
      <w:bookmarkEnd w:id="590"/>
      <w:bookmarkEnd w:id="591"/>
      <w:bookmarkEnd w:id="592"/>
    </w:p>
    <w:p w14:paraId="33336BAA" w14:textId="77777777" w:rsidR="00742247" w:rsidRDefault="00742247" w:rsidP="00742247">
      <w:r>
        <w:t>The variables in the economic evaluation are presented in the following categories:</w:t>
      </w:r>
    </w:p>
    <w:p w14:paraId="56B6330C" w14:textId="77777777" w:rsidR="00742247" w:rsidRDefault="00742247" w:rsidP="00A3402C">
      <w:pPr>
        <w:pStyle w:val="ListParagraph"/>
        <w:numPr>
          <w:ilvl w:val="0"/>
          <w:numId w:val="37"/>
        </w:numPr>
        <w:spacing w:after="120"/>
        <w:ind w:left="714" w:hanging="357"/>
        <w:contextualSpacing w:val="0"/>
        <w:jc w:val="left"/>
      </w:pPr>
      <w:r>
        <w:t>Transition probabilities</w:t>
      </w:r>
    </w:p>
    <w:p w14:paraId="26D1287B" w14:textId="77777777" w:rsidR="00742247" w:rsidRDefault="00742247" w:rsidP="00A3402C">
      <w:pPr>
        <w:pStyle w:val="ListParagraph"/>
        <w:numPr>
          <w:ilvl w:val="0"/>
          <w:numId w:val="37"/>
        </w:numPr>
        <w:spacing w:after="120"/>
        <w:ind w:left="714" w:hanging="357"/>
        <w:contextualSpacing w:val="0"/>
        <w:jc w:val="left"/>
      </w:pPr>
      <w:r>
        <w:t>Complications associated with biopsy, and treatment related AEs</w:t>
      </w:r>
    </w:p>
    <w:p w14:paraId="410AB759" w14:textId="77777777" w:rsidR="00742247" w:rsidRDefault="00742247" w:rsidP="00A3402C">
      <w:pPr>
        <w:pStyle w:val="ListParagraph"/>
        <w:numPr>
          <w:ilvl w:val="0"/>
          <w:numId w:val="37"/>
        </w:numPr>
        <w:spacing w:after="120"/>
        <w:ind w:left="714" w:hanging="357"/>
        <w:contextualSpacing w:val="0"/>
        <w:jc w:val="left"/>
      </w:pPr>
      <w:r>
        <w:t>Costs</w:t>
      </w:r>
    </w:p>
    <w:p w14:paraId="5328A1CE" w14:textId="14499910" w:rsidR="00742247" w:rsidRDefault="00742247" w:rsidP="00A3402C">
      <w:pPr>
        <w:pStyle w:val="ListParagraph"/>
        <w:numPr>
          <w:ilvl w:val="0"/>
          <w:numId w:val="37"/>
        </w:numPr>
        <w:spacing w:after="120"/>
        <w:ind w:left="714" w:hanging="357"/>
        <w:contextualSpacing w:val="0"/>
        <w:jc w:val="left"/>
      </w:pPr>
      <w:r>
        <w:t>Utility values</w:t>
      </w:r>
      <w:r w:rsidR="00BD0137">
        <w:t>.</w:t>
      </w:r>
    </w:p>
    <w:p w14:paraId="58D438D2" w14:textId="77777777" w:rsidR="00742247" w:rsidRDefault="00742247" w:rsidP="00742247">
      <w:pPr>
        <w:pStyle w:val="Heading3"/>
      </w:pPr>
      <w:bookmarkStart w:id="593" w:name="_Toc457383622"/>
      <w:bookmarkStart w:id="594" w:name="_Toc459987870"/>
      <w:bookmarkStart w:id="595" w:name="_Toc460513990"/>
      <w:r>
        <w:t>Transition probabilities</w:t>
      </w:r>
      <w:bookmarkEnd w:id="593"/>
      <w:bookmarkEnd w:id="594"/>
      <w:bookmarkEnd w:id="595"/>
    </w:p>
    <w:p w14:paraId="6094BA16" w14:textId="0F432AD5" w:rsidR="00742247" w:rsidRDefault="00742247" w:rsidP="00742247">
      <w:r w:rsidRPr="007E0BF7">
        <w:t xml:space="preserve">Probabilities in the decision tree were dependent on test accuracy. The key accuracy inputs in the model are the sensitivity and specificity of mpMRI and prostate biopsy. Test accuracy information for mpMRI was obtained from Section B.3.6. </w:t>
      </w:r>
      <w:r>
        <w:t>Gordon et al</w:t>
      </w:r>
      <w:r w:rsidR="00B73A57">
        <w:t>.</w:t>
      </w:r>
      <w:r>
        <w:t xml:space="preserve"> (2016) obtained test accuracy of mpMRI from a meta-ana</w:t>
      </w:r>
      <w:r w:rsidR="00B73A57">
        <w:t>lysis by de Rooji et al. (2014) (sensitivity 76%, specificity 86%)</w:t>
      </w:r>
      <w:r>
        <w:t>. The estimate for sensitivity from de Rooji et al</w:t>
      </w:r>
      <w:r w:rsidR="00B73A57">
        <w:t>. (2014) is similar to the base-</w:t>
      </w:r>
      <w:r>
        <w:t>case estimate in this assessment, but higher than the estimate from the pooled Australian studies; and the estimate for spec</w:t>
      </w:r>
      <w:r w:rsidR="00B73A57">
        <w:t>ificity is higher than the base-</w:t>
      </w:r>
      <w:r>
        <w:t xml:space="preserve">case in this assessment, but similar to the pooled Australian estimate. </w:t>
      </w:r>
    </w:p>
    <w:p w14:paraId="44B3CA1D" w14:textId="2664979D" w:rsidR="00742247" w:rsidRDefault="00742247" w:rsidP="00742247">
      <w:r w:rsidRPr="007E0BF7">
        <w:t>Test accuracy information for the various types of biopsies was aligned with the group c</w:t>
      </w:r>
      <w:r>
        <w:t xml:space="preserve">onducting the assessment for </w:t>
      </w:r>
      <w:r w:rsidR="00E96DDA">
        <w:t>MRIGB</w:t>
      </w:r>
      <w:r w:rsidRPr="007E0BF7">
        <w:t xml:space="preserve"> (</w:t>
      </w:r>
      <w:r>
        <w:t>CA 1424</w:t>
      </w:r>
      <w:r w:rsidRPr="007E0BF7">
        <w:t xml:space="preserve">). All accuracy inputs are presented in </w:t>
      </w:r>
      <w:r w:rsidRPr="007E0BF7">
        <w:fldChar w:fldCharType="begin"/>
      </w:r>
      <w:r w:rsidRPr="007E0BF7">
        <w:instrText xml:space="preserve"> REF _Ref456623732 \h  \* MERGEFORMAT </w:instrText>
      </w:r>
      <w:r w:rsidRPr="007E0BF7">
        <w:fldChar w:fldCharType="separate"/>
      </w:r>
      <w:r w:rsidR="0029649D" w:rsidRPr="002D269C">
        <w:t xml:space="preserve">Table </w:t>
      </w:r>
      <w:r w:rsidR="0029649D">
        <w:rPr>
          <w:noProof/>
        </w:rPr>
        <w:t>55</w:t>
      </w:r>
      <w:r w:rsidRPr="007E0BF7">
        <w:fldChar w:fldCharType="end"/>
      </w:r>
      <w:r w:rsidRPr="007E0BF7">
        <w:t>. In the base-case, 75</w:t>
      </w:r>
      <w:r w:rsidR="00B73A57">
        <w:t xml:space="preserve"> per cent</w:t>
      </w:r>
      <w:r w:rsidRPr="007E0BF7">
        <w:t xml:space="preserve"> of the prostate b</w:t>
      </w:r>
      <w:r>
        <w:t>iopsies were assumed to be TRUS</w:t>
      </w:r>
      <w:r w:rsidRPr="007E0BF7">
        <w:t>GB and 25</w:t>
      </w:r>
      <w:r w:rsidR="00B73A57">
        <w:t xml:space="preserve"> per cent</w:t>
      </w:r>
      <w:r w:rsidRPr="007E0BF7">
        <w:t xml:space="preserve"> of the prostate biopsies were assumed </w:t>
      </w:r>
      <w:r>
        <w:t>to be TPUSGB. Accuracy of TPUS</w:t>
      </w:r>
      <w:r w:rsidRPr="007E0BF7">
        <w:t>GB was assumed to be equal</w:t>
      </w:r>
      <w:r>
        <w:t xml:space="preserve"> to TRUSGB. </w:t>
      </w:r>
      <w:r>
        <w:lastRenderedPageBreak/>
        <w:t xml:space="preserve">Given that </w:t>
      </w:r>
      <w:r w:rsidR="00E96DDA">
        <w:t>MRI</w:t>
      </w:r>
      <w:r w:rsidR="00E96DDA" w:rsidRPr="007E0BF7">
        <w:t xml:space="preserve">GB </w:t>
      </w:r>
      <w:r w:rsidRPr="007E0BF7">
        <w:t>for prostate cancer diagnosis is not currently listed on the MBS, the impact of using this type of biopsy on the cost-utility of mpMRI was evaluated in a sensitivity analysis in Section D.6.</w:t>
      </w:r>
      <w:r>
        <w:t xml:space="preserve"> </w:t>
      </w:r>
    </w:p>
    <w:p w14:paraId="405D987F" w14:textId="157355FA" w:rsidR="00742247" w:rsidRDefault="00742247" w:rsidP="00742247">
      <w:pPr>
        <w:pStyle w:val="Caption"/>
        <w:tabs>
          <w:tab w:val="left" w:pos="1134"/>
        </w:tabs>
        <w:ind w:left="1134" w:hanging="1134"/>
      </w:pPr>
      <w:bookmarkStart w:id="596" w:name="_Ref456623732"/>
      <w:bookmarkStart w:id="597" w:name="_Toc457383676"/>
      <w:bookmarkStart w:id="598" w:name="_Toc459987915"/>
      <w:bookmarkStart w:id="599" w:name="_Toc460514555"/>
      <w:r w:rsidRPr="002D269C">
        <w:t xml:space="preserve">Table </w:t>
      </w:r>
      <w:fldSimple w:instr=" SEQ Table \* ARABIC ">
        <w:r w:rsidR="0029649D">
          <w:rPr>
            <w:noProof/>
          </w:rPr>
          <w:t>55</w:t>
        </w:r>
      </w:fldSimple>
      <w:bookmarkEnd w:id="596"/>
      <w:r w:rsidRPr="002D269C">
        <w:tab/>
      </w:r>
      <w:r>
        <w:t xml:space="preserve">Test accuracy of mpMRI, TRUSGB/TPUSGB and </w:t>
      </w:r>
      <w:bookmarkEnd w:id="597"/>
      <w:bookmarkEnd w:id="598"/>
      <w:r w:rsidR="00E96DDA">
        <w:t>MRIGB</w:t>
      </w:r>
      <w:bookmarkEnd w:id="599"/>
    </w:p>
    <w:tbl>
      <w:tblPr>
        <w:tblStyle w:val="TableGrid"/>
        <w:tblW w:w="9112" w:type="dxa"/>
        <w:tblInd w:w="130" w:type="dxa"/>
        <w:tblCellMar>
          <w:left w:w="28" w:type="dxa"/>
          <w:right w:w="28" w:type="dxa"/>
        </w:tblCellMar>
        <w:tblLook w:val="04A0" w:firstRow="1" w:lastRow="0" w:firstColumn="1" w:lastColumn="0" w:noHBand="0" w:noVBand="1"/>
        <w:tblDescription w:val="Test accuracy of mpMRI, TRUSGB/TPUSGB and MRGB"/>
      </w:tblPr>
      <w:tblGrid>
        <w:gridCol w:w="1874"/>
        <w:gridCol w:w="1914"/>
        <w:gridCol w:w="1912"/>
        <w:gridCol w:w="1706"/>
        <w:gridCol w:w="1706"/>
      </w:tblGrid>
      <w:tr w:rsidR="00742247" w:rsidRPr="00DC4DE8" w14:paraId="04D9CE32" w14:textId="77777777" w:rsidTr="00AA59F4">
        <w:trPr>
          <w:trHeight w:val="20"/>
          <w:tblHeader/>
        </w:trPr>
        <w:tc>
          <w:tcPr>
            <w:tcW w:w="1028" w:type="pct"/>
            <w:tcBorders>
              <w:bottom w:val="single" w:sz="4" w:space="0" w:color="auto"/>
            </w:tcBorders>
          </w:tcPr>
          <w:p w14:paraId="61B0116F" w14:textId="77777777" w:rsidR="00742247" w:rsidRPr="00DC4DE8" w:rsidRDefault="00742247" w:rsidP="00DC4DE8">
            <w:pPr>
              <w:pStyle w:val="Tableheading1"/>
            </w:pPr>
            <w:r w:rsidRPr="00DC4DE8">
              <w:t>Description</w:t>
            </w:r>
          </w:p>
        </w:tc>
        <w:tc>
          <w:tcPr>
            <w:tcW w:w="1050" w:type="pct"/>
            <w:tcBorders>
              <w:bottom w:val="single" w:sz="4" w:space="0" w:color="auto"/>
            </w:tcBorders>
          </w:tcPr>
          <w:p w14:paraId="3A99AC3C" w14:textId="3EAC34C5" w:rsidR="00742247" w:rsidRPr="00DC4DE8" w:rsidRDefault="00742247" w:rsidP="00DC4DE8">
            <w:pPr>
              <w:pStyle w:val="Tableheading1"/>
            </w:pPr>
            <w:r w:rsidRPr="00DC4DE8">
              <w:t>Sensi</w:t>
            </w:r>
            <w:r w:rsidR="00722E7D" w:rsidRPr="00DC4DE8">
              <w:t>tivity, mean [</w:t>
            </w:r>
            <w:r w:rsidRPr="00DC4DE8">
              <w:t>95%CI</w:t>
            </w:r>
            <w:r w:rsidR="00722E7D" w:rsidRPr="00DC4DE8">
              <w:t>]</w:t>
            </w:r>
          </w:p>
        </w:tc>
        <w:tc>
          <w:tcPr>
            <w:tcW w:w="1049" w:type="pct"/>
            <w:tcBorders>
              <w:bottom w:val="single" w:sz="4" w:space="0" w:color="auto"/>
            </w:tcBorders>
          </w:tcPr>
          <w:p w14:paraId="34715CA1" w14:textId="3A5BC788" w:rsidR="00742247" w:rsidRPr="00DC4DE8" w:rsidRDefault="00722E7D" w:rsidP="00DC4DE8">
            <w:pPr>
              <w:pStyle w:val="Tableheading1"/>
            </w:pPr>
            <w:r w:rsidRPr="00DC4DE8">
              <w:t>Specificity, mean [95%CI]</w:t>
            </w:r>
          </w:p>
        </w:tc>
        <w:tc>
          <w:tcPr>
            <w:tcW w:w="936" w:type="pct"/>
            <w:tcBorders>
              <w:bottom w:val="single" w:sz="4" w:space="0" w:color="auto"/>
            </w:tcBorders>
          </w:tcPr>
          <w:p w14:paraId="7BFB565D" w14:textId="77777777" w:rsidR="00742247" w:rsidRPr="00DC4DE8" w:rsidRDefault="00742247" w:rsidP="00DC4DE8">
            <w:pPr>
              <w:pStyle w:val="Tableheading1"/>
            </w:pPr>
            <w:r w:rsidRPr="00DC4DE8">
              <w:t>Source</w:t>
            </w:r>
          </w:p>
        </w:tc>
        <w:tc>
          <w:tcPr>
            <w:tcW w:w="936" w:type="pct"/>
            <w:tcBorders>
              <w:bottom w:val="single" w:sz="4" w:space="0" w:color="auto"/>
            </w:tcBorders>
          </w:tcPr>
          <w:p w14:paraId="742D31BB" w14:textId="77777777" w:rsidR="00742247" w:rsidRPr="00DC4DE8" w:rsidRDefault="00742247" w:rsidP="00DC4DE8">
            <w:pPr>
              <w:pStyle w:val="Tableheading1"/>
            </w:pPr>
            <w:r w:rsidRPr="00DC4DE8">
              <w:t>Used in</w:t>
            </w:r>
          </w:p>
        </w:tc>
      </w:tr>
      <w:tr w:rsidR="00742247" w:rsidRPr="00DC4DE8" w14:paraId="42E0CF60" w14:textId="77777777" w:rsidTr="00AA59F4">
        <w:trPr>
          <w:trHeight w:val="20"/>
        </w:trPr>
        <w:tc>
          <w:tcPr>
            <w:tcW w:w="1028" w:type="pct"/>
            <w:tcBorders>
              <w:right w:val="single" w:sz="4" w:space="0" w:color="auto"/>
            </w:tcBorders>
          </w:tcPr>
          <w:p w14:paraId="32C80000" w14:textId="77777777" w:rsidR="00742247" w:rsidRPr="00DC4DE8" w:rsidRDefault="00742247" w:rsidP="00DC4DE8">
            <w:pPr>
              <w:pStyle w:val="Tabletext1"/>
            </w:pPr>
            <w:r w:rsidRPr="00DC4DE8">
              <w:t>mpMRI</w:t>
            </w:r>
          </w:p>
        </w:tc>
        <w:tc>
          <w:tcPr>
            <w:tcW w:w="1050" w:type="pct"/>
            <w:tcBorders>
              <w:left w:val="single" w:sz="4" w:space="0" w:color="auto"/>
              <w:right w:val="single" w:sz="4" w:space="0" w:color="auto"/>
            </w:tcBorders>
          </w:tcPr>
          <w:p w14:paraId="3DB4BD71" w14:textId="71F41FEB" w:rsidR="00742247" w:rsidRPr="00DC4DE8" w:rsidRDefault="00722E7D" w:rsidP="00DC4DE8">
            <w:pPr>
              <w:pStyle w:val="Tabletext1"/>
            </w:pPr>
            <w:r w:rsidRPr="00DC4DE8">
              <w:t>73.4% [57%, 85%]</w:t>
            </w:r>
          </w:p>
        </w:tc>
        <w:tc>
          <w:tcPr>
            <w:tcW w:w="1049" w:type="pct"/>
            <w:tcBorders>
              <w:left w:val="single" w:sz="4" w:space="0" w:color="auto"/>
              <w:right w:val="single" w:sz="4" w:space="0" w:color="auto"/>
            </w:tcBorders>
          </w:tcPr>
          <w:p w14:paraId="59D46FCA" w14:textId="62A2A7D5" w:rsidR="00742247" w:rsidRPr="00DC4DE8" w:rsidRDefault="00722E7D" w:rsidP="00DC4DE8">
            <w:pPr>
              <w:pStyle w:val="Tabletext1"/>
            </w:pPr>
            <w:r w:rsidRPr="00DC4DE8">
              <w:t>77.1% [63.5%, 86.7%]</w:t>
            </w:r>
          </w:p>
        </w:tc>
        <w:tc>
          <w:tcPr>
            <w:tcW w:w="936" w:type="pct"/>
            <w:tcBorders>
              <w:left w:val="single" w:sz="4" w:space="0" w:color="auto"/>
            </w:tcBorders>
            <w:shd w:val="clear" w:color="auto" w:fill="auto"/>
          </w:tcPr>
          <w:p w14:paraId="45D18D1F" w14:textId="77777777" w:rsidR="00742247" w:rsidRPr="00DC4DE8" w:rsidRDefault="00742247" w:rsidP="00DC4DE8">
            <w:pPr>
              <w:pStyle w:val="Tabletext1"/>
            </w:pPr>
            <w:r w:rsidRPr="00DC4DE8">
              <w:t>Section B.3.6</w:t>
            </w:r>
          </w:p>
        </w:tc>
        <w:tc>
          <w:tcPr>
            <w:tcW w:w="936" w:type="pct"/>
            <w:tcBorders>
              <w:left w:val="single" w:sz="4" w:space="0" w:color="auto"/>
            </w:tcBorders>
          </w:tcPr>
          <w:p w14:paraId="131FB7F4" w14:textId="20A93EEE" w:rsidR="00742247" w:rsidRPr="00DC4DE8" w:rsidRDefault="00B73A57" w:rsidP="00DC4DE8">
            <w:pPr>
              <w:pStyle w:val="Tabletext1"/>
            </w:pPr>
            <w:r w:rsidRPr="00DC4DE8">
              <w:t>Base-</w:t>
            </w:r>
            <w:r w:rsidR="00742247" w:rsidRPr="00DC4DE8">
              <w:t>case</w:t>
            </w:r>
          </w:p>
        </w:tc>
      </w:tr>
      <w:tr w:rsidR="00742247" w:rsidRPr="00DC4DE8" w14:paraId="44843D74" w14:textId="77777777" w:rsidTr="00AA59F4">
        <w:trPr>
          <w:trHeight w:val="20"/>
        </w:trPr>
        <w:tc>
          <w:tcPr>
            <w:tcW w:w="1028" w:type="pct"/>
            <w:tcBorders>
              <w:bottom w:val="single" w:sz="4" w:space="0" w:color="auto"/>
            </w:tcBorders>
          </w:tcPr>
          <w:p w14:paraId="45807782" w14:textId="77777777" w:rsidR="00742247" w:rsidRPr="00DC4DE8" w:rsidRDefault="00742247" w:rsidP="00DC4DE8">
            <w:pPr>
              <w:pStyle w:val="Tabletext1"/>
            </w:pPr>
            <w:r w:rsidRPr="00DC4DE8">
              <w:t>mpMRI (Australian studies only)a</w:t>
            </w:r>
          </w:p>
        </w:tc>
        <w:tc>
          <w:tcPr>
            <w:tcW w:w="1050" w:type="pct"/>
            <w:tcBorders>
              <w:bottom w:val="single" w:sz="4" w:space="0" w:color="auto"/>
            </w:tcBorders>
          </w:tcPr>
          <w:p w14:paraId="6C7583B3" w14:textId="012AB504" w:rsidR="00742247" w:rsidRPr="00DC4DE8" w:rsidRDefault="00742247" w:rsidP="00DC4DE8">
            <w:pPr>
              <w:pStyle w:val="Tabletext1"/>
              <w:rPr>
                <w:highlight w:val="yellow"/>
              </w:rPr>
            </w:pPr>
            <w:r w:rsidRPr="00DC4DE8">
              <w:t xml:space="preserve">54.3% </w:t>
            </w:r>
            <w:r w:rsidR="00722E7D" w:rsidRPr="00DC4DE8">
              <w:t>[</w:t>
            </w:r>
            <w:r w:rsidRPr="00DC4DE8">
              <w:t xml:space="preserve">38.3%, </w:t>
            </w:r>
            <w:r w:rsidR="00722E7D" w:rsidRPr="00DC4DE8">
              <w:t>69.5%]</w:t>
            </w:r>
          </w:p>
        </w:tc>
        <w:tc>
          <w:tcPr>
            <w:tcW w:w="1049" w:type="pct"/>
            <w:tcBorders>
              <w:bottom w:val="single" w:sz="4" w:space="0" w:color="auto"/>
            </w:tcBorders>
          </w:tcPr>
          <w:p w14:paraId="734A632F" w14:textId="024FFB22" w:rsidR="00742247" w:rsidRPr="00DC4DE8" w:rsidRDefault="00722E7D" w:rsidP="00DC4DE8">
            <w:pPr>
              <w:pStyle w:val="Tabletext1"/>
              <w:rPr>
                <w:highlight w:val="yellow"/>
              </w:rPr>
            </w:pPr>
            <w:r w:rsidRPr="00DC4DE8">
              <w:t>87.2% [</w:t>
            </w:r>
            <w:r w:rsidR="00742247" w:rsidRPr="00DC4DE8">
              <w:t>74.8%, 94.0</w:t>
            </w:r>
            <w:r w:rsidRPr="00DC4DE8">
              <w:t>%]</w:t>
            </w:r>
          </w:p>
        </w:tc>
        <w:tc>
          <w:tcPr>
            <w:tcW w:w="936" w:type="pct"/>
            <w:tcBorders>
              <w:bottom w:val="single" w:sz="4" w:space="0" w:color="auto"/>
            </w:tcBorders>
            <w:shd w:val="clear" w:color="auto" w:fill="auto"/>
          </w:tcPr>
          <w:p w14:paraId="07CBF757" w14:textId="77777777" w:rsidR="00742247" w:rsidRPr="00DC4DE8" w:rsidRDefault="00742247" w:rsidP="00DC4DE8">
            <w:pPr>
              <w:pStyle w:val="Tabletext1"/>
            </w:pPr>
            <w:r w:rsidRPr="00DC4DE8">
              <w:t>Section C.2</w:t>
            </w:r>
          </w:p>
        </w:tc>
        <w:tc>
          <w:tcPr>
            <w:tcW w:w="936" w:type="pct"/>
            <w:tcBorders>
              <w:bottom w:val="single" w:sz="4" w:space="0" w:color="auto"/>
            </w:tcBorders>
          </w:tcPr>
          <w:p w14:paraId="36DC826C" w14:textId="77777777" w:rsidR="00742247" w:rsidRPr="00DC4DE8" w:rsidRDefault="00742247" w:rsidP="00DC4DE8">
            <w:pPr>
              <w:pStyle w:val="Tabletext1"/>
            </w:pPr>
            <w:r w:rsidRPr="00DC4DE8">
              <w:t>Sensitivity analysis B</w:t>
            </w:r>
          </w:p>
        </w:tc>
      </w:tr>
      <w:tr w:rsidR="00742247" w:rsidRPr="00DC4DE8" w14:paraId="4107B984" w14:textId="77777777" w:rsidTr="00AA59F4">
        <w:trPr>
          <w:trHeight w:val="20"/>
        </w:trPr>
        <w:tc>
          <w:tcPr>
            <w:tcW w:w="1028" w:type="pct"/>
          </w:tcPr>
          <w:p w14:paraId="20366B47" w14:textId="77777777" w:rsidR="00742247" w:rsidRPr="00DC4DE8" w:rsidRDefault="00742247" w:rsidP="00DC4DE8">
            <w:pPr>
              <w:pStyle w:val="Tabletext1"/>
            </w:pPr>
            <w:r w:rsidRPr="00DC4DE8">
              <w:t>TRUSGB</w:t>
            </w:r>
          </w:p>
        </w:tc>
        <w:tc>
          <w:tcPr>
            <w:tcW w:w="1050" w:type="pct"/>
          </w:tcPr>
          <w:p w14:paraId="62BE37FE" w14:textId="0A3CCC5A" w:rsidR="00742247" w:rsidRPr="00DC4DE8" w:rsidRDefault="00722E7D" w:rsidP="00DC4DE8">
            <w:pPr>
              <w:pStyle w:val="Tabletext1"/>
              <w:rPr>
                <w:highlight w:val="yellow"/>
              </w:rPr>
            </w:pPr>
            <w:r w:rsidRPr="00DC4DE8">
              <w:t>81% [</w:t>
            </w:r>
            <w:r w:rsidR="00742247" w:rsidRPr="00DC4DE8">
              <w:t>70%, 88</w:t>
            </w:r>
            <w:r w:rsidRPr="00DC4DE8">
              <w:t>%]</w:t>
            </w:r>
          </w:p>
        </w:tc>
        <w:tc>
          <w:tcPr>
            <w:tcW w:w="1049" w:type="pct"/>
          </w:tcPr>
          <w:p w14:paraId="3676E3C4" w14:textId="1B363343" w:rsidR="00742247" w:rsidRPr="00DC4DE8" w:rsidRDefault="00722E7D" w:rsidP="00DC4DE8">
            <w:pPr>
              <w:pStyle w:val="Tabletext1"/>
              <w:rPr>
                <w:highlight w:val="yellow"/>
              </w:rPr>
            </w:pPr>
            <w:r w:rsidRPr="00DC4DE8">
              <w:t>93.64% [</w:t>
            </w:r>
            <w:r w:rsidR="00742247" w:rsidRPr="00DC4DE8">
              <w:t>89.4%, 96.3%</w:t>
            </w:r>
            <w:r w:rsidRPr="00DC4DE8">
              <w:t>]</w:t>
            </w:r>
          </w:p>
        </w:tc>
        <w:tc>
          <w:tcPr>
            <w:tcW w:w="936" w:type="pct"/>
          </w:tcPr>
          <w:p w14:paraId="0A0C9D8A" w14:textId="11566BAD" w:rsidR="00742247" w:rsidRPr="00DC4DE8" w:rsidRDefault="00742247" w:rsidP="00DC4DE8">
            <w:pPr>
              <w:pStyle w:val="Tabletext1"/>
            </w:pPr>
            <w:r w:rsidRPr="00DC4DE8">
              <w:t>S</w:t>
            </w:r>
            <w:r w:rsidR="00E366A4" w:rsidRPr="00DC4DE8">
              <w:t>c</w:t>
            </w:r>
            <w:r w:rsidRPr="00DC4DE8">
              <w:t xml:space="preserve">hoots </w:t>
            </w:r>
            <w:r w:rsidR="00E366A4" w:rsidRPr="00DC4DE8">
              <w:t xml:space="preserve">et al. </w:t>
            </w:r>
            <w:r w:rsidRPr="00DC4DE8">
              <w:t xml:space="preserve">2015 Table 3; Pokorny </w:t>
            </w:r>
            <w:r w:rsidR="00E366A4" w:rsidRPr="00DC4DE8">
              <w:t>et al. (</w:t>
            </w:r>
            <w:r w:rsidRPr="00DC4DE8">
              <w:t>2014</w:t>
            </w:r>
            <w:r w:rsidR="00E366A4" w:rsidRPr="00DC4DE8">
              <w:t>)</w:t>
            </w:r>
            <w:r w:rsidRPr="00DC4DE8">
              <w:t xml:space="preserve"> Table 5</w:t>
            </w:r>
          </w:p>
        </w:tc>
        <w:tc>
          <w:tcPr>
            <w:tcW w:w="936" w:type="pct"/>
          </w:tcPr>
          <w:p w14:paraId="2104679D" w14:textId="5487E51B" w:rsidR="00742247" w:rsidRPr="00DC4DE8" w:rsidRDefault="00B73A57" w:rsidP="00DC4DE8">
            <w:pPr>
              <w:pStyle w:val="Tabletext1"/>
            </w:pPr>
            <w:r w:rsidRPr="00DC4DE8">
              <w:t>Base-</w:t>
            </w:r>
            <w:r w:rsidR="00742247" w:rsidRPr="00DC4DE8">
              <w:t>case</w:t>
            </w:r>
          </w:p>
        </w:tc>
      </w:tr>
      <w:tr w:rsidR="00742247" w:rsidRPr="00DC4DE8" w14:paraId="7BC00B5A" w14:textId="77777777" w:rsidTr="00AA59F4">
        <w:trPr>
          <w:trHeight w:val="20"/>
        </w:trPr>
        <w:tc>
          <w:tcPr>
            <w:tcW w:w="1028" w:type="pct"/>
          </w:tcPr>
          <w:p w14:paraId="6064E1BB" w14:textId="77777777" w:rsidR="00742247" w:rsidRPr="00DC4DE8" w:rsidRDefault="00742247" w:rsidP="00DC4DE8">
            <w:pPr>
              <w:pStyle w:val="Tabletext1"/>
            </w:pPr>
            <w:r w:rsidRPr="00DC4DE8">
              <w:t>TPUSGB</w:t>
            </w:r>
          </w:p>
        </w:tc>
        <w:tc>
          <w:tcPr>
            <w:tcW w:w="1050" w:type="pct"/>
          </w:tcPr>
          <w:p w14:paraId="1934A88A" w14:textId="2E5A6D90" w:rsidR="00742247" w:rsidRPr="00DC4DE8" w:rsidRDefault="00722E7D" w:rsidP="00DC4DE8">
            <w:pPr>
              <w:pStyle w:val="Tabletext1"/>
              <w:rPr>
                <w:highlight w:val="yellow"/>
              </w:rPr>
            </w:pPr>
            <w:r w:rsidRPr="00DC4DE8">
              <w:t>81% [</w:t>
            </w:r>
            <w:r w:rsidR="00742247" w:rsidRPr="00DC4DE8">
              <w:t>70%, 88%</w:t>
            </w:r>
            <w:r w:rsidRPr="00DC4DE8">
              <w:t>]</w:t>
            </w:r>
          </w:p>
        </w:tc>
        <w:tc>
          <w:tcPr>
            <w:tcW w:w="1049" w:type="pct"/>
          </w:tcPr>
          <w:p w14:paraId="1432754D" w14:textId="6838FDC5" w:rsidR="00742247" w:rsidRPr="00DC4DE8" w:rsidRDefault="00722E7D" w:rsidP="00DC4DE8">
            <w:pPr>
              <w:pStyle w:val="Tabletext1"/>
              <w:rPr>
                <w:highlight w:val="yellow"/>
              </w:rPr>
            </w:pPr>
            <w:r w:rsidRPr="00DC4DE8">
              <w:t>93.64% [</w:t>
            </w:r>
            <w:r w:rsidR="00742247" w:rsidRPr="00DC4DE8">
              <w:t>89.4%, 96.3%</w:t>
            </w:r>
            <w:r w:rsidRPr="00DC4DE8">
              <w:t>]</w:t>
            </w:r>
          </w:p>
        </w:tc>
        <w:tc>
          <w:tcPr>
            <w:tcW w:w="936" w:type="pct"/>
          </w:tcPr>
          <w:p w14:paraId="6ECAC32B" w14:textId="77777777" w:rsidR="00742247" w:rsidRPr="00DC4DE8" w:rsidRDefault="00742247" w:rsidP="00DC4DE8">
            <w:pPr>
              <w:pStyle w:val="Tabletext1"/>
              <w:rPr>
                <w:highlight w:val="yellow"/>
              </w:rPr>
            </w:pPr>
            <w:r w:rsidRPr="00DC4DE8">
              <w:t xml:space="preserve">Assumed equal to TRUSGB </w:t>
            </w:r>
          </w:p>
        </w:tc>
        <w:tc>
          <w:tcPr>
            <w:tcW w:w="936" w:type="pct"/>
          </w:tcPr>
          <w:p w14:paraId="73AE2B4D" w14:textId="50C66224" w:rsidR="00742247" w:rsidRPr="00DC4DE8" w:rsidRDefault="00B73A57" w:rsidP="00DC4DE8">
            <w:pPr>
              <w:pStyle w:val="Tabletext1"/>
            </w:pPr>
            <w:r w:rsidRPr="00DC4DE8">
              <w:t>Base-</w:t>
            </w:r>
            <w:r w:rsidR="00742247" w:rsidRPr="00DC4DE8">
              <w:t>case</w:t>
            </w:r>
          </w:p>
        </w:tc>
      </w:tr>
      <w:tr w:rsidR="00742247" w:rsidRPr="00DC4DE8" w14:paraId="2A049CD7" w14:textId="77777777" w:rsidTr="00AA59F4">
        <w:trPr>
          <w:trHeight w:val="20"/>
        </w:trPr>
        <w:tc>
          <w:tcPr>
            <w:tcW w:w="1028" w:type="pct"/>
          </w:tcPr>
          <w:p w14:paraId="11806892" w14:textId="55B70179" w:rsidR="00742247" w:rsidRPr="00DC4DE8" w:rsidRDefault="00E96DDA" w:rsidP="00DC4DE8">
            <w:pPr>
              <w:pStyle w:val="Tabletext1"/>
            </w:pPr>
            <w:r w:rsidRPr="00DC4DE8">
              <w:t>MRIGB</w:t>
            </w:r>
            <w:r w:rsidR="00742247" w:rsidRPr="00DC4DE8">
              <w:t>b</w:t>
            </w:r>
          </w:p>
        </w:tc>
        <w:tc>
          <w:tcPr>
            <w:tcW w:w="1050" w:type="pct"/>
          </w:tcPr>
          <w:p w14:paraId="063859AC" w14:textId="0ACC1297" w:rsidR="00742247" w:rsidRPr="00DC4DE8" w:rsidRDefault="00742247" w:rsidP="00DC4DE8">
            <w:pPr>
              <w:pStyle w:val="Tabletext1"/>
            </w:pPr>
            <w:r w:rsidRPr="00DC4DE8">
              <w:t xml:space="preserve">85% </w:t>
            </w:r>
            <w:r w:rsidR="00722E7D" w:rsidRPr="00DC4DE8">
              <w:t>[</w:t>
            </w:r>
            <w:r w:rsidRPr="00DC4DE8">
              <w:t>80%, 89%</w:t>
            </w:r>
            <w:r w:rsidR="00722E7D" w:rsidRPr="00DC4DE8">
              <w:t>]</w:t>
            </w:r>
          </w:p>
        </w:tc>
        <w:tc>
          <w:tcPr>
            <w:tcW w:w="1049" w:type="pct"/>
          </w:tcPr>
          <w:p w14:paraId="3AD4CA8A" w14:textId="6DCD9166" w:rsidR="00742247" w:rsidRPr="00DC4DE8" w:rsidRDefault="00722E7D" w:rsidP="00DC4DE8">
            <w:pPr>
              <w:pStyle w:val="Tabletext1"/>
              <w:rPr>
                <w:highlight w:val="yellow"/>
              </w:rPr>
            </w:pPr>
            <w:r w:rsidRPr="00DC4DE8">
              <w:t>96.91% [</w:t>
            </w:r>
            <w:r w:rsidR="00742247" w:rsidRPr="00DC4DE8">
              <w:t>93.4%, 98.6%</w:t>
            </w:r>
            <w:r w:rsidRPr="00DC4DE8">
              <w:t>]</w:t>
            </w:r>
          </w:p>
        </w:tc>
        <w:tc>
          <w:tcPr>
            <w:tcW w:w="936" w:type="pct"/>
          </w:tcPr>
          <w:p w14:paraId="106AECAC" w14:textId="7038CE1A" w:rsidR="00742247" w:rsidRPr="00DC4DE8" w:rsidRDefault="00742247" w:rsidP="00DC4DE8">
            <w:pPr>
              <w:pStyle w:val="Tabletext1"/>
            </w:pPr>
            <w:r w:rsidRPr="00DC4DE8">
              <w:t>S</w:t>
            </w:r>
            <w:r w:rsidR="00E241B7" w:rsidRPr="00DC4DE8">
              <w:t>c</w:t>
            </w:r>
            <w:r w:rsidRPr="00DC4DE8">
              <w:t xml:space="preserve">hoots </w:t>
            </w:r>
            <w:r w:rsidR="00E241B7" w:rsidRPr="00DC4DE8">
              <w:t>et al. (</w:t>
            </w:r>
            <w:r w:rsidRPr="00DC4DE8">
              <w:t>2015</w:t>
            </w:r>
            <w:r w:rsidR="00E241B7" w:rsidRPr="00DC4DE8">
              <w:t>)</w:t>
            </w:r>
            <w:r w:rsidRPr="00DC4DE8">
              <w:t xml:space="preserve"> Table 3;</w:t>
            </w:r>
          </w:p>
          <w:p w14:paraId="71064278" w14:textId="2F923117" w:rsidR="00742247" w:rsidRPr="00DC4DE8" w:rsidRDefault="00742247" w:rsidP="00DC4DE8">
            <w:pPr>
              <w:pStyle w:val="Tabletext1"/>
            </w:pPr>
            <w:r w:rsidRPr="00DC4DE8">
              <w:t xml:space="preserve">Pokorny </w:t>
            </w:r>
            <w:r w:rsidR="00E241B7" w:rsidRPr="00DC4DE8">
              <w:t>et al. (</w:t>
            </w:r>
            <w:r w:rsidRPr="00DC4DE8">
              <w:t>2014</w:t>
            </w:r>
            <w:r w:rsidR="00E241B7" w:rsidRPr="00DC4DE8">
              <w:t>)</w:t>
            </w:r>
            <w:r w:rsidRPr="00DC4DE8">
              <w:t xml:space="preserve"> Table 5 </w:t>
            </w:r>
          </w:p>
        </w:tc>
        <w:tc>
          <w:tcPr>
            <w:tcW w:w="936" w:type="pct"/>
          </w:tcPr>
          <w:p w14:paraId="1830FA72" w14:textId="77777777" w:rsidR="00742247" w:rsidRPr="00DC4DE8" w:rsidRDefault="00742247" w:rsidP="00DC4DE8">
            <w:pPr>
              <w:pStyle w:val="Tabletext1"/>
            </w:pPr>
            <w:r w:rsidRPr="00DC4DE8">
              <w:t>Sensitivity analysis A</w:t>
            </w:r>
          </w:p>
        </w:tc>
      </w:tr>
    </w:tbl>
    <w:p w14:paraId="6D6C2CB4" w14:textId="7BA7B218" w:rsidR="006D4B7D" w:rsidRDefault="006D4B7D" w:rsidP="00DD5A81">
      <w:pPr>
        <w:pStyle w:val="TableNotes"/>
      </w:pPr>
      <w:r w:rsidRPr="006D4B7D">
        <w:rPr>
          <w:vertAlign w:val="superscript"/>
        </w:rPr>
        <w:t>a</w:t>
      </w:r>
      <w:r>
        <w:t xml:space="preserve">: Australian studies include, </w:t>
      </w:r>
      <w:r w:rsidRPr="00F57A4B">
        <w:t>Pokorny</w:t>
      </w:r>
      <w:r>
        <w:t xml:space="preserve"> </w:t>
      </w:r>
      <w:r w:rsidR="000F49C6">
        <w:t>et al. (</w:t>
      </w:r>
      <w:r>
        <w:t>2014</w:t>
      </w:r>
      <w:r w:rsidR="000F49C6">
        <w:t>)</w:t>
      </w:r>
      <w:r w:rsidRPr="00F57A4B">
        <w:t xml:space="preserve">, Thompson </w:t>
      </w:r>
      <w:r w:rsidR="000F49C6">
        <w:t>et al. (</w:t>
      </w:r>
      <w:r w:rsidRPr="00F57A4B">
        <w:t>2014</w:t>
      </w:r>
      <w:r w:rsidR="000F49C6">
        <w:t>)</w:t>
      </w:r>
      <w:r w:rsidRPr="00F57A4B">
        <w:t xml:space="preserve"> and Thompson </w:t>
      </w:r>
      <w:r w:rsidR="000F49C6">
        <w:t>et al. (</w:t>
      </w:r>
      <w:r w:rsidRPr="00F57A4B">
        <w:t>2016</w:t>
      </w:r>
      <w:r w:rsidR="000F49C6">
        <w:t>)</w:t>
      </w:r>
      <w:r>
        <w:t>.</w:t>
      </w:r>
    </w:p>
    <w:p w14:paraId="69FBF3CB" w14:textId="6681AAD7" w:rsidR="006D4B7D" w:rsidRPr="00F57A4B" w:rsidRDefault="006D4B7D" w:rsidP="00DD5A81">
      <w:pPr>
        <w:pStyle w:val="TableNotes"/>
      </w:pPr>
      <w:r w:rsidRPr="006D4B7D">
        <w:rPr>
          <w:vertAlign w:val="superscript"/>
        </w:rPr>
        <w:t>b</w:t>
      </w:r>
      <w:r>
        <w:t>: Accuracy measures for MRIGB were provided by the assessment group (CA 1424)</w:t>
      </w:r>
      <w:r w:rsidR="00BD0137">
        <w:t>.</w:t>
      </w:r>
      <w:r>
        <w:t xml:space="preserve"> </w:t>
      </w:r>
    </w:p>
    <w:p w14:paraId="0E01AB24" w14:textId="29BF2528" w:rsidR="00742247" w:rsidRDefault="00742247" w:rsidP="00DD5A81">
      <w:pPr>
        <w:pStyle w:val="TableNotes"/>
      </w:pPr>
      <w:r w:rsidRPr="00FB3D7F">
        <w:t>CI</w:t>
      </w:r>
      <w:r w:rsidR="00E241B7">
        <w:t xml:space="preserve"> =</w:t>
      </w:r>
      <w:r w:rsidRPr="00FB3D7F">
        <w:t xml:space="preserve"> confidence interval</w:t>
      </w:r>
      <w:r w:rsidR="00E241B7">
        <w:t>,</w:t>
      </w:r>
      <w:r>
        <w:t xml:space="preserve"> mpMRI</w:t>
      </w:r>
      <w:r w:rsidR="00E241B7">
        <w:t xml:space="preserve"> =</w:t>
      </w:r>
      <w:r>
        <w:t xml:space="preserve"> multiparametric MRI</w:t>
      </w:r>
      <w:r w:rsidR="00E241B7">
        <w:t>,</w:t>
      </w:r>
      <w:r>
        <w:t xml:space="preserve"> </w:t>
      </w:r>
      <w:r w:rsidR="00E96DDA">
        <w:t>MRIGB</w:t>
      </w:r>
      <w:r w:rsidR="00E241B7">
        <w:t xml:space="preserve"> =</w:t>
      </w:r>
      <w:r w:rsidRPr="00FB3D7F">
        <w:t xml:space="preserve"> magneti</w:t>
      </w:r>
      <w:r>
        <w:t>c resonance guided biopsy</w:t>
      </w:r>
      <w:r w:rsidR="00E241B7">
        <w:t>,</w:t>
      </w:r>
      <w:r>
        <w:t xml:space="preserve"> TPUS</w:t>
      </w:r>
      <w:r w:rsidRPr="00FB3D7F">
        <w:t>GB</w:t>
      </w:r>
      <w:r w:rsidR="00E241B7">
        <w:t xml:space="preserve"> =</w:t>
      </w:r>
      <w:r w:rsidRPr="00FB3D7F">
        <w:t xml:space="preserve"> trans</w:t>
      </w:r>
      <w:r w:rsidR="00E241B7">
        <w:t>-</w:t>
      </w:r>
      <w:r w:rsidRPr="00FB3D7F">
        <w:t>perineal</w:t>
      </w:r>
      <w:r>
        <w:t xml:space="preserve"> ultrasound guided biopsy</w:t>
      </w:r>
      <w:r w:rsidR="00E241B7">
        <w:t>,</w:t>
      </w:r>
      <w:r>
        <w:t xml:space="preserve"> TRUS</w:t>
      </w:r>
      <w:r w:rsidRPr="00FB3D7F">
        <w:t>GB</w:t>
      </w:r>
      <w:r w:rsidR="00E241B7">
        <w:t xml:space="preserve"> =</w:t>
      </w:r>
      <w:r w:rsidRPr="00FB3D7F">
        <w:t xml:space="preserve"> trans</w:t>
      </w:r>
      <w:r w:rsidR="00E241B7">
        <w:t>-</w:t>
      </w:r>
      <w:r>
        <w:t xml:space="preserve">rectal ultrasound guided biopsy. </w:t>
      </w:r>
    </w:p>
    <w:p w14:paraId="2AB995BA" w14:textId="0E0FAE4E" w:rsidR="00742247" w:rsidRPr="008C28E6" w:rsidRDefault="0006197B" w:rsidP="00742247">
      <w:pPr>
        <w:spacing w:after="120"/>
      </w:pPr>
      <w:bookmarkStart w:id="600" w:name="_Toc455916067"/>
      <w:r>
        <w:t>T</w:t>
      </w:r>
      <w:r w:rsidR="00742247" w:rsidRPr="008C28E6">
        <w:t>o calculate the probabilities associated with each of the branches</w:t>
      </w:r>
      <w:r w:rsidR="00742247">
        <w:t xml:space="preserve"> in the decision tree</w:t>
      </w:r>
      <w:r w:rsidR="00742247" w:rsidRPr="008C28E6">
        <w:t>, the following formulas were used:</w:t>
      </w:r>
    </w:p>
    <w:p w14:paraId="2CB1CC66" w14:textId="77777777" w:rsidR="00742247" w:rsidRPr="008C28E6" w:rsidRDefault="00742247" w:rsidP="00A3402C">
      <w:pPr>
        <w:pStyle w:val="ListParagraph"/>
        <w:numPr>
          <w:ilvl w:val="0"/>
          <w:numId w:val="39"/>
        </w:numPr>
        <w:spacing w:after="120"/>
        <w:contextualSpacing w:val="0"/>
        <w:jc w:val="left"/>
      </w:pPr>
      <w:r w:rsidRPr="008C28E6">
        <w:t>Probability of a positive test = sensitivity*prevalence + (1-specificity)*(1-prevalence).</w:t>
      </w:r>
    </w:p>
    <w:p w14:paraId="3BFB3800" w14:textId="77777777" w:rsidR="00742247" w:rsidRPr="008C28E6" w:rsidRDefault="00742247" w:rsidP="00A3402C">
      <w:pPr>
        <w:pStyle w:val="ListParagraph"/>
        <w:numPr>
          <w:ilvl w:val="0"/>
          <w:numId w:val="39"/>
        </w:numPr>
        <w:spacing w:after="120"/>
        <w:contextualSpacing w:val="0"/>
        <w:jc w:val="left"/>
      </w:pPr>
      <w:r w:rsidRPr="008C28E6">
        <w:t>Positive predictive value = sensitivity*prevalence / sensitivity*prevalence + (1-specificity)*(1-prevalence).</w:t>
      </w:r>
    </w:p>
    <w:p w14:paraId="2FA034C3" w14:textId="77777777" w:rsidR="00742247" w:rsidRPr="008C28E6" w:rsidRDefault="00742247" w:rsidP="00A3402C">
      <w:pPr>
        <w:pStyle w:val="ListParagraph"/>
        <w:numPr>
          <w:ilvl w:val="0"/>
          <w:numId w:val="39"/>
        </w:numPr>
        <w:spacing w:after="120"/>
        <w:contextualSpacing w:val="0"/>
        <w:jc w:val="left"/>
      </w:pPr>
      <w:r w:rsidRPr="008C28E6">
        <w:t>Probability of a negative test = (1-sensitivity)*prevalence + specificity*(1-prevalence).</w:t>
      </w:r>
    </w:p>
    <w:p w14:paraId="3014F1BC" w14:textId="77777777" w:rsidR="00742247" w:rsidRPr="008C28E6" w:rsidRDefault="00742247" w:rsidP="00A3402C">
      <w:pPr>
        <w:pStyle w:val="ListParagraph"/>
        <w:numPr>
          <w:ilvl w:val="0"/>
          <w:numId w:val="39"/>
        </w:numPr>
        <w:spacing w:after="120"/>
        <w:contextualSpacing w:val="0"/>
        <w:jc w:val="left"/>
      </w:pPr>
      <w:r w:rsidRPr="008C28E6">
        <w:t>Negative predictive value = specificity * (1-prevalence) / (1-sensitivity)*prevalence + specificity*(1-prevalence).</w:t>
      </w:r>
    </w:p>
    <w:p w14:paraId="2E8A8B6B" w14:textId="44365BA6" w:rsidR="00742247" w:rsidRDefault="00742247" w:rsidP="00742247">
      <w:pPr>
        <w:spacing w:after="120"/>
      </w:pPr>
      <w:r>
        <w:t>Prevalence of prostate cancer in Population 1 was assumed to be 35</w:t>
      </w:r>
      <w:r w:rsidR="0006197B">
        <w:t xml:space="preserve"> per cent</w:t>
      </w:r>
      <w:r>
        <w:t xml:space="preserve"> for low</w:t>
      </w:r>
      <w:r w:rsidR="0006197B">
        <w:t>-</w:t>
      </w:r>
      <w:r>
        <w:t>concern patients and 50</w:t>
      </w:r>
      <w:r w:rsidR="0006197B">
        <w:t>per cent</w:t>
      </w:r>
      <w:r>
        <w:t xml:space="preserve"> for intermediate</w:t>
      </w:r>
      <w:r w:rsidR="0006197B">
        <w:t>-</w:t>
      </w:r>
      <w:r>
        <w:t xml:space="preserve"> to high</w:t>
      </w:r>
      <w:r w:rsidR="0006197B">
        <w:t>-</w:t>
      </w:r>
      <w:r>
        <w:t>concern patients, consistent with advice from the applicant</w:t>
      </w:r>
      <w:r w:rsidR="00DC4DE8">
        <w:t xml:space="preserve"> </w:t>
      </w:r>
      <w:r w:rsidR="008E0B00">
        <w:fldChar w:fldCharType="begin"/>
      </w:r>
      <w:r w:rsidR="008E0B00">
        <w:instrText xml:space="preserve"> ADDIN EN.CITE &lt;EndNote&gt;&lt;Cite&gt;&lt;Author&gt;Applicant&lt;/Author&gt;&lt;Year&gt;2016&lt;/Year&gt;&lt;RecNum&gt;9&lt;/RecNum&gt;&lt;DisplayText&gt;(Applicant 2016)&lt;/DisplayText&gt;&lt;record&gt;&lt;rec-number&gt;9&lt;/rec-number&gt;&lt;foreign-keys&gt;&lt;key app="EN" db-id="2p9terxr22fx91epzebpfdwuzrwtw2a2ep2t" timestamp="1472684600"&gt;9&lt;/key&gt;&lt;/foreign-keys&gt;&lt;ref-type name="Personal Communication"&gt;26&lt;/ref-type&gt;&lt;contributors&gt;&lt;authors&gt;&lt;author&gt;Applicant&lt;/author&gt;&lt;/authors&gt;&lt;/contributors&gt;&lt;titles&gt;&lt;title&gt;Personal communication (documents sent by e-mail via DoH 29/6/2016, 4/7/2016)&lt;/title&gt;&lt;/titles&gt;&lt;dates&gt;&lt;year&gt;2016&lt;/year&gt;&lt;/dates&gt;&lt;urls&gt;&lt;/urls&gt;&lt;/record&gt;&lt;/Cite&gt;&lt;/EndNote&gt;</w:instrText>
      </w:r>
      <w:r w:rsidR="008E0B00">
        <w:fldChar w:fldCharType="separate"/>
      </w:r>
      <w:r w:rsidR="008E0B00">
        <w:rPr>
          <w:noProof/>
        </w:rPr>
        <w:t>(</w:t>
      </w:r>
      <w:hyperlink w:anchor="_ENREF_9" w:tooltip="Applicant, 2016 #9" w:history="1">
        <w:r w:rsidR="008E0B00">
          <w:rPr>
            <w:noProof/>
          </w:rPr>
          <w:t>Applicant 2016</w:t>
        </w:r>
      </w:hyperlink>
      <w:r w:rsidR="008E0B00">
        <w:rPr>
          <w:noProof/>
        </w:rPr>
        <w:t>)</w:t>
      </w:r>
      <w:r w:rsidR="008E0B00">
        <w:fldChar w:fldCharType="end"/>
      </w:r>
      <w:r>
        <w:t xml:space="preserve">. </w:t>
      </w:r>
      <w:r w:rsidRPr="00B6368E">
        <w:t xml:space="preserve">The prevalence of progressed (significant) cancer in patients undergoing re-biopsy as part of </w:t>
      </w:r>
      <w:r w:rsidR="00AB1EEA">
        <w:t>AS</w:t>
      </w:r>
      <w:r w:rsidRPr="00B6368E">
        <w:t xml:space="preserve"> was assumed to be 15</w:t>
      </w:r>
      <w:r w:rsidR="0006197B">
        <w:t xml:space="preserve"> per cent</w:t>
      </w:r>
      <w:r w:rsidRPr="00B6368E">
        <w:t>, to reflect a proportion of ~8</w:t>
      </w:r>
      <w:r>
        <w:t>.8% of men</w:t>
      </w:r>
      <w:r w:rsidR="00DC4DE8">
        <w:t xml:space="preserve"> </w:t>
      </w:r>
      <w:r w:rsidR="008E0B00">
        <w:fldChar w:fldCharType="begin"/>
      </w:r>
      <w:r w:rsidR="008E0B00">
        <w:instrText xml:space="preserve"> ADDIN EN.CITE &lt;EndNote&gt;&lt;Cite&gt;&lt;Author&gt;Simpkin&lt;/Author&gt;&lt;Year&gt;2015&lt;/Year&gt;&lt;RecNum&gt;3&lt;/RecNum&gt;&lt;DisplayText&gt;(Simpkin et al. 2015)&lt;/DisplayText&gt;&lt;record&gt;&lt;rec-number&gt;3&lt;/rec-number&gt;&lt;foreign-keys&gt;&lt;key app="EN" db-id="2p9terxr22fx91epzebpfdwuzrwtw2a2ep2t" timestamp="1472684599"&gt;3&lt;/key&gt;&lt;/foreign-keys&gt;&lt;ref-type name="Journal Article"&gt;17&lt;/ref-type&gt;&lt;contributors&gt;&lt;authors&gt;&lt;author&gt;Simpkin, Andrew J&lt;/author&gt;&lt;author&gt;Tilling, Kate&lt;/author&gt;&lt;author&gt;Martin, Richard M&lt;/author&gt;&lt;author&gt;Lane, J Athene&lt;/author&gt;&lt;author&gt;Hamdy, Freddie C&lt;/author&gt;&lt;author&gt;Holmberg, Lars&lt;/author&gt;&lt;author&gt;Neal, David E&lt;/author&gt;&lt;author&gt;Metcalfe, Chris&lt;/author&gt;&lt;author&gt;Donovan, Jenny L&lt;/author&gt;&lt;/authors&gt;&lt;/contributors&gt;&lt;titles&gt;&lt;title&gt;Systematic review and meta-analysis of factors determining change to radical treatment in active surveillance for localized prostate cancer&lt;/title&gt;&lt;secondary-title&gt;Eur Urol&lt;/secondary-title&gt;&lt;/titles&gt;&lt;periodical&gt;&lt;full-title&gt;Eur Urol&lt;/full-title&gt;&lt;/periodical&gt;&lt;pages&gt;993-1005&lt;/pages&gt;&lt;volume&gt;67&lt;/volume&gt;&lt;number&gt;6&lt;/number&gt;&lt;dates&gt;&lt;year&gt;2015&lt;/year&gt;&lt;/dates&gt;&lt;isbn&gt;0302-2838&lt;/isbn&gt;&lt;urls&gt;&lt;/urls&gt;&lt;/record&gt;&lt;/Cite&gt;&lt;/EndNote&gt;</w:instrText>
      </w:r>
      <w:r w:rsidR="008E0B00">
        <w:fldChar w:fldCharType="separate"/>
      </w:r>
      <w:r w:rsidR="008E0B00">
        <w:rPr>
          <w:noProof/>
        </w:rPr>
        <w:t>(</w:t>
      </w:r>
      <w:hyperlink w:anchor="_ENREF_149" w:tooltip="Simpkin, 2015 #3" w:history="1">
        <w:r w:rsidR="008E0B00">
          <w:rPr>
            <w:noProof/>
          </w:rPr>
          <w:t>Simpkin et al. 2015</w:t>
        </w:r>
      </w:hyperlink>
      <w:r w:rsidR="008E0B00">
        <w:rPr>
          <w:noProof/>
        </w:rPr>
        <w:t>)</w:t>
      </w:r>
      <w:r w:rsidR="008E0B00">
        <w:fldChar w:fldCharType="end"/>
      </w:r>
      <w:r w:rsidRPr="00B6368E">
        <w:t xml:space="preserve"> moving from </w:t>
      </w:r>
      <w:r w:rsidR="00AB1EEA">
        <w:t>AS</w:t>
      </w:r>
      <w:r w:rsidRPr="00B6368E">
        <w:t xml:space="preserve"> to radical treatment per year, under the current clinical algorithm (assuming sensitivity of re-biopsy is 0.81 and specificity is 0.94).</w:t>
      </w:r>
      <w:r>
        <w:t xml:space="preserve"> Approximately 50</w:t>
      </w:r>
      <w:r w:rsidR="0006197B">
        <w:t xml:space="preserve"> per cent</w:t>
      </w:r>
      <w:r>
        <w:t xml:space="preserve"> of the patients were assumed to be of low</w:t>
      </w:r>
      <w:r w:rsidR="0006197B">
        <w:t>-</w:t>
      </w:r>
      <w:r>
        <w:t>concern versus intermediate</w:t>
      </w:r>
      <w:r w:rsidR="0006197B">
        <w:t>- to high-</w:t>
      </w:r>
      <w:r>
        <w:t>concern. The overall proportion of cancers that was assumed to be of low to intermediate risk (insignificant) as opposed to intermediate to high risk (significant) was assumed to be 90</w:t>
      </w:r>
      <w:r w:rsidR="0006197B">
        <w:t xml:space="preserve"> per cent in the low-</w:t>
      </w:r>
      <w:r>
        <w:t>concern patients and 10</w:t>
      </w:r>
      <w:r w:rsidR="0006197B">
        <w:t xml:space="preserve"> per cent in the intermediate- to high-</w:t>
      </w:r>
      <w:r>
        <w:t>concern patients.</w:t>
      </w:r>
      <w:bookmarkEnd w:id="600"/>
    </w:p>
    <w:p w14:paraId="141364B6" w14:textId="2678D331" w:rsidR="00742247" w:rsidRPr="00EC6845" w:rsidRDefault="00742247" w:rsidP="00742247">
      <w:pPr>
        <w:spacing w:after="120"/>
      </w:pPr>
      <w:r>
        <w:lastRenderedPageBreak/>
        <w:t>Transition probabilities used by Gordon et al</w:t>
      </w:r>
      <w:r w:rsidR="0006197B">
        <w:t>.</w:t>
      </w:r>
      <w:r>
        <w:t xml:space="preserve"> (2016) were stratified by the sensitivity and specificity of the biopsy type</w:t>
      </w:r>
      <w:r w:rsidR="0006197B">
        <w:t xml:space="preserve"> by cancer risk (see Table 11 p</w:t>
      </w:r>
      <w:r w:rsidR="003B2A31">
        <w:t>p</w:t>
      </w:r>
      <w:r>
        <w:t>31-32 in Gordon et al</w:t>
      </w:r>
      <w:r w:rsidR="0006197B">
        <w:t>.</w:t>
      </w:r>
      <w:r>
        <w:t xml:space="preserve"> 2016). This assessment assumed that sensitivity and specificity for biopsy was the same for low risk and intermediate to high risk prostate cancer. </w:t>
      </w:r>
    </w:p>
    <w:p w14:paraId="470B4F9E" w14:textId="77777777" w:rsidR="00742247" w:rsidRPr="00A80F00" w:rsidRDefault="00742247" w:rsidP="00742247">
      <w:pPr>
        <w:pStyle w:val="Heading3"/>
      </w:pPr>
      <w:bookmarkStart w:id="601" w:name="_Toc457383623"/>
      <w:bookmarkStart w:id="602" w:name="_Toc459987871"/>
      <w:bookmarkStart w:id="603" w:name="_Toc460513991"/>
      <w:r>
        <w:t>Adverse events</w:t>
      </w:r>
      <w:bookmarkEnd w:id="601"/>
      <w:bookmarkEnd w:id="602"/>
      <w:bookmarkEnd w:id="603"/>
    </w:p>
    <w:p w14:paraId="17FA2E67" w14:textId="7DDAB69F" w:rsidR="00742247" w:rsidRDefault="00742247" w:rsidP="00742247">
      <w:r>
        <w:t xml:space="preserve">Adverse events contribute to total medical costs and affect quality of life. Only AEs that occur frequently and have serious impacts on quality of life and/or resource utilisation were included. </w:t>
      </w:r>
      <w:r w:rsidR="00BE4311">
        <w:t>The AEs resultant from</w:t>
      </w:r>
      <w:r w:rsidRPr="00A80F00">
        <w:t xml:space="preserve"> </w:t>
      </w:r>
      <w:r>
        <w:t>prostate biopsy</w:t>
      </w:r>
      <w:r w:rsidRPr="00A80F00">
        <w:t xml:space="preserve"> and </w:t>
      </w:r>
      <w:r>
        <w:t xml:space="preserve">PCa </w:t>
      </w:r>
      <w:r w:rsidRPr="00A80F00">
        <w:t xml:space="preserve">treatment included in the economic model </w:t>
      </w:r>
      <w:r w:rsidR="00BE4311">
        <w:t>include:</w:t>
      </w:r>
      <w:r>
        <w:t xml:space="preserve"> sepsis (biopsy related), erectile dysfunction (treatment related), and urinary incontinence (treatment related). Cost and utility decrements for sepsis are applied to all biopsies. Cost and utility decrements for erectile dysfunction and urinary incontinence are applied in the “intermediate to high risk” health state. The probabilities and rates of treatment related AEs in the model are obtained from the NSW Cancer Registry</w:t>
      </w:r>
      <w:r w:rsidR="00DC4DE8">
        <w:t xml:space="preserve"> </w:t>
      </w:r>
      <w:r w:rsidR="008E0B00">
        <w:fldChar w:fldCharType="begin">
          <w:fldData xml:space="preserve">PEVuZE5vdGU+PENpdGU+PEF1dGhvcj5TbWl0aDwvQXV0aG9yPjxZZWFyPjIwMDk8L1llYXI+PFJl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</w:fldData>
        </w:fldChar>
      </w:r>
      <w:r w:rsidR="008E0B00">
        <w:instrText xml:space="preserve"> ADDIN EN.CITE </w:instrText>
      </w:r>
      <w:r w:rsidR="008E0B00">
        <w:fldChar w:fldCharType="begin">
          <w:fldData xml:space="preserve">PEVuZE5vdGU+PENpdGU+PEF1dGhvcj5TbWl0aDwvQXV0aG9yPjxZZWFyPjIwMDk8L1llYXI+PFJl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</w:fldData>
        </w:fldChar>
      </w:r>
      <w:r w:rsidR="008E0B00">
        <w:instrText xml:space="preserve"> ADDIN EN.CITE.DATA </w:instrText>
      </w:r>
      <w:r w:rsidR="008E0B00">
        <w:fldChar w:fldCharType="end"/>
      </w:r>
      <w:r w:rsidR="008E0B00">
        <w:fldChar w:fldCharType="separate"/>
      </w:r>
      <w:r w:rsidR="008E0B00">
        <w:rPr>
          <w:noProof/>
        </w:rPr>
        <w:t>(</w:t>
      </w:r>
      <w:hyperlink w:anchor="_ENREF_151" w:tooltip="Smith, 2009 #8" w:history="1">
        <w:r w:rsidR="008E0B00">
          <w:rPr>
            <w:noProof/>
          </w:rPr>
          <w:t>Smith et al. 2009</w:t>
        </w:r>
      </w:hyperlink>
      <w:r w:rsidR="008E0B00">
        <w:rPr>
          <w:noProof/>
        </w:rPr>
        <w:t>)</w:t>
      </w:r>
      <w:r w:rsidR="008E0B00">
        <w:fldChar w:fldCharType="end"/>
      </w:r>
      <w:r>
        <w:t xml:space="preserve"> and Gordon et al. (2016).</w:t>
      </w:r>
    </w:p>
    <w:p w14:paraId="73D2DC43" w14:textId="33329DD9" w:rsidR="00742247" w:rsidRPr="00AC6417" w:rsidRDefault="00742247" w:rsidP="00742247">
      <w:r>
        <w:t xml:space="preserve">Consistent with the assessment of </w:t>
      </w:r>
      <w:r w:rsidR="00E96DDA">
        <w:t>MRIGB</w:t>
      </w:r>
      <w:r>
        <w:t xml:space="preserve"> (CA 1424), the cost for biopsy-related sepsis was assumed to </w:t>
      </w:r>
      <w:r w:rsidRPr="00AC6417">
        <w:t>be $4,527 (AR-DRG T61B</w:t>
      </w:r>
      <w:r>
        <w:t>,</w:t>
      </w:r>
      <w:r w:rsidRPr="00AC6417">
        <w:t xml:space="preserve"> post-operative infection</w:t>
      </w:r>
      <w:r>
        <w:t>,</w:t>
      </w:r>
      <w:r w:rsidRPr="00AC6417">
        <w:t xml:space="preserve"> from NHCDC 2013-14, Round 18</w:t>
      </w:r>
      <w:r>
        <w:t>)</w:t>
      </w:r>
      <w:r w:rsidRPr="00AC6417">
        <w:t xml:space="preserve">. </w:t>
      </w:r>
      <w:r>
        <w:t xml:space="preserve">The costs of treatment-related </w:t>
      </w:r>
      <w:r w:rsidR="00BE4311">
        <w:t>AEs</w:t>
      </w:r>
      <w:r>
        <w:t xml:space="preserve"> are included in the total costs of treated PCa patients obtained from the literature</w:t>
      </w:r>
      <w:r w:rsidR="009A647E">
        <w:t xml:space="preserve"> </w:t>
      </w:r>
      <w:r>
        <w:t xml:space="preserve">(Cronin et al 2016), see the “costs” section below. The frequencies of the AEs are presented in </w:t>
      </w:r>
      <w:r>
        <w:fldChar w:fldCharType="begin"/>
      </w:r>
      <w:r>
        <w:instrText xml:space="preserve"> REF _Ref456538831 \h  \* MERGEFORMAT </w:instrText>
      </w:r>
      <w:r>
        <w:fldChar w:fldCharType="separate"/>
      </w:r>
      <w:r w:rsidR="0029649D" w:rsidRPr="002D269C">
        <w:t xml:space="preserve">Table </w:t>
      </w:r>
      <w:r w:rsidR="0029649D">
        <w:t>56</w:t>
      </w:r>
      <w:r>
        <w:fldChar w:fldCharType="end"/>
      </w:r>
      <w:r>
        <w:t>. The sources of the frequency of adverse events in this assessment are the same as that presented by Gordon et al</w:t>
      </w:r>
      <w:r w:rsidR="00BE4311">
        <w:t>.</w:t>
      </w:r>
      <w:r>
        <w:t xml:space="preserve"> (2016). The probabilities have been weighted assuming 50</w:t>
      </w:r>
      <w:r w:rsidR="00BE4311">
        <w:t xml:space="preserve"> per cent</w:t>
      </w:r>
      <w:r>
        <w:t xml:space="preserve"> of patients are treated by </w:t>
      </w:r>
      <w:r w:rsidR="00BE4311">
        <w:t xml:space="preserve">radical </w:t>
      </w:r>
      <w:r>
        <w:t>prost</w:t>
      </w:r>
      <w:r w:rsidR="00E96DDA">
        <w:t>at</w:t>
      </w:r>
      <w:r>
        <w:t>ectomy and 50</w:t>
      </w:r>
      <w:r w:rsidR="00BE4311">
        <w:t xml:space="preserve"> per cent</w:t>
      </w:r>
      <w:r>
        <w:t xml:space="preserve"> by radiotherapy. </w:t>
      </w:r>
    </w:p>
    <w:p w14:paraId="7B58F50A" w14:textId="77777777" w:rsidR="00742247" w:rsidRDefault="00742247" w:rsidP="00742247">
      <w:pPr>
        <w:pStyle w:val="Caption"/>
      </w:pPr>
      <w:bookmarkStart w:id="604" w:name="_Ref456538831"/>
      <w:bookmarkStart w:id="605" w:name="_Toc457383677"/>
      <w:bookmarkStart w:id="606" w:name="_Toc459987916"/>
      <w:bookmarkStart w:id="607" w:name="_Toc460514556"/>
      <w:r w:rsidRPr="002D269C">
        <w:t xml:space="preserve">Table </w:t>
      </w:r>
      <w:fldSimple w:instr=" SEQ Table \* ARABIC ">
        <w:r w:rsidR="0029649D">
          <w:rPr>
            <w:noProof/>
          </w:rPr>
          <w:t>56</w:t>
        </w:r>
      </w:fldSimple>
      <w:bookmarkEnd w:id="604"/>
      <w:r w:rsidRPr="002D269C">
        <w:tab/>
      </w:r>
      <w:r>
        <w:t>Frequency of adverse events associated with biopsy and treatment of prostate cancer.</w:t>
      </w:r>
      <w:bookmarkEnd w:id="605"/>
      <w:bookmarkEnd w:id="606"/>
      <w:bookmarkEnd w:id="607"/>
    </w:p>
    <w:tbl>
      <w:tblPr>
        <w:tblStyle w:val="TableGrid"/>
        <w:tblW w:w="9112" w:type="dxa"/>
        <w:tblInd w:w="130" w:type="dxa"/>
        <w:tblLayout w:type="fixed"/>
        <w:tblCellMar>
          <w:left w:w="28" w:type="dxa"/>
          <w:right w:w="28" w:type="dxa"/>
        </w:tblCellMar>
        <w:tblLook w:val="04A0" w:firstRow="1" w:lastRow="0" w:firstColumn="1" w:lastColumn="0" w:noHBand="0" w:noVBand="1"/>
        <w:tblDescription w:val="Frequency of adverse events associated with biopsy and treatment of prostate cancer."/>
      </w:tblPr>
      <w:tblGrid>
        <w:gridCol w:w="1665"/>
        <w:gridCol w:w="815"/>
        <w:gridCol w:w="1121"/>
        <w:gridCol w:w="5511"/>
      </w:tblGrid>
      <w:tr w:rsidR="00742247" w:rsidRPr="00AA59F4" w14:paraId="23303522" w14:textId="77777777" w:rsidTr="00D276F1">
        <w:trPr>
          <w:trHeight w:val="397"/>
          <w:tblHeader/>
        </w:trPr>
        <w:tc>
          <w:tcPr>
            <w:tcW w:w="914" w:type="pct"/>
            <w:tcBorders>
              <w:bottom w:val="single" w:sz="4" w:space="0" w:color="auto"/>
            </w:tcBorders>
            <w:vAlign w:val="bottom"/>
          </w:tcPr>
          <w:p w14:paraId="1EBD86D5" w14:textId="77777777" w:rsidR="00742247" w:rsidRPr="00AA59F4" w:rsidRDefault="00742247" w:rsidP="00864895">
            <w:pPr>
              <w:pStyle w:val="Tableheading1"/>
            </w:pPr>
          </w:p>
        </w:tc>
        <w:tc>
          <w:tcPr>
            <w:tcW w:w="447" w:type="pct"/>
            <w:tcBorders>
              <w:bottom w:val="single" w:sz="4" w:space="0" w:color="auto"/>
            </w:tcBorders>
            <w:vAlign w:val="center"/>
          </w:tcPr>
          <w:p w14:paraId="67EA5924" w14:textId="77777777" w:rsidR="00742247" w:rsidRPr="00AA59F4" w:rsidRDefault="00742247" w:rsidP="00864895">
            <w:pPr>
              <w:pStyle w:val="Tableheading1"/>
            </w:pPr>
            <w:r w:rsidRPr="00AA59F4">
              <w:t>Rate</w:t>
            </w:r>
          </w:p>
        </w:tc>
        <w:tc>
          <w:tcPr>
            <w:tcW w:w="615" w:type="pct"/>
            <w:tcBorders>
              <w:bottom w:val="single" w:sz="4" w:space="0" w:color="auto"/>
            </w:tcBorders>
            <w:vAlign w:val="center"/>
          </w:tcPr>
          <w:p w14:paraId="246AAA06" w14:textId="77777777" w:rsidR="00742247" w:rsidRPr="00AA59F4" w:rsidRDefault="00742247" w:rsidP="00864895">
            <w:pPr>
              <w:pStyle w:val="Tableheading1"/>
            </w:pPr>
            <w:r w:rsidRPr="00AA59F4">
              <w:t>Probability</w:t>
            </w:r>
          </w:p>
        </w:tc>
        <w:tc>
          <w:tcPr>
            <w:tcW w:w="3024" w:type="pct"/>
            <w:tcBorders>
              <w:bottom w:val="single" w:sz="4" w:space="0" w:color="auto"/>
            </w:tcBorders>
            <w:vAlign w:val="center"/>
          </w:tcPr>
          <w:p w14:paraId="2B0969E5" w14:textId="77777777" w:rsidR="00742247" w:rsidRPr="00AA59F4" w:rsidRDefault="00742247" w:rsidP="00864895">
            <w:pPr>
              <w:pStyle w:val="Tableheading1"/>
            </w:pPr>
            <w:r w:rsidRPr="00AA59F4">
              <w:t>Note and source</w:t>
            </w:r>
          </w:p>
        </w:tc>
      </w:tr>
      <w:tr w:rsidR="00742247" w:rsidRPr="007F4891" w14:paraId="51E418FF" w14:textId="77777777" w:rsidTr="00AA59F4">
        <w:trPr>
          <w:trHeight w:val="397"/>
        </w:trPr>
        <w:tc>
          <w:tcPr>
            <w:tcW w:w="914" w:type="pct"/>
            <w:tcBorders>
              <w:right w:val="nil"/>
            </w:tcBorders>
          </w:tcPr>
          <w:p w14:paraId="0B732302" w14:textId="77777777" w:rsidR="00742247" w:rsidRPr="007F4891" w:rsidRDefault="00742247" w:rsidP="00864895">
            <w:pPr>
              <w:pStyle w:val="Tabletext1"/>
            </w:pPr>
            <w:r>
              <w:t>Biopsy related AEs</w:t>
            </w:r>
          </w:p>
        </w:tc>
        <w:tc>
          <w:tcPr>
            <w:tcW w:w="447" w:type="pct"/>
            <w:tcBorders>
              <w:left w:val="nil"/>
              <w:right w:val="nil"/>
            </w:tcBorders>
          </w:tcPr>
          <w:p w14:paraId="5B12CC68" w14:textId="77777777" w:rsidR="00742247" w:rsidRPr="007F4891" w:rsidRDefault="00742247" w:rsidP="00864895">
            <w:pPr>
              <w:pStyle w:val="Tabletext1"/>
            </w:pPr>
          </w:p>
        </w:tc>
        <w:tc>
          <w:tcPr>
            <w:tcW w:w="615" w:type="pct"/>
            <w:tcBorders>
              <w:left w:val="nil"/>
              <w:right w:val="nil"/>
            </w:tcBorders>
          </w:tcPr>
          <w:p w14:paraId="7B3892F6" w14:textId="77777777" w:rsidR="00742247" w:rsidRPr="007F4891" w:rsidRDefault="00742247" w:rsidP="00864895">
            <w:pPr>
              <w:pStyle w:val="Tabletext1"/>
            </w:pPr>
          </w:p>
        </w:tc>
        <w:tc>
          <w:tcPr>
            <w:tcW w:w="3024" w:type="pct"/>
            <w:tcBorders>
              <w:left w:val="nil"/>
            </w:tcBorders>
          </w:tcPr>
          <w:p w14:paraId="446AD7C2" w14:textId="77777777" w:rsidR="00742247" w:rsidRPr="007F4891" w:rsidRDefault="00742247" w:rsidP="00864895">
            <w:pPr>
              <w:pStyle w:val="Tabletext1"/>
            </w:pPr>
          </w:p>
        </w:tc>
      </w:tr>
      <w:tr w:rsidR="00742247" w:rsidRPr="007F4891" w14:paraId="6B29E4FC" w14:textId="77777777" w:rsidTr="00AA59F4">
        <w:trPr>
          <w:trHeight w:val="397"/>
        </w:trPr>
        <w:tc>
          <w:tcPr>
            <w:tcW w:w="914" w:type="pct"/>
            <w:tcBorders>
              <w:bottom w:val="single" w:sz="4" w:space="0" w:color="auto"/>
            </w:tcBorders>
          </w:tcPr>
          <w:p w14:paraId="369FE194" w14:textId="77777777" w:rsidR="00742247" w:rsidRPr="007F4891" w:rsidRDefault="00742247" w:rsidP="00864895">
            <w:pPr>
              <w:pStyle w:val="Tabletext1"/>
            </w:pPr>
            <w:r>
              <w:t>Sepsis from infection</w:t>
            </w:r>
          </w:p>
        </w:tc>
        <w:tc>
          <w:tcPr>
            <w:tcW w:w="447" w:type="pct"/>
            <w:tcBorders>
              <w:bottom w:val="single" w:sz="4" w:space="0" w:color="auto"/>
            </w:tcBorders>
          </w:tcPr>
          <w:p w14:paraId="2E9DB6AB" w14:textId="77777777" w:rsidR="00742247" w:rsidRPr="007F4891" w:rsidRDefault="00742247" w:rsidP="00864895">
            <w:pPr>
              <w:pStyle w:val="Tabletext1"/>
            </w:pPr>
            <w:r>
              <w:t>1.2%</w:t>
            </w:r>
          </w:p>
        </w:tc>
        <w:tc>
          <w:tcPr>
            <w:tcW w:w="615" w:type="pct"/>
            <w:tcBorders>
              <w:bottom w:val="single" w:sz="4" w:space="0" w:color="auto"/>
            </w:tcBorders>
          </w:tcPr>
          <w:p w14:paraId="73759808" w14:textId="77777777" w:rsidR="00742247" w:rsidRPr="0086405C" w:rsidRDefault="00742247" w:rsidP="00864895">
            <w:pPr>
              <w:pStyle w:val="Tabletext1"/>
            </w:pPr>
            <w:r>
              <w:t>NA</w:t>
            </w:r>
          </w:p>
        </w:tc>
        <w:tc>
          <w:tcPr>
            <w:tcW w:w="3024" w:type="pct"/>
            <w:tcBorders>
              <w:bottom w:val="single" w:sz="4" w:space="0" w:color="auto"/>
            </w:tcBorders>
          </w:tcPr>
          <w:p w14:paraId="015669EA" w14:textId="25AD3E3E" w:rsidR="00742247" w:rsidRPr="007F4891" w:rsidRDefault="00DD5A81" w:rsidP="00864895">
            <w:pPr>
              <w:pStyle w:val="Tabletext1"/>
            </w:pPr>
            <w:r>
              <w:t>Applied to all biopsy measures (</w:t>
            </w:r>
            <w:r w:rsidR="00742247">
              <w:t>consistent with CA 1424</w:t>
            </w:r>
            <w:r>
              <w:t>)</w:t>
            </w:r>
            <w:r w:rsidR="00742247">
              <w:t>; Leahy et al</w:t>
            </w:r>
            <w:r>
              <w:t>.</w:t>
            </w:r>
            <w:r w:rsidR="00742247">
              <w:t xml:space="preserve"> (2015)</w:t>
            </w:r>
          </w:p>
        </w:tc>
      </w:tr>
      <w:tr w:rsidR="00742247" w:rsidRPr="007F4891" w14:paraId="3220A555" w14:textId="77777777" w:rsidTr="00AA59F4">
        <w:trPr>
          <w:trHeight w:val="397"/>
        </w:trPr>
        <w:tc>
          <w:tcPr>
            <w:tcW w:w="5000" w:type="pct"/>
            <w:gridSpan w:val="4"/>
          </w:tcPr>
          <w:p w14:paraId="4142937B" w14:textId="77777777" w:rsidR="00742247" w:rsidRDefault="00742247" w:rsidP="00864895">
            <w:pPr>
              <w:pStyle w:val="Tabletext1"/>
            </w:pPr>
            <w:r>
              <w:t>Treatment related complications in “intermediate to high risk” health state</w:t>
            </w:r>
          </w:p>
        </w:tc>
      </w:tr>
      <w:tr w:rsidR="00742247" w:rsidRPr="007F4891" w14:paraId="3538F754" w14:textId="77777777" w:rsidTr="00AA59F4">
        <w:trPr>
          <w:trHeight w:val="397"/>
        </w:trPr>
        <w:tc>
          <w:tcPr>
            <w:tcW w:w="914" w:type="pct"/>
          </w:tcPr>
          <w:p w14:paraId="29738AF1" w14:textId="77777777" w:rsidR="00742247" w:rsidRPr="007F4891" w:rsidRDefault="00742247" w:rsidP="00864895">
            <w:pPr>
              <w:pStyle w:val="Tabletext1"/>
            </w:pPr>
            <w:r>
              <w:t>Erectile dysfunction</w:t>
            </w:r>
          </w:p>
        </w:tc>
        <w:tc>
          <w:tcPr>
            <w:tcW w:w="447" w:type="pct"/>
          </w:tcPr>
          <w:p w14:paraId="50A609F4" w14:textId="77777777" w:rsidR="00742247" w:rsidRPr="007F4891" w:rsidRDefault="00742247" w:rsidP="00864895">
            <w:pPr>
              <w:pStyle w:val="Tabletext1"/>
            </w:pPr>
            <w:r>
              <w:t>NA</w:t>
            </w:r>
          </w:p>
        </w:tc>
        <w:tc>
          <w:tcPr>
            <w:tcW w:w="615" w:type="pct"/>
          </w:tcPr>
          <w:p w14:paraId="0CD8BDA5" w14:textId="77777777" w:rsidR="00742247" w:rsidRPr="008A21AD" w:rsidRDefault="00742247" w:rsidP="00864895">
            <w:pPr>
              <w:pStyle w:val="Tabletext1"/>
            </w:pPr>
            <w:r w:rsidRPr="008A21AD">
              <w:t>0.415</w:t>
            </w:r>
          </w:p>
        </w:tc>
        <w:tc>
          <w:tcPr>
            <w:tcW w:w="3024" w:type="pct"/>
          </w:tcPr>
          <w:p w14:paraId="71F01AE9" w14:textId="77777777" w:rsidR="00742247" w:rsidRPr="000B6343" w:rsidRDefault="00742247" w:rsidP="00864895">
            <w:pPr>
              <w:pStyle w:val="Tabletext1"/>
            </w:pPr>
            <w:r w:rsidRPr="000B6343">
              <w:t xml:space="preserve">Weighted probability (50/50): (50% RP+ 33% EBRT) / 2 = 41.5%; </w:t>
            </w:r>
          </w:p>
          <w:p w14:paraId="234550C9" w14:textId="6D8859F5" w:rsidR="00742247" w:rsidRPr="000B6343" w:rsidRDefault="00DD5A81" w:rsidP="00864895">
            <w:pPr>
              <w:pStyle w:val="Tabletext1"/>
            </w:pPr>
            <w:r>
              <w:t>NSW Cancer Registry (</w:t>
            </w:r>
            <w:r w:rsidR="00742247" w:rsidRPr="000B6343">
              <w:t>Smith et al</w:t>
            </w:r>
            <w:r>
              <w:t>.</w:t>
            </w:r>
            <w:r w:rsidR="00742247" w:rsidRPr="000B6343">
              <w:t xml:space="preserve"> </w:t>
            </w:r>
            <w:r>
              <w:t>(</w:t>
            </w:r>
            <w:r w:rsidR="00742247" w:rsidRPr="000B6343">
              <w:t>2009</w:t>
            </w:r>
            <w:r>
              <w:t>)</w:t>
            </w:r>
            <w:r w:rsidR="00742247" w:rsidRPr="000B6343">
              <w:t>; G</w:t>
            </w:r>
            <w:r w:rsidR="00742247">
              <w:t>ordon et al</w:t>
            </w:r>
            <w:r>
              <w:t>.</w:t>
            </w:r>
            <w:r w:rsidR="00742247" w:rsidRPr="000B6343">
              <w:t xml:space="preserve"> </w:t>
            </w:r>
            <w:r>
              <w:t>(</w:t>
            </w:r>
            <w:r w:rsidR="00742247" w:rsidRPr="000B6343">
              <w:t>2016)</w:t>
            </w:r>
            <w:r>
              <w:t>)</w:t>
            </w:r>
          </w:p>
        </w:tc>
      </w:tr>
      <w:tr w:rsidR="00742247" w:rsidRPr="007F4891" w14:paraId="1EEC0197" w14:textId="77777777" w:rsidTr="00AA59F4">
        <w:trPr>
          <w:trHeight w:val="397"/>
        </w:trPr>
        <w:tc>
          <w:tcPr>
            <w:tcW w:w="914" w:type="pct"/>
          </w:tcPr>
          <w:p w14:paraId="65750FDB" w14:textId="77777777" w:rsidR="00742247" w:rsidRDefault="00742247" w:rsidP="00864895">
            <w:pPr>
              <w:pStyle w:val="Tabletext1"/>
            </w:pPr>
            <w:r>
              <w:t>Urinary incontinence</w:t>
            </w:r>
          </w:p>
        </w:tc>
        <w:tc>
          <w:tcPr>
            <w:tcW w:w="447" w:type="pct"/>
          </w:tcPr>
          <w:p w14:paraId="56EE2331" w14:textId="77777777" w:rsidR="00742247" w:rsidRPr="007F4891" w:rsidRDefault="00742247" w:rsidP="00864895">
            <w:pPr>
              <w:pStyle w:val="Tabletext1"/>
            </w:pPr>
            <w:r>
              <w:t>NA</w:t>
            </w:r>
          </w:p>
        </w:tc>
        <w:tc>
          <w:tcPr>
            <w:tcW w:w="615" w:type="pct"/>
          </w:tcPr>
          <w:p w14:paraId="08C8F874" w14:textId="77777777" w:rsidR="00742247" w:rsidRPr="008A21AD" w:rsidRDefault="00742247" w:rsidP="00864895">
            <w:pPr>
              <w:pStyle w:val="Tabletext1"/>
            </w:pPr>
            <w:r w:rsidRPr="008A21AD">
              <w:t>0.062</w:t>
            </w:r>
          </w:p>
        </w:tc>
        <w:tc>
          <w:tcPr>
            <w:tcW w:w="3024" w:type="pct"/>
          </w:tcPr>
          <w:p w14:paraId="20F031F7" w14:textId="77777777" w:rsidR="00742247" w:rsidRPr="000B6343" w:rsidRDefault="00742247" w:rsidP="00864895">
            <w:pPr>
              <w:pStyle w:val="Tabletext1"/>
            </w:pPr>
            <w:r w:rsidRPr="000B6343">
              <w:t xml:space="preserve">Weighted probability (50/50): (10% RP+ 2.4% EBRT) / 2 = 6.2 %; </w:t>
            </w:r>
          </w:p>
          <w:p w14:paraId="39B99092" w14:textId="3A54E8F6" w:rsidR="00742247" w:rsidRPr="000B6343" w:rsidRDefault="00742247" w:rsidP="00864895">
            <w:pPr>
              <w:pStyle w:val="Tabletext1"/>
            </w:pPr>
            <w:r w:rsidRPr="000B6343">
              <w:t>NSW Cancer Regi</w:t>
            </w:r>
            <w:r>
              <w:t>stry (Smith et al</w:t>
            </w:r>
            <w:r w:rsidR="00DD5A81">
              <w:t>.</w:t>
            </w:r>
            <w:r>
              <w:t xml:space="preserve"> </w:t>
            </w:r>
            <w:r w:rsidR="00DD5A81">
              <w:t>(</w:t>
            </w:r>
            <w:r>
              <w:t>2009</w:t>
            </w:r>
            <w:r w:rsidR="00DD5A81">
              <w:t>)</w:t>
            </w:r>
            <w:r>
              <w:t>; Gordon et al</w:t>
            </w:r>
            <w:r w:rsidR="00DD5A81">
              <w:t>.</w:t>
            </w:r>
            <w:r w:rsidRPr="000B6343">
              <w:t xml:space="preserve"> </w:t>
            </w:r>
            <w:r w:rsidR="00DD5A81">
              <w:t>(</w:t>
            </w:r>
            <w:r w:rsidRPr="000B6343">
              <w:t>2016)</w:t>
            </w:r>
            <w:r w:rsidR="00DD5A81">
              <w:t>)</w:t>
            </w:r>
          </w:p>
        </w:tc>
      </w:tr>
    </w:tbl>
    <w:p w14:paraId="5F05BB72" w14:textId="0C432700" w:rsidR="00742247" w:rsidRDefault="00742247" w:rsidP="00DD5A81">
      <w:pPr>
        <w:pStyle w:val="TableNotes"/>
      </w:pPr>
      <w:r w:rsidRPr="009A5FF7">
        <w:t>AE</w:t>
      </w:r>
      <w:r w:rsidR="00DD5A81">
        <w:t xml:space="preserve"> =</w:t>
      </w:r>
      <w:r w:rsidRPr="009A5FF7">
        <w:t xml:space="preserve"> adverse event</w:t>
      </w:r>
      <w:r w:rsidR="00DD5A81">
        <w:t>,</w:t>
      </w:r>
      <w:r w:rsidRPr="009A5FF7">
        <w:t xml:space="preserve"> EBRT</w:t>
      </w:r>
      <w:r w:rsidR="00DD5A81">
        <w:t xml:space="preserve"> =</w:t>
      </w:r>
      <w:r w:rsidRPr="009A5FF7">
        <w:t xml:space="preserve"> external beam radiot</w:t>
      </w:r>
      <w:r>
        <w:t>herapy</w:t>
      </w:r>
      <w:r w:rsidR="00DD5A81">
        <w:t>,</w:t>
      </w:r>
      <w:r w:rsidRPr="009A5FF7">
        <w:t xml:space="preserve"> NA</w:t>
      </w:r>
      <w:r w:rsidR="00DD5A81">
        <w:t xml:space="preserve"> =</w:t>
      </w:r>
      <w:r w:rsidRPr="009A5FF7">
        <w:t xml:space="preserve"> not appl</w:t>
      </w:r>
      <w:r>
        <w:t>icable</w:t>
      </w:r>
      <w:r w:rsidR="00DD5A81">
        <w:t>,</w:t>
      </w:r>
      <w:r>
        <w:t xml:space="preserve"> RP</w:t>
      </w:r>
      <w:r w:rsidR="00DD5A81">
        <w:t xml:space="preserve"> =</w:t>
      </w:r>
      <w:r>
        <w:t xml:space="preserve"> radical prost</w:t>
      </w:r>
      <w:r w:rsidR="00CD1CE4">
        <w:t>ate</w:t>
      </w:r>
      <w:r>
        <w:t xml:space="preserve">ctomy. </w:t>
      </w:r>
    </w:p>
    <w:p w14:paraId="79F4EA17" w14:textId="77777777" w:rsidR="00742247" w:rsidRPr="00B666FA" w:rsidRDefault="00742247" w:rsidP="00742247">
      <w:pPr>
        <w:pStyle w:val="Heading3"/>
      </w:pPr>
      <w:bookmarkStart w:id="608" w:name="_Toc457383624"/>
      <w:bookmarkStart w:id="609" w:name="_Toc459987872"/>
      <w:bookmarkStart w:id="610" w:name="_Toc460513992"/>
      <w:r>
        <w:t>Costs</w:t>
      </w:r>
      <w:bookmarkEnd w:id="608"/>
      <w:bookmarkEnd w:id="609"/>
      <w:bookmarkEnd w:id="610"/>
    </w:p>
    <w:p w14:paraId="43C560DA" w14:textId="1F69B699" w:rsidR="00742247" w:rsidRPr="009D485F" w:rsidRDefault="00742247" w:rsidP="00742247">
      <w:r w:rsidRPr="00C34FDF">
        <w:t>In the economic evaluation, costs were estimated by multiplying the quantity of consumed healthcare resources with their associated unit costs.</w:t>
      </w:r>
      <w:r>
        <w:t xml:space="preserve"> </w:t>
      </w:r>
      <w:r w:rsidRPr="00C34FDF">
        <w:t xml:space="preserve">Resource consumption was based on clinical guidelines and the treatment algorithms provided in the </w:t>
      </w:r>
      <w:r w:rsidR="007F498C">
        <w:t>assessment</w:t>
      </w:r>
      <w:r w:rsidR="007F498C" w:rsidRPr="00C34FDF">
        <w:t xml:space="preserve"> </w:t>
      </w:r>
      <w:r w:rsidR="007F498C">
        <w:t>P</w:t>
      </w:r>
      <w:r>
        <w:t>rotocol</w:t>
      </w:r>
      <w:r w:rsidRPr="00C34FDF">
        <w:t>.</w:t>
      </w:r>
      <w:r>
        <w:t xml:space="preserve"> </w:t>
      </w:r>
      <w:r w:rsidRPr="00C34FDF">
        <w:t>Unit costs were determined based on MBS fees for medical procedures.</w:t>
      </w:r>
      <w:r>
        <w:t xml:space="preserve"> </w:t>
      </w:r>
      <w:r w:rsidR="00CD1CE4">
        <w:t>To specify these in S</w:t>
      </w:r>
      <w:r w:rsidR="00CD1CE4" w:rsidRPr="001F6691">
        <w:t xml:space="preserve">ection </w:t>
      </w:r>
      <w:r w:rsidR="00CD1CE4">
        <w:t>E, c</w:t>
      </w:r>
      <w:r>
        <w:t xml:space="preserve">osts for </w:t>
      </w:r>
      <w:r>
        <w:lastRenderedPageBreak/>
        <w:t xml:space="preserve">medical procedures were obtained with and </w:t>
      </w:r>
      <w:r w:rsidRPr="001F6691">
        <w:t>without co-payments</w:t>
      </w:r>
      <w:r w:rsidR="00CD1CE4">
        <w:t>.</w:t>
      </w:r>
      <w:r w:rsidRPr="001F6691">
        <w:t xml:space="preserve"> All</w:t>
      </w:r>
      <w:r w:rsidRPr="000573FE">
        <w:t xml:space="preserve"> costs were reported in Australian dollars from the year 2014. </w:t>
      </w:r>
      <w:r w:rsidR="00CD1CE4">
        <w:t>Where</w:t>
      </w:r>
      <w:r w:rsidRPr="000573FE">
        <w:t xml:space="preserve"> costs were obtained </w:t>
      </w:r>
      <w:r w:rsidR="00CD1CE4">
        <w:t>from</w:t>
      </w:r>
      <w:r w:rsidR="00CD1CE4" w:rsidRPr="000573FE">
        <w:t xml:space="preserve"> </w:t>
      </w:r>
      <w:r w:rsidRPr="000573FE">
        <w:t xml:space="preserve">previous years, they were inflated using the Health CPI </w:t>
      </w:r>
      <w:r w:rsidR="008E0B00">
        <w:fldChar w:fldCharType="begin"/>
      </w:r>
      <w:r w:rsidR="008E0B00">
        <w:instrText xml:space="preserve"> ADDIN EN.CITE &lt;EndNote&gt;&lt;Cite&gt;&lt;Author&gt;Welfare&lt;/Author&gt;&lt;Year&gt;2015&lt;/Year&gt;&lt;RecNum&gt;10&lt;/RecNum&gt;&lt;DisplayText&gt;(Australian Institute of Health and Welfare 2015)&lt;/DisplayText&gt;&lt;record&gt;&lt;rec-number&gt;10&lt;/rec-number&gt;&lt;foreign-keys&gt;&lt;key app="EN" db-id="2p9terxr22fx91epzebpfdwuzrwtw2a2ep2t" timestamp="1472684600"&gt;10&lt;/key&gt;&lt;/foreign-keys&gt;&lt;ref-type name="Report"&gt;27&lt;/ref-type&gt;&lt;contributors&gt;&lt;authors&gt;&lt;author&gt;Australian Institute of Health and Welfare,&lt;/author&gt;&lt;/authors&gt;&lt;/contributors&gt;&lt;titles&gt;&lt;title&gt;Health expenditure Australia 2013-14&lt;/title&gt;&lt;/titles&gt;&lt;dates&gt;&lt;year&gt;2015&lt;/year&gt;&lt;/dates&gt;&lt;urls&gt;&lt;/urls&gt;&lt;access-date&gt;1 September 2016&lt;/access-date&gt;&lt;/record&gt;&lt;/Cite&gt;&lt;/EndNote&gt;</w:instrText>
      </w:r>
      <w:r w:rsidR="008E0B00">
        <w:fldChar w:fldCharType="separate"/>
      </w:r>
      <w:r w:rsidR="008E0B00">
        <w:rPr>
          <w:noProof/>
        </w:rPr>
        <w:t>(</w:t>
      </w:r>
      <w:hyperlink w:anchor="_ENREF_11" w:tooltip="Australian Institute of Health and Welfare, 2015 #10" w:history="1">
        <w:r w:rsidR="008E0B00">
          <w:rPr>
            <w:noProof/>
          </w:rPr>
          <w:t>Australian Institute of Health and Welfare 2015</w:t>
        </w:r>
      </w:hyperlink>
      <w:r w:rsidR="008E0B00">
        <w:rPr>
          <w:noProof/>
        </w:rPr>
        <w:t>)</w:t>
      </w:r>
      <w:r w:rsidR="008E0B00">
        <w:fldChar w:fldCharType="end"/>
      </w:r>
      <w:r w:rsidRPr="000573FE">
        <w:t>.</w:t>
      </w:r>
      <w:r>
        <w:t xml:space="preserve"> </w:t>
      </w:r>
      <w:r w:rsidRPr="000573FE">
        <w:fldChar w:fldCharType="begin"/>
      </w:r>
      <w:r w:rsidRPr="000573FE">
        <w:instrText xml:space="preserve"> REF _Ref456525096 \h </w:instrText>
      </w:r>
      <w:r>
        <w:instrText xml:space="preserve"> \* MERGEFORMAT </w:instrText>
      </w:r>
      <w:r w:rsidRPr="000573FE">
        <w:fldChar w:fldCharType="separate"/>
      </w:r>
      <w:r w:rsidR="0029649D" w:rsidRPr="00770BBC">
        <w:t xml:space="preserve">Table </w:t>
      </w:r>
      <w:r w:rsidR="0029649D">
        <w:rPr>
          <w:noProof/>
        </w:rPr>
        <w:t>59</w:t>
      </w:r>
      <w:r w:rsidRPr="000573FE">
        <w:fldChar w:fldCharType="end"/>
      </w:r>
      <w:r w:rsidRPr="000573FE">
        <w:t xml:space="preserve"> provides</w:t>
      </w:r>
      <w:r w:rsidRPr="007E04E9">
        <w:t xml:space="preserve"> an overview of all costs included in the economic evaluation. Further explanation about the various cost items is provided below.</w:t>
      </w:r>
    </w:p>
    <w:p w14:paraId="062165A3" w14:textId="77777777" w:rsidR="00742247" w:rsidRPr="00BD5F52" w:rsidRDefault="00742247" w:rsidP="00742247">
      <w:pPr>
        <w:rPr>
          <w:b/>
          <w:i/>
        </w:rPr>
      </w:pPr>
      <w:r w:rsidRPr="00BD5F52">
        <w:rPr>
          <w:b/>
          <w:i/>
        </w:rPr>
        <w:t>The intervention: mpMRI scan of the prostate</w:t>
      </w:r>
    </w:p>
    <w:p w14:paraId="4A44DAE8" w14:textId="7BBF9A8C" w:rsidR="00742247" w:rsidRDefault="009A647E" w:rsidP="00742247">
      <w:r>
        <w:t>The Protocol states</w:t>
      </w:r>
      <w:r w:rsidR="00742247">
        <w:t xml:space="preserve"> the current fee charged for mpMRI is $600, both for men suspected of having </w:t>
      </w:r>
      <w:r w:rsidR="001234D1">
        <w:t>PCa</w:t>
      </w:r>
      <w:r w:rsidR="00742247">
        <w:t xml:space="preserve"> and men under </w:t>
      </w:r>
      <w:r w:rsidR="00AB1EEA">
        <w:t>AS</w:t>
      </w:r>
      <w:r w:rsidR="00742247">
        <w:t xml:space="preserve"> for </w:t>
      </w:r>
      <w:r w:rsidR="001234D1">
        <w:t xml:space="preserve">PCa </w:t>
      </w:r>
      <w:r w:rsidR="008E0B00">
        <w:fldChar w:fldCharType="begin"/>
      </w:r>
      <w:r w:rsidR="008E0B00">
        <w:instrText xml:space="preserve"> ADDIN EN.CITE &lt;EndNote&gt;&lt;Cite&gt;&lt;Author&gt;DoH&lt;/Author&gt;&lt;Year&gt;2016&lt;/Year&gt;&lt;RecNum&gt;212&lt;/RecNum&gt;&lt;DisplayText&gt;(DoH 2016a)&lt;/DisplayText&gt;&lt;record&gt;&lt;rec-number&gt;212&lt;/rec-number&gt;&lt;foreign-keys&gt;&lt;key app="EN" db-id="xzzrstesqpaavfe0te5p2zssvee5ervas2vt" timestamp="1469588963"&gt;212&lt;/key&gt;&lt;/foreign-keys&gt;&lt;ref-type name="Journal Article"&gt;17&lt;/ref-type&gt;&lt;contributors&gt;&lt;authors&gt;&lt;author&gt;DoH&lt;/author&gt;&lt;/authors&gt;&lt;/contributors&gt;&lt;titles&gt;&lt;title&gt;Protocol to guide the assessment of mpMRI prostate diagnostic scans for diagnosis of prostate cancer&lt;/title&gt;&lt;/titles&gt;&lt;dates&gt;&lt;year&gt;2016&lt;/year&gt;&lt;/dates&gt;&lt;urls&gt;&lt;/urls&gt;&lt;/record&gt;&lt;/Cite&gt;&lt;/EndNote&gt;</w:instrText>
      </w:r>
      <w:r w:rsidR="008E0B00">
        <w:fldChar w:fldCharType="separate"/>
      </w:r>
      <w:r w:rsidR="008E0B00">
        <w:rPr>
          <w:noProof/>
        </w:rPr>
        <w:t>(</w:t>
      </w:r>
      <w:hyperlink w:anchor="_ENREF_39" w:tooltip="DoH, 2016 #212" w:history="1">
        <w:r w:rsidR="008E0B00">
          <w:rPr>
            <w:noProof/>
          </w:rPr>
          <w:t>DoH 2016a</w:t>
        </w:r>
      </w:hyperlink>
      <w:r w:rsidR="008E0B00">
        <w:rPr>
          <w:noProof/>
        </w:rPr>
        <w:t>)</w:t>
      </w:r>
      <w:r w:rsidR="008E0B00">
        <w:fldChar w:fldCharType="end"/>
      </w:r>
      <w:r w:rsidR="00742247">
        <w:t>. PASC noted that the cost for the contrast agent was included in these proposed fees. PASC suggested that the cost of the contrast agent should be listed separately, as for other MRI items.</w:t>
      </w:r>
      <w:r w:rsidR="00742247" w:rsidRPr="00EC27EF">
        <w:t xml:space="preserve"> </w:t>
      </w:r>
      <w:r w:rsidR="00742247">
        <w:t>The MBS item for the use of contrast for MRI (item 63491) has a fee of $44.80</w:t>
      </w:r>
      <w:r w:rsidR="001234D1">
        <w:t>, therefore, s</w:t>
      </w:r>
      <w:r w:rsidR="00742247">
        <w:t>ubtracting the cost of contrast from the proposed fee ($600.00-$44.80) results in a fee of $555.20 for mpMRI of the prostate.</w:t>
      </w:r>
    </w:p>
    <w:p w14:paraId="4E8ED511" w14:textId="7FA71E7A" w:rsidR="00742247" w:rsidRDefault="00742247" w:rsidP="00742247">
      <w:r>
        <w:t xml:space="preserve">This fee ($555.20) is higher than the current MBS fees for similar procedures. For example, the fee for MBS item 63476 (MRI for the initial staging of rectal cancer) is $403.20, which is $152 lower. It is not clear from the </w:t>
      </w:r>
      <w:r w:rsidR="007F498C">
        <w:t>P</w:t>
      </w:r>
      <w:r>
        <w:t>rotocol if there is a rationale for a higher fee for mpMRI of the prostate. In the economic evaluation, 85</w:t>
      </w:r>
      <w:r w:rsidR="001234D1">
        <w:t xml:space="preserve"> per cent</w:t>
      </w:r>
      <w:r>
        <w:t xml:space="preserve"> of the proposed fee was used, to reflect the MBS part of the costs (excluding co-payments). Given a cost of $555.20 for mpMRI plus $44.80 for contrast, the modelled cost was $510. This fee was reduced</w:t>
      </w:r>
      <w:r w:rsidR="00773C3B">
        <w:t>, and a</w:t>
      </w:r>
      <w:r w:rsidR="00FD109E">
        <w:t xml:space="preserve"> </w:t>
      </w:r>
      <w:r>
        <w:t xml:space="preserve">sensitivity analysis </w:t>
      </w:r>
      <w:r w:rsidR="00773C3B">
        <w:t xml:space="preserve">performed </w:t>
      </w:r>
      <w:r w:rsidR="00DC693C">
        <w:t>using</w:t>
      </w:r>
      <w:r w:rsidR="00773C3B">
        <w:t xml:space="preserve"> a cost of $448 </w:t>
      </w:r>
      <w:r w:rsidR="007F498C">
        <w:t>(</w:t>
      </w:r>
      <w:r>
        <w:t>$403.20 for mpMRI plus $44.80 for contrast</w:t>
      </w:r>
      <w:r w:rsidR="007F498C">
        <w:t>)</w:t>
      </w:r>
      <w:r w:rsidR="00773C3B">
        <w:t>.</w:t>
      </w:r>
      <w:r>
        <w:t xml:space="preserve"> </w:t>
      </w:r>
    </w:p>
    <w:p w14:paraId="5890BE66" w14:textId="77777777" w:rsidR="00742247" w:rsidRDefault="00742247" w:rsidP="00742247">
      <w:r>
        <w:t xml:space="preserve">Costs for buscopan to limit bowel peristalsis and costs for oral medication for patients with claustrophobia were excluded since their impact would be negligible given the low price of these drugs. The proportion of patients requiring sedation due to severe claustrophobia was also considered to be negligible since it is an uncommon condition and urologists likely prefer not to use mpMRI for screening/surveillance purposes in these patients. Costs for intravenous access disposables were assumed to be included in the MBS fee for contrast </w:t>
      </w:r>
      <w:r w:rsidRPr="004C37DB">
        <w:t>enhancement.</w:t>
      </w:r>
    </w:p>
    <w:p w14:paraId="43E524FF" w14:textId="0B7A5711" w:rsidR="00742247" w:rsidRPr="004C37DB" w:rsidRDefault="00742247" w:rsidP="00742247">
      <w:r>
        <w:t>The cost of mpMRI used by Gordon et al</w:t>
      </w:r>
      <w:r w:rsidR="001234D1">
        <w:t>.</w:t>
      </w:r>
      <w:r>
        <w:t xml:space="preserve"> (2016) was lower at $570. The source used </w:t>
      </w:r>
      <w:r w:rsidR="001234D1">
        <w:t>in this study</w:t>
      </w:r>
      <w:r>
        <w:t xml:space="preserve"> was Protocol CA 1397</w:t>
      </w:r>
      <w:r w:rsidR="001234D1">
        <w:t>;</w:t>
      </w:r>
      <w:r>
        <w:t xml:space="preserve"> however</w:t>
      </w:r>
      <w:r w:rsidR="001234D1">
        <w:t>,</w:t>
      </w:r>
      <w:r>
        <w:t xml:space="preserve"> the current Protocol notes the current fee charged including contrast is $600.00.</w:t>
      </w:r>
    </w:p>
    <w:p w14:paraId="48C93197" w14:textId="77777777" w:rsidR="00742247" w:rsidRPr="00BD5F52" w:rsidRDefault="00742247" w:rsidP="00742247">
      <w:pPr>
        <w:keepNext/>
        <w:rPr>
          <w:b/>
          <w:i/>
        </w:rPr>
      </w:pPr>
      <w:r w:rsidRPr="00BD5F52">
        <w:rPr>
          <w:b/>
          <w:i/>
        </w:rPr>
        <w:t>Prostate biopsy</w:t>
      </w:r>
    </w:p>
    <w:p w14:paraId="6980375C" w14:textId="0CF1282D" w:rsidR="00742247" w:rsidRPr="0055063D" w:rsidRDefault="00742247" w:rsidP="00742247">
      <w:r>
        <w:t xml:space="preserve">The costs for biopsy procedures were aligned with the evaluation of </w:t>
      </w:r>
      <w:r w:rsidR="004D143F">
        <w:t>MRIGB</w:t>
      </w:r>
      <w:r>
        <w:t xml:space="preserve"> procedures for diagnosis of PCa (CA 1424). For TRUSGB these costs (85% MBS fees) included the biopsy procedure (MBS item 37219), prostate ultrasound (MBS item 55600), biopsy specimen analysis (MBS item 72825) and antibiotic prophylaxis (ciprofloxacin, PBS item 1209P). For TPUSGB these costs (85% MBS fees) included the biopsy procedure (MBS item 37219), prostate ultrasound (MBS item 55600), biopsy specimen analysis (MBS item 72825), general anaesthesia (MBS items 17615 and 23051) and the </w:t>
      </w:r>
      <w:r>
        <w:lastRenderedPageBreak/>
        <w:t>admission theatre (</w:t>
      </w:r>
      <w:r w:rsidR="00B81126">
        <w:t>National Efficient Price (</w:t>
      </w:r>
      <w:r>
        <w:t>NEP</w:t>
      </w:r>
      <w:r w:rsidR="00B81126">
        <w:t>)</w:t>
      </w:r>
      <w:r w:rsidR="00864895">
        <w:t>)</w:t>
      </w:r>
      <w:r>
        <w:t>, price weight subacute minor surgical), see CA 1424. The relative utilisation of TRUSGB versus TPUSG</w:t>
      </w:r>
      <w:r w:rsidR="005F20AE">
        <w:t>B was assumed to be 75:25 (see P</w:t>
      </w:r>
      <w:r>
        <w:t>rotocol 1424), resulting in cost of $603.92 per prostate biopsy. This cost is similar to that used in Gordon et al</w:t>
      </w:r>
      <w:r w:rsidR="004D143F">
        <w:t>.</w:t>
      </w:r>
      <w:r>
        <w:t xml:space="preserve"> (2016) where $600.00 per biopsy was assumed. </w:t>
      </w:r>
    </w:p>
    <w:p w14:paraId="76D8A587" w14:textId="77777777" w:rsidR="00742247" w:rsidRPr="00BD5F52" w:rsidRDefault="00742247" w:rsidP="00742247">
      <w:pPr>
        <w:rPr>
          <w:b/>
          <w:i/>
        </w:rPr>
      </w:pPr>
      <w:r w:rsidRPr="00BD5F52">
        <w:rPr>
          <w:b/>
          <w:i/>
        </w:rPr>
        <w:t>Costs for observation</w:t>
      </w:r>
    </w:p>
    <w:p w14:paraId="70531577" w14:textId="77777777" w:rsidR="00742247" w:rsidRPr="00D07484" w:rsidRDefault="00742247" w:rsidP="00742247">
      <w:r>
        <w:t xml:space="preserve">Patients in the health state “alive without prostate cancer” were assumed to undergo PSA testing once per year, costing $31.75 (85% MBS fee for item 66659). </w:t>
      </w:r>
    </w:p>
    <w:p w14:paraId="3E6B65F3" w14:textId="77777777" w:rsidR="00742247" w:rsidRPr="008B4108" w:rsidRDefault="00742247" w:rsidP="00742247">
      <w:pPr>
        <w:rPr>
          <w:b/>
          <w:i/>
        </w:rPr>
      </w:pPr>
      <w:r w:rsidRPr="008B4108">
        <w:rPr>
          <w:b/>
          <w:i/>
        </w:rPr>
        <w:t>Prostate cancer costs</w:t>
      </w:r>
    </w:p>
    <w:p w14:paraId="3932EE86" w14:textId="02012892" w:rsidR="00742247" w:rsidRDefault="00742247" w:rsidP="00742247">
      <w:r>
        <w:t>Prostate cancer c</w:t>
      </w:r>
      <w:r w:rsidRPr="006F2528">
        <w:t xml:space="preserve">osts for the economic evaluation </w:t>
      </w:r>
      <w:r>
        <w:t xml:space="preserve">were sourced from literature. </w:t>
      </w:r>
      <w:r w:rsidRPr="006F2528">
        <w:t xml:space="preserve">A targeted literature review </w:t>
      </w:r>
      <w:r>
        <w:t xml:space="preserve">was performed </w:t>
      </w:r>
      <w:r w:rsidRPr="006F2528">
        <w:t xml:space="preserve">to identify studies reporting the treatment </w:t>
      </w:r>
      <w:r>
        <w:t xml:space="preserve">costs </w:t>
      </w:r>
      <w:r w:rsidRPr="006F2528">
        <w:t>of patients with PCa from the Australian healthcare system perspective</w:t>
      </w:r>
      <w:r>
        <w:t xml:space="preserve"> (see Appendix K)</w:t>
      </w:r>
      <w:r w:rsidRPr="006F2528">
        <w:t>.</w:t>
      </w:r>
      <w:r w:rsidRPr="00BE2106">
        <w:t xml:space="preserve"> </w:t>
      </w:r>
      <w:r>
        <w:t>One</w:t>
      </w:r>
      <w:r w:rsidRPr="00BE2106">
        <w:t xml:space="preserve"> stud</w:t>
      </w:r>
      <w:r>
        <w:t>y</w:t>
      </w:r>
      <w:r w:rsidRPr="00BE2106">
        <w:t xml:space="preserve"> w</w:t>
      </w:r>
      <w:r>
        <w:t>as</w:t>
      </w:r>
      <w:r w:rsidRPr="00BE2106">
        <w:t xml:space="preserve"> selected for inclusion</w:t>
      </w:r>
      <w:r>
        <w:t xml:space="preserve"> as the authors reported costs from the Australian healthcare system perspective</w:t>
      </w:r>
      <w:r w:rsidR="00BD1A07">
        <w:t xml:space="preserve"> </w:t>
      </w:r>
      <w:r>
        <w:t>(Cronin et al</w:t>
      </w:r>
      <w:r w:rsidR="004D143F">
        <w:t>.</w:t>
      </w:r>
      <w:r>
        <w:t xml:space="preserve"> 2016). This study used individual patient data for the derivation of costs. Other costs not reported in the </w:t>
      </w:r>
      <w:r w:rsidR="00055C87">
        <w:t>studies</w:t>
      </w:r>
      <w:r w:rsidR="005F20AE">
        <w:t xml:space="preserve"> were sourced from P</w:t>
      </w:r>
      <w:r>
        <w:t xml:space="preserve">rotocols 1397 and 1424. </w:t>
      </w:r>
    </w:p>
    <w:p w14:paraId="71F55CF3" w14:textId="77777777" w:rsidR="00742247" w:rsidRPr="00BD5F52" w:rsidRDefault="00742247" w:rsidP="00742247">
      <w:pPr>
        <w:rPr>
          <w:b/>
        </w:rPr>
      </w:pPr>
      <w:r w:rsidRPr="00BD5F52">
        <w:rPr>
          <w:b/>
        </w:rPr>
        <w:t>Prostate cancer costs, healthcare payer perspective</w:t>
      </w:r>
    </w:p>
    <w:p w14:paraId="194D0670" w14:textId="6B606015" w:rsidR="00AA59F4" w:rsidRDefault="00742247" w:rsidP="00742247">
      <w:r>
        <w:t>Cronin et al</w:t>
      </w:r>
      <w:r w:rsidR="004D143F">
        <w:t>.</w:t>
      </w:r>
      <w:r>
        <w:t xml:space="preserve"> (2016) reported the long-term health costs associated with </w:t>
      </w:r>
      <w:r w:rsidR="004D143F">
        <w:t>PCa</w:t>
      </w:r>
      <w:r>
        <w:t xml:space="preserve"> in an Australian population. The study was conducted from the healthcare payer perspective and included medical, pharmaceutical and hospital usage costs from the Pharmaceutical Benefits Scheme (PBS), Medicare Benefit Schedule (MBS), and hospital utilisation. Details of the study are presented in </w:t>
      </w:r>
      <w:r>
        <w:fldChar w:fldCharType="begin"/>
      </w:r>
      <w:r>
        <w:instrText xml:space="preserve"> REF _Ref456255788 \h </w:instrText>
      </w:r>
      <w:r>
        <w:fldChar w:fldCharType="separate"/>
      </w:r>
      <w:r w:rsidR="0029649D" w:rsidRPr="002D269C">
        <w:t xml:space="preserve">Table </w:t>
      </w:r>
      <w:r w:rsidR="0029649D">
        <w:rPr>
          <w:noProof/>
        </w:rPr>
        <w:t>57</w:t>
      </w:r>
      <w:r>
        <w:fldChar w:fldCharType="end"/>
      </w:r>
      <w:r>
        <w:t xml:space="preserve">. Costs from this study were used as they included an aggregate cost of each of the treatments associated with the intermediate to high risk health state in the economic model. Resource utilisation was measured over a long period of follow-up (10 years). The study used real-world, linked data for individual patients to calculate PCa costs, and is therefore considered more comprehensive than forecasting PCa costs based on </w:t>
      </w:r>
      <w:r w:rsidR="00105426">
        <w:t xml:space="preserve">expected resource utilisation. </w:t>
      </w:r>
    </w:p>
    <w:p w14:paraId="1129E36C" w14:textId="77777777" w:rsidR="00742247" w:rsidRDefault="00742247" w:rsidP="00742247">
      <w:pPr>
        <w:pStyle w:val="Caption"/>
      </w:pPr>
      <w:bookmarkStart w:id="611" w:name="_Ref456255788"/>
      <w:bookmarkStart w:id="612" w:name="_Toc457383678"/>
      <w:bookmarkStart w:id="613" w:name="_Toc459987917"/>
      <w:bookmarkStart w:id="614" w:name="_Toc460514557"/>
      <w:r w:rsidRPr="002D269C">
        <w:t xml:space="preserve">Table </w:t>
      </w:r>
      <w:fldSimple w:instr=" SEQ Table \* ARABIC ">
        <w:r w:rsidR="0029649D">
          <w:rPr>
            <w:noProof/>
          </w:rPr>
          <w:t>57</w:t>
        </w:r>
      </w:fldSimple>
      <w:bookmarkEnd w:id="611"/>
      <w:r w:rsidRPr="002D269C">
        <w:tab/>
      </w:r>
      <w:r>
        <w:rPr>
          <w:szCs w:val="20"/>
        </w:rPr>
        <w:t>Summary of cost study by Cronin et al (2016)</w:t>
      </w:r>
      <w:bookmarkEnd w:id="612"/>
      <w:bookmarkEnd w:id="613"/>
      <w:bookmarkEnd w:id="614"/>
    </w:p>
    <w:tbl>
      <w:tblPr>
        <w:tblStyle w:val="TableGrid"/>
        <w:tblW w:w="9112" w:type="dxa"/>
        <w:tblInd w:w="130" w:type="dxa"/>
        <w:tblCellMar>
          <w:left w:w="28" w:type="dxa"/>
          <w:right w:w="28" w:type="dxa"/>
        </w:tblCellMar>
        <w:tblLook w:val="04A0" w:firstRow="1" w:lastRow="0" w:firstColumn="1" w:lastColumn="0" w:noHBand="0" w:noVBand="1"/>
        <w:tblDescription w:val="Summary of cost study by Cronin et al (2016)"/>
      </w:tblPr>
      <w:tblGrid>
        <w:gridCol w:w="1365"/>
        <w:gridCol w:w="7747"/>
      </w:tblGrid>
      <w:tr w:rsidR="00742247" w:rsidRPr="00AA59F4" w14:paraId="0BFC04AE" w14:textId="77777777" w:rsidTr="00AA59F4">
        <w:trPr>
          <w:trHeight w:val="397"/>
          <w:tblHeader/>
        </w:trPr>
        <w:tc>
          <w:tcPr>
            <w:tcW w:w="749" w:type="pct"/>
            <w:tcBorders>
              <w:right w:val="nil"/>
            </w:tcBorders>
            <w:vAlign w:val="bottom"/>
          </w:tcPr>
          <w:p w14:paraId="0F0655AB" w14:textId="77777777" w:rsidR="00742247" w:rsidRPr="00AA59F4" w:rsidRDefault="00742247" w:rsidP="00105426">
            <w:pPr>
              <w:pStyle w:val="Tableheading1"/>
            </w:pPr>
            <w:r w:rsidRPr="00AA59F4">
              <w:t>Study details</w:t>
            </w:r>
          </w:p>
        </w:tc>
        <w:tc>
          <w:tcPr>
            <w:tcW w:w="4251" w:type="pct"/>
            <w:tcBorders>
              <w:left w:val="nil"/>
              <w:right w:val="nil"/>
            </w:tcBorders>
            <w:vAlign w:val="bottom"/>
          </w:tcPr>
          <w:p w14:paraId="011133C7" w14:textId="77777777" w:rsidR="00742247" w:rsidRPr="00AA59F4" w:rsidRDefault="00742247" w:rsidP="00105426">
            <w:pPr>
              <w:pStyle w:val="Tableheading1"/>
            </w:pPr>
          </w:p>
        </w:tc>
      </w:tr>
      <w:tr w:rsidR="00742247" w:rsidRPr="007F4891" w14:paraId="5BF9C9BC" w14:textId="77777777" w:rsidTr="00AA59F4">
        <w:trPr>
          <w:trHeight w:val="397"/>
        </w:trPr>
        <w:tc>
          <w:tcPr>
            <w:tcW w:w="749" w:type="pct"/>
          </w:tcPr>
          <w:p w14:paraId="5E4C4135" w14:textId="77777777" w:rsidR="00742247" w:rsidRPr="00AA59F4" w:rsidRDefault="00742247" w:rsidP="00105426">
            <w:pPr>
              <w:pStyle w:val="Tabletext1"/>
            </w:pPr>
            <w:r w:rsidRPr="00AA59F4">
              <w:t>Study design</w:t>
            </w:r>
          </w:p>
        </w:tc>
        <w:tc>
          <w:tcPr>
            <w:tcW w:w="4251" w:type="pct"/>
          </w:tcPr>
          <w:p w14:paraId="2E6E63DC" w14:textId="77777777" w:rsidR="00742247" w:rsidRPr="007F4891" w:rsidRDefault="00742247" w:rsidP="00105426">
            <w:pPr>
              <w:pStyle w:val="Tabletext1"/>
            </w:pPr>
            <w:r>
              <w:t xml:space="preserve">Analysis of linked medical, pharmaceutical and hospital data. </w:t>
            </w:r>
          </w:p>
        </w:tc>
      </w:tr>
      <w:tr w:rsidR="00742247" w:rsidRPr="007F4891" w14:paraId="0E7F920C" w14:textId="77777777" w:rsidTr="00AA59F4">
        <w:trPr>
          <w:trHeight w:val="397"/>
        </w:trPr>
        <w:tc>
          <w:tcPr>
            <w:tcW w:w="749" w:type="pct"/>
          </w:tcPr>
          <w:p w14:paraId="18BD10D5" w14:textId="77777777" w:rsidR="00742247" w:rsidRPr="00AA59F4" w:rsidRDefault="00742247" w:rsidP="00105426">
            <w:pPr>
              <w:pStyle w:val="Tabletext1"/>
            </w:pPr>
            <w:r w:rsidRPr="00AA59F4">
              <w:t>Population</w:t>
            </w:r>
          </w:p>
        </w:tc>
        <w:tc>
          <w:tcPr>
            <w:tcW w:w="4251" w:type="pct"/>
          </w:tcPr>
          <w:p w14:paraId="283B858F" w14:textId="36B5179C" w:rsidR="00742247" w:rsidRPr="007F4891" w:rsidRDefault="00742247" w:rsidP="00105426">
            <w:pPr>
              <w:pStyle w:val="Tabletext1"/>
            </w:pPr>
            <w:r>
              <w:t>Males (aged &lt;70) diagnosed with PCa in the years between 2000 and 2002 (</w:t>
            </w:r>
            <w:r w:rsidR="00DD5A81">
              <w:t>n</w:t>
            </w:r>
            <w:r>
              <w:t>=1,873)</w:t>
            </w:r>
            <w:r w:rsidR="004D143F">
              <w:t>.</w:t>
            </w:r>
          </w:p>
        </w:tc>
      </w:tr>
      <w:tr w:rsidR="00742247" w:rsidRPr="007F4891" w14:paraId="0BB2D54D" w14:textId="77777777" w:rsidTr="00AA59F4">
        <w:trPr>
          <w:trHeight w:val="397"/>
        </w:trPr>
        <w:tc>
          <w:tcPr>
            <w:tcW w:w="749" w:type="pct"/>
          </w:tcPr>
          <w:p w14:paraId="4F129AB2" w14:textId="77777777" w:rsidR="00742247" w:rsidRPr="00AA59F4" w:rsidRDefault="00742247" w:rsidP="00105426">
            <w:pPr>
              <w:pStyle w:val="Tabletext1"/>
            </w:pPr>
            <w:r w:rsidRPr="00AA59F4">
              <w:t>Location</w:t>
            </w:r>
          </w:p>
        </w:tc>
        <w:tc>
          <w:tcPr>
            <w:tcW w:w="4251" w:type="pct"/>
          </w:tcPr>
          <w:p w14:paraId="17C56B52" w14:textId="4D64FFC5" w:rsidR="00742247" w:rsidRPr="007F4891" w:rsidRDefault="00742247" w:rsidP="00105426">
            <w:pPr>
              <w:pStyle w:val="Tabletext1"/>
            </w:pPr>
            <w:r>
              <w:t>NSW, Australia</w:t>
            </w:r>
            <w:r w:rsidR="004D143F">
              <w:t>.</w:t>
            </w:r>
          </w:p>
        </w:tc>
      </w:tr>
      <w:tr w:rsidR="00742247" w:rsidRPr="007F4891" w14:paraId="460B40E6" w14:textId="77777777" w:rsidTr="00AA59F4">
        <w:trPr>
          <w:trHeight w:val="397"/>
        </w:trPr>
        <w:tc>
          <w:tcPr>
            <w:tcW w:w="749" w:type="pct"/>
          </w:tcPr>
          <w:p w14:paraId="66AD9A66" w14:textId="77777777" w:rsidR="00742247" w:rsidRPr="00AA59F4" w:rsidRDefault="00742247" w:rsidP="00105426">
            <w:pPr>
              <w:pStyle w:val="Tabletext1"/>
            </w:pPr>
            <w:r w:rsidRPr="00AA59F4">
              <w:t>Time of conduct</w:t>
            </w:r>
          </w:p>
        </w:tc>
        <w:tc>
          <w:tcPr>
            <w:tcW w:w="4251" w:type="pct"/>
          </w:tcPr>
          <w:p w14:paraId="2D093A6F" w14:textId="77777777" w:rsidR="00742247" w:rsidRDefault="00742247" w:rsidP="00105426">
            <w:pPr>
              <w:pStyle w:val="Tabletext1"/>
            </w:pPr>
            <w:r>
              <w:t>Data pertains to patients diagnosed in the years 2000 and 2002, and includes 10 years of follow-up</w:t>
            </w:r>
          </w:p>
          <w:p w14:paraId="56138612" w14:textId="77777777" w:rsidR="00742247" w:rsidRPr="007F4891" w:rsidRDefault="00742247" w:rsidP="00105426">
            <w:pPr>
              <w:pStyle w:val="Tabletext1"/>
            </w:pPr>
            <w:r w:rsidRPr="00D93C2A">
              <w:t>Costs were inflated to common price</w:t>
            </w:r>
            <w:r>
              <w:t xml:space="preserve"> year (2011/2012) using the AIHW pharmaceutical services fee index or medical services index. </w:t>
            </w:r>
          </w:p>
        </w:tc>
      </w:tr>
      <w:tr w:rsidR="00742247" w:rsidRPr="007F4891" w14:paraId="42E36923" w14:textId="77777777" w:rsidTr="00AA59F4">
        <w:trPr>
          <w:trHeight w:val="397"/>
        </w:trPr>
        <w:tc>
          <w:tcPr>
            <w:tcW w:w="749" w:type="pct"/>
            <w:tcBorders>
              <w:bottom w:val="single" w:sz="4" w:space="0" w:color="auto"/>
            </w:tcBorders>
          </w:tcPr>
          <w:p w14:paraId="38C581A9" w14:textId="77777777" w:rsidR="00742247" w:rsidRPr="00AA59F4" w:rsidRDefault="00742247" w:rsidP="00105426">
            <w:pPr>
              <w:pStyle w:val="Tabletext1"/>
            </w:pPr>
            <w:r w:rsidRPr="00AA59F4">
              <w:t>Objectives</w:t>
            </w:r>
          </w:p>
        </w:tc>
        <w:tc>
          <w:tcPr>
            <w:tcW w:w="4251" w:type="pct"/>
            <w:tcBorders>
              <w:bottom w:val="single" w:sz="4" w:space="0" w:color="auto"/>
            </w:tcBorders>
          </w:tcPr>
          <w:p w14:paraId="0C0BFC86" w14:textId="77777777" w:rsidR="00742247" w:rsidRPr="007F4891" w:rsidRDefault="00742247" w:rsidP="00105426">
            <w:pPr>
              <w:pStyle w:val="Tabletext1"/>
            </w:pPr>
            <w:r>
              <w:t xml:space="preserve">To estimate the long term health care costs of PCa. </w:t>
            </w:r>
          </w:p>
        </w:tc>
      </w:tr>
      <w:tr w:rsidR="00742247" w:rsidRPr="007F4891" w14:paraId="2D35D153" w14:textId="77777777" w:rsidTr="00AA59F4">
        <w:trPr>
          <w:trHeight w:val="397"/>
        </w:trPr>
        <w:tc>
          <w:tcPr>
            <w:tcW w:w="749" w:type="pct"/>
            <w:tcBorders>
              <w:right w:val="single" w:sz="4" w:space="0" w:color="auto"/>
            </w:tcBorders>
          </w:tcPr>
          <w:p w14:paraId="29452FFE" w14:textId="77777777" w:rsidR="00742247" w:rsidRPr="00AA59F4" w:rsidRDefault="00742247" w:rsidP="00105426">
            <w:pPr>
              <w:pStyle w:val="Tabletext1"/>
            </w:pPr>
            <w:r w:rsidRPr="00AA59F4">
              <w:t>Methods</w:t>
            </w:r>
          </w:p>
          <w:p w14:paraId="5E4EF9AA" w14:textId="77777777" w:rsidR="00742247" w:rsidRPr="00AA59F4" w:rsidRDefault="00742247" w:rsidP="00105426">
            <w:pPr>
              <w:pStyle w:val="Tabletext1"/>
            </w:pPr>
            <w:r w:rsidRPr="00AA59F4">
              <w:lastRenderedPageBreak/>
              <w:t>Variables included</w:t>
            </w:r>
          </w:p>
        </w:tc>
        <w:tc>
          <w:tcPr>
            <w:tcW w:w="4251" w:type="pct"/>
            <w:tcBorders>
              <w:left w:val="single" w:sz="4" w:space="0" w:color="auto"/>
              <w:right w:val="single" w:sz="4" w:space="0" w:color="auto"/>
            </w:tcBorders>
          </w:tcPr>
          <w:p w14:paraId="16CCD929" w14:textId="77777777" w:rsidR="00742247" w:rsidRDefault="00742247" w:rsidP="00105426">
            <w:pPr>
              <w:pStyle w:val="Tabletext1"/>
            </w:pPr>
            <w:r>
              <w:lastRenderedPageBreak/>
              <w:t xml:space="preserve">Non-parametric models were used to calculate the average health care costs by PCa risk groups at </w:t>
            </w:r>
            <w:r>
              <w:lastRenderedPageBreak/>
              <w:t xml:space="preserve">diagnosis (low to metastatic) and treatment pathways. </w:t>
            </w:r>
          </w:p>
          <w:p w14:paraId="4BB3AAAC" w14:textId="77777777" w:rsidR="00742247" w:rsidRDefault="00742247" w:rsidP="00105426">
            <w:pPr>
              <w:pStyle w:val="Tabletext1"/>
            </w:pPr>
            <w:r>
              <w:t xml:space="preserve">Data pertaining to disease stage and treatments received were extracted from patient medical records. </w:t>
            </w:r>
          </w:p>
          <w:p w14:paraId="46A76BD7" w14:textId="77777777" w:rsidR="00742247" w:rsidRDefault="00742247" w:rsidP="00105426">
            <w:pPr>
              <w:pStyle w:val="Tabletext1"/>
            </w:pPr>
            <w:r>
              <w:t xml:space="preserve">PCa pharmaceuticals were defined as those currently approved on the PBS for PCa related indications. General pharmaceuticals were included if they were considered to be related to the treatment of PCa. </w:t>
            </w:r>
          </w:p>
          <w:p w14:paraId="12B38F29" w14:textId="28294797" w:rsidR="00742247" w:rsidRPr="006C5225" w:rsidRDefault="00742247" w:rsidP="00105426">
            <w:pPr>
              <w:pStyle w:val="Tabletext1"/>
            </w:pPr>
            <w:r>
              <w:t xml:space="preserve">Medical services: </w:t>
            </w:r>
            <w:r w:rsidRPr="006C5225">
              <w:t>PCa relevant MBS item numbers in combination with the</w:t>
            </w:r>
            <w:r w:rsidR="004D143F">
              <w:t xml:space="preserve"> </w:t>
            </w:r>
            <w:r w:rsidRPr="006C5225">
              <w:t>MBS descriptor ‘provider specialty’. PCa specific provider specialties included medical</w:t>
            </w:r>
            <w:r>
              <w:t xml:space="preserve"> </w:t>
            </w:r>
            <w:r w:rsidRPr="006C5225">
              <w:t>oncology, diagnostic radiology, immunology, urology and radiation oncology</w:t>
            </w:r>
            <w:r>
              <w:t xml:space="preserve">; if it were not possible to distinguish between services utilised for PCa and non-PCa, general services were matched to PCa relevant procedures if they occurred within a 3 days of a PSA/urinary test, or at the same hospital visit. </w:t>
            </w:r>
          </w:p>
          <w:p w14:paraId="0D87C8FA" w14:textId="77777777" w:rsidR="00742247" w:rsidRPr="008F3E82" w:rsidRDefault="00742247" w:rsidP="00105426">
            <w:pPr>
              <w:pStyle w:val="Tabletext1"/>
            </w:pPr>
            <w:r>
              <w:t xml:space="preserve">Hospital usage: </w:t>
            </w:r>
            <w:r w:rsidRPr="008F3E82">
              <w:t>Australian Refined Diagnostic Related Groups (AR-DRG) were linked to prostate related ICD-10</w:t>
            </w:r>
            <w:r>
              <w:t xml:space="preserve"> </w:t>
            </w:r>
            <w:r w:rsidRPr="008F3E82">
              <w:t>diagnostic codes and categorised as major and general prostate procedures, gastrointestinal,</w:t>
            </w:r>
            <w:r>
              <w:t xml:space="preserve"> </w:t>
            </w:r>
            <w:r w:rsidRPr="008F3E82">
              <w:t>urinary and penile and metastases (including chemotherapy and hospital related admissions).</w:t>
            </w:r>
          </w:p>
        </w:tc>
      </w:tr>
      <w:tr w:rsidR="00742247" w:rsidRPr="007F4891" w14:paraId="6A36A2F2" w14:textId="77777777" w:rsidTr="00AA59F4">
        <w:trPr>
          <w:trHeight w:val="397"/>
        </w:trPr>
        <w:tc>
          <w:tcPr>
            <w:tcW w:w="749" w:type="pct"/>
          </w:tcPr>
          <w:p w14:paraId="04AC20F7" w14:textId="77777777" w:rsidR="00742247" w:rsidRPr="00AA59F4" w:rsidRDefault="00742247" w:rsidP="00105426">
            <w:pPr>
              <w:pStyle w:val="Tabletext1"/>
            </w:pPr>
            <w:r w:rsidRPr="00AA59F4">
              <w:lastRenderedPageBreak/>
              <w:t xml:space="preserve">Outcomes </w:t>
            </w:r>
          </w:p>
        </w:tc>
        <w:tc>
          <w:tcPr>
            <w:tcW w:w="4251" w:type="pct"/>
          </w:tcPr>
          <w:p w14:paraId="7E49A472" w14:textId="32E13308" w:rsidR="00742247" w:rsidRPr="007F4891" w:rsidRDefault="00742247" w:rsidP="00105426">
            <w:pPr>
              <w:pStyle w:val="Tabletext1"/>
            </w:pPr>
            <w:r>
              <w:t>Average health care costs by PCa risk groups at diagnosis (low to metastatic) and treatment pathways</w:t>
            </w:r>
            <w:r w:rsidR="004D143F">
              <w:t>.</w:t>
            </w:r>
          </w:p>
        </w:tc>
      </w:tr>
      <w:tr w:rsidR="00742247" w:rsidRPr="007F4891" w14:paraId="5A087AD9" w14:textId="77777777" w:rsidTr="00AA59F4">
        <w:trPr>
          <w:trHeight w:val="397"/>
        </w:trPr>
        <w:tc>
          <w:tcPr>
            <w:tcW w:w="749" w:type="pct"/>
          </w:tcPr>
          <w:p w14:paraId="4D160F94" w14:textId="77777777" w:rsidR="00742247" w:rsidRPr="00AA59F4" w:rsidRDefault="00742247" w:rsidP="00105426">
            <w:pPr>
              <w:pStyle w:val="Tabletext1"/>
            </w:pPr>
            <w:r w:rsidRPr="00AA59F4">
              <w:t>Key findings and conclusions</w:t>
            </w:r>
          </w:p>
        </w:tc>
        <w:tc>
          <w:tcPr>
            <w:tcW w:w="4251" w:type="pct"/>
          </w:tcPr>
          <w:p w14:paraId="62608FA8" w14:textId="77777777" w:rsidR="00742247" w:rsidRPr="002F4E8D" w:rsidRDefault="00742247" w:rsidP="00105426">
            <w:pPr>
              <w:pStyle w:val="Tabletext1"/>
            </w:pPr>
            <w:r w:rsidRPr="002F4E8D">
              <w:t>The initial phase of treatment is associated with the highest costs of care for all treatment groups.</w:t>
            </w:r>
            <w:r>
              <w:t xml:space="preserve"> </w:t>
            </w:r>
            <w:r w:rsidRPr="002F4E8D">
              <w:t>Ongoing costs for all treatments show a declining trend after the first six months post diagnosis with the exception of radical prostatectomy ±EBRT, and EBRT± brachytherapy, which shows a small second spike in costs between 30-42 months and 42-54 months, respectively, which is likely to be attributed to the commencement of a second cycle of therapy.</w:t>
            </w:r>
            <w:r>
              <w:t xml:space="preserve"> </w:t>
            </w:r>
          </w:p>
          <w:p w14:paraId="2D7419A4" w14:textId="77777777" w:rsidR="00742247" w:rsidRPr="007F4891" w:rsidRDefault="00742247" w:rsidP="00105426">
            <w:pPr>
              <w:pStyle w:val="Tabletext1"/>
            </w:pPr>
            <w:r w:rsidRPr="002F4E8D">
              <w:t>Costs are the highest at initial diagnosis of the disease.</w:t>
            </w:r>
            <w:r>
              <w:t xml:space="preserve"> </w:t>
            </w:r>
            <w:r w:rsidRPr="002F4E8D">
              <w:t>Treatment in the first year represents the majority of treatment costs.</w:t>
            </w:r>
          </w:p>
        </w:tc>
      </w:tr>
      <w:tr w:rsidR="00742247" w:rsidRPr="007F4891" w14:paraId="3664E083" w14:textId="77777777" w:rsidTr="00AA59F4">
        <w:trPr>
          <w:trHeight w:val="397"/>
        </w:trPr>
        <w:tc>
          <w:tcPr>
            <w:tcW w:w="749" w:type="pct"/>
          </w:tcPr>
          <w:p w14:paraId="125DC19C" w14:textId="77777777" w:rsidR="00742247" w:rsidRPr="00AA59F4" w:rsidRDefault="00742247" w:rsidP="00105426">
            <w:pPr>
              <w:pStyle w:val="Tabletext1"/>
            </w:pPr>
            <w:r w:rsidRPr="00AA59F4">
              <w:t>Relevance to economic evaluation</w:t>
            </w:r>
          </w:p>
        </w:tc>
        <w:tc>
          <w:tcPr>
            <w:tcW w:w="4251" w:type="pct"/>
          </w:tcPr>
          <w:p w14:paraId="31D92AEE" w14:textId="77777777" w:rsidR="00742247" w:rsidRDefault="00742247" w:rsidP="00105426">
            <w:pPr>
              <w:pStyle w:val="Tabletext1"/>
            </w:pPr>
            <w:r>
              <w:t xml:space="preserve">The cost study provides estimates of treatment by risk category at the time of PCa diagnosis and by treatment pathway.  </w:t>
            </w:r>
          </w:p>
          <w:p w14:paraId="7350BB35" w14:textId="24943071" w:rsidR="00742247" w:rsidRDefault="00742247" w:rsidP="00105426">
            <w:pPr>
              <w:pStyle w:val="Tabletext1"/>
            </w:pPr>
            <w:r>
              <w:t xml:space="preserve">The costs reported by treatment pathway are of most use for this economic evaluation, as resource use associated with the clinical management of patients are categorised into: </w:t>
            </w:r>
            <w:r w:rsidR="00AB1EEA">
              <w:t>AS</w:t>
            </w:r>
            <w:r>
              <w:t xml:space="preserve">, </w:t>
            </w:r>
            <w:r w:rsidRPr="00CA1DDD">
              <w:t>EBRT/brachytherapy</w:t>
            </w:r>
            <w:r>
              <w:t xml:space="preserve">, ADT, and radical prostectomy alone. </w:t>
            </w:r>
          </w:p>
          <w:p w14:paraId="7B2ADCC8" w14:textId="557C5455" w:rsidR="00742247" w:rsidRPr="00E12DA6" w:rsidRDefault="00742247" w:rsidP="00105426">
            <w:pPr>
              <w:pStyle w:val="Tabletext1"/>
              <w:rPr>
                <w:i/>
              </w:rPr>
            </w:pPr>
            <w:r>
              <w:t xml:space="preserve">Of note, the costs for patients in “active surveillance” include patients with high risk (n=30), very high risk (n=2) and metastatic </w:t>
            </w:r>
            <w:r w:rsidR="005F20AE">
              <w:t xml:space="preserve">PCa </w:t>
            </w:r>
            <w:r>
              <w:t>(n=2)</w:t>
            </w:r>
            <w:r w:rsidRPr="00BE2106">
              <w:t xml:space="preserve">. </w:t>
            </w:r>
            <w:r w:rsidRPr="005F20AE">
              <w:t>This may be reflective of the population that will undergo mpMRI should the technology become available.</w:t>
            </w:r>
            <w:r>
              <w:rPr>
                <w:i/>
              </w:rPr>
              <w:t xml:space="preserve"> </w:t>
            </w:r>
          </w:p>
        </w:tc>
      </w:tr>
    </w:tbl>
    <w:p w14:paraId="5705E52B" w14:textId="3A1745CE" w:rsidR="00742247" w:rsidRDefault="00742247" w:rsidP="008A71E9">
      <w:pPr>
        <w:pStyle w:val="TableNotes"/>
      </w:pPr>
      <w:r w:rsidRPr="00EB6650">
        <w:t>AIHW</w:t>
      </w:r>
      <w:r w:rsidR="00DD5A81">
        <w:t xml:space="preserve"> =</w:t>
      </w:r>
      <w:r w:rsidRPr="00EB6650">
        <w:t xml:space="preserve"> Australian Institute of Health and Welfare</w:t>
      </w:r>
      <w:r w:rsidR="00DD5A81">
        <w:t>,</w:t>
      </w:r>
      <w:r w:rsidRPr="00EB6650">
        <w:t xml:space="preserve"> AR-DRG</w:t>
      </w:r>
      <w:r w:rsidR="00DD5A81">
        <w:t xml:space="preserve"> =</w:t>
      </w:r>
      <w:r w:rsidRPr="00EB6650">
        <w:t xml:space="preserve"> Australian Refined Diagnostic Related Groups</w:t>
      </w:r>
      <w:r w:rsidR="00DD5A81">
        <w:t>,</w:t>
      </w:r>
      <w:r w:rsidRPr="00EB6650">
        <w:t xml:space="preserve"> CPI</w:t>
      </w:r>
      <w:r w:rsidR="00DD5A81">
        <w:t xml:space="preserve"> =</w:t>
      </w:r>
      <w:r w:rsidRPr="00EB6650">
        <w:t xml:space="preserve"> consumer price index</w:t>
      </w:r>
      <w:r w:rsidR="00DD5A81">
        <w:t>,</w:t>
      </w:r>
      <w:r w:rsidRPr="00EB6650">
        <w:t xml:space="preserve"> E</w:t>
      </w:r>
      <w:r>
        <w:t>BRT</w:t>
      </w:r>
      <w:r w:rsidR="00DD5A81">
        <w:t xml:space="preserve"> =</w:t>
      </w:r>
      <w:r>
        <w:t xml:space="preserve"> external beam radiotherapy</w:t>
      </w:r>
      <w:r w:rsidR="00DD5A81">
        <w:t>,</w:t>
      </w:r>
      <w:r w:rsidRPr="00EB6650">
        <w:t xml:space="preserve"> MBS</w:t>
      </w:r>
      <w:r w:rsidR="00DD5A81">
        <w:t xml:space="preserve"> =</w:t>
      </w:r>
      <w:r w:rsidRPr="00EB6650">
        <w:t xml:space="preserve"> Medicare Benefits Schedule</w:t>
      </w:r>
      <w:r w:rsidR="00DD5A81">
        <w:t>,</w:t>
      </w:r>
      <w:r>
        <w:t xml:space="preserve"> </w:t>
      </w:r>
      <w:r w:rsidRPr="000C1E91">
        <w:rPr>
          <w:rFonts w:eastAsia="MS Mincho"/>
        </w:rPr>
        <w:t>PBS</w:t>
      </w:r>
      <w:r w:rsidR="00DD5A81">
        <w:rPr>
          <w:rFonts w:eastAsia="MS Mincho"/>
        </w:rPr>
        <w:t xml:space="preserve"> =</w:t>
      </w:r>
      <w:r w:rsidRPr="000C1E91">
        <w:rPr>
          <w:rFonts w:eastAsia="MS Mincho"/>
        </w:rPr>
        <w:t xml:space="preserve"> Pharmaceutical Benefits Scheme</w:t>
      </w:r>
      <w:r w:rsidR="00DD5A81">
        <w:rPr>
          <w:rFonts w:eastAsia="MS Mincho"/>
        </w:rPr>
        <w:t>,</w:t>
      </w:r>
      <w:r w:rsidR="00DD5A81">
        <w:t xml:space="preserve"> PSA = prostate specific antigen, PCa = prostate cancer</w:t>
      </w:r>
      <w:r w:rsidR="00AB1EEA">
        <w:t>, AS = active surveillance</w:t>
      </w:r>
      <w:r w:rsidR="00DD5A81">
        <w:t>.</w:t>
      </w:r>
      <w:r>
        <w:t xml:space="preserve"> </w:t>
      </w:r>
    </w:p>
    <w:p w14:paraId="18358BD3" w14:textId="77777777" w:rsidR="00742247" w:rsidRDefault="00742247" w:rsidP="008A71E9">
      <w:pPr>
        <w:pStyle w:val="TableNotes"/>
      </w:pPr>
      <w:r w:rsidRPr="00AA59F4">
        <w:t>Source: Manuscript Appendix 2, Cronin et al 2016.</w:t>
      </w:r>
      <w:r w:rsidRPr="00D05D13">
        <w:t xml:space="preserve"> </w:t>
      </w:r>
    </w:p>
    <w:p w14:paraId="4D232F1C" w14:textId="6CC3109D" w:rsidR="00742247" w:rsidRPr="0046784A" w:rsidRDefault="00742247" w:rsidP="00742247">
      <w:r w:rsidRPr="0046784A">
        <w:t>Prostate can</w:t>
      </w:r>
      <w:r>
        <w:t xml:space="preserve">cer health care costs by treatment pathway at six months and 9.5 years following </w:t>
      </w:r>
      <w:r w:rsidRPr="0046784A">
        <w:t xml:space="preserve">diagnosis are presented in </w:t>
      </w:r>
      <w:r w:rsidRPr="0046784A">
        <w:fldChar w:fldCharType="begin"/>
      </w:r>
      <w:r w:rsidRPr="0046784A">
        <w:instrText xml:space="preserve"> REF _Ref456339375 \h  \* MERGEFORMAT </w:instrText>
      </w:r>
      <w:r w:rsidRPr="0046784A">
        <w:fldChar w:fldCharType="separate"/>
      </w:r>
      <w:r w:rsidR="0029649D" w:rsidRPr="00770BBC">
        <w:t xml:space="preserve">Table </w:t>
      </w:r>
      <w:r w:rsidR="0029649D">
        <w:t>58</w:t>
      </w:r>
      <w:r w:rsidRPr="0046784A">
        <w:fldChar w:fldCharType="end"/>
      </w:r>
      <w:r>
        <w:t>. The initial phase of treatment, which is the first six months after diagnosis, wa</w:t>
      </w:r>
      <w:r w:rsidRPr="00946E27">
        <w:t>s associated with the highest cost of care for all treatment groups</w:t>
      </w:r>
      <w:r>
        <w:t xml:space="preserve">. After this period there was a declining trend for ongoing costs. The costs for “active surveillance/watchful waiting” were used as costs for patients undergoing </w:t>
      </w:r>
      <w:r w:rsidR="00AB1EEA">
        <w:t>AS</w:t>
      </w:r>
      <w:r>
        <w:t xml:space="preserve"> for intermediate or low risk prostate cancer. A 50/50 average of the costs for ADT and radical prost</w:t>
      </w:r>
      <w:r w:rsidR="00E96DDA">
        <w:t>at</w:t>
      </w:r>
      <w:r>
        <w:t xml:space="preserve">ectomy ($11,641 in year 1, $2,313 in later years) was used for patients undergoing active treatment/follow up for intermediate or high risk </w:t>
      </w:r>
      <w:r w:rsidR="004D143F">
        <w:t>PCa</w:t>
      </w:r>
      <w:r>
        <w:t>.</w:t>
      </w:r>
    </w:p>
    <w:p w14:paraId="59D31378" w14:textId="77777777" w:rsidR="00742247" w:rsidRDefault="00742247" w:rsidP="00742247">
      <w:pPr>
        <w:pStyle w:val="Caption"/>
      </w:pPr>
      <w:bookmarkStart w:id="615" w:name="_Ref456339375"/>
      <w:bookmarkStart w:id="616" w:name="_Toc457383679"/>
      <w:bookmarkStart w:id="617" w:name="_Toc459987918"/>
      <w:bookmarkStart w:id="618" w:name="_Toc460514558"/>
      <w:bookmarkStart w:id="619" w:name="_Toc455916066"/>
      <w:r w:rsidRPr="00770BBC">
        <w:lastRenderedPageBreak/>
        <w:t xml:space="preserve">Table </w:t>
      </w:r>
      <w:fldSimple w:instr=" SEQ Table \* ARABIC ">
        <w:r w:rsidR="0029649D">
          <w:rPr>
            <w:noProof/>
          </w:rPr>
          <w:t>58</w:t>
        </w:r>
      </w:fldSimple>
      <w:bookmarkEnd w:id="615"/>
      <w:r w:rsidRPr="00770BBC">
        <w:tab/>
        <w:t>Prostate cancer</w:t>
      </w:r>
      <w:r w:rsidRPr="00770BBC">
        <w:rPr>
          <w:szCs w:val="20"/>
        </w:rPr>
        <w:t xml:space="preserve"> health care costs</w:t>
      </w:r>
      <w:r>
        <w:rPr>
          <w:szCs w:val="20"/>
        </w:rPr>
        <w:t xml:space="preserve"> (initial treatment group) reported in Cronin et al (2016)</w:t>
      </w:r>
      <w:bookmarkEnd w:id="616"/>
      <w:bookmarkEnd w:id="617"/>
      <w:bookmarkEnd w:id="618"/>
    </w:p>
    <w:tbl>
      <w:tblPr>
        <w:tblStyle w:val="TableGrid"/>
        <w:tblW w:w="9112" w:type="dxa"/>
        <w:tblInd w:w="130" w:type="dxa"/>
        <w:tblLayout w:type="fixed"/>
        <w:tblCellMar>
          <w:left w:w="28" w:type="dxa"/>
          <w:right w:w="28" w:type="dxa"/>
        </w:tblCellMar>
        <w:tblLook w:val="04A0" w:firstRow="1" w:lastRow="0" w:firstColumn="1" w:lastColumn="0" w:noHBand="0" w:noVBand="1"/>
        <w:tblDescription w:val="Prostate cancer health care costs (initial treatment group) reported in Cronin et al (2016)"/>
      </w:tblPr>
      <w:tblGrid>
        <w:gridCol w:w="1784"/>
        <w:gridCol w:w="2161"/>
        <w:gridCol w:w="2311"/>
        <w:gridCol w:w="1511"/>
        <w:gridCol w:w="1345"/>
      </w:tblGrid>
      <w:tr w:rsidR="00742247" w:rsidRPr="00AA59F4" w14:paraId="70B6E7C0" w14:textId="77777777" w:rsidTr="00232ABC">
        <w:trPr>
          <w:trHeight w:val="397"/>
          <w:tblHeader/>
        </w:trPr>
        <w:tc>
          <w:tcPr>
            <w:tcW w:w="979" w:type="pct"/>
            <w:tcBorders>
              <w:right w:val="single" w:sz="4" w:space="0" w:color="auto"/>
            </w:tcBorders>
            <w:vAlign w:val="bottom"/>
          </w:tcPr>
          <w:p w14:paraId="119EDBAE" w14:textId="77777777" w:rsidR="00742247" w:rsidRPr="00AA59F4" w:rsidRDefault="00742247" w:rsidP="0050091A">
            <w:pPr>
              <w:pStyle w:val="Tableheading1"/>
              <w:keepNext/>
            </w:pPr>
          </w:p>
        </w:tc>
        <w:tc>
          <w:tcPr>
            <w:tcW w:w="1186" w:type="pct"/>
            <w:tcBorders>
              <w:left w:val="single" w:sz="4" w:space="0" w:color="auto"/>
              <w:right w:val="single" w:sz="4" w:space="0" w:color="auto"/>
            </w:tcBorders>
            <w:vAlign w:val="bottom"/>
          </w:tcPr>
          <w:p w14:paraId="165E6A12" w14:textId="429B272D" w:rsidR="00742247" w:rsidRPr="0050091A" w:rsidRDefault="00742247" w:rsidP="0050091A">
            <w:pPr>
              <w:pStyle w:val="Tableheading1"/>
              <w:keepNext/>
              <w:rPr>
                <w:vertAlign w:val="superscript"/>
              </w:rPr>
            </w:pPr>
            <w:r w:rsidRPr="00AA59F4">
              <w:t>Initial phase [6 months], mean (95% CI)</w:t>
            </w:r>
            <w:r w:rsidR="0050091A">
              <w:rPr>
                <w:vertAlign w:val="superscript"/>
              </w:rPr>
              <w:t>a</w:t>
            </w:r>
          </w:p>
        </w:tc>
        <w:tc>
          <w:tcPr>
            <w:tcW w:w="1268" w:type="pct"/>
            <w:tcBorders>
              <w:left w:val="single" w:sz="4" w:space="0" w:color="auto"/>
            </w:tcBorders>
            <w:vAlign w:val="bottom"/>
          </w:tcPr>
          <w:p w14:paraId="3F17EF6F" w14:textId="553AD398" w:rsidR="00742247" w:rsidRPr="0050091A" w:rsidRDefault="00742247" w:rsidP="0050091A">
            <w:pPr>
              <w:pStyle w:val="Tableheading1"/>
              <w:keepNext/>
              <w:rPr>
                <w:vertAlign w:val="superscript"/>
              </w:rPr>
            </w:pPr>
            <w:r w:rsidRPr="00AA59F4">
              <w:t xml:space="preserve">Total survival adjusted </w:t>
            </w:r>
            <w:r w:rsidRPr="00AA59F4">
              <w:br/>
              <w:t>[9.5 years], mean (95% CI)</w:t>
            </w:r>
            <w:r w:rsidR="0050091A">
              <w:rPr>
                <w:vertAlign w:val="superscript"/>
              </w:rPr>
              <w:t>a</w:t>
            </w:r>
          </w:p>
        </w:tc>
        <w:tc>
          <w:tcPr>
            <w:tcW w:w="829" w:type="pct"/>
            <w:tcBorders>
              <w:left w:val="single" w:sz="4" w:space="0" w:color="auto"/>
            </w:tcBorders>
          </w:tcPr>
          <w:p w14:paraId="14494653" w14:textId="77777777" w:rsidR="00742247" w:rsidRPr="00AA59F4" w:rsidRDefault="00742247" w:rsidP="0050091A">
            <w:pPr>
              <w:pStyle w:val="Tableheading1"/>
              <w:keepNext/>
            </w:pPr>
            <w:r w:rsidRPr="00AA59F4">
              <w:t>Year 1</w:t>
            </w:r>
            <w:r w:rsidRPr="00232ABC">
              <w:rPr>
                <w:vertAlign w:val="superscript"/>
              </w:rPr>
              <w:t>d</w:t>
            </w:r>
          </w:p>
        </w:tc>
        <w:tc>
          <w:tcPr>
            <w:tcW w:w="738" w:type="pct"/>
            <w:tcBorders>
              <w:left w:val="single" w:sz="4" w:space="0" w:color="auto"/>
            </w:tcBorders>
          </w:tcPr>
          <w:p w14:paraId="5A1B9F30" w14:textId="77777777" w:rsidR="00742247" w:rsidRPr="00AA59F4" w:rsidRDefault="00742247" w:rsidP="0050091A">
            <w:pPr>
              <w:pStyle w:val="Tableheading1"/>
              <w:keepNext/>
            </w:pPr>
            <w:r w:rsidRPr="00AA59F4">
              <w:t>Later years</w:t>
            </w:r>
            <w:r w:rsidRPr="00AA59F4">
              <w:rPr>
                <w:vertAlign w:val="superscript"/>
              </w:rPr>
              <w:t>d</w:t>
            </w:r>
          </w:p>
        </w:tc>
      </w:tr>
      <w:tr w:rsidR="00742247" w:rsidRPr="007F4891" w14:paraId="6BB911B1" w14:textId="77777777" w:rsidTr="00232ABC">
        <w:trPr>
          <w:trHeight w:val="397"/>
        </w:trPr>
        <w:tc>
          <w:tcPr>
            <w:tcW w:w="979" w:type="pct"/>
            <w:vAlign w:val="center"/>
          </w:tcPr>
          <w:p w14:paraId="33E59F7F" w14:textId="22D8C1CD" w:rsidR="00742247" w:rsidRPr="007F4891" w:rsidRDefault="00742247" w:rsidP="0050091A">
            <w:pPr>
              <w:pStyle w:val="Tabletext1"/>
              <w:keepNext/>
            </w:pPr>
            <w:r>
              <w:t xml:space="preserve">Active </w:t>
            </w:r>
            <w:r w:rsidRPr="002515C4">
              <w:t>surveillance/</w:t>
            </w:r>
            <w:r>
              <w:t xml:space="preserve"> </w:t>
            </w:r>
            <w:r w:rsidRPr="002515C4">
              <w:t>watchful waiting</w:t>
            </w:r>
          </w:p>
        </w:tc>
        <w:tc>
          <w:tcPr>
            <w:tcW w:w="1186" w:type="pct"/>
            <w:vAlign w:val="center"/>
          </w:tcPr>
          <w:p w14:paraId="0B249073" w14:textId="77777777" w:rsidR="00742247" w:rsidRPr="007F4891" w:rsidRDefault="00742247" w:rsidP="0050091A">
            <w:pPr>
              <w:pStyle w:val="Tabletext1"/>
              <w:keepNext/>
            </w:pPr>
            <w:r w:rsidRPr="002515C4">
              <w:t>$4,667 (</w:t>
            </w:r>
            <w:r>
              <w:t xml:space="preserve">$4,219, </w:t>
            </w:r>
            <w:r w:rsidRPr="002515C4">
              <w:t>$5,115)</w:t>
            </w:r>
          </w:p>
        </w:tc>
        <w:tc>
          <w:tcPr>
            <w:tcW w:w="1268" w:type="pct"/>
            <w:vAlign w:val="center"/>
          </w:tcPr>
          <w:p w14:paraId="14C63FEE" w14:textId="77777777" w:rsidR="00742247" w:rsidRPr="007F4891" w:rsidRDefault="00742247" w:rsidP="0050091A">
            <w:pPr>
              <w:pStyle w:val="Tabletext1"/>
              <w:keepNext/>
            </w:pPr>
            <w:r>
              <w:t>$8,454 ($</w:t>
            </w:r>
            <w:r w:rsidRPr="00F95648">
              <w:t>6,787: $10,122</w:t>
            </w:r>
            <w:r>
              <w:t>)</w:t>
            </w:r>
          </w:p>
        </w:tc>
        <w:tc>
          <w:tcPr>
            <w:tcW w:w="829" w:type="pct"/>
            <w:vAlign w:val="center"/>
          </w:tcPr>
          <w:p w14:paraId="148F5120" w14:textId="77777777" w:rsidR="00742247" w:rsidRPr="009102D8" w:rsidRDefault="00742247" w:rsidP="0050091A">
            <w:pPr>
              <w:pStyle w:val="Tabletext1"/>
              <w:keepNext/>
              <w:rPr>
                <w:color w:val="000000"/>
              </w:rPr>
            </w:pPr>
            <w:r w:rsidRPr="009102D8">
              <w:rPr>
                <w:color w:val="000000"/>
              </w:rPr>
              <w:t>$5,367.47</w:t>
            </w:r>
          </w:p>
        </w:tc>
        <w:tc>
          <w:tcPr>
            <w:tcW w:w="738" w:type="pct"/>
            <w:vAlign w:val="center"/>
          </w:tcPr>
          <w:p w14:paraId="5927ECEC" w14:textId="77777777" w:rsidR="00742247" w:rsidRPr="00BE2106" w:rsidRDefault="00742247" w:rsidP="0050091A">
            <w:pPr>
              <w:pStyle w:val="Tabletext1"/>
              <w:keepNext/>
            </w:pPr>
            <w:r>
              <w:rPr>
                <w:color w:val="000000"/>
              </w:rPr>
              <w:t>$981.54</w:t>
            </w:r>
          </w:p>
        </w:tc>
      </w:tr>
      <w:tr w:rsidR="00742247" w:rsidRPr="007F4891" w14:paraId="6CBEFFB1" w14:textId="77777777" w:rsidTr="00232ABC">
        <w:trPr>
          <w:trHeight w:val="397"/>
        </w:trPr>
        <w:tc>
          <w:tcPr>
            <w:tcW w:w="979" w:type="pct"/>
            <w:vAlign w:val="center"/>
          </w:tcPr>
          <w:p w14:paraId="35E8AC16" w14:textId="77777777" w:rsidR="00742247" w:rsidRPr="007F4891" w:rsidRDefault="00742247" w:rsidP="0050091A">
            <w:pPr>
              <w:pStyle w:val="Tabletext1"/>
              <w:keepNext/>
            </w:pPr>
            <w:r w:rsidRPr="00CA1DDD">
              <w:t>EBRT/brachytherapy</w:t>
            </w:r>
          </w:p>
        </w:tc>
        <w:tc>
          <w:tcPr>
            <w:tcW w:w="1186" w:type="pct"/>
            <w:vAlign w:val="center"/>
          </w:tcPr>
          <w:p w14:paraId="3A1E9A57" w14:textId="77777777" w:rsidR="00742247" w:rsidRPr="007F4891" w:rsidRDefault="00742247" w:rsidP="0050091A">
            <w:pPr>
              <w:pStyle w:val="Tabletext1"/>
              <w:keepNext/>
            </w:pPr>
            <w:r>
              <w:t xml:space="preserve">$4,064 ($3,562, </w:t>
            </w:r>
            <w:r w:rsidRPr="00CA1DDD">
              <w:t>$4,566)</w:t>
            </w:r>
          </w:p>
        </w:tc>
        <w:tc>
          <w:tcPr>
            <w:tcW w:w="1268" w:type="pct"/>
            <w:vAlign w:val="center"/>
          </w:tcPr>
          <w:p w14:paraId="4313C6FC" w14:textId="77777777" w:rsidR="00742247" w:rsidRPr="007F4891" w:rsidRDefault="00742247" w:rsidP="0050091A">
            <w:pPr>
              <w:pStyle w:val="Tabletext1"/>
              <w:keepNext/>
            </w:pPr>
            <w:r>
              <w:t>$9,621 ($7,029; $12,212)</w:t>
            </w:r>
          </w:p>
        </w:tc>
        <w:tc>
          <w:tcPr>
            <w:tcW w:w="829" w:type="pct"/>
            <w:vAlign w:val="center"/>
          </w:tcPr>
          <w:p w14:paraId="68C5810B" w14:textId="77777777" w:rsidR="00742247" w:rsidRPr="009102D8" w:rsidRDefault="00742247" w:rsidP="0050091A">
            <w:pPr>
              <w:pStyle w:val="Tabletext1"/>
              <w:keepNext/>
            </w:pPr>
            <w:r>
              <w:rPr>
                <w:color w:val="000000"/>
              </w:rPr>
              <w:t>$4,805.12</w:t>
            </w:r>
          </w:p>
        </w:tc>
        <w:tc>
          <w:tcPr>
            <w:tcW w:w="738" w:type="pct"/>
            <w:vAlign w:val="center"/>
          </w:tcPr>
          <w:p w14:paraId="7BF4787B" w14:textId="77777777" w:rsidR="00742247" w:rsidRPr="00BE2106" w:rsidRDefault="00742247" w:rsidP="0050091A">
            <w:pPr>
              <w:pStyle w:val="Tabletext1"/>
              <w:keepNext/>
            </w:pPr>
            <w:r>
              <w:rPr>
                <w:color w:val="000000"/>
              </w:rPr>
              <w:t>$1,117.03</w:t>
            </w:r>
          </w:p>
        </w:tc>
      </w:tr>
      <w:tr w:rsidR="00742247" w:rsidRPr="007F4891" w14:paraId="10D3E9F5" w14:textId="77777777" w:rsidTr="00232ABC">
        <w:trPr>
          <w:trHeight w:val="397"/>
        </w:trPr>
        <w:tc>
          <w:tcPr>
            <w:tcW w:w="979" w:type="pct"/>
            <w:vAlign w:val="center"/>
          </w:tcPr>
          <w:p w14:paraId="766410A0" w14:textId="77777777" w:rsidR="00742247" w:rsidRPr="007F4891" w:rsidRDefault="00742247" w:rsidP="0050091A">
            <w:pPr>
              <w:pStyle w:val="Tabletext1"/>
              <w:keepNext/>
            </w:pPr>
            <w:r>
              <w:t>ADT</w:t>
            </w:r>
          </w:p>
        </w:tc>
        <w:tc>
          <w:tcPr>
            <w:tcW w:w="1186" w:type="pct"/>
            <w:vAlign w:val="center"/>
          </w:tcPr>
          <w:p w14:paraId="77DEB68B" w14:textId="77777777" w:rsidR="00742247" w:rsidRPr="007F4891" w:rsidRDefault="00742247" w:rsidP="0050091A">
            <w:pPr>
              <w:pStyle w:val="Tabletext1"/>
              <w:keepNext/>
            </w:pPr>
            <w:r>
              <w:t xml:space="preserve">$4,850 ($6,930, </w:t>
            </w:r>
            <w:r w:rsidRPr="00CA1DDD">
              <w:t>$5,771)</w:t>
            </w:r>
          </w:p>
        </w:tc>
        <w:tc>
          <w:tcPr>
            <w:tcW w:w="1268" w:type="pct"/>
            <w:vAlign w:val="center"/>
          </w:tcPr>
          <w:p w14:paraId="360DEC68" w14:textId="77777777" w:rsidR="00742247" w:rsidRPr="007F4891" w:rsidRDefault="00742247" w:rsidP="0050091A">
            <w:pPr>
              <w:pStyle w:val="Tabletext1"/>
              <w:keepNext/>
            </w:pPr>
            <w:r>
              <w:t>$19,210 ($13,713; $24,706)</w:t>
            </w:r>
          </w:p>
        </w:tc>
        <w:tc>
          <w:tcPr>
            <w:tcW w:w="829" w:type="pct"/>
            <w:vAlign w:val="center"/>
          </w:tcPr>
          <w:p w14:paraId="4F3319A3" w14:textId="77777777" w:rsidR="00742247" w:rsidRPr="009102D8" w:rsidRDefault="00742247" w:rsidP="0050091A">
            <w:pPr>
              <w:pStyle w:val="Tabletext1"/>
              <w:keepNext/>
              <w:rPr>
                <w:color w:val="000000"/>
              </w:rPr>
            </w:pPr>
            <w:r>
              <w:rPr>
                <w:color w:val="000000"/>
              </w:rPr>
              <w:t>$6,183.10</w:t>
            </w:r>
          </w:p>
        </w:tc>
        <w:tc>
          <w:tcPr>
            <w:tcW w:w="738" w:type="pct"/>
            <w:vAlign w:val="center"/>
          </w:tcPr>
          <w:p w14:paraId="766B6378" w14:textId="77777777" w:rsidR="00742247" w:rsidRPr="00BE2106" w:rsidRDefault="00742247" w:rsidP="0050091A">
            <w:pPr>
              <w:pStyle w:val="Tabletext1"/>
              <w:keepNext/>
            </w:pPr>
            <w:r>
              <w:rPr>
                <w:color w:val="000000"/>
              </w:rPr>
              <w:t>$2,230.35</w:t>
            </w:r>
          </w:p>
        </w:tc>
      </w:tr>
      <w:tr w:rsidR="00742247" w:rsidRPr="007F4891" w14:paraId="469D2EEC" w14:textId="77777777" w:rsidTr="00232ABC">
        <w:trPr>
          <w:trHeight w:val="397"/>
        </w:trPr>
        <w:tc>
          <w:tcPr>
            <w:tcW w:w="979" w:type="pct"/>
            <w:vAlign w:val="center"/>
          </w:tcPr>
          <w:p w14:paraId="2CC31D1E" w14:textId="77777777" w:rsidR="00742247" w:rsidRPr="007F4891" w:rsidRDefault="00742247" w:rsidP="0050091A">
            <w:pPr>
              <w:pStyle w:val="Tabletext1"/>
              <w:keepNext/>
            </w:pPr>
            <w:r>
              <w:t>R</w:t>
            </w:r>
            <w:r w:rsidRPr="00424D6E">
              <w:t>adical prostatectomy alone</w:t>
            </w:r>
          </w:p>
        </w:tc>
        <w:tc>
          <w:tcPr>
            <w:tcW w:w="1186" w:type="pct"/>
            <w:vAlign w:val="center"/>
          </w:tcPr>
          <w:p w14:paraId="5440DBD1" w14:textId="77777777" w:rsidR="00742247" w:rsidRPr="00354072" w:rsidRDefault="00742247" w:rsidP="0050091A">
            <w:pPr>
              <w:pStyle w:val="Tabletext1"/>
              <w:keepNext/>
            </w:pPr>
            <w:r w:rsidRPr="00354072">
              <w:t>$15,217 ($14,900, $15,536)</w:t>
            </w:r>
          </w:p>
        </w:tc>
        <w:tc>
          <w:tcPr>
            <w:tcW w:w="1268" w:type="pct"/>
            <w:vAlign w:val="center"/>
          </w:tcPr>
          <w:p w14:paraId="573DCB8C" w14:textId="77777777" w:rsidR="00742247" w:rsidRPr="00354072" w:rsidRDefault="00742247" w:rsidP="0050091A">
            <w:pPr>
              <w:pStyle w:val="Tabletext1"/>
              <w:keepNext/>
            </w:pPr>
            <w:r w:rsidRPr="00354072">
              <w:t>$20,636</w:t>
            </w:r>
            <w:r w:rsidRPr="00354072">
              <w:rPr>
                <w:vertAlign w:val="superscript"/>
              </w:rPr>
              <w:t>c</w:t>
            </w:r>
            <w:r w:rsidRPr="00354072">
              <w:t xml:space="preserve"> ($19,334; $21,938)</w:t>
            </w:r>
          </w:p>
        </w:tc>
        <w:tc>
          <w:tcPr>
            <w:tcW w:w="829" w:type="pct"/>
            <w:vAlign w:val="center"/>
          </w:tcPr>
          <w:p w14:paraId="78B6A5E7" w14:textId="77777777" w:rsidR="00742247" w:rsidRPr="009102D8" w:rsidRDefault="00742247" w:rsidP="0050091A">
            <w:pPr>
              <w:pStyle w:val="Tabletext1"/>
              <w:keepNext/>
              <w:rPr>
                <w:color w:val="000000"/>
              </w:rPr>
            </w:pPr>
            <w:r>
              <w:rPr>
                <w:color w:val="000000"/>
              </w:rPr>
              <w:t>$17,098.69</w:t>
            </w:r>
          </w:p>
        </w:tc>
        <w:tc>
          <w:tcPr>
            <w:tcW w:w="738" w:type="pct"/>
            <w:vAlign w:val="center"/>
          </w:tcPr>
          <w:p w14:paraId="12078C47" w14:textId="77777777" w:rsidR="00742247" w:rsidRPr="00BE2106" w:rsidRDefault="00742247" w:rsidP="0050091A">
            <w:pPr>
              <w:pStyle w:val="Tabletext1"/>
              <w:keepNext/>
            </w:pPr>
            <w:r>
              <w:rPr>
                <w:color w:val="000000"/>
              </w:rPr>
              <w:t>$2,395.91</w:t>
            </w:r>
          </w:p>
        </w:tc>
      </w:tr>
      <w:tr w:rsidR="00742247" w:rsidRPr="007F4891" w14:paraId="06FA9107" w14:textId="77777777" w:rsidTr="00232ABC">
        <w:trPr>
          <w:trHeight w:val="397"/>
        </w:trPr>
        <w:tc>
          <w:tcPr>
            <w:tcW w:w="979" w:type="pct"/>
            <w:vAlign w:val="center"/>
          </w:tcPr>
          <w:p w14:paraId="171DF73E" w14:textId="0A1ED39F" w:rsidR="00742247" w:rsidRPr="0050091A" w:rsidRDefault="00742247" w:rsidP="0050091A">
            <w:pPr>
              <w:pStyle w:val="Tabletext1"/>
              <w:keepNext/>
              <w:rPr>
                <w:vertAlign w:val="superscript"/>
              </w:rPr>
            </w:pPr>
            <w:r>
              <w:t>Systemic treatment</w:t>
            </w:r>
            <w:r w:rsidR="0050091A" w:rsidRPr="0050091A">
              <w:rPr>
                <w:vertAlign w:val="superscript"/>
              </w:rPr>
              <w:t>b</w:t>
            </w:r>
          </w:p>
        </w:tc>
        <w:tc>
          <w:tcPr>
            <w:tcW w:w="1186" w:type="pct"/>
            <w:vAlign w:val="center"/>
          </w:tcPr>
          <w:p w14:paraId="73A2C163" w14:textId="77777777" w:rsidR="00742247" w:rsidRPr="00081852" w:rsidRDefault="00742247" w:rsidP="0050091A">
            <w:pPr>
              <w:pStyle w:val="Tabletext1"/>
              <w:keepNext/>
            </w:pPr>
            <w:r w:rsidRPr="00081852">
              <w:t>$19,614 ($9,990, $29,241)</w:t>
            </w:r>
          </w:p>
        </w:tc>
        <w:tc>
          <w:tcPr>
            <w:tcW w:w="1268" w:type="pct"/>
            <w:vAlign w:val="center"/>
          </w:tcPr>
          <w:p w14:paraId="45E1F830" w14:textId="77777777" w:rsidR="00742247" w:rsidRPr="00081852" w:rsidRDefault="00742247" w:rsidP="0050091A">
            <w:pPr>
              <w:pStyle w:val="Tabletext1"/>
              <w:keepNext/>
            </w:pPr>
            <w:r w:rsidRPr="00081852">
              <w:t>$55,370 ($31,096; $79,645)</w:t>
            </w:r>
          </w:p>
        </w:tc>
        <w:tc>
          <w:tcPr>
            <w:tcW w:w="829" w:type="pct"/>
            <w:vAlign w:val="center"/>
          </w:tcPr>
          <w:p w14:paraId="08FB21A2" w14:textId="77777777" w:rsidR="00742247" w:rsidRPr="009102D8" w:rsidRDefault="00742247" w:rsidP="0050091A">
            <w:pPr>
              <w:pStyle w:val="Tabletext1"/>
              <w:keepNext/>
              <w:rPr>
                <w:color w:val="000000"/>
              </w:rPr>
            </w:pPr>
            <w:r w:rsidRPr="009102D8">
              <w:rPr>
                <w:color w:val="000000"/>
              </w:rPr>
              <w:t>$</w:t>
            </w:r>
            <w:r>
              <w:rPr>
                <w:color w:val="000000"/>
              </w:rPr>
              <w:t>23,709.62</w:t>
            </w:r>
          </w:p>
        </w:tc>
        <w:tc>
          <w:tcPr>
            <w:tcW w:w="738" w:type="pct"/>
            <w:vAlign w:val="center"/>
          </w:tcPr>
          <w:p w14:paraId="2545EF50" w14:textId="77777777" w:rsidR="00742247" w:rsidRPr="00BE2106" w:rsidRDefault="00742247" w:rsidP="0050091A">
            <w:pPr>
              <w:pStyle w:val="Tabletext1"/>
              <w:keepNext/>
            </w:pPr>
            <w:r w:rsidRPr="00BE2106">
              <w:t>$</w:t>
            </w:r>
            <w:r>
              <w:t>6,428.65</w:t>
            </w:r>
          </w:p>
        </w:tc>
      </w:tr>
    </w:tbl>
    <w:p w14:paraId="42261F21" w14:textId="687244B4" w:rsidR="00875081" w:rsidRDefault="00875081" w:rsidP="00875081">
      <w:pPr>
        <w:pStyle w:val="TableNotes"/>
      </w:pPr>
      <w:r w:rsidRPr="00875081">
        <w:rPr>
          <w:vertAlign w:val="superscript"/>
        </w:rPr>
        <w:t>a</w:t>
      </w:r>
      <w:r>
        <w:t xml:space="preserve">: Bootstrapped </w:t>
      </w:r>
      <w:r w:rsidRPr="00E051C1">
        <w:t>95% CI</w:t>
      </w:r>
      <w:r>
        <w:t>.</w:t>
      </w:r>
    </w:p>
    <w:p w14:paraId="4B8519B1" w14:textId="7D4EC2A5" w:rsidR="00875081" w:rsidRDefault="00875081" w:rsidP="00875081">
      <w:pPr>
        <w:pStyle w:val="TableNotes"/>
      </w:pPr>
      <w:r w:rsidRPr="00875081">
        <w:rPr>
          <w:vertAlign w:val="superscript"/>
        </w:rPr>
        <w:t>b</w:t>
      </w:r>
      <w:r>
        <w:t xml:space="preserve">: Defined as the commencement of chemotherapy </w:t>
      </w:r>
      <w:r w:rsidRPr="0049553E">
        <w:t>(identified in PBS or AR-DRG) or metastatic hospital adm</w:t>
      </w:r>
      <w:r>
        <w:t xml:space="preserve">ission (identified by secondary </w:t>
      </w:r>
      <w:r w:rsidRPr="0049553E">
        <w:t>metastases ICD-10 diagnosis)</w:t>
      </w:r>
      <w:r>
        <w:t xml:space="preserve">. </w:t>
      </w:r>
    </w:p>
    <w:p w14:paraId="4C3779EF" w14:textId="547F5A0E" w:rsidR="00875081" w:rsidRDefault="00875081" w:rsidP="00875081">
      <w:pPr>
        <w:pStyle w:val="TableNotes"/>
      </w:pPr>
      <w:r w:rsidRPr="00875081">
        <w:rPr>
          <w:vertAlign w:val="superscript"/>
        </w:rPr>
        <w:t>c</w:t>
      </w:r>
      <w:r>
        <w:t xml:space="preserve">: reported in the publication as: $10,636, corrected by author as $20,636. </w:t>
      </w:r>
    </w:p>
    <w:p w14:paraId="074DAF7A" w14:textId="29F4558A" w:rsidR="00875081" w:rsidRDefault="00875081" w:rsidP="00875081">
      <w:pPr>
        <w:pStyle w:val="TableNotes"/>
      </w:pPr>
      <w:r w:rsidRPr="00875081">
        <w:rPr>
          <w:vertAlign w:val="superscript"/>
        </w:rPr>
        <w:t>d</w:t>
      </w:r>
      <w:r>
        <w:t>: Costs are inflated to 2014 using health CPI.</w:t>
      </w:r>
    </w:p>
    <w:p w14:paraId="559A7F86" w14:textId="7BB14115" w:rsidR="00742247" w:rsidRDefault="00742247" w:rsidP="008A71E9">
      <w:pPr>
        <w:pStyle w:val="TableNotes"/>
      </w:pPr>
      <w:r w:rsidRPr="00B103B1">
        <w:t>AD</w:t>
      </w:r>
      <w:r>
        <w:t xml:space="preserve">T </w:t>
      </w:r>
      <w:r w:rsidR="00875081">
        <w:t xml:space="preserve">= </w:t>
      </w:r>
      <w:r>
        <w:t>androgen depriation therapy</w:t>
      </w:r>
      <w:r w:rsidR="00875081">
        <w:t>,</w:t>
      </w:r>
      <w:r>
        <w:t xml:space="preserve"> CI</w:t>
      </w:r>
      <w:r w:rsidR="00875081">
        <w:t xml:space="preserve"> =</w:t>
      </w:r>
      <w:r>
        <w:t xml:space="preserve"> confidence interval</w:t>
      </w:r>
      <w:r w:rsidR="00875081">
        <w:t>,</w:t>
      </w:r>
      <w:r>
        <w:t xml:space="preserve"> CPI</w:t>
      </w:r>
      <w:r w:rsidR="00875081">
        <w:t xml:space="preserve"> =</w:t>
      </w:r>
      <w:r>
        <w:t xml:space="preserve"> consumer price index</w:t>
      </w:r>
      <w:r w:rsidR="00875081">
        <w:t>,</w:t>
      </w:r>
      <w:r>
        <w:t xml:space="preserve"> </w:t>
      </w:r>
      <w:r w:rsidRPr="00B103B1">
        <w:t>E</w:t>
      </w:r>
      <w:r>
        <w:t>BRT</w:t>
      </w:r>
      <w:r w:rsidR="00875081">
        <w:t xml:space="preserve"> =</w:t>
      </w:r>
      <w:r>
        <w:t xml:space="preserve"> external beam radiotherapy.</w:t>
      </w:r>
    </w:p>
    <w:p w14:paraId="231B2A8C" w14:textId="77777777" w:rsidR="00742247" w:rsidRDefault="00742247" w:rsidP="008A71E9">
      <w:pPr>
        <w:pStyle w:val="TableNotes"/>
      </w:pPr>
      <w:r>
        <w:t>Source</w:t>
      </w:r>
      <w:r w:rsidRPr="00ED6E90">
        <w:t xml:space="preserve">: </w:t>
      </w:r>
      <w:r>
        <w:t xml:space="preserve">Cronin et al (2016) Figure 1 and p7 of manuscript, accepted for publication. </w:t>
      </w:r>
    </w:p>
    <w:bookmarkEnd w:id="619"/>
    <w:p w14:paraId="42DF81D3" w14:textId="77777777" w:rsidR="00742247" w:rsidRPr="00BD5F52" w:rsidRDefault="00742247" w:rsidP="004D143F">
      <w:pPr>
        <w:rPr>
          <w:b/>
          <w:i/>
        </w:rPr>
      </w:pPr>
      <w:r w:rsidRPr="00BD5F52">
        <w:rPr>
          <w:b/>
          <w:i/>
        </w:rPr>
        <w:t>Cost of delayed diagnosis</w:t>
      </w:r>
    </w:p>
    <w:p w14:paraId="138444A3" w14:textId="72D0A65D" w:rsidR="00742247" w:rsidRPr="009D00F9" w:rsidRDefault="00742247" w:rsidP="00742247">
      <w:r>
        <w:t xml:space="preserve">Patients with a false negative </w:t>
      </w:r>
      <w:r w:rsidR="004D143F">
        <w:t>PCa</w:t>
      </w:r>
      <w:r>
        <w:t xml:space="preserve"> diagnosis were assumed to incur additional costs to correct the diagnosis. These costs were assumed to consist of one additional PSA test a</w:t>
      </w:r>
      <w:r w:rsidR="00BD0137">
        <w:t>nd one TRUSGB, totalling $696</w:t>
      </w:r>
      <w:r>
        <w:t xml:space="preserve">. For false positive patients, additional costs were assumed to be one year of </w:t>
      </w:r>
      <w:r w:rsidR="00AB1EEA">
        <w:t>AS</w:t>
      </w:r>
      <w:r>
        <w:t>, totalling $</w:t>
      </w:r>
      <w:r>
        <w:rPr>
          <w:rFonts w:cs="Arial"/>
        </w:rPr>
        <w:t>982</w:t>
      </w:r>
      <w:r>
        <w:t>.</w:t>
      </w:r>
    </w:p>
    <w:p w14:paraId="5449D18B" w14:textId="77777777" w:rsidR="00742247" w:rsidRPr="00BD5F52" w:rsidRDefault="00742247" w:rsidP="00742247">
      <w:pPr>
        <w:rPr>
          <w:b/>
        </w:rPr>
      </w:pPr>
      <w:r w:rsidRPr="00BD5F52">
        <w:rPr>
          <w:b/>
        </w:rPr>
        <w:t>Costs in the economic model</w:t>
      </w:r>
    </w:p>
    <w:p w14:paraId="2EF8A168" w14:textId="01894AFA" w:rsidR="00742247" w:rsidRPr="00063D5E" w:rsidRDefault="00742247" w:rsidP="00742247">
      <w:r w:rsidRPr="00063D5E">
        <w:t xml:space="preserve">A summary of all costs included in the economic model are presented in </w:t>
      </w:r>
      <w:r w:rsidRPr="00063D5E">
        <w:fldChar w:fldCharType="begin"/>
      </w:r>
      <w:r w:rsidRPr="00063D5E">
        <w:instrText xml:space="preserve"> REF _Ref456525096 \h </w:instrText>
      </w:r>
      <w:r>
        <w:instrText xml:space="preserve"> \* MERGEFORMAT </w:instrText>
      </w:r>
      <w:r w:rsidRPr="00063D5E">
        <w:fldChar w:fldCharType="separate"/>
      </w:r>
      <w:r w:rsidR="0029649D" w:rsidRPr="00770BBC">
        <w:t xml:space="preserve">Table </w:t>
      </w:r>
      <w:r w:rsidR="0029649D">
        <w:rPr>
          <w:noProof/>
        </w:rPr>
        <w:t>59</w:t>
      </w:r>
      <w:r w:rsidRPr="00063D5E">
        <w:fldChar w:fldCharType="end"/>
      </w:r>
      <w:r w:rsidRPr="00063D5E">
        <w:t xml:space="preserve">. </w:t>
      </w:r>
      <w:r>
        <w:t>Gordon et al</w:t>
      </w:r>
      <w:r w:rsidR="00F679ED">
        <w:t>.</w:t>
      </w:r>
      <w:r>
        <w:t xml:space="preserve"> (2016) used clinical guidelines, hospital costing reports, and national </w:t>
      </w:r>
      <w:r w:rsidR="00E50102">
        <w:t>Medicare</w:t>
      </w:r>
      <w:r>
        <w:t xml:space="preserve"> reports to estimate costs for patients with a PCa diagnosis. This assessment differs from Gordon et al. </w:t>
      </w:r>
      <w:r w:rsidR="00F679ED">
        <w:t>(2016) as</w:t>
      </w:r>
      <w:r>
        <w:t xml:space="preserve"> the costs for each PCa health state were obtained from the study by Cronin et al</w:t>
      </w:r>
      <w:r w:rsidR="00F679ED">
        <w:t>.</w:t>
      </w:r>
      <w:r>
        <w:t xml:space="preserve"> (2016), who used linked patient data to estimate PCa costs. Both Gordon et al</w:t>
      </w:r>
      <w:r w:rsidR="00F679ED">
        <w:t>.</w:t>
      </w:r>
      <w:r>
        <w:t xml:space="preserve"> (2016) and Cronin et al</w:t>
      </w:r>
      <w:r w:rsidR="00F679ED">
        <w:t>.</w:t>
      </w:r>
      <w:r>
        <w:t xml:space="preserve"> (2016) report cumulative PCa costs over 10 years. In the first year, costs for low risk and intermediate risk PCa patient are similar, Gordon et al</w:t>
      </w:r>
      <w:r w:rsidR="00F679ED">
        <w:t>.</w:t>
      </w:r>
      <w:r>
        <w:t xml:space="preserve"> (2016) reports higher estimated costs in the first year for high risk PCa patients (~$17k </w:t>
      </w:r>
      <w:r w:rsidR="006C03BC">
        <w:t>versus</w:t>
      </w:r>
      <w:r>
        <w:t xml:space="preserve"> ~$9.7k). Over 10 years, similar costs are reported by both Gordon et al</w:t>
      </w:r>
      <w:r w:rsidR="00F679ED">
        <w:t>.</w:t>
      </w:r>
      <w:r>
        <w:t xml:space="preserve"> (2016) and Cronin et al</w:t>
      </w:r>
      <w:r w:rsidR="00F679ED">
        <w:t>.</w:t>
      </w:r>
      <w:r>
        <w:t xml:space="preserve"> (2016) in the low risk, intermediate risk and high risk PCa groups.  </w:t>
      </w:r>
    </w:p>
    <w:p w14:paraId="1354D971" w14:textId="77777777" w:rsidR="00742247" w:rsidRDefault="00742247" w:rsidP="00742247">
      <w:pPr>
        <w:pStyle w:val="Caption"/>
      </w:pPr>
      <w:bookmarkStart w:id="620" w:name="_Ref456525096"/>
      <w:bookmarkStart w:id="621" w:name="_Toc457383680"/>
      <w:bookmarkStart w:id="622" w:name="_Toc459987919"/>
      <w:bookmarkStart w:id="623" w:name="_Toc460514559"/>
      <w:r w:rsidRPr="00770BBC">
        <w:lastRenderedPageBreak/>
        <w:t xml:space="preserve">Table </w:t>
      </w:r>
      <w:fldSimple w:instr=" SEQ Table \* ARABIC ">
        <w:r w:rsidR="0029649D">
          <w:rPr>
            <w:noProof/>
          </w:rPr>
          <w:t>59</w:t>
        </w:r>
      </w:fldSimple>
      <w:bookmarkEnd w:id="620"/>
      <w:r w:rsidRPr="00770BBC">
        <w:tab/>
      </w:r>
      <w:r>
        <w:t>Costs in economic model</w:t>
      </w:r>
      <w:bookmarkEnd w:id="621"/>
      <w:bookmarkEnd w:id="622"/>
      <w:bookmarkEnd w:id="623"/>
    </w:p>
    <w:tbl>
      <w:tblPr>
        <w:tblStyle w:val="TableGrid"/>
        <w:tblW w:w="5000" w:type="pct"/>
        <w:tblLayout w:type="fixed"/>
        <w:tblLook w:val="04A0" w:firstRow="1" w:lastRow="0" w:firstColumn="1" w:lastColumn="0" w:noHBand="0" w:noVBand="1"/>
        <w:tblDescription w:val="Costs in economic model"/>
      </w:tblPr>
      <w:tblGrid>
        <w:gridCol w:w="3369"/>
        <w:gridCol w:w="1274"/>
        <w:gridCol w:w="4599"/>
      </w:tblGrid>
      <w:tr w:rsidR="00742247" w:rsidRPr="007F4891" w14:paraId="3E66170B" w14:textId="77777777" w:rsidTr="002768CD">
        <w:trPr>
          <w:tblHeader/>
        </w:trPr>
        <w:tc>
          <w:tcPr>
            <w:tcW w:w="1823" w:type="pct"/>
            <w:tcBorders>
              <w:bottom w:val="single" w:sz="4" w:space="0" w:color="auto"/>
              <w:right w:val="single" w:sz="4" w:space="0" w:color="auto"/>
            </w:tcBorders>
          </w:tcPr>
          <w:p w14:paraId="3926828B" w14:textId="77777777" w:rsidR="00742247" w:rsidRPr="00D276F1" w:rsidRDefault="00742247" w:rsidP="0050091A">
            <w:pPr>
              <w:pStyle w:val="Tableheading1"/>
              <w:keepNext/>
            </w:pPr>
            <w:r w:rsidRPr="00D276F1">
              <w:t>Cost description</w:t>
            </w:r>
          </w:p>
        </w:tc>
        <w:tc>
          <w:tcPr>
            <w:tcW w:w="689" w:type="pct"/>
            <w:tcBorders>
              <w:left w:val="single" w:sz="4" w:space="0" w:color="auto"/>
              <w:bottom w:val="single" w:sz="4" w:space="0" w:color="auto"/>
              <w:right w:val="single" w:sz="4" w:space="0" w:color="auto"/>
            </w:tcBorders>
            <w:vAlign w:val="bottom"/>
          </w:tcPr>
          <w:p w14:paraId="156AD4B5" w14:textId="77777777" w:rsidR="00742247" w:rsidRPr="00D276F1" w:rsidRDefault="00742247" w:rsidP="0050091A">
            <w:pPr>
              <w:pStyle w:val="Tableheading1"/>
              <w:keepNext/>
            </w:pPr>
            <w:r w:rsidRPr="00D276F1">
              <w:t>Cost ($)</w:t>
            </w:r>
          </w:p>
        </w:tc>
        <w:tc>
          <w:tcPr>
            <w:tcW w:w="2488" w:type="pct"/>
            <w:tcBorders>
              <w:left w:val="single" w:sz="4" w:space="0" w:color="auto"/>
              <w:bottom w:val="single" w:sz="4" w:space="0" w:color="auto"/>
            </w:tcBorders>
            <w:vAlign w:val="bottom"/>
          </w:tcPr>
          <w:p w14:paraId="3E6EDECC" w14:textId="77777777" w:rsidR="00742247" w:rsidRPr="00D276F1" w:rsidRDefault="00742247" w:rsidP="0050091A">
            <w:pPr>
              <w:pStyle w:val="Tableheading1"/>
              <w:keepNext/>
            </w:pPr>
            <w:r w:rsidRPr="00D276F1">
              <w:t>Source/calculation</w:t>
            </w:r>
          </w:p>
        </w:tc>
      </w:tr>
      <w:tr w:rsidR="00742247" w:rsidRPr="007F4891" w14:paraId="657DD00C" w14:textId="77777777" w:rsidTr="002768CD">
        <w:tc>
          <w:tcPr>
            <w:tcW w:w="1823" w:type="pct"/>
            <w:tcBorders>
              <w:bottom w:val="single" w:sz="4" w:space="0" w:color="auto"/>
              <w:right w:val="nil"/>
            </w:tcBorders>
          </w:tcPr>
          <w:p w14:paraId="6D8EE027" w14:textId="77777777" w:rsidR="00742247" w:rsidRPr="00D276F1" w:rsidRDefault="00742247" w:rsidP="0050091A">
            <w:pPr>
              <w:pStyle w:val="Tabletext1"/>
              <w:keepNext/>
            </w:pPr>
            <w:r w:rsidRPr="00D276F1">
              <w:t>Intervention costs</w:t>
            </w:r>
          </w:p>
        </w:tc>
        <w:tc>
          <w:tcPr>
            <w:tcW w:w="689" w:type="pct"/>
            <w:tcBorders>
              <w:left w:val="nil"/>
              <w:bottom w:val="single" w:sz="4" w:space="0" w:color="auto"/>
              <w:right w:val="nil"/>
            </w:tcBorders>
            <w:vAlign w:val="bottom"/>
          </w:tcPr>
          <w:p w14:paraId="1D3A2C3C" w14:textId="77777777" w:rsidR="00742247" w:rsidRPr="00D276F1" w:rsidRDefault="00742247" w:rsidP="0050091A">
            <w:pPr>
              <w:pStyle w:val="Tabletext1"/>
              <w:keepNext/>
            </w:pPr>
          </w:p>
        </w:tc>
        <w:tc>
          <w:tcPr>
            <w:tcW w:w="2488" w:type="pct"/>
            <w:tcBorders>
              <w:left w:val="nil"/>
            </w:tcBorders>
            <w:vAlign w:val="bottom"/>
          </w:tcPr>
          <w:p w14:paraId="5BBFBB35" w14:textId="77777777" w:rsidR="00742247" w:rsidRPr="00D276F1" w:rsidRDefault="00742247" w:rsidP="0050091A">
            <w:pPr>
              <w:pStyle w:val="Tabletext1"/>
              <w:keepNext/>
            </w:pPr>
          </w:p>
        </w:tc>
      </w:tr>
      <w:tr w:rsidR="00742247" w:rsidRPr="007F4891" w14:paraId="36EF6368" w14:textId="77777777" w:rsidTr="002768CD">
        <w:tc>
          <w:tcPr>
            <w:tcW w:w="1823" w:type="pct"/>
            <w:tcBorders>
              <w:bottom w:val="single" w:sz="4" w:space="0" w:color="auto"/>
              <w:right w:val="single" w:sz="4" w:space="0" w:color="auto"/>
            </w:tcBorders>
          </w:tcPr>
          <w:p w14:paraId="26A33680" w14:textId="77777777" w:rsidR="00742247" w:rsidRPr="00294212" w:rsidRDefault="00742247" w:rsidP="0050091A">
            <w:pPr>
              <w:pStyle w:val="Tabletext1"/>
              <w:keepNext/>
            </w:pPr>
            <w:r>
              <w:t>Intervention: mpMRI</w:t>
            </w:r>
          </w:p>
        </w:tc>
        <w:tc>
          <w:tcPr>
            <w:tcW w:w="689" w:type="pct"/>
            <w:tcBorders>
              <w:left w:val="single" w:sz="4" w:space="0" w:color="auto"/>
              <w:bottom w:val="single" w:sz="4" w:space="0" w:color="auto"/>
              <w:right w:val="single" w:sz="4" w:space="0" w:color="auto"/>
            </w:tcBorders>
          </w:tcPr>
          <w:p w14:paraId="5E6E93AE" w14:textId="77777777" w:rsidR="00742247" w:rsidRDefault="00742247" w:rsidP="0050091A">
            <w:pPr>
              <w:pStyle w:val="Tabletext1"/>
              <w:keepNext/>
            </w:pPr>
            <w:r w:rsidRPr="00505839">
              <w:t>$510.00</w:t>
            </w:r>
          </w:p>
        </w:tc>
        <w:tc>
          <w:tcPr>
            <w:tcW w:w="2488" w:type="pct"/>
            <w:tcBorders>
              <w:left w:val="single" w:sz="4" w:space="0" w:color="auto"/>
            </w:tcBorders>
            <w:vAlign w:val="bottom"/>
          </w:tcPr>
          <w:p w14:paraId="5324697B" w14:textId="4F5228E0" w:rsidR="00742247" w:rsidRPr="00294212" w:rsidRDefault="00742247" w:rsidP="0050091A">
            <w:pPr>
              <w:pStyle w:val="Tabletext1"/>
              <w:keepNext/>
            </w:pPr>
            <w:r>
              <w:t>Protocol</w:t>
            </w:r>
            <w:r w:rsidR="00F679ED">
              <w:t xml:space="preserve"> </w:t>
            </w:r>
            <w:r w:rsidRPr="00294212">
              <w:t>1397</w:t>
            </w:r>
            <w:r w:rsidR="00875081">
              <w:t xml:space="preserve"> (</w:t>
            </w:r>
            <w:r>
              <w:t>Section A</w:t>
            </w:r>
            <w:r w:rsidR="00875081">
              <w:t>)</w:t>
            </w:r>
            <w:r w:rsidR="00FD109E">
              <w:t xml:space="preserve"> includes cost of contrast </w:t>
            </w:r>
            <w:r>
              <w:t>85% fee</w:t>
            </w:r>
            <w:r w:rsidR="00F679ED">
              <w:t>.</w:t>
            </w:r>
            <w:r>
              <w:t xml:space="preserve"> </w:t>
            </w:r>
          </w:p>
        </w:tc>
      </w:tr>
      <w:tr w:rsidR="00742247" w:rsidRPr="007F4891" w14:paraId="53CC1048" w14:textId="77777777" w:rsidTr="002768CD">
        <w:tc>
          <w:tcPr>
            <w:tcW w:w="1823" w:type="pct"/>
            <w:tcBorders>
              <w:bottom w:val="single" w:sz="4" w:space="0" w:color="auto"/>
              <w:right w:val="single" w:sz="4" w:space="0" w:color="auto"/>
            </w:tcBorders>
          </w:tcPr>
          <w:p w14:paraId="18C570D0" w14:textId="77777777" w:rsidR="00742247" w:rsidRDefault="00742247" w:rsidP="0050091A">
            <w:pPr>
              <w:pStyle w:val="Tabletext1"/>
              <w:keepNext/>
            </w:pPr>
            <w:r>
              <w:t>Comparator</w:t>
            </w:r>
          </w:p>
        </w:tc>
        <w:tc>
          <w:tcPr>
            <w:tcW w:w="689" w:type="pct"/>
            <w:tcBorders>
              <w:left w:val="single" w:sz="4" w:space="0" w:color="auto"/>
              <w:bottom w:val="single" w:sz="4" w:space="0" w:color="auto"/>
              <w:right w:val="single" w:sz="4" w:space="0" w:color="auto"/>
            </w:tcBorders>
            <w:vAlign w:val="bottom"/>
          </w:tcPr>
          <w:p w14:paraId="6985A1D8" w14:textId="77777777" w:rsidR="00742247" w:rsidRPr="00400C1C" w:rsidRDefault="00742247" w:rsidP="0050091A">
            <w:pPr>
              <w:pStyle w:val="Tabletext1"/>
              <w:keepNext/>
            </w:pPr>
            <w:r>
              <w:t>$604.05</w:t>
            </w:r>
          </w:p>
        </w:tc>
        <w:tc>
          <w:tcPr>
            <w:tcW w:w="2488" w:type="pct"/>
            <w:tcBorders>
              <w:left w:val="single" w:sz="4" w:space="0" w:color="auto"/>
            </w:tcBorders>
            <w:vAlign w:val="bottom"/>
          </w:tcPr>
          <w:p w14:paraId="469EC3D8" w14:textId="2A4B430C" w:rsidR="00742247" w:rsidRDefault="00742247" w:rsidP="0050091A">
            <w:pPr>
              <w:pStyle w:val="Tabletext1"/>
              <w:keepNext/>
            </w:pPr>
            <w:r>
              <w:t>Weighted average 75% TRUSGB + 25% TPUSGB</w:t>
            </w:r>
            <w:r w:rsidR="00F679ED">
              <w:t>.</w:t>
            </w:r>
          </w:p>
        </w:tc>
      </w:tr>
      <w:tr w:rsidR="00742247" w:rsidRPr="007F4891" w14:paraId="5CC3023D" w14:textId="77777777" w:rsidTr="002768CD">
        <w:tc>
          <w:tcPr>
            <w:tcW w:w="1823" w:type="pct"/>
            <w:tcBorders>
              <w:bottom w:val="single" w:sz="4" w:space="0" w:color="auto"/>
              <w:right w:val="single" w:sz="4" w:space="0" w:color="auto"/>
            </w:tcBorders>
          </w:tcPr>
          <w:p w14:paraId="569979B0" w14:textId="77777777" w:rsidR="00742247" w:rsidRPr="006849A6" w:rsidRDefault="00742247" w:rsidP="0050091A">
            <w:pPr>
              <w:pStyle w:val="Tabletext1"/>
              <w:keepNext/>
            </w:pPr>
            <w:r>
              <w:t>TRUSGB</w:t>
            </w:r>
          </w:p>
        </w:tc>
        <w:tc>
          <w:tcPr>
            <w:tcW w:w="689" w:type="pct"/>
            <w:tcBorders>
              <w:left w:val="single" w:sz="4" w:space="0" w:color="auto"/>
              <w:bottom w:val="single" w:sz="4" w:space="0" w:color="auto"/>
              <w:right w:val="single" w:sz="4" w:space="0" w:color="auto"/>
            </w:tcBorders>
          </w:tcPr>
          <w:p w14:paraId="58DE457B" w14:textId="77777777" w:rsidR="00742247" w:rsidRPr="004C5524" w:rsidRDefault="00742247" w:rsidP="0050091A">
            <w:pPr>
              <w:pStyle w:val="Tabletext1"/>
              <w:keepNext/>
            </w:pPr>
            <w:r w:rsidRPr="004C5524">
              <w:t>$</w:t>
            </w:r>
            <w:r>
              <w:t>502.87</w:t>
            </w:r>
          </w:p>
        </w:tc>
        <w:tc>
          <w:tcPr>
            <w:tcW w:w="2488" w:type="pct"/>
            <w:tcBorders>
              <w:left w:val="single" w:sz="4" w:space="0" w:color="auto"/>
              <w:bottom w:val="single" w:sz="4" w:space="0" w:color="auto"/>
            </w:tcBorders>
          </w:tcPr>
          <w:p w14:paraId="621C52C7" w14:textId="758A706E" w:rsidR="00742247" w:rsidRPr="004C5524" w:rsidRDefault="00742247" w:rsidP="0050091A">
            <w:pPr>
              <w:pStyle w:val="Tabletext1"/>
              <w:keepNext/>
            </w:pPr>
            <w:r>
              <w:t xml:space="preserve">Griffith </w:t>
            </w:r>
            <w:r w:rsidR="00875081">
              <w:t>et al. (</w:t>
            </w:r>
            <w:r>
              <w:t>2016</w:t>
            </w:r>
            <w:r w:rsidR="00875081">
              <w:t>)</w:t>
            </w:r>
            <w:r>
              <w:t xml:space="preserve">; </w:t>
            </w:r>
            <w:r w:rsidRPr="006B1E71">
              <w:t xml:space="preserve">Cost to MBS: calculation by addition of </w:t>
            </w:r>
            <w:r>
              <w:t>85% fee MBS and DPMQ PBS items</w:t>
            </w:r>
            <w:r w:rsidRPr="006B1E71">
              <w:t xml:space="preserve">: </w:t>
            </w:r>
            <w:r w:rsidRPr="004C5524">
              <w:t>$511.75</w:t>
            </w:r>
            <w:r w:rsidR="00F679ED">
              <w:t>.</w:t>
            </w:r>
          </w:p>
          <w:p w14:paraId="73A086FD" w14:textId="77777777" w:rsidR="00742247" w:rsidRDefault="00742247" w:rsidP="0050091A">
            <w:pPr>
              <w:pStyle w:val="Tabletext1"/>
              <w:keepNext/>
            </w:pPr>
            <w:r>
              <w:t>MBS item 37219 [biopsy]: $238.75</w:t>
            </w:r>
          </w:p>
          <w:p w14:paraId="70678AEC" w14:textId="77777777" w:rsidR="00742247" w:rsidRDefault="00742247" w:rsidP="0050091A">
            <w:pPr>
              <w:pStyle w:val="Tabletext1"/>
              <w:keepNext/>
            </w:pPr>
            <w:r>
              <w:t>MBS item 55600 [ultrasound]: $92.75</w:t>
            </w:r>
          </w:p>
          <w:p w14:paraId="4F49790B" w14:textId="77777777" w:rsidR="00742247" w:rsidRDefault="00742247" w:rsidP="0050091A">
            <w:pPr>
              <w:pStyle w:val="Tabletext1"/>
              <w:keepNext/>
            </w:pPr>
            <w:r>
              <w:t>MBS item 72825 [pathology]: $153.25</w:t>
            </w:r>
          </w:p>
          <w:p w14:paraId="50B577D5" w14:textId="77777777" w:rsidR="00742247" w:rsidRPr="00053624" w:rsidRDefault="00742247" w:rsidP="0050091A">
            <w:pPr>
              <w:pStyle w:val="Tabletext1"/>
              <w:keepNext/>
            </w:pPr>
            <w:r>
              <w:t>PBS item 1209P [ciprofloxacin]: $18.12</w:t>
            </w:r>
          </w:p>
        </w:tc>
      </w:tr>
      <w:tr w:rsidR="00742247" w:rsidRPr="007F4891" w14:paraId="4D7DECF8" w14:textId="77777777" w:rsidTr="002768CD">
        <w:tc>
          <w:tcPr>
            <w:tcW w:w="1823" w:type="pct"/>
            <w:tcBorders>
              <w:bottom w:val="single" w:sz="4" w:space="0" w:color="auto"/>
              <w:right w:val="single" w:sz="4" w:space="0" w:color="auto"/>
            </w:tcBorders>
          </w:tcPr>
          <w:p w14:paraId="4039D286" w14:textId="77777777" w:rsidR="00742247" w:rsidRPr="006849A6" w:rsidRDefault="00742247" w:rsidP="0050091A">
            <w:pPr>
              <w:pStyle w:val="Tabletext1"/>
              <w:keepNext/>
            </w:pPr>
            <w:r w:rsidRPr="006849A6">
              <w:t>TPUSGB</w:t>
            </w:r>
            <w:r>
              <w:t xml:space="preserve"> </w:t>
            </w:r>
          </w:p>
        </w:tc>
        <w:tc>
          <w:tcPr>
            <w:tcW w:w="689" w:type="pct"/>
            <w:tcBorders>
              <w:left w:val="single" w:sz="4" w:space="0" w:color="auto"/>
              <w:bottom w:val="single" w:sz="4" w:space="0" w:color="auto"/>
              <w:right w:val="single" w:sz="4" w:space="0" w:color="auto"/>
            </w:tcBorders>
          </w:tcPr>
          <w:p w14:paraId="054E3BE5" w14:textId="77777777" w:rsidR="00742247" w:rsidRPr="00400C1C" w:rsidRDefault="00742247" w:rsidP="0050091A">
            <w:pPr>
              <w:pStyle w:val="Tabletext1"/>
              <w:keepNext/>
            </w:pPr>
            <w:r w:rsidRPr="00400C1C">
              <w:t>$907.</w:t>
            </w:r>
            <w:r>
              <w:t>60</w:t>
            </w:r>
          </w:p>
        </w:tc>
        <w:tc>
          <w:tcPr>
            <w:tcW w:w="2488" w:type="pct"/>
            <w:tcBorders>
              <w:left w:val="single" w:sz="4" w:space="0" w:color="auto"/>
              <w:bottom w:val="single" w:sz="4" w:space="0" w:color="auto"/>
            </w:tcBorders>
          </w:tcPr>
          <w:p w14:paraId="255C722C" w14:textId="516046D6" w:rsidR="00742247" w:rsidRDefault="00875081" w:rsidP="0050091A">
            <w:pPr>
              <w:pStyle w:val="Tabletext1"/>
              <w:keepNext/>
            </w:pPr>
            <w:r>
              <w:t>Griffith et al. (2016)</w:t>
            </w:r>
            <w:r w:rsidR="00742247">
              <w:t xml:space="preserve">; </w:t>
            </w:r>
            <w:r w:rsidR="00742247" w:rsidRPr="006B1E71">
              <w:t xml:space="preserve">Cost to MBS: calculation by addition of </w:t>
            </w:r>
            <w:r w:rsidR="00F679ED">
              <w:t>85% fee MBS.</w:t>
            </w:r>
          </w:p>
          <w:p w14:paraId="6694BB61" w14:textId="77777777" w:rsidR="00742247" w:rsidRDefault="00742247" w:rsidP="0050091A">
            <w:pPr>
              <w:pStyle w:val="Tabletext1"/>
              <w:keepNext/>
            </w:pPr>
            <w:r>
              <w:t>MBS item 37219 [biopsy]: $238.75</w:t>
            </w:r>
          </w:p>
          <w:p w14:paraId="72E55752" w14:textId="77777777" w:rsidR="00742247" w:rsidRDefault="00742247" w:rsidP="0050091A">
            <w:pPr>
              <w:pStyle w:val="Tabletext1"/>
              <w:keepNext/>
            </w:pPr>
            <w:r>
              <w:t>MBS item 55600 [ultrasound]: $92.75</w:t>
            </w:r>
          </w:p>
          <w:p w14:paraId="6353D1E2" w14:textId="77777777" w:rsidR="00742247" w:rsidRDefault="00742247" w:rsidP="0050091A">
            <w:pPr>
              <w:pStyle w:val="Tabletext1"/>
              <w:keepNext/>
            </w:pPr>
            <w:r>
              <w:t>MBS item 72825 [pathology]: $153.25</w:t>
            </w:r>
          </w:p>
          <w:p w14:paraId="21A7B6ED" w14:textId="77777777" w:rsidR="00742247" w:rsidRDefault="00742247" w:rsidP="0050091A">
            <w:pPr>
              <w:pStyle w:val="Tabletext1"/>
              <w:keepNext/>
            </w:pPr>
            <w:r w:rsidRPr="00D82818">
              <w:t>MBS item 17615</w:t>
            </w:r>
            <w:r>
              <w:t xml:space="preserve"> [15-30 mins]: </w:t>
            </w:r>
            <w:r w:rsidRPr="00EC6845">
              <w:rPr>
                <w:snapToGrid w:val="0"/>
              </w:rPr>
              <w:t>$72.75</w:t>
            </w:r>
          </w:p>
          <w:p w14:paraId="3A21642F" w14:textId="77777777" w:rsidR="00742247" w:rsidRDefault="00742247" w:rsidP="0050091A">
            <w:pPr>
              <w:pStyle w:val="Tabletext1"/>
              <w:keepNext/>
            </w:pPr>
            <w:r w:rsidRPr="00D82818">
              <w:t>MBS item 23051</w:t>
            </w:r>
            <w:r>
              <w:t xml:space="preserve"> [1.01hr – 1.05hr]: $84.15</w:t>
            </w:r>
          </w:p>
          <w:p w14:paraId="2E0D40DB" w14:textId="77777777" w:rsidR="00742247" w:rsidRPr="00D82818" w:rsidRDefault="00742247" w:rsidP="0050091A">
            <w:pPr>
              <w:pStyle w:val="Tabletext1"/>
              <w:keepNext/>
            </w:pPr>
            <w:r>
              <w:t>Admission theatre cost</w:t>
            </w:r>
            <w:r w:rsidRPr="00B1354F">
              <w:t>, NEP: $265</w:t>
            </w:r>
            <w:r w:rsidRPr="00746CF4">
              <w:t>.95</w:t>
            </w:r>
          </w:p>
        </w:tc>
      </w:tr>
      <w:tr w:rsidR="00742247" w:rsidRPr="007F4891" w14:paraId="48C931B8" w14:textId="77777777" w:rsidTr="002768CD">
        <w:tc>
          <w:tcPr>
            <w:tcW w:w="1823" w:type="pct"/>
            <w:tcBorders>
              <w:bottom w:val="single" w:sz="4" w:space="0" w:color="auto"/>
              <w:right w:val="single" w:sz="4" w:space="0" w:color="auto"/>
            </w:tcBorders>
          </w:tcPr>
          <w:p w14:paraId="72F8D702" w14:textId="77777777" w:rsidR="00742247" w:rsidRPr="006849A6" w:rsidRDefault="00742247" w:rsidP="0050091A">
            <w:pPr>
              <w:pStyle w:val="Tabletext1"/>
              <w:keepNext/>
            </w:pPr>
            <w:r w:rsidRPr="006849A6">
              <w:t xml:space="preserve">MR-US fusion </w:t>
            </w:r>
          </w:p>
        </w:tc>
        <w:tc>
          <w:tcPr>
            <w:tcW w:w="689" w:type="pct"/>
            <w:tcBorders>
              <w:left w:val="single" w:sz="4" w:space="0" w:color="auto"/>
              <w:bottom w:val="single" w:sz="4" w:space="0" w:color="auto"/>
              <w:right w:val="single" w:sz="4" w:space="0" w:color="auto"/>
            </w:tcBorders>
          </w:tcPr>
          <w:p w14:paraId="4F5D5DAA" w14:textId="77777777" w:rsidR="00742247" w:rsidRPr="006849A6" w:rsidRDefault="00742247" w:rsidP="0050091A">
            <w:pPr>
              <w:pStyle w:val="Tabletext1"/>
              <w:keepNext/>
            </w:pPr>
            <w:r w:rsidRPr="006849A6">
              <w:t>$1,021.77</w:t>
            </w:r>
          </w:p>
        </w:tc>
        <w:tc>
          <w:tcPr>
            <w:tcW w:w="2488" w:type="pct"/>
            <w:tcBorders>
              <w:left w:val="single" w:sz="4" w:space="0" w:color="auto"/>
              <w:bottom w:val="single" w:sz="4" w:space="0" w:color="auto"/>
            </w:tcBorders>
          </w:tcPr>
          <w:p w14:paraId="4BDF18DA" w14:textId="77777777" w:rsidR="00742247" w:rsidRPr="00476574" w:rsidRDefault="00742247" w:rsidP="0050091A">
            <w:pPr>
              <w:pStyle w:val="Tabletext1"/>
              <w:keepNext/>
            </w:pPr>
            <w:r>
              <w:t>P</w:t>
            </w:r>
            <w:r w:rsidRPr="00476574">
              <w:t xml:space="preserve">rovided by </w:t>
            </w:r>
            <w:r>
              <w:t>CA 1424</w:t>
            </w:r>
            <w:r w:rsidRPr="00476574">
              <w:t xml:space="preserve"> Assessment group</w:t>
            </w:r>
          </w:p>
        </w:tc>
      </w:tr>
      <w:tr w:rsidR="00742247" w:rsidRPr="007F4891" w14:paraId="18EEB954" w14:textId="77777777" w:rsidTr="002768CD">
        <w:tc>
          <w:tcPr>
            <w:tcW w:w="1823" w:type="pct"/>
            <w:tcBorders>
              <w:bottom w:val="single" w:sz="4" w:space="0" w:color="auto"/>
              <w:right w:val="single" w:sz="4" w:space="0" w:color="auto"/>
            </w:tcBorders>
          </w:tcPr>
          <w:p w14:paraId="69854778" w14:textId="77777777" w:rsidR="00742247" w:rsidRPr="006849A6" w:rsidRDefault="00742247" w:rsidP="0050091A">
            <w:pPr>
              <w:pStyle w:val="Tabletext1"/>
              <w:keepNext/>
            </w:pPr>
            <w:r w:rsidRPr="006849A6">
              <w:t>MR-in gantry</w:t>
            </w:r>
          </w:p>
        </w:tc>
        <w:tc>
          <w:tcPr>
            <w:tcW w:w="689" w:type="pct"/>
            <w:tcBorders>
              <w:left w:val="single" w:sz="4" w:space="0" w:color="auto"/>
              <w:bottom w:val="single" w:sz="4" w:space="0" w:color="auto"/>
              <w:right w:val="single" w:sz="4" w:space="0" w:color="auto"/>
            </w:tcBorders>
          </w:tcPr>
          <w:p w14:paraId="3913A873" w14:textId="77777777" w:rsidR="00742247" w:rsidRPr="006849A6" w:rsidRDefault="00742247" w:rsidP="0050091A">
            <w:pPr>
              <w:pStyle w:val="Tabletext1"/>
              <w:keepNext/>
            </w:pPr>
            <w:r w:rsidRPr="006849A6">
              <w:t>$2,346</w:t>
            </w:r>
          </w:p>
        </w:tc>
        <w:tc>
          <w:tcPr>
            <w:tcW w:w="2488" w:type="pct"/>
            <w:tcBorders>
              <w:left w:val="single" w:sz="4" w:space="0" w:color="auto"/>
              <w:bottom w:val="single" w:sz="4" w:space="0" w:color="auto"/>
            </w:tcBorders>
          </w:tcPr>
          <w:p w14:paraId="42322629" w14:textId="77777777" w:rsidR="00742247" w:rsidRPr="00476574" w:rsidRDefault="00742247" w:rsidP="0050091A">
            <w:pPr>
              <w:pStyle w:val="Tabletext1"/>
              <w:keepNext/>
            </w:pPr>
            <w:r>
              <w:t>P</w:t>
            </w:r>
            <w:r w:rsidRPr="00476574">
              <w:t xml:space="preserve">rovided by </w:t>
            </w:r>
            <w:r>
              <w:t>CA 1424</w:t>
            </w:r>
            <w:r w:rsidRPr="00476574">
              <w:t xml:space="preserve"> Assessment group</w:t>
            </w:r>
          </w:p>
        </w:tc>
      </w:tr>
      <w:tr w:rsidR="00742247" w:rsidRPr="006D4722" w14:paraId="706F339C" w14:textId="77777777" w:rsidTr="002768CD">
        <w:tc>
          <w:tcPr>
            <w:tcW w:w="1823" w:type="pct"/>
            <w:tcBorders>
              <w:bottom w:val="single" w:sz="4" w:space="0" w:color="auto"/>
              <w:right w:val="nil"/>
            </w:tcBorders>
          </w:tcPr>
          <w:p w14:paraId="19489B78" w14:textId="77777777" w:rsidR="00742247" w:rsidRDefault="00742247" w:rsidP="0050091A">
            <w:pPr>
              <w:pStyle w:val="Tabletext1"/>
              <w:keepNext/>
            </w:pPr>
            <w:r w:rsidRPr="00C523A2">
              <w:t>Costs of PCa treatment</w:t>
            </w:r>
          </w:p>
        </w:tc>
        <w:tc>
          <w:tcPr>
            <w:tcW w:w="689" w:type="pct"/>
            <w:tcBorders>
              <w:left w:val="nil"/>
              <w:bottom w:val="single" w:sz="4" w:space="0" w:color="auto"/>
              <w:right w:val="nil"/>
            </w:tcBorders>
            <w:vAlign w:val="bottom"/>
          </w:tcPr>
          <w:p w14:paraId="1180F6CE" w14:textId="77777777" w:rsidR="00742247" w:rsidRDefault="00742247" w:rsidP="0050091A">
            <w:pPr>
              <w:pStyle w:val="Tabletext1"/>
              <w:keepNext/>
            </w:pPr>
          </w:p>
        </w:tc>
        <w:tc>
          <w:tcPr>
            <w:tcW w:w="2488" w:type="pct"/>
            <w:tcBorders>
              <w:left w:val="nil"/>
            </w:tcBorders>
            <w:vAlign w:val="bottom"/>
          </w:tcPr>
          <w:p w14:paraId="1B88F6C2" w14:textId="77777777" w:rsidR="00742247" w:rsidRDefault="00742247" w:rsidP="0050091A">
            <w:pPr>
              <w:pStyle w:val="Tabletext1"/>
              <w:keepNext/>
            </w:pPr>
          </w:p>
        </w:tc>
      </w:tr>
      <w:tr w:rsidR="00742247" w:rsidRPr="007F4891" w14:paraId="038EC770" w14:textId="77777777" w:rsidTr="002768CD">
        <w:tc>
          <w:tcPr>
            <w:tcW w:w="1823" w:type="pct"/>
            <w:tcBorders>
              <w:bottom w:val="nil"/>
            </w:tcBorders>
          </w:tcPr>
          <w:p w14:paraId="751BDE48" w14:textId="77777777" w:rsidR="00742247" w:rsidRPr="007F4891" w:rsidRDefault="00742247" w:rsidP="0050091A">
            <w:pPr>
              <w:pStyle w:val="Tabletext1"/>
              <w:keepNext/>
              <w:rPr>
                <w:rFonts w:cs="Arial"/>
              </w:rPr>
            </w:pPr>
            <w:r>
              <w:t>Active surveillance</w:t>
            </w:r>
          </w:p>
        </w:tc>
        <w:tc>
          <w:tcPr>
            <w:tcW w:w="689" w:type="pct"/>
            <w:tcBorders>
              <w:bottom w:val="nil"/>
            </w:tcBorders>
          </w:tcPr>
          <w:p w14:paraId="492B5EAD" w14:textId="77777777" w:rsidR="00742247" w:rsidRPr="007F4891" w:rsidRDefault="00742247" w:rsidP="0050091A">
            <w:pPr>
              <w:pStyle w:val="Tabletext1"/>
              <w:keepNext/>
              <w:rPr>
                <w:rFonts w:cs="Arial"/>
              </w:rPr>
            </w:pPr>
          </w:p>
        </w:tc>
        <w:tc>
          <w:tcPr>
            <w:tcW w:w="2488" w:type="pct"/>
            <w:vMerge w:val="restart"/>
          </w:tcPr>
          <w:p w14:paraId="1FDBE9B1" w14:textId="77777777" w:rsidR="00742247" w:rsidRDefault="00742247" w:rsidP="0050091A">
            <w:pPr>
              <w:pStyle w:val="Tabletext1"/>
              <w:keepNext/>
              <w:rPr>
                <w:rFonts w:cs="Arial"/>
              </w:rPr>
            </w:pPr>
          </w:p>
          <w:p w14:paraId="52A0F2C8" w14:textId="5B08335B" w:rsidR="00742247" w:rsidRPr="007F4891" w:rsidRDefault="00742247" w:rsidP="0050091A">
            <w:pPr>
              <w:pStyle w:val="Tabletext1"/>
              <w:keepNext/>
              <w:rPr>
                <w:rFonts w:cs="Arial"/>
              </w:rPr>
            </w:pPr>
            <w:r w:rsidRPr="00232ABC">
              <w:t>Cronin et al</w:t>
            </w:r>
            <w:r w:rsidR="00875081" w:rsidRPr="00232ABC">
              <w:t>.</w:t>
            </w:r>
            <w:r w:rsidRPr="00232ABC">
              <w:t xml:space="preserve"> </w:t>
            </w:r>
            <w:r w:rsidR="00875081" w:rsidRPr="00232ABC">
              <w:t>(</w:t>
            </w:r>
            <w:r w:rsidRPr="00232ABC">
              <w:t>2016</w:t>
            </w:r>
            <w:r w:rsidR="00875081" w:rsidRPr="00232ABC">
              <w:t>)</w:t>
            </w:r>
            <w:r w:rsidRPr="00232ABC">
              <w:t xml:space="preserve">, </w:t>
            </w:r>
            <w:r w:rsidRPr="00D276F1">
              <w:t>costs inflated to 2014 using health CPI</w:t>
            </w:r>
            <w:r>
              <w:rPr>
                <w:rFonts w:cs="Arial"/>
              </w:rPr>
              <w:t xml:space="preserve"> (</w:t>
            </w:r>
            <w:r>
              <w:rPr>
                <w:rFonts w:cs="Arial"/>
              </w:rPr>
              <w:fldChar w:fldCharType="begin"/>
            </w:r>
            <w:r>
              <w:rPr>
                <w:rFonts w:cs="Arial"/>
              </w:rPr>
              <w:instrText xml:space="preserve"> REF _Ref456339375 \h </w:instrText>
            </w:r>
            <w:r w:rsidR="00232ABC">
              <w:rPr>
                <w:rFonts w:cs="Arial"/>
              </w:rPr>
              <w:instrText xml:space="preserve"> \* MERGEFORMAT </w:instrText>
            </w:r>
            <w:r>
              <w:rPr>
                <w:rFonts w:cs="Arial"/>
              </w:rPr>
            </w:r>
            <w:r>
              <w:rPr>
                <w:rFonts w:cs="Arial"/>
              </w:rPr>
              <w:fldChar w:fldCharType="separate"/>
            </w:r>
            <w:r w:rsidR="0029649D" w:rsidRPr="00770BBC">
              <w:t xml:space="preserve">Table </w:t>
            </w:r>
            <w:r w:rsidR="0029649D">
              <w:rPr>
                <w:noProof/>
              </w:rPr>
              <w:t>58</w:t>
            </w:r>
            <w:r>
              <w:rPr>
                <w:rFonts w:cs="Arial"/>
              </w:rPr>
              <w:fldChar w:fldCharType="end"/>
            </w:r>
            <w:r>
              <w:rPr>
                <w:rFonts w:cs="Arial"/>
              </w:rPr>
              <w:t>)</w:t>
            </w:r>
            <w:r w:rsidR="00F679ED">
              <w:rPr>
                <w:rFonts w:cs="Arial"/>
              </w:rPr>
              <w:t>.</w:t>
            </w:r>
          </w:p>
        </w:tc>
      </w:tr>
      <w:tr w:rsidR="00742247" w:rsidRPr="007F4891" w14:paraId="74CE1F40" w14:textId="77777777" w:rsidTr="002768CD">
        <w:tc>
          <w:tcPr>
            <w:tcW w:w="1823" w:type="pct"/>
            <w:tcBorders>
              <w:top w:val="nil"/>
              <w:bottom w:val="nil"/>
            </w:tcBorders>
          </w:tcPr>
          <w:p w14:paraId="1785D2EE" w14:textId="77777777" w:rsidR="00742247" w:rsidRDefault="00742247" w:rsidP="0050091A">
            <w:pPr>
              <w:pStyle w:val="Tabletext1"/>
              <w:keepNext/>
            </w:pPr>
            <w:r>
              <w:t xml:space="preserve">1 year </w:t>
            </w:r>
          </w:p>
        </w:tc>
        <w:tc>
          <w:tcPr>
            <w:tcW w:w="689" w:type="pct"/>
            <w:tcBorders>
              <w:top w:val="nil"/>
              <w:bottom w:val="nil"/>
            </w:tcBorders>
          </w:tcPr>
          <w:p w14:paraId="03F9B3A1" w14:textId="77777777" w:rsidR="00742247" w:rsidRPr="007F4891" w:rsidRDefault="00742247" w:rsidP="0050091A">
            <w:pPr>
              <w:pStyle w:val="Tabletext1"/>
              <w:keepNext/>
              <w:rPr>
                <w:rFonts w:cs="Arial"/>
              </w:rPr>
            </w:pPr>
            <w:r>
              <w:rPr>
                <w:rFonts w:cs="Arial"/>
              </w:rPr>
              <w:t>$5,367.47</w:t>
            </w:r>
          </w:p>
        </w:tc>
        <w:tc>
          <w:tcPr>
            <w:tcW w:w="2488" w:type="pct"/>
            <w:vMerge/>
          </w:tcPr>
          <w:p w14:paraId="1D6CDFB0" w14:textId="77777777" w:rsidR="00742247" w:rsidRDefault="00742247" w:rsidP="0050091A">
            <w:pPr>
              <w:pStyle w:val="Tabletext1"/>
              <w:keepNext/>
              <w:rPr>
                <w:rFonts w:cs="Arial"/>
              </w:rPr>
            </w:pPr>
          </w:p>
        </w:tc>
      </w:tr>
      <w:tr w:rsidR="00742247" w:rsidRPr="007F4891" w14:paraId="67FC86C7" w14:textId="77777777" w:rsidTr="002768CD">
        <w:tc>
          <w:tcPr>
            <w:tcW w:w="1823" w:type="pct"/>
            <w:tcBorders>
              <w:top w:val="nil"/>
              <w:bottom w:val="single" w:sz="4" w:space="0" w:color="auto"/>
            </w:tcBorders>
          </w:tcPr>
          <w:p w14:paraId="2291E2EC" w14:textId="77777777" w:rsidR="00742247" w:rsidRDefault="00742247" w:rsidP="0050091A">
            <w:pPr>
              <w:pStyle w:val="Tabletext1"/>
              <w:keepNext/>
            </w:pPr>
            <w:r>
              <w:t>After year 1</w:t>
            </w:r>
          </w:p>
        </w:tc>
        <w:tc>
          <w:tcPr>
            <w:tcW w:w="689" w:type="pct"/>
            <w:tcBorders>
              <w:top w:val="nil"/>
              <w:bottom w:val="single" w:sz="4" w:space="0" w:color="auto"/>
            </w:tcBorders>
          </w:tcPr>
          <w:p w14:paraId="51BB3733" w14:textId="77777777" w:rsidR="00742247" w:rsidRPr="002515C4" w:rsidRDefault="00742247" w:rsidP="0050091A">
            <w:pPr>
              <w:pStyle w:val="Tabletext1"/>
              <w:keepNext/>
              <w:rPr>
                <w:rFonts w:cs="Arial"/>
              </w:rPr>
            </w:pPr>
            <w:r>
              <w:rPr>
                <w:rFonts w:cs="Arial"/>
              </w:rPr>
              <w:t>$981.54</w:t>
            </w:r>
          </w:p>
        </w:tc>
        <w:tc>
          <w:tcPr>
            <w:tcW w:w="2488" w:type="pct"/>
            <w:vMerge/>
          </w:tcPr>
          <w:p w14:paraId="1641739A" w14:textId="77777777" w:rsidR="00742247" w:rsidRDefault="00742247" w:rsidP="0050091A">
            <w:pPr>
              <w:pStyle w:val="Tabletext1"/>
              <w:keepNext/>
              <w:rPr>
                <w:rFonts w:cs="Arial"/>
              </w:rPr>
            </w:pPr>
          </w:p>
        </w:tc>
      </w:tr>
      <w:tr w:rsidR="00742247" w:rsidRPr="007F4891" w14:paraId="223C393C" w14:textId="77777777" w:rsidTr="002768CD">
        <w:tc>
          <w:tcPr>
            <w:tcW w:w="1823" w:type="pct"/>
            <w:tcBorders>
              <w:top w:val="single" w:sz="4" w:space="0" w:color="auto"/>
              <w:bottom w:val="nil"/>
            </w:tcBorders>
          </w:tcPr>
          <w:p w14:paraId="5DCB6419" w14:textId="77777777" w:rsidR="00742247" w:rsidRDefault="00742247" w:rsidP="0050091A">
            <w:pPr>
              <w:pStyle w:val="Tabletext1"/>
              <w:keepNext/>
            </w:pPr>
            <w:r>
              <w:t>Treatment of intermediate to high risk PCa</w:t>
            </w:r>
          </w:p>
        </w:tc>
        <w:tc>
          <w:tcPr>
            <w:tcW w:w="689" w:type="pct"/>
            <w:tcBorders>
              <w:top w:val="single" w:sz="4" w:space="0" w:color="auto"/>
              <w:bottom w:val="nil"/>
            </w:tcBorders>
          </w:tcPr>
          <w:p w14:paraId="5ECBEAD2" w14:textId="77777777" w:rsidR="00742247" w:rsidRDefault="00742247" w:rsidP="0050091A">
            <w:pPr>
              <w:pStyle w:val="Tabletext1"/>
              <w:keepNext/>
              <w:rPr>
                <w:rFonts w:cs="Arial"/>
              </w:rPr>
            </w:pPr>
          </w:p>
        </w:tc>
        <w:tc>
          <w:tcPr>
            <w:tcW w:w="2488" w:type="pct"/>
            <w:vMerge w:val="restart"/>
          </w:tcPr>
          <w:p w14:paraId="4FFC6F07" w14:textId="64A70C96" w:rsidR="00742247" w:rsidRPr="00757F8C" w:rsidRDefault="00742247" w:rsidP="0050091A">
            <w:pPr>
              <w:pStyle w:val="Tabletext1"/>
              <w:keepNext/>
              <w:rPr>
                <w:rFonts w:cs="Arial"/>
              </w:rPr>
            </w:pPr>
            <w:r>
              <w:rPr>
                <w:rFonts w:cs="Arial"/>
              </w:rPr>
              <w:br/>
              <w:t>Cronin et al</w:t>
            </w:r>
            <w:r w:rsidR="00232ABC">
              <w:rPr>
                <w:rFonts w:cs="Arial"/>
              </w:rPr>
              <w:t>.</w:t>
            </w:r>
            <w:r>
              <w:rPr>
                <w:rFonts w:cs="Arial"/>
              </w:rPr>
              <w:t xml:space="preserve"> 2016, costs </w:t>
            </w:r>
            <w:r>
              <w:t>inflated to 2014 using health CPI</w:t>
            </w:r>
            <w:r>
              <w:rPr>
                <w:rFonts w:cs="Arial"/>
              </w:rPr>
              <w:t xml:space="preserve"> (</w:t>
            </w:r>
            <w:r>
              <w:rPr>
                <w:rFonts w:cs="Arial"/>
              </w:rPr>
              <w:fldChar w:fldCharType="begin"/>
            </w:r>
            <w:r>
              <w:rPr>
                <w:rFonts w:cs="Arial"/>
              </w:rPr>
              <w:instrText xml:space="preserve"> REF _Ref456339375 \h </w:instrText>
            </w:r>
            <w:r w:rsidR="00232ABC">
              <w:rPr>
                <w:rFonts w:cs="Arial"/>
              </w:rPr>
              <w:instrText xml:space="preserve"> \* MERGEFORMAT </w:instrText>
            </w:r>
            <w:r>
              <w:rPr>
                <w:rFonts w:cs="Arial"/>
              </w:rPr>
            </w:r>
            <w:r>
              <w:rPr>
                <w:rFonts w:cs="Arial"/>
              </w:rPr>
              <w:fldChar w:fldCharType="separate"/>
            </w:r>
            <w:r w:rsidR="0029649D" w:rsidRPr="00770BBC">
              <w:t xml:space="preserve">Table </w:t>
            </w:r>
            <w:r w:rsidR="0029649D">
              <w:rPr>
                <w:noProof/>
              </w:rPr>
              <w:t>58</w:t>
            </w:r>
            <w:r>
              <w:rPr>
                <w:rFonts w:cs="Arial"/>
              </w:rPr>
              <w:fldChar w:fldCharType="end"/>
            </w:r>
            <w:r>
              <w:rPr>
                <w:rFonts w:cs="Arial"/>
              </w:rPr>
              <w:t>). Weighted average assumes 50% radical prostatectomy, 50% ADT</w:t>
            </w:r>
            <w:r w:rsidR="00F679ED">
              <w:rPr>
                <w:rFonts w:cs="Arial"/>
              </w:rPr>
              <w:t>.</w:t>
            </w:r>
          </w:p>
        </w:tc>
      </w:tr>
      <w:tr w:rsidR="00742247" w:rsidRPr="007F4891" w14:paraId="4E96C6D6" w14:textId="77777777" w:rsidTr="002768CD">
        <w:tc>
          <w:tcPr>
            <w:tcW w:w="1823" w:type="pct"/>
            <w:tcBorders>
              <w:top w:val="nil"/>
              <w:bottom w:val="nil"/>
            </w:tcBorders>
          </w:tcPr>
          <w:p w14:paraId="7B6C7687" w14:textId="77777777" w:rsidR="00742247" w:rsidRDefault="00742247" w:rsidP="0050091A">
            <w:pPr>
              <w:pStyle w:val="Tabletext1"/>
              <w:keepNext/>
            </w:pPr>
            <w:r>
              <w:t xml:space="preserve">1 year </w:t>
            </w:r>
          </w:p>
        </w:tc>
        <w:tc>
          <w:tcPr>
            <w:tcW w:w="689" w:type="pct"/>
            <w:tcBorders>
              <w:top w:val="nil"/>
              <w:bottom w:val="nil"/>
            </w:tcBorders>
          </w:tcPr>
          <w:p w14:paraId="0B0C210B" w14:textId="77777777" w:rsidR="00742247" w:rsidRDefault="00742247" w:rsidP="0050091A">
            <w:pPr>
              <w:pStyle w:val="Tabletext1"/>
              <w:keepNext/>
              <w:rPr>
                <w:rFonts w:cs="Arial"/>
              </w:rPr>
            </w:pPr>
            <w:r>
              <w:rPr>
                <w:rFonts w:cs="Arial"/>
              </w:rPr>
              <w:t>$11,640.89</w:t>
            </w:r>
          </w:p>
        </w:tc>
        <w:tc>
          <w:tcPr>
            <w:tcW w:w="2488" w:type="pct"/>
            <w:vMerge/>
          </w:tcPr>
          <w:p w14:paraId="6B5C4A2E" w14:textId="77777777" w:rsidR="00742247" w:rsidRDefault="00742247" w:rsidP="0050091A">
            <w:pPr>
              <w:pStyle w:val="Tabletext1"/>
              <w:keepNext/>
              <w:rPr>
                <w:rFonts w:cs="Arial"/>
              </w:rPr>
            </w:pPr>
          </w:p>
        </w:tc>
      </w:tr>
      <w:tr w:rsidR="00742247" w:rsidRPr="007F4891" w14:paraId="2F14025F" w14:textId="77777777" w:rsidTr="002768CD">
        <w:tc>
          <w:tcPr>
            <w:tcW w:w="1823" w:type="pct"/>
            <w:tcBorders>
              <w:top w:val="nil"/>
              <w:bottom w:val="single" w:sz="4" w:space="0" w:color="auto"/>
            </w:tcBorders>
          </w:tcPr>
          <w:p w14:paraId="0956F0D0" w14:textId="77777777" w:rsidR="00742247" w:rsidRDefault="00742247" w:rsidP="0050091A">
            <w:pPr>
              <w:pStyle w:val="Tabletext1"/>
              <w:keepNext/>
            </w:pPr>
            <w:r>
              <w:t>After year 1</w:t>
            </w:r>
          </w:p>
        </w:tc>
        <w:tc>
          <w:tcPr>
            <w:tcW w:w="689" w:type="pct"/>
            <w:tcBorders>
              <w:top w:val="nil"/>
              <w:bottom w:val="single" w:sz="4" w:space="0" w:color="auto"/>
            </w:tcBorders>
          </w:tcPr>
          <w:p w14:paraId="676112B5" w14:textId="77777777" w:rsidR="00742247" w:rsidRDefault="00742247" w:rsidP="0050091A">
            <w:pPr>
              <w:pStyle w:val="Tabletext1"/>
              <w:keepNext/>
              <w:rPr>
                <w:rFonts w:cs="Arial"/>
              </w:rPr>
            </w:pPr>
            <w:r>
              <w:rPr>
                <w:rFonts w:cs="Arial"/>
              </w:rPr>
              <w:t>$2,313.13</w:t>
            </w:r>
          </w:p>
        </w:tc>
        <w:tc>
          <w:tcPr>
            <w:tcW w:w="2488" w:type="pct"/>
            <w:vMerge/>
            <w:tcBorders>
              <w:bottom w:val="single" w:sz="4" w:space="0" w:color="auto"/>
            </w:tcBorders>
          </w:tcPr>
          <w:p w14:paraId="12179DF9" w14:textId="77777777" w:rsidR="00742247" w:rsidRDefault="00742247" w:rsidP="0050091A">
            <w:pPr>
              <w:pStyle w:val="Tabletext1"/>
              <w:keepNext/>
              <w:rPr>
                <w:rFonts w:cs="Arial"/>
              </w:rPr>
            </w:pPr>
          </w:p>
        </w:tc>
      </w:tr>
      <w:tr w:rsidR="00742247" w:rsidRPr="007F4891" w14:paraId="77B067CA" w14:textId="77777777" w:rsidTr="002768CD">
        <w:tc>
          <w:tcPr>
            <w:tcW w:w="1823" w:type="pct"/>
            <w:tcBorders>
              <w:top w:val="single" w:sz="4" w:space="0" w:color="auto"/>
              <w:bottom w:val="nil"/>
            </w:tcBorders>
          </w:tcPr>
          <w:p w14:paraId="2DABB0BC" w14:textId="77777777" w:rsidR="00742247" w:rsidRDefault="00742247" w:rsidP="0050091A">
            <w:pPr>
              <w:pStyle w:val="Tabletext1"/>
              <w:keepNext/>
            </w:pPr>
            <w:r>
              <w:t>Treatment of advanced PCa</w:t>
            </w:r>
          </w:p>
        </w:tc>
        <w:tc>
          <w:tcPr>
            <w:tcW w:w="689" w:type="pct"/>
            <w:tcBorders>
              <w:top w:val="single" w:sz="4" w:space="0" w:color="auto"/>
              <w:bottom w:val="nil"/>
            </w:tcBorders>
          </w:tcPr>
          <w:p w14:paraId="2EA7D4F2" w14:textId="77777777" w:rsidR="00742247" w:rsidRDefault="00742247" w:rsidP="0050091A">
            <w:pPr>
              <w:pStyle w:val="Tabletext1"/>
              <w:keepNext/>
              <w:rPr>
                <w:rFonts w:cs="Arial"/>
              </w:rPr>
            </w:pPr>
          </w:p>
        </w:tc>
        <w:tc>
          <w:tcPr>
            <w:tcW w:w="2488" w:type="pct"/>
            <w:vMerge w:val="restart"/>
          </w:tcPr>
          <w:p w14:paraId="77A107AD" w14:textId="779AD139" w:rsidR="00742247" w:rsidRDefault="00742247" w:rsidP="0050091A">
            <w:pPr>
              <w:pStyle w:val="Tabletext1"/>
              <w:keepNext/>
              <w:rPr>
                <w:rFonts w:cs="Arial"/>
              </w:rPr>
            </w:pPr>
            <w:r>
              <w:rPr>
                <w:rFonts w:cs="Arial"/>
              </w:rPr>
              <w:br/>
              <w:t>Cronin et al</w:t>
            </w:r>
            <w:r w:rsidR="00875081">
              <w:rPr>
                <w:rFonts w:cs="Arial"/>
              </w:rPr>
              <w:t>.</w:t>
            </w:r>
            <w:r>
              <w:rPr>
                <w:rFonts w:cs="Arial"/>
              </w:rPr>
              <w:t xml:space="preserve"> </w:t>
            </w:r>
            <w:r w:rsidR="00875081">
              <w:rPr>
                <w:rFonts w:cs="Arial"/>
              </w:rPr>
              <w:t>(</w:t>
            </w:r>
            <w:r>
              <w:rPr>
                <w:rFonts w:cs="Arial"/>
              </w:rPr>
              <w:t>2016</w:t>
            </w:r>
            <w:r w:rsidR="00875081">
              <w:rPr>
                <w:rFonts w:cs="Arial"/>
              </w:rPr>
              <w:t>)</w:t>
            </w:r>
            <w:r>
              <w:rPr>
                <w:rFonts w:cs="Arial"/>
              </w:rPr>
              <w:t xml:space="preserve">, costs </w:t>
            </w:r>
            <w:r>
              <w:t>inflated to 2014 using health CPI</w:t>
            </w:r>
            <w:r>
              <w:rPr>
                <w:rFonts w:cs="Arial"/>
              </w:rPr>
              <w:t xml:space="preserve"> (</w:t>
            </w:r>
            <w:r>
              <w:rPr>
                <w:rFonts w:cs="Arial"/>
              </w:rPr>
              <w:fldChar w:fldCharType="begin"/>
            </w:r>
            <w:r>
              <w:rPr>
                <w:rFonts w:cs="Arial"/>
              </w:rPr>
              <w:instrText xml:space="preserve"> REF _Ref456339375 \h  \* MERGEFORMAT </w:instrText>
            </w:r>
            <w:r>
              <w:rPr>
                <w:rFonts w:cs="Arial"/>
              </w:rPr>
            </w:r>
            <w:r>
              <w:rPr>
                <w:rFonts w:cs="Arial"/>
              </w:rPr>
              <w:fldChar w:fldCharType="separate"/>
            </w:r>
            <w:r w:rsidR="0029649D" w:rsidRPr="00770BBC">
              <w:t xml:space="preserve">Table </w:t>
            </w:r>
            <w:r w:rsidR="0029649D">
              <w:rPr>
                <w:noProof/>
              </w:rPr>
              <w:t>58</w:t>
            </w:r>
            <w:r>
              <w:rPr>
                <w:rFonts w:cs="Arial"/>
              </w:rPr>
              <w:fldChar w:fldCharType="end"/>
            </w:r>
            <w:r>
              <w:rPr>
                <w:rFonts w:cs="Arial"/>
              </w:rPr>
              <w:t>)</w:t>
            </w:r>
            <w:r w:rsidR="00F679ED">
              <w:rPr>
                <w:rFonts w:cs="Arial"/>
              </w:rPr>
              <w:t>.</w:t>
            </w:r>
          </w:p>
        </w:tc>
      </w:tr>
      <w:tr w:rsidR="00742247" w:rsidRPr="007F4891" w14:paraId="67C36721" w14:textId="77777777" w:rsidTr="002768CD">
        <w:tc>
          <w:tcPr>
            <w:tcW w:w="1823" w:type="pct"/>
            <w:tcBorders>
              <w:top w:val="nil"/>
              <w:bottom w:val="nil"/>
            </w:tcBorders>
          </w:tcPr>
          <w:p w14:paraId="458A9875" w14:textId="77777777" w:rsidR="00742247" w:rsidRDefault="00742247" w:rsidP="0050091A">
            <w:pPr>
              <w:pStyle w:val="Tabletext1"/>
              <w:keepNext/>
            </w:pPr>
            <w:r>
              <w:t xml:space="preserve">1 year </w:t>
            </w:r>
          </w:p>
        </w:tc>
        <w:tc>
          <w:tcPr>
            <w:tcW w:w="689" w:type="pct"/>
            <w:tcBorders>
              <w:top w:val="nil"/>
              <w:bottom w:val="nil"/>
            </w:tcBorders>
          </w:tcPr>
          <w:p w14:paraId="7107A5E1" w14:textId="77777777" w:rsidR="00742247" w:rsidRDefault="00742247" w:rsidP="0050091A">
            <w:pPr>
              <w:pStyle w:val="Tabletext1"/>
              <w:keepNext/>
              <w:rPr>
                <w:rFonts w:cs="Arial"/>
              </w:rPr>
            </w:pPr>
            <w:r>
              <w:rPr>
                <w:rFonts w:cs="Arial"/>
              </w:rPr>
              <w:t>$23,709.62</w:t>
            </w:r>
          </w:p>
        </w:tc>
        <w:tc>
          <w:tcPr>
            <w:tcW w:w="2488" w:type="pct"/>
            <w:vMerge/>
          </w:tcPr>
          <w:p w14:paraId="4D739FB9" w14:textId="77777777" w:rsidR="00742247" w:rsidRDefault="00742247" w:rsidP="0050091A">
            <w:pPr>
              <w:pStyle w:val="Tabletext1"/>
              <w:keepNext/>
              <w:rPr>
                <w:rFonts w:cs="Arial"/>
              </w:rPr>
            </w:pPr>
          </w:p>
        </w:tc>
      </w:tr>
      <w:tr w:rsidR="00742247" w:rsidRPr="007F4891" w14:paraId="3D2C32A0" w14:textId="77777777" w:rsidTr="002768CD">
        <w:tc>
          <w:tcPr>
            <w:tcW w:w="1823" w:type="pct"/>
            <w:tcBorders>
              <w:top w:val="nil"/>
              <w:bottom w:val="single" w:sz="4" w:space="0" w:color="auto"/>
            </w:tcBorders>
          </w:tcPr>
          <w:p w14:paraId="4E583E8B" w14:textId="77777777" w:rsidR="00742247" w:rsidRDefault="00742247" w:rsidP="0050091A">
            <w:pPr>
              <w:pStyle w:val="Tabletext1"/>
              <w:keepNext/>
            </w:pPr>
            <w:r>
              <w:t>After year 1</w:t>
            </w:r>
          </w:p>
        </w:tc>
        <w:tc>
          <w:tcPr>
            <w:tcW w:w="689" w:type="pct"/>
            <w:tcBorders>
              <w:top w:val="nil"/>
              <w:bottom w:val="single" w:sz="4" w:space="0" w:color="auto"/>
            </w:tcBorders>
          </w:tcPr>
          <w:p w14:paraId="2A64475E" w14:textId="77777777" w:rsidR="00742247" w:rsidRDefault="00742247" w:rsidP="0050091A">
            <w:pPr>
              <w:pStyle w:val="Tabletext1"/>
              <w:keepNext/>
              <w:rPr>
                <w:rFonts w:cs="Arial"/>
              </w:rPr>
            </w:pPr>
            <w:r>
              <w:rPr>
                <w:rFonts w:cs="Arial"/>
              </w:rPr>
              <w:t>$6,428.65</w:t>
            </w:r>
          </w:p>
        </w:tc>
        <w:tc>
          <w:tcPr>
            <w:tcW w:w="2488" w:type="pct"/>
            <w:vMerge/>
            <w:tcBorders>
              <w:bottom w:val="single" w:sz="4" w:space="0" w:color="auto"/>
            </w:tcBorders>
          </w:tcPr>
          <w:p w14:paraId="6412B810" w14:textId="77777777" w:rsidR="00742247" w:rsidRDefault="00742247" w:rsidP="0050091A">
            <w:pPr>
              <w:pStyle w:val="Tabletext1"/>
              <w:keepNext/>
              <w:rPr>
                <w:rFonts w:cs="Arial"/>
              </w:rPr>
            </w:pPr>
          </w:p>
        </w:tc>
      </w:tr>
      <w:tr w:rsidR="00742247" w:rsidRPr="007F4891" w14:paraId="1166ABE1" w14:textId="77777777" w:rsidTr="002768CD">
        <w:tc>
          <w:tcPr>
            <w:tcW w:w="1823" w:type="pct"/>
            <w:tcBorders>
              <w:top w:val="single" w:sz="4" w:space="0" w:color="auto"/>
              <w:bottom w:val="single" w:sz="4" w:space="0" w:color="auto"/>
            </w:tcBorders>
          </w:tcPr>
          <w:p w14:paraId="639F04C8" w14:textId="77777777" w:rsidR="00742247" w:rsidRPr="006E0E39" w:rsidRDefault="00742247" w:rsidP="0050091A">
            <w:pPr>
              <w:pStyle w:val="Tabletext1"/>
              <w:keepNext/>
            </w:pPr>
            <w:r>
              <w:t>Delayed diagnosis</w:t>
            </w:r>
          </w:p>
        </w:tc>
        <w:tc>
          <w:tcPr>
            <w:tcW w:w="689" w:type="pct"/>
            <w:tcBorders>
              <w:top w:val="single" w:sz="4" w:space="0" w:color="auto"/>
              <w:bottom w:val="single" w:sz="4" w:space="0" w:color="auto"/>
              <w:right w:val="single" w:sz="4" w:space="0" w:color="auto"/>
            </w:tcBorders>
          </w:tcPr>
          <w:p w14:paraId="668752A2" w14:textId="77777777" w:rsidR="00742247" w:rsidRDefault="00742247" w:rsidP="0050091A">
            <w:pPr>
              <w:pStyle w:val="Tabletext1"/>
              <w:keepNext/>
              <w:rPr>
                <w:rFonts w:cs="Arial"/>
              </w:rPr>
            </w:pPr>
            <w:r>
              <w:rPr>
                <w:rFonts w:cs="Arial"/>
              </w:rPr>
              <w:t>$696.01</w:t>
            </w:r>
          </w:p>
        </w:tc>
        <w:tc>
          <w:tcPr>
            <w:tcW w:w="2488" w:type="pct"/>
            <w:tcBorders>
              <w:top w:val="single" w:sz="4" w:space="0" w:color="auto"/>
              <w:left w:val="single" w:sz="4" w:space="0" w:color="auto"/>
              <w:bottom w:val="single" w:sz="4" w:space="0" w:color="auto"/>
              <w:right w:val="single" w:sz="4" w:space="0" w:color="auto"/>
            </w:tcBorders>
          </w:tcPr>
          <w:p w14:paraId="7079F2DB" w14:textId="77777777" w:rsidR="00742247" w:rsidRDefault="00742247" w:rsidP="0050091A">
            <w:pPr>
              <w:pStyle w:val="Tabletext1"/>
              <w:keepNext/>
              <w:rPr>
                <w:rFonts w:cs="Arial"/>
              </w:rPr>
            </w:pPr>
            <w:r>
              <w:rPr>
                <w:rFonts w:cs="Arial"/>
              </w:rPr>
              <w:t xml:space="preserve">Cost of TRUSGB/TPUSGB and PSA test. </w:t>
            </w:r>
          </w:p>
        </w:tc>
      </w:tr>
      <w:tr w:rsidR="00742247" w:rsidRPr="007F4891" w14:paraId="52B903F2" w14:textId="77777777" w:rsidTr="002768CD">
        <w:tc>
          <w:tcPr>
            <w:tcW w:w="1823" w:type="pct"/>
            <w:tcBorders>
              <w:top w:val="single" w:sz="4" w:space="0" w:color="auto"/>
              <w:bottom w:val="single" w:sz="4" w:space="0" w:color="auto"/>
            </w:tcBorders>
          </w:tcPr>
          <w:p w14:paraId="2ADC9501" w14:textId="77777777" w:rsidR="00742247" w:rsidRDefault="00742247" w:rsidP="0050091A">
            <w:pPr>
              <w:pStyle w:val="Tabletext1"/>
              <w:keepNext/>
            </w:pPr>
            <w:r>
              <w:t>Cost of false positive</w:t>
            </w:r>
          </w:p>
        </w:tc>
        <w:tc>
          <w:tcPr>
            <w:tcW w:w="689" w:type="pct"/>
            <w:tcBorders>
              <w:top w:val="single" w:sz="4" w:space="0" w:color="auto"/>
              <w:bottom w:val="single" w:sz="4" w:space="0" w:color="auto"/>
              <w:right w:val="single" w:sz="4" w:space="0" w:color="auto"/>
            </w:tcBorders>
          </w:tcPr>
          <w:p w14:paraId="6B4D1F07" w14:textId="77777777" w:rsidR="00742247" w:rsidRDefault="00742247" w:rsidP="0050091A">
            <w:pPr>
              <w:pStyle w:val="Tabletext1"/>
              <w:keepNext/>
              <w:rPr>
                <w:rFonts w:cs="Arial"/>
              </w:rPr>
            </w:pPr>
            <w:r>
              <w:rPr>
                <w:rFonts w:cs="Arial"/>
              </w:rPr>
              <w:t>AS</w:t>
            </w:r>
          </w:p>
        </w:tc>
        <w:tc>
          <w:tcPr>
            <w:tcW w:w="2488" w:type="pct"/>
            <w:tcBorders>
              <w:top w:val="single" w:sz="4" w:space="0" w:color="auto"/>
              <w:left w:val="single" w:sz="4" w:space="0" w:color="auto"/>
              <w:bottom w:val="single" w:sz="4" w:space="0" w:color="auto"/>
              <w:right w:val="single" w:sz="4" w:space="0" w:color="auto"/>
            </w:tcBorders>
          </w:tcPr>
          <w:p w14:paraId="08AC3D51" w14:textId="6AE23961" w:rsidR="00742247" w:rsidRDefault="00742247" w:rsidP="0050091A">
            <w:pPr>
              <w:pStyle w:val="Tabletext1"/>
              <w:keepNext/>
              <w:rPr>
                <w:rFonts w:cs="Arial"/>
              </w:rPr>
            </w:pPr>
            <w:r>
              <w:rPr>
                <w:rFonts w:cs="Arial"/>
              </w:rPr>
              <w:t xml:space="preserve">Assumption, cost of </w:t>
            </w:r>
            <w:r w:rsidR="00AB1EEA">
              <w:rPr>
                <w:rFonts w:cs="Arial"/>
              </w:rPr>
              <w:t>AS</w:t>
            </w:r>
            <w:r>
              <w:rPr>
                <w:rFonts w:cs="Arial"/>
              </w:rPr>
              <w:t xml:space="preserve"> after the first year</w:t>
            </w:r>
            <w:r w:rsidR="00AB1EEA">
              <w:rPr>
                <w:rFonts w:cs="Arial"/>
              </w:rPr>
              <w:t>.</w:t>
            </w:r>
          </w:p>
        </w:tc>
      </w:tr>
      <w:tr w:rsidR="00742247" w:rsidRPr="007F4891" w14:paraId="16A09937" w14:textId="77777777" w:rsidTr="002768CD">
        <w:tc>
          <w:tcPr>
            <w:tcW w:w="1823" w:type="pct"/>
            <w:tcBorders>
              <w:top w:val="single" w:sz="4" w:space="0" w:color="auto"/>
              <w:bottom w:val="single" w:sz="4" w:space="0" w:color="auto"/>
            </w:tcBorders>
          </w:tcPr>
          <w:p w14:paraId="1ED94B9C" w14:textId="77777777" w:rsidR="00742247" w:rsidRDefault="00742247" w:rsidP="0050091A">
            <w:pPr>
              <w:pStyle w:val="Tabletext1"/>
              <w:keepNext/>
            </w:pPr>
            <w:r>
              <w:t>AE due to mpMRI</w:t>
            </w:r>
          </w:p>
        </w:tc>
        <w:tc>
          <w:tcPr>
            <w:tcW w:w="689" w:type="pct"/>
            <w:tcBorders>
              <w:top w:val="single" w:sz="4" w:space="0" w:color="auto"/>
              <w:bottom w:val="single" w:sz="4" w:space="0" w:color="auto"/>
              <w:right w:val="single" w:sz="4" w:space="0" w:color="auto"/>
            </w:tcBorders>
          </w:tcPr>
          <w:p w14:paraId="11365A58" w14:textId="77777777" w:rsidR="00742247" w:rsidRDefault="00742247" w:rsidP="0050091A">
            <w:pPr>
              <w:pStyle w:val="Tabletext1"/>
              <w:keepNext/>
              <w:rPr>
                <w:rFonts w:cs="Arial"/>
              </w:rPr>
            </w:pPr>
            <w:r>
              <w:rPr>
                <w:rFonts w:cs="Arial"/>
              </w:rPr>
              <w:t>$0</w:t>
            </w:r>
          </w:p>
        </w:tc>
        <w:tc>
          <w:tcPr>
            <w:tcW w:w="2488" w:type="pct"/>
            <w:tcBorders>
              <w:top w:val="single" w:sz="4" w:space="0" w:color="auto"/>
              <w:left w:val="single" w:sz="4" w:space="0" w:color="auto"/>
              <w:bottom w:val="single" w:sz="4" w:space="0" w:color="auto"/>
              <w:right w:val="single" w:sz="4" w:space="0" w:color="auto"/>
            </w:tcBorders>
          </w:tcPr>
          <w:p w14:paraId="6D349E0F" w14:textId="03C01B9A" w:rsidR="00742247" w:rsidRDefault="00742247" w:rsidP="0050091A">
            <w:pPr>
              <w:pStyle w:val="Tabletext1"/>
              <w:keepNext/>
              <w:rPr>
                <w:rFonts w:cs="Arial"/>
              </w:rPr>
            </w:pPr>
            <w:r>
              <w:rPr>
                <w:rFonts w:cs="Arial"/>
              </w:rPr>
              <w:t>Assumption, no AEs</w:t>
            </w:r>
            <w:r w:rsidR="00AB1EEA">
              <w:rPr>
                <w:rFonts w:cs="Arial"/>
              </w:rPr>
              <w:t>.</w:t>
            </w:r>
          </w:p>
        </w:tc>
      </w:tr>
      <w:tr w:rsidR="00742247" w:rsidRPr="007F4891" w14:paraId="238265FD" w14:textId="77777777" w:rsidTr="002768CD">
        <w:tc>
          <w:tcPr>
            <w:tcW w:w="1823" w:type="pct"/>
            <w:tcBorders>
              <w:top w:val="single" w:sz="4" w:space="0" w:color="auto"/>
              <w:bottom w:val="single" w:sz="4" w:space="0" w:color="auto"/>
            </w:tcBorders>
          </w:tcPr>
          <w:p w14:paraId="2A229EE2" w14:textId="77777777" w:rsidR="00742247" w:rsidRDefault="00742247" w:rsidP="0050091A">
            <w:pPr>
              <w:pStyle w:val="Tabletext1"/>
              <w:keepNext/>
            </w:pPr>
            <w:r>
              <w:t>AE due to TRUSGB</w:t>
            </w:r>
          </w:p>
        </w:tc>
        <w:tc>
          <w:tcPr>
            <w:tcW w:w="689" w:type="pct"/>
            <w:tcBorders>
              <w:top w:val="single" w:sz="4" w:space="0" w:color="auto"/>
              <w:bottom w:val="single" w:sz="4" w:space="0" w:color="auto"/>
            </w:tcBorders>
          </w:tcPr>
          <w:p w14:paraId="0D361E05" w14:textId="77777777" w:rsidR="00742247" w:rsidRDefault="00742247" w:rsidP="0050091A">
            <w:pPr>
              <w:pStyle w:val="Tabletext1"/>
              <w:keepNext/>
              <w:rPr>
                <w:rFonts w:cs="Arial"/>
              </w:rPr>
            </w:pPr>
            <w:r>
              <w:rPr>
                <w:rFonts w:cs="Arial"/>
              </w:rPr>
              <w:t>$54.32</w:t>
            </w:r>
          </w:p>
        </w:tc>
        <w:tc>
          <w:tcPr>
            <w:tcW w:w="2488" w:type="pct"/>
            <w:tcBorders>
              <w:top w:val="nil"/>
              <w:bottom w:val="single" w:sz="4" w:space="0" w:color="auto"/>
            </w:tcBorders>
          </w:tcPr>
          <w:p w14:paraId="702A5817" w14:textId="77777777" w:rsidR="00742247" w:rsidRDefault="00742247" w:rsidP="0050091A">
            <w:pPr>
              <w:pStyle w:val="Tabletext1"/>
              <w:keepNext/>
              <w:rPr>
                <w:rFonts w:cs="Arial"/>
              </w:rPr>
            </w:pPr>
            <w:r w:rsidRPr="0060683E">
              <w:rPr>
                <w:rFonts w:cs="Arial"/>
              </w:rPr>
              <w:t>NHCDC 2013-14, Round 18</w:t>
            </w:r>
            <w:r>
              <w:rPr>
                <w:rFonts w:cs="Arial"/>
              </w:rPr>
              <w:t xml:space="preserve"> AR-DRG T61B, total average cost ($4,527) x rate of sepsis (1.2%) [$4,527*0.012]</w:t>
            </w:r>
          </w:p>
        </w:tc>
      </w:tr>
      <w:tr w:rsidR="00742247" w:rsidRPr="007F4891" w14:paraId="03B984F0" w14:textId="77777777" w:rsidTr="002768CD">
        <w:tc>
          <w:tcPr>
            <w:tcW w:w="1823" w:type="pct"/>
            <w:tcBorders>
              <w:top w:val="single" w:sz="4" w:space="0" w:color="auto"/>
              <w:bottom w:val="single" w:sz="4" w:space="0" w:color="auto"/>
            </w:tcBorders>
          </w:tcPr>
          <w:p w14:paraId="5C8F6982" w14:textId="77777777" w:rsidR="00742247" w:rsidRDefault="00742247" w:rsidP="0050091A">
            <w:pPr>
              <w:pStyle w:val="Tabletext1"/>
              <w:keepNext/>
            </w:pPr>
            <w:r>
              <w:t>PSA test</w:t>
            </w:r>
          </w:p>
        </w:tc>
        <w:tc>
          <w:tcPr>
            <w:tcW w:w="689" w:type="pct"/>
            <w:tcBorders>
              <w:top w:val="single" w:sz="4" w:space="0" w:color="auto"/>
              <w:bottom w:val="single" w:sz="4" w:space="0" w:color="auto"/>
            </w:tcBorders>
          </w:tcPr>
          <w:p w14:paraId="04CF8ED3" w14:textId="77777777" w:rsidR="00742247" w:rsidRDefault="00742247" w:rsidP="0050091A">
            <w:pPr>
              <w:pStyle w:val="Tabletext1"/>
              <w:keepNext/>
              <w:rPr>
                <w:rFonts w:cs="Arial"/>
              </w:rPr>
            </w:pPr>
            <w:r>
              <w:rPr>
                <w:rFonts w:cs="Arial"/>
              </w:rPr>
              <w:t>$31.75</w:t>
            </w:r>
          </w:p>
        </w:tc>
        <w:tc>
          <w:tcPr>
            <w:tcW w:w="2488" w:type="pct"/>
            <w:tcBorders>
              <w:top w:val="single" w:sz="4" w:space="0" w:color="auto"/>
            </w:tcBorders>
          </w:tcPr>
          <w:p w14:paraId="29A6EC07" w14:textId="77777777" w:rsidR="00742247" w:rsidRPr="0060683E" w:rsidRDefault="00742247" w:rsidP="0050091A">
            <w:pPr>
              <w:pStyle w:val="Tabletext1"/>
              <w:keepNext/>
              <w:rPr>
                <w:rFonts w:cs="Arial"/>
              </w:rPr>
            </w:pPr>
            <w:r>
              <w:rPr>
                <w:rFonts w:cs="Arial"/>
              </w:rPr>
              <w:t xml:space="preserve">MBS item 66659/66660: 85%: </w:t>
            </w:r>
            <w:r w:rsidRPr="001A549C">
              <w:rPr>
                <w:rFonts w:cs="Arial"/>
              </w:rPr>
              <w:t>$31.75</w:t>
            </w:r>
          </w:p>
        </w:tc>
      </w:tr>
    </w:tbl>
    <w:p w14:paraId="7F2DAE18" w14:textId="28FAD863" w:rsidR="00742247" w:rsidRPr="00D31656" w:rsidRDefault="00742247" w:rsidP="00875081">
      <w:pPr>
        <w:pStyle w:val="TableNotes"/>
      </w:pPr>
      <w:r w:rsidRPr="007E7D2E">
        <w:t>ADT</w:t>
      </w:r>
      <w:r w:rsidR="00875081">
        <w:t xml:space="preserve"> =</w:t>
      </w:r>
      <w:r w:rsidRPr="007E7D2E">
        <w:t xml:space="preserve"> androgen depriation therapy</w:t>
      </w:r>
      <w:r w:rsidR="00875081">
        <w:t>,</w:t>
      </w:r>
      <w:r w:rsidRPr="007E7D2E">
        <w:t xml:space="preserve"> AE</w:t>
      </w:r>
      <w:r w:rsidR="00875081">
        <w:t xml:space="preserve"> =</w:t>
      </w:r>
      <w:r w:rsidRPr="007E7D2E">
        <w:t xml:space="preserve"> adverse event</w:t>
      </w:r>
      <w:r w:rsidR="00875081">
        <w:t xml:space="preserve">, </w:t>
      </w:r>
      <w:r w:rsidRPr="007E7D2E">
        <w:t>AR-DRG</w:t>
      </w:r>
      <w:r w:rsidR="00875081">
        <w:t xml:space="preserve"> =</w:t>
      </w:r>
      <w:r w:rsidRPr="007E7D2E">
        <w:t xml:space="preserve"> Australian Refined Diagnostic Related Groups</w:t>
      </w:r>
      <w:r w:rsidR="00875081">
        <w:t>,</w:t>
      </w:r>
      <w:r w:rsidRPr="007E7D2E">
        <w:t xml:space="preserve"> AS</w:t>
      </w:r>
      <w:r w:rsidR="00875081">
        <w:t xml:space="preserve"> =</w:t>
      </w:r>
      <w:r w:rsidRPr="007E7D2E">
        <w:t xml:space="preserve"> active surveillance</w:t>
      </w:r>
      <w:r w:rsidR="00875081">
        <w:t>,</w:t>
      </w:r>
      <w:r w:rsidRPr="007E7D2E">
        <w:t xml:space="preserve"> CPI</w:t>
      </w:r>
      <w:r w:rsidR="00875081">
        <w:t xml:space="preserve"> =</w:t>
      </w:r>
      <w:r w:rsidRPr="007E7D2E">
        <w:t xml:space="preserve"> consumer price index</w:t>
      </w:r>
      <w:r w:rsidR="00875081">
        <w:t>,</w:t>
      </w:r>
      <w:r w:rsidRPr="007E7D2E">
        <w:t xml:space="preserve"> DPMQ</w:t>
      </w:r>
      <w:r w:rsidR="00875081">
        <w:t xml:space="preserve"> =</w:t>
      </w:r>
      <w:r w:rsidRPr="007E7D2E">
        <w:t xml:space="preserve"> dispensed price for maximum quantity</w:t>
      </w:r>
      <w:r w:rsidR="00875081">
        <w:t>,</w:t>
      </w:r>
      <w:r w:rsidRPr="007E7D2E">
        <w:t xml:space="preserve"> MBS</w:t>
      </w:r>
      <w:r w:rsidR="00875081">
        <w:t xml:space="preserve"> =</w:t>
      </w:r>
      <w:r w:rsidRPr="007E7D2E">
        <w:t xml:space="preserve"> Medicare Benefits Schedule</w:t>
      </w:r>
      <w:r w:rsidR="00875081">
        <w:t>,</w:t>
      </w:r>
      <w:r w:rsidRPr="007E7D2E">
        <w:t xml:space="preserve"> mpMRI</w:t>
      </w:r>
      <w:r w:rsidR="00875081">
        <w:t xml:space="preserve"> =</w:t>
      </w:r>
      <w:r w:rsidRPr="007E7D2E">
        <w:t xml:space="preserve"> multiparametric MRI</w:t>
      </w:r>
      <w:r w:rsidR="00875081">
        <w:t>,</w:t>
      </w:r>
      <w:r w:rsidRPr="007E7D2E">
        <w:t xml:space="preserve"> NHCDC</w:t>
      </w:r>
      <w:r w:rsidR="00875081">
        <w:t xml:space="preserve"> =</w:t>
      </w:r>
      <w:r w:rsidRPr="007E7D2E">
        <w:t xml:space="preserve"> National Hospital Cost Data Collection</w:t>
      </w:r>
      <w:r w:rsidR="00875081">
        <w:t>,</w:t>
      </w:r>
      <w:r w:rsidRPr="007E7D2E">
        <w:t xml:space="preserve"> PCa</w:t>
      </w:r>
      <w:r w:rsidR="00875081">
        <w:t xml:space="preserve"> =</w:t>
      </w:r>
      <w:r w:rsidRPr="007E7D2E">
        <w:t xml:space="preserve"> prostate cancer</w:t>
      </w:r>
      <w:r w:rsidR="00875081">
        <w:t>,</w:t>
      </w:r>
      <w:r w:rsidRPr="007E7D2E">
        <w:t xml:space="preserve"> PSA</w:t>
      </w:r>
      <w:r w:rsidR="00875081">
        <w:t xml:space="preserve"> =</w:t>
      </w:r>
      <w:r w:rsidRPr="007E7D2E">
        <w:t xml:space="preserve"> prostate specific antigen</w:t>
      </w:r>
      <w:r w:rsidR="00875081">
        <w:t>,</w:t>
      </w:r>
      <w:r w:rsidRPr="007E7D2E">
        <w:t xml:space="preserve"> TPUSGB</w:t>
      </w:r>
      <w:r w:rsidR="00875081">
        <w:t xml:space="preserve"> =</w:t>
      </w:r>
      <w:r w:rsidRPr="007E7D2E">
        <w:t xml:space="preserve"> trans</w:t>
      </w:r>
      <w:r w:rsidR="00875081">
        <w:t>-</w:t>
      </w:r>
      <w:r w:rsidRPr="007E7D2E">
        <w:t>perineal ultrasound guided biopsy</w:t>
      </w:r>
      <w:r w:rsidR="00875081">
        <w:t>,</w:t>
      </w:r>
      <w:r w:rsidRPr="007E7D2E">
        <w:t xml:space="preserve"> TRUSGB</w:t>
      </w:r>
      <w:r w:rsidR="00875081">
        <w:t xml:space="preserve"> =</w:t>
      </w:r>
      <w:r w:rsidRPr="007E7D2E">
        <w:t xml:space="preserve"> trans</w:t>
      </w:r>
      <w:r w:rsidR="00875081">
        <w:t>-</w:t>
      </w:r>
      <w:r w:rsidRPr="007E7D2E">
        <w:t>rectal ultrasound guided biopsy</w:t>
      </w:r>
      <w:r w:rsidR="00875081">
        <w:t xml:space="preserve">, CA = contracted assessment, NEP = </w:t>
      </w:r>
      <w:r w:rsidR="003B2A31" w:rsidRPr="003B2A31">
        <w:t>National Efficient Price</w:t>
      </w:r>
      <w:r w:rsidRPr="007E7D2E">
        <w:t>.</w:t>
      </w:r>
      <w:r>
        <w:t xml:space="preserve"> </w:t>
      </w:r>
    </w:p>
    <w:p w14:paraId="167CD6CB" w14:textId="77777777" w:rsidR="00742247" w:rsidRDefault="00742247" w:rsidP="00742247">
      <w:pPr>
        <w:pStyle w:val="Heading3"/>
      </w:pPr>
      <w:bookmarkStart w:id="624" w:name="_Toc455916068"/>
      <w:bookmarkStart w:id="625" w:name="_Toc457383625"/>
      <w:bookmarkStart w:id="626" w:name="_Toc459987873"/>
      <w:bookmarkStart w:id="627" w:name="_Toc460513993"/>
      <w:r>
        <w:lastRenderedPageBreak/>
        <w:t>Utilities</w:t>
      </w:r>
      <w:bookmarkEnd w:id="624"/>
      <w:bookmarkEnd w:id="625"/>
      <w:bookmarkEnd w:id="626"/>
      <w:bookmarkEnd w:id="627"/>
    </w:p>
    <w:p w14:paraId="4E48D7D4" w14:textId="7725299A" w:rsidR="00742247" w:rsidRDefault="00742247" w:rsidP="00742247">
      <w:r w:rsidRPr="00BE2106">
        <w:t xml:space="preserve">Health state utility data used in the economic evaluation to estimate </w:t>
      </w:r>
      <w:r w:rsidR="00F679ED">
        <w:t>QALYs</w:t>
      </w:r>
      <w:r w:rsidRPr="00BE2106">
        <w:t xml:space="preserve"> are discussed in S</w:t>
      </w:r>
      <w:r w:rsidR="0050091A">
        <w:t>ubs</w:t>
      </w:r>
      <w:r w:rsidRPr="00BE2106">
        <w:t xml:space="preserve">ection C.4 and presented in </w:t>
      </w:r>
      <w:r w:rsidRPr="00BE2106">
        <w:fldChar w:fldCharType="begin"/>
      </w:r>
      <w:r w:rsidRPr="00BE2106">
        <w:instrText xml:space="preserve"> REF _Ref456541940 \h </w:instrText>
      </w:r>
      <w:r>
        <w:instrText xml:space="preserve"> \* MERGEFORMAT </w:instrText>
      </w:r>
      <w:r w:rsidRPr="00BE2106">
        <w:fldChar w:fldCharType="separate"/>
      </w:r>
      <w:r w:rsidR="0029649D">
        <w:t xml:space="preserve">Table </w:t>
      </w:r>
      <w:r w:rsidR="0029649D">
        <w:rPr>
          <w:noProof/>
        </w:rPr>
        <w:t>60</w:t>
      </w:r>
      <w:r w:rsidRPr="00BE2106">
        <w:fldChar w:fldCharType="end"/>
      </w:r>
      <w:r w:rsidRPr="00BE2106">
        <w:t>.</w:t>
      </w:r>
      <w:r>
        <w:t xml:space="preserve"> </w:t>
      </w:r>
    </w:p>
    <w:p w14:paraId="5B8CAEB0" w14:textId="77777777" w:rsidR="00742247" w:rsidRDefault="00742247" w:rsidP="00742247">
      <w:pPr>
        <w:pStyle w:val="Caption"/>
      </w:pPr>
      <w:bookmarkStart w:id="628" w:name="_Ref456541940"/>
      <w:bookmarkStart w:id="629" w:name="_Toc457383681"/>
      <w:bookmarkStart w:id="630" w:name="_Toc459987920"/>
      <w:bookmarkStart w:id="631" w:name="_Toc460514560"/>
      <w:r>
        <w:t xml:space="preserve">Table </w:t>
      </w:r>
      <w:fldSimple w:instr=" SEQ Table \* ARABIC ">
        <w:r w:rsidR="0029649D">
          <w:rPr>
            <w:noProof/>
          </w:rPr>
          <w:t>60</w:t>
        </w:r>
      </w:fldSimple>
      <w:bookmarkEnd w:id="628"/>
      <w:r>
        <w:rPr>
          <w:noProof/>
        </w:rPr>
        <w:tab/>
      </w:r>
      <w:r>
        <w:t>Utility values used in the economic model</w:t>
      </w:r>
      <w:bookmarkEnd w:id="629"/>
      <w:bookmarkEnd w:id="630"/>
      <w:bookmarkEnd w:id="631"/>
    </w:p>
    <w:tbl>
      <w:tblPr>
        <w:tblStyle w:val="TableGrid"/>
        <w:tblW w:w="9112" w:type="dxa"/>
        <w:tblInd w:w="130" w:type="dxa"/>
        <w:tblCellMar>
          <w:left w:w="28" w:type="dxa"/>
          <w:right w:w="28" w:type="dxa"/>
        </w:tblCellMar>
        <w:tblLook w:val="04A0" w:firstRow="1" w:lastRow="0" w:firstColumn="1" w:lastColumn="0" w:noHBand="0" w:noVBand="1"/>
        <w:tblDescription w:val="Utility values used in the economic model"/>
      </w:tblPr>
      <w:tblGrid>
        <w:gridCol w:w="4020"/>
        <w:gridCol w:w="2936"/>
        <w:gridCol w:w="2156"/>
      </w:tblGrid>
      <w:tr w:rsidR="00742247" w:rsidRPr="00D276F1" w14:paraId="5241CD82" w14:textId="77777777" w:rsidTr="00D276F1">
        <w:trPr>
          <w:trHeight w:val="397"/>
          <w:tblHeader/>
        </w:trPr>
        <w:tc>
          <w:tcPr>
            <w:tcW w:w="2206" w:type="pct"/>
          </w:tcPr>
          <w:p w14:paraId="3F168B80" w14:textId="77777777" w:rsidR="00742247" w:rsidRPr="00D276F1" w:rsidRDefault="00742247" w:rsidP="0050091A">
            <w:pPr>
              <w:pStyle w:val="Tableheading1"/>
            </w:pPr>
            <w:r w:rsidRPr="00D276F1">
              <w:t>Health state</w:t>
            </w:r>
          </w:p>
        </w:tc>
        <w:tc>
          <w:tcPr>
            <w:tcW w:w="1611" w:type="pct"/>
          </w:tcPr>
          <w:p w14:paraId="5EF2871D" w14:textId="77777777" w:rsidR="00742247" w:rsidRPr="00D276F1" w:rsidRDefault="00742247" w:rsidP="0050091A">
            <w:pPr>
              <w:pStyle w:val="Tableheading1"/>
            </w:pPr>
            <w:r w:rsidRPr="00D276F1">
              <w:t>Utility value, mean (SD) [95%CI]</w:t>
            </w:r>
          </w:p>
        </w:tc>
        <w:tc>
          <w:tcPr>
            <w:tcW w:w="1184" w:type="pct"/>
          </w:tcPr>
          <w:p w14:paraId="193646AB" w14:textId="77777777" w:rsidR="00742247" w:rsidRPr="00D276F1" w:rsidRDefault="00742247" w:rsidP="0050091A">
            <w:pPr>
              <w:pStyle w:val="Tableheading1"/>
            </w:pPr>
            <w:r w:rsidRPr="00D276F1">
              <w:t>Source</w:t>
            </w:r>
          </w:p>
        </w:tc>
      </w:tr>
      <w:tr w:rsidR="00742247" w14:paraId="326DAF48" w14:textId="77777777" w:rsidTr="00D276F1">
        <w:trPr>
          <w:trHeight w:val="397"/>
        </w:trPr>
        <w:tc>
          <w:tcPr>
            <w:tcW w:w="2206" w:type="pct"/>
            <w:tcBorders>
              <w:top w:val="nil"/>
              <w:bottom w:val="single" w:sz="4" w:space="0" w:color="auto"/>
            </w:tcBorders>
          </w:tcPr>
          <w:p w14:paraId="4175E7B1" w14:textId="5CCF1D6C" w:rsidR="00742247" w:rsidRPr="00991209" w:rsidRDefault="00742247" w:rsidP="0050091A">
            <w:pPr>
              <w:pStyle w:val="Tabletext1"/>
            </w:pPr>
            <w:r w:rsidRPr="00991209">
              <w:t xml:space="preserve">General Australian population of males aged </w:t>
            </w:r>
            <w:r w:rsidR="001B5FFE">
              <w:t>61</w:t>
            </w:r>
            <w:r>
              <w:t>–70y</w:t>
            </w:r>
          </w:p>
        </w:tc>
        <w:tc>
          <w:tcPr>
            <w:tcW w:w="1611" w:type="pct"/>
            <w:tcBorders>
              <w:top w:val="nil"/>
              <w:bottom w:val="single" w:sz="4" w:space="0" w:color="auto"/>
            </w:tcBorders>
          </w:tcPr>
          <w:p w14:paraId="6346479E" w14:textId="77777777" w:rsidR="00742247" w:rsidRDefault="00742247" w:rsidP="0050091A">
            <w:pPr>
              <w:pStyle w:val="Tabletext1"/>
            </w:pPr>
            <w:r w:rsidRPr="00EE6B70">
              <w:t xml:space="preserve">0.82 </w:t>
            </w:r>
            <w:r>
              <w:t xml:space="preserve">(NR) </w:t>
            </w:r>
            <w:r w:rsidRPr="00EE6B70">
              <w:t>(0.80–0.84)</w:t>
            </w:r>
          </w:p>
        </w:tc>
        <w:tc>
          <w:tcPr>
            <w:tcW w:w="1184" w:type="pct"/>
            <w:tcBorders>
              <w:top w:val="nil"/>
              <w:bottom w:val="single" w:sz="4" w:space="0" w:color="auto"/>
            </w:tcBorders>
          </w:tcPr>
          <w:p w14:paraId="1A365BD5" w14:textId="2EE469F9" w:rsidR="00742247" w:rsidRPr="00991209" w:rsidRDefault="00742247" w:rsidP="0050091A">
            <w:pPr>
              <w:pStyle w:val="Tabletext1"/>
            </w:pPr>
            <w:r>
              <w:t xml:space="preserve">Clemens </w:t>
            </w:r>
            <w:r w:rsidR="001B5FFE">
              <w:t>et al. (</w:t>
            </w:r>
            <w:r>
              <w:t>2014</w:t>
            </w:r>
            <w:r w:rsidR="001B5FFE">
              <w:t>)</w:t>
            </w:r>
          </w:p>
        </w:tc>
      </w:tr>
      <w:tr w:rsidR="00742247" w14:paraId="1BA25781" w14:textId="77777777" w:rsidTr="00D276F1">
        <w:trPr>
          <w:trHeight w:val="397"/>
        </w:trPr>
        <w:tc>
          <w:tcPr>
            <w:tcW w:w="2206" w:type="pct"/>
            <w:tcBorders>
              <w:top w:val="single" w:sz="4" w:space="0" w:color="auto"/>
              <w:bottom w:val="nil"/>
            </w:tcBorders>
          </w:tcPr>
          <w:p w14:paraId="34EA19C6" w14:textId="5F3C0D85" w:rsidR="00742247" w:rsidRPr="00991209" w:rsidRDefault="00742247" w:rsidP="0050091A">
            <w:pPr>
              <w:pStyle w:val="Tabletext1"/>
            </w:pPr>
            <w:r w:rsidRPr="00991209">
              <w:t xml:space="preserve">low/intermediate </w:t>
            </w:r>
            <w:r>
              <w:t xml:space="preserve">risk PCa on </w:t>
            </w:r>
            <w:r w:rsidR="00AB1EEA">
              <w:t>AS</w:t>
            </w:r>
          </w:p>
        </w:tc>
        <w:tc>
          <w:tcPr>
            <w:tcW w:w="1611" w:type="pct"/>
            <w:tcBorders>
              <w:top w:val="single" w:sz="4" w:space="0" w:color="auto"/>
              <w:bottom w:val="nil"/>
            </w:tcBorders>
          </w:tcPr>
          <w:p w14:paraId="13EB98C0" w14:textId="77777777" w:rsidR="00742247" w:rsidRDefault="00742247" w:rsidP="0050091A">
            <w:pPr>
              <w:pStyle w:val="Tabletext1"/>
            </w:pPr>
            <w:r w:rsidRPr="00600A39">
              <w:rPr>
                <w:i/>
              </w:rPr>
              <w:t>0.796</w:t>
            </w:r>
          </w:p>
        </w:tc>
        <w:tc>
          <w:tcPr>
            <w:tcW w:w="1184" w:type="pct"/>
            <w:tcBorders>
              <w:top w:val="single" w:sz="4" w:space="0" w:color="auto"/>
              <w:bottom w:val="nil"/>
            </w:tcBorders>
          </w:tcPr>
          <w:p w14:paraId="504FACBB" w14:textId="615C92EC" w:rsidR="00742247" w:rsidRPr="00EE5620" w:rsidRDefault="00742247" w:rsidP="0050091A">
            <w:pPr>
              <w:pStyle w:val="Tabletext1"/>
              <w:rPr>
                <w:i/>
              </w:rPr>
            </w:pPr>
            <w:r>
              <w:t xml:space="preserve">Stewart </w:t>
            </w:r>
            <w:r w:rsidR="001B5FFE">
              <w:t>et al. (</w:t>
            </w:r>
            <w:r>
              <w:t>2005</w:t>
            </w:r>
            <w:r w:rsidR="001B5FFE">
              <w:t>)</w:t>
            </w:r>
          </w:p>
        </w:tc>
      </w:tr>
      <w:tr w:rsidR="00742247" w14:paraId="74BDF150" w14:textId="77777777" w:rsidTr="00D276F1">
        <w:trPr>
          <w:trHeight w:val="397"/>
        </w:trPr>
        <w:tc>
          <w:tcPr>
            <w:tcW w:w="2206" w:type="pct"/>
            <w:tcBorders>
              <w:top w:val="single" w:sz="4" w:space="0" w:color="auto"/>
              <w:bottom w:val="nil"/>
            </w:tcBorders>
          </w:tcPr>
          <w:p w14:paraId="3E03B3F9" w14:textId="77777777" w:rsidR="00742247" w:rsidRPr="00991209" w:rsidRDefault="00742247" w:rsidP="0050091A">
            <w:pPr>
              <w:pStyle w:val="Tabletext1"/>
            </w:pPr>
            <w:r w:rsidRPr="00991209">
              <w:t xml:space="preserve">high/intermediate risk PCa receiving active treatment/follow-up; </w:t>
            </w:r>
          </w:p>
        </w:tc>
        <w:tc>
          <w:tcPr>
            <w:tcW w:w="1611" w:type="pct"/>
            <w:tcBorders>
              <w:top w:val="single" w:sz="4" w:space="0" w:color="auto"/>
              <w:bottom w:val="nil"/>
            </w:tcBorders>
          </w:tcPr>
          <w:p w14:paraId="2F1C3591" w14:textId="77777777" w:rsidR="00742247" w:rsidRDefault="00742247" w:rsidP="0050091A">
            <w:pPr>
              <w:pStyle w:val="Tabletext1"/>
            </w:pPr>
            <w:r w:rsidRPr="00AA7E4E">
              <w:rPr>
                <w:i/>
              </w:rPr>
              <w:t>0.789</w:t>
            </w:r>
          </w:p>
        </w:tc>
        <w:tc>
          <w:tcPr>
            <w:tcW w:w="1184" w:type="pct"/>
            <w:tcBorders>
              <w:top w:val="single" w:sz="4" w:space="0" w:color="auto"/>
              <w:bottom w:val="nil"/>
            </w:tcBorders>
          </w:tcPr>
          <w:p w14:paraId="683FDAE8" w14:textId="5C5D69A8" w:rsidR="00742247" w:rsidRPr="00991209" w:rsidRDefault="00742247" w:rsidP="0050091A">
            <w:pPr>
              <w:pStyle w:val="Tabletext1"/>
            </w:pPr>
            <w:r>
              <w:t xml:space="preserve">Stewart </w:t>
            </w:r>
            <w:r w:rsidR="001B5FFE">
              <w:t>et al. (</w:t>
            </w:r>
            <w:r>
              <w:t>2005</w:t>
            </w:r>
            <w:r w:rsidR="001B5FFE">
              <w:t>)</w:t>
            </w:r>
          </w:p>
        </w:tc>
      </w:tr>
      <w:tr w:rsidR="00742247" w14:paraId="3002CB5D" w14:textId="77777777" w:rsidTr="00D276F1">
        <w:trPr>
          <w:trHeight w:val="397"/>
        </w:trPr>
        <w:tc>
          <w:tcPr>
            <w:tcW w:w="2206" w:type="pct"/>
            <w:tcBorders>
              <w:top w:val="single" w:sz="4" w:space="0" w:color="auto"/>
              <w:bottom w:val="nil"/>
            </w:tcBorders>
          </w:tcPr>
          <w:p w14:paraId="35DF6DA5" w14:textId="77777777" w:rsidR="00742247" w:rsidRPr="000D1156" w:rsidRDefault="00742247" w:rsidP="0050091A">
            <w:pPr>
              <w:pStyle w:val="Tabletext1"/>
            </w:pPr>
            <w:r>
              <w:t>advanced PCa</w:t>
            </w:r>
          </w:p>
        </w:tc>
        <w:tc>
          <w:tcPr>
            <w:tcW w:w="1611" w:type="pct"/>
            <w:tcBorders>
              <w:top w:val="single" w:sz="4" w:space="0" w:color="auto"/>
              <w:bottom w:val="nil"/>
            </w:tcBorders>
          </w:tcPr>
          <w:p w14:paraId="577E15DA" w14:textId="77777777" w:rsidR="00742247" w:rsidRPr="000D1156" w:rsidRDefault="00742247" w:rsidP="0050091A">
            <w:pPr>
              <w:pStyle w:val="Tabletext1"/>
            </w:pPr>
            <w:r>
              <w:t>0.67</w:t>
            </w:r>
          </w:p>
        </w:tc>
        <w:tc>
          <w:tcPr>
            <w:tcW w:w="1184" w:type="pct"/>
            <w:tcBorders>
              <w:top w:val="single" w:sz="4" w:space="0" w:color="auto"/>
              <w:bottom w:val="nil"/>
            </w:tcBorders>
          </w:tcPr>
          <w:p w14:paraId="1B192DE8" w14:textId="73A16EEF" w:rsidR="00742247" w:rsidRDefault="00742247" w:rsidP="0050091A">
            <w:pPr>
              <w:pStyle w:val="Tabletext1"/>
            </w:pPr>
            <w:r>
              <w:t xml:space="preserve">Stewart </w:t>
            </w:r>
            <w:r w:rsidR="001B5FFE">
              <w:t>et al. (</w:t>
            </w:r>
            <w:r>
              <w:t>2005</w:t>
            </w:r>
            <w:r w:rsidR="001B5FFE">
              <w:t>)</w:t>
            </w:r>
          </w:p>
        </w:tc>
      </w:tr>
      <w:tr w:rsidR="00742247" w14:paraId="40A51862" w14:textId="77777777" w:rsidTr="00D276F1">
        <w:trPr>
          <w:trHeight w:val="397"/>
        </w:trPr>
        <w:tc>
          <w:tcPr>
            <w:tcW w:w="2206" w:type="pct"/>
            <w:tcBorders>
              <w:top w:val="single" w:sz="4" w:space="0" w:color="auto"/>
              <w:bottom w:val="nil"/>
            </w:tcBorders>
          </w:tcPr>
          <w:p w14:paraId="76407D75" w14:textId="77777777" w:rsidR="00742247" w:rsidRDefault="00742247" w:rsidP="0050091A">
            <w:pPr>
              <w:pStyle w:val="Tabletext1"/>
            </w:pPr>
            <w:r>
              <w:t>Disutility of biopsy (one-off)</w:t>
            </w:r>
          </w:p>
        </w:tc>
        <w:tc>
          <w:tcPr>
            <w:tcW w:w="1611" w:type="pct"/>
            <w:tcBorders>
              <w:top w:val="single" w:sz="4" w:space="0" w:color="auto"/>
              <w:bottom w:val="nil"/>
            </w:tcBorders>
          </w:tcPr>
          <w:p w14:paraId="2319E712" w14:textId="77777777" w:rsidR="00742247" w:rsidRDefault="00742247" w:rsidP="0050091A">
            <w:pPr>
              <w:pStyle w:val="Tabletext1"/>
            </w:pPr>
            <w:r>
              <w:t>0.035</w:t>
            </w:r>
          </w:p>
        </w:tc>
        <w:tc>
          <w:tcPr>
            <w:tcW w:w="1184" w:type="pct"/>
            <w:tcBorders>
              <w:top w:val="single" w:sz="4" w:space="0" w:color="auto"/>
              <w:bottom w:val="nil"/>
            </w:tcBorders>
          </w:tcPr>
          <w:p w14:paraId="33C250DE" w14:textId="43BCB530" w:rsidR="00742247" w:rsidRDefault="00742247" w:rsidP="0050091A">
            <w:pPr>
              <w:pStyle w:val="Tabletext1"/>
            </w:pPr>
            <w:r>
              <w:t xml:space="preserve">Zhang </w:t>
            </w:r>
            <w:r w:rsidR="001B5FFE">
              <w:t>et al. (</w:t>
            </w:r>
            <w:r>
              <w:t>2012</w:t>
            </w:r>
            <w:r w:rsidR="001B5FFE">
              <w:t>)</w:t>
            </w:r>
          </w:p>
        </w:tc>
      </w:tr>
      <w:tr w:rsidR="00742247" w14:paraId="7FAB5FE4" w14:textId="77777777" w:rsidTr="00D276F1">
        <w:trPr>
          <w:trHeight w:val="397"/>
        </w:trPr>
        <w:tc>
          <w:tcPr>
            <w:tcW w:w="2206" w:type="pct"/>
            <w:tcBorders>
              <w:top w:val="single" w:sz="4" w:space="0" w:color="auto"/>
              <w:bottom w:val="nil"/>
            </w:tcBorders>
          </w:tcPr>
          <w:p w14:paraId="18A5493C" w14:textId="3DF15AEC" w:rsidR="00742247" w:rsidRPr="00991209" w:rsidRDefault="00742247" w:rsidP="0050091A">
            <w:pPr>
              <w:pStyle w:val="Tabletext1"/>
            </w:pPr>
            <w:r>
              <w:t>Disutility due to AEs</w:t>
            </w:r>
            <w:r w:rsidR="00941C1B">
              <w:t>:</w:t>
            </w:r>
          </w:p>
        </w:tc>
        <w:tc>
          <w:tcPr>
            <w:tcW w:w="1611" w:type="pct"/>
            <w:tcBorders>
              <w:top w:val="single" w:sz="4" w:space="0" w:color="auto"/>
              <w:bottom w:val="nil"/>
            </w:tcBorders>
          </w:tcPr>
          <w:p w14:paraId="17F75047" w14:textId="77777777" w:rsidR="00742247" w:rsidRDefault="00742247" w:rsidP="0050091A">
            <w:pPr>
              <w:pStyle w:val="Tabletext1"/>
            </w:pPr>
          </w:p>
        </w:tc>
        <w:tc>
          <w:tcPr>
            <w:tcW w:w="1184" w:type="pct"/>
            <w:tcBorders>
              <w:top w:val="single" w:sz="4" w:space="0" w:color="auto"/>
              <w:bottom w:val="nil"/>
            </w:tcBorders>
          </w:tcPr>
          <w:p w14:paraId="05CF603B" w14:textId="77777777" w:rsidR="00742247" w:rsidRPr="00991209" w:rsidRDefault="00742247" w:rsidP="0050091A">
            <w:pPr>
              <w:pStyle w:val="Tabletext1"/>
            </w:pPr>
          </w:p>
        </w:tc>
      </w:tr>
      <w:tr w:rsidR="00742247" w14:paraId="1CD7F471" w14:textId="77777777" w:rsidTr="00D276F1">
        <w:trPr>
          <w:trHeight w:val="397"/>
        </w:trPr>
        <w:tc>
          <w:tcPr>
            <w:tcW w:w="2206" w:type="pct"/>
            <w:tcBorders>
              <w:top w:val="nil"/>
              <w:bottom w:val="nil"/>
            </w:tcBorders>
          </w:tcPr>
          <w:p w14:paraId="6C8AB153" w14:textId="1C3E1884" w:rsidR="00742247" w:rsidRDefault="00941C1B" w:rsidP="0050091A">
            <w:pPr>
              <w:pStyle w:val="Tabletext1"/>
            </w:pPr>
            <w:r>
              <w:t>A</w:t>
            </w:r>
            <w:r w:rsidR="00742247">
              <w:t xml:space="preserve">cute sepsis </w:t>
            </w:r>
          </w:p>
        </w:tc>
        <w:tc>
          <w:tcPr>
            <w:tcW w:w="1611" w:type="pct"/>
            <w:tcBorders>
              <w:top w:val="nil"/>
              <w:bottom w:val="nil"/>
            </w:tcBorders>
          </w:tcPr>
          <w:p w14:paraId="1FC1B4F7" w14:textId="77777777" w:rsidR="00742247" w:rsidRDefault="00742247" w:rsidP="0050091A">
            <w:pPr>
              <w:pStyle w:val="Tabletext1"/>
            </w:pPr>
            <w:r>
              <w:t>-</w:t>
            </w:r>
            <w:r w:rsidRPr="00C311A7">
              <w:t>0.</w:t>
            </w:r>
            <w:r>
              <w:t>43 (assumed duration 1 month)</w:t>
            </w:r>
          </w:p>
        </w:tc>
        <w:tc>
          <w:tcPr>
            <w:tcW w:w="1184" w:type="pct"/>
            <w:tcBorders>
              <w:top w:val="nil"/>
              <w:bottom w:val="nil"/>
            </w:tcBorders>
          </w:tcPr>
          <w:p w14:paraId="65482C4A" w14:textId="771A2DF8" w:rsidR="00742247" w:rsidRDefault="00742247" w:rsidP="0050091A">
            <w:pPr>
              <w:pStyle w:val="Tabletext1"/>
            </w:pPr>
            <w:r>
              <w:t xml:space="preserve">Stevenson </w:t>
            </w:r>
            <w:r w:rsidR="001B5FFE">
              <w:t>et al. (</w:t>
            </w:r>
            <w:r>
              <w:t>2014</w:t>
            </w:r>
            <w:r w:rsidR="001B5FFE">
              <w:t>)</w:t>
            </w:r>
          </w:p>
        </w:tc>
      </w:tr>
      <w:tr w:rsidR="00742247" w14:paraId="0331A7D2" w14:textId="77777777" w:rsidTr="00D276F1">
        <w:trPr>
          <w:trHeight w:val="397"/>
        </w:trPr>
        <w:tc>
          <w:tcPr>
            <w:tcW w:w="2206" w:type="pct"/>
            <w:tcBorders>
              <w:top w:val="nil"/>
              <w:bottom w:val="nil"/>
            </w:tcBorders>
          </w:tcPr>
          <w:p w14:paraId="23C9598F" w14:textId="36C6FC10" w:rsidR="00742247" w:rsidRDefault="00941C1B" w:rsidP="0050091A">
            <w:pPr>
              <w:pStyle w:val="Tabletext1"/>
            </w:pPr>
            <w:r>
              <w:t>Erectile dysfunction (due to PCa treatment)</w:t>
            </w:r>
          </w:p>
        </w:tc>
        <w:tc>
          <w:tcPr>
            <w:tcW w:w="1611" w:type="pct"/>
            <w:tcBorders>
              <w:top w:val="nil"/>
              <w:bottom w:val="nil"/>
            </w:tcBorders>
          </w:tcPr>
          <w:p w14:paraId="7E7D99DD" w14:textId="77777777" w:rsidR="00742247" w:rsidRDefault="00742247" w:rsidP="0050091A">
            <w:pPr>
              <w:pStyle w:val="Tabletext1"/>
            </w:pPr>
            <w:r>
              <w:t>-</w:t>
            </w:r>
            <w:r w:rsidRPr="0004641E">
              <w:t xml:space="preserve">0.10 [0.05; 0.15] </w:t>
            </w:r>
            <w:r>
              <w:br/>
            </w:r>
            <w:r w:rsidRPr="0004641E">
              <w:t>(</w:t>
            </w:r>
            <w:r>
              <w:t>assumed duration 1</w:t>
            </w:r>
            <w:r w:rsidRPr="0004641E">
              <w:t xml:space="preserve"> year)</w:t>
            </w:r>
          </w:p>
        </w:tc>
        <w:tc>
          <w:tcPr>
            <w:tcW w:w="1184" w:type="pct"/>
            <w:tcBorders>
              <w:top w:val="nil"/>
              <w:bottom w:val="nil"/>
            </w:tcBorders>
          </w:tcPr>
          <w:p w14:paraId="3384A819" w14:textId="58D52676" w:rsidR="00742247" w:rsidRDefault="00742247" w:rsidP="0050091A">
            <w:pPr>
              <w:pStyle w:val="Tabletext1"/>
            </w:pPr>
            <w:r w:rsidRPr="00FA1C5B">
              <w:t xml:space="preserve">Cooperberg </w:t>
            </w:r>
            <w:r w:rsidR="001B5FFE">
              <w:t>et al. (</w:t>
            </w:r>
            <w:r w:rsidRPr="00FA1C5B">
              <w:t>2013</w:t>
            </w:r>
            <w:r w:rsidR="001B5FFE">
              <w:t>)</w:t>
            </w:r>
          </w:p>
        </w:tc>
      </w:tr>
      <w:tr w:rsidR="00742247" w14:paraId="4C57819D" w14:textId="77777777" w:rsidTr="00D276F1">
        <w:trPr>
          <w:trHeight w:val="397"/>
        </w:trPr>
        <w:tc>
          <w:tcPr>
            <w:tcW w:w="2206" w:type="pct"/>
            <w:tcBorders>
              <w:top w:val="nil"/>
              <w:bottom w:val="nil"/>
            </w:tcBorders>
          </w:tcPr>
          <w:p w14:paraId="22FFC383" w14:textId="1EE4B347" w:rsidR="00742247" w:rsidRDefault="00941C1B" w:rsidP="0050091A">
            <w:pPr>
              <w:pStyle w:val="Tabletext1"/>
            </w:pPr>
            <w:r>
              <w:t>Urinary incontinence (</w:t>
            </w:r>
            <w:r w:rsidR="00742247">
              <w:t>due to PCa treatment</w:t>
            </w:r>
            <w:r>
              <w:t>)</w:t>
            </w:r>
          </w:p>
        </w:tc>
        <w:tc>
          <w:tcPr>
            <w:tcW w:w="1611" w:type="pct"/>
            <w:tcBorders>
              <w:top w:val="nil"/>
              <w:bottom w:val="nil"/>
            </w:tcBorders>
          </w:tcPr>
          <w:p w14:paraId="48FC301D" w14:textId="77777777" w:rsidR="00742247" w:rsidRDefault="00742247" w:rsidP="0050091A">
            <w:pPr>
              <w:pStyle w:val="Tabletext1"/>
            </w:pPr>
            <w:r>
              <w:t>-</w:t>
            </w:r>
            <w:r w:rsidRPr="0004641E">
              <w:t xml:space="preserve">0.20 [0.1; 0.3] </w:t>
            </w:r>
            <w:r>
              <w:br/>
              <w:t>(assumed duration 1</w:t>
            </w:r>
            <w:r w:rsidRPr="0004641E">
              <w:t xml:space="preserve"> year)</w:t>
            </w:r>
          </w:p>
        </w:tc>
        <w:tc>
          <w:tcPr>
            <w:tcW w:w="1184" w:type="pct"/>
            <w:tcBorders>
              <w:top w:val="nil"/>
              <w:bottom w:val="nil"/>
            </w:tcBorders>
          </w:tcPr>
          <w:p w14:paraId="0DCEA9DF" w14:textId="74BB4535" w:rsidR="00742247" w:rsidRDefault="00742247" w:rsidP="0050091A">
            <w:pPr>
              <w:pStyle w:val="Tabletext1"/>
            </w:pPr>
            <w:r w:rsidRPr="00FA1C5B">
              <w:t xml:space="preserve">Cooperberg </w:t>
            </w:r>
            <w:r w:rsidR="001B5FFE">
              <w:t>et al. (</w:t>
            </w:r>
            <w:r w:rsidRPr="00FA1C5B">
              <w:t>2013</w:t>
            </w:r>
            <w:r w:rsidR="001B5FFE">
              <w:t>)</w:t>
            </w:r>
          </w:p>
        </w:tc>
      </w:tr>
      <w:tr w:rsidR="00742247" w14:paraId="6A18EA85" w14:textId="77777777" w:rsidTr="00D276F1">
        <w:trPr>
          <w:trHeight w:val="397"/>
        </w:trPr>
        <w:tc>
          <w:tcPr>
            <w:tcW w:w="2206" w:type="pct"/>
            <w:tcBorders>
              <w:top w:val="nil"/>
              <w:bottom w:val="single" w:sz="4" w:space="0" w:color="auto"/>
            </w:tcBorders>
          </w:tcPr>
          <w:p w14:paraId="54144750" w14:textId="77777777" w:rsidR="00742247" w:rsidRDefault="00742247" w:rsidP="0050091A">
            <w:pPr>
              <w:pStyle w:val="Tabletext1"/>
            </w:pPr>
            <w:r w:rsidRPr="00193C1E">
              <w:t>Both erectile dysfunction and urinary incontinence</w:t>
            </w:r>
          </w:p>
        </w:tc>
        <w:tc>
          <w:tcPr>
            <w:tcW w:w="1611" w:type="pct"/>
            <w:tcBorders>
              <w:top w:val="nil"/>
              <w:bottom w:val="single" w:sz="4" w:space="0" w:color="auto"/>
            </w:tcBorders>
          </w:tcPr>
          <w:p w14:paraId="2900BBC1" w14:textId="77777777" w:rsidR="00742247" w:rsidRPr="0004641E" w:rsidRDefault="00742247" w:rsidP="0050091A">
            <w:pPr>
              <w:pStyle w:val="Tabletext1"/>
            </w:pPr>
            <w:r>
              <w:t>-</w:t>
            </w:r>
            <w:r w:rsidRPr="00193C1E">
              <w:t>0.25 [0.125; 0.375]</w:t>
            </w:r>
            <w:r>
              <w:t xml:space="preserve"> </w:t>
            </w:r>
            <w:r>
              <w:br/>
            </w:r>
            <w:r w:rsidRPr="0004641E">
              <w:t>(</w:t>
            </w:r>
            <w:r>
              <w:t>assumed duration 1</w:t>
            </w:r>
            <w:r w:rsidRPr="0004641E">
              <w:t xml:space="preserve"> year)</w:t>
            </w:r>
          </w:p>
        </w:tc>
        <w:tc>
          <w:tcPr>
            <w:tcW w:w="1184" w:type="pct"/>
            <w:tcBorders>
              <w:top w:val="nil"/>
              <w:bottom w:val="single" w:sz="4" w:space="0" w:color="auto"/>
            </w:tcBorders>
          </w:tcPr>
          <w:p w14:paraId="1C2F9FFA" w14:textId="6E9D1527" w:rsidR="00742247" w:rsidRPr="00FA1C5B" w:rsidRDefault="00742247" w:rsidP="0050091A">
            <w:pPr>
              <w:pStyle w:val="Tabletext1"/>
            </w:pPr>
            <w:r w:rsidRPr="00FA1C5B">
              <w:t xml:space="preserve">Cooperberg </w:t>
            </w:r>
            <w:r w:rsidR="001B5FFE">
              <w:t>et al. (</w:t>
            </w:r>
            <w:r w:rsidRPr="00FA1C5B">
              <w:t>2013</w:t>
            </w:r>
            <w:r w:rsidR="001B5FFE">
              <w:t>)</w:t>
            </w:r>
          </w:p>
        </w:tc>
      </w:tr>
    </w:tbl>
    <w:p w14:paraId="58E9F311" w14:textId="243F3820" w:rsidR="00742247" w:rsidRPr="00853C06" w:rsidRDefault="00742247" w:rsidP="00DC025B">
      <w:pPr>
        <w:pStyle w:val="TableNotes"/>
      </w:pPr>
      <w:r w:rsidRPr="0071787E">
        <w:t>AE</w:t>
      </w:r>
      <w:r w:rsidR="001B5FFE">
        <w:t xml:space="preserve"> =</w:t>
      </w:r>
      <w:r w:rsidRPr="0071787E">
        <w:t xml:space="preserve"> adverse event</w:t>
      </w:r>
      <w:r w:rsidR="001B5FFE">
        <w:t>,</w:t>
      </w:r>
      <w:r w:rsidRPr="0071787E">
        <w:t xml:space="preserve"> NR</w:t>
      </w:r>
      <w:r w:rsidR="001B5FFE">
        <w:t xml:space="preserve"> =</w:t>
      </w:r>
      <w:r w:rsidRPr="0071787E">
        <w:t xml:space="preserve"> not</w:t>
      </w:r>
      <w:r>
        <w:t xml:space="preserve"> reported</w:t>
      </w:r>
      <w:r w:rsidR="001B5FFE">
        <w:t>,</w:t>
      </w:r>
      <w:r>
        <w:t xml:space="preserve"> PCa</w:t>
      </w:r>
      <w:r w:rsidR="001B5FFE">
        <w:t xml:space="preserve"> =</w:t>
      </w:r>
      <w:r>
        <w:t xml:space="preserve"> prostate cancer</w:t>
      </w:r>
      <w:r w:rsidR="001B5FFE">
        <w:t>,</w:t>
      </w:r>
      <w:r>
        <w:t xml:space="preserve"> SD</w:t>
      </w:r>
      <w:r w:rsidR="001B5FFE">
        <w:t xml:space="preserve"> =</w:t>
      </w:r>
      <w:r>
        <w:t xml:space="preserve"> standard deviation</w:t>
      </w:r>
      <w:r w:rsidR="001B5FFE">
        <w:t>, CI = confidence interval</w:t>
      </w:r>
      <w:r w:rsidR="00AB1EEA">
        <w:t>, AS = active surveillance.</w:t>
      </w:r>
      <w:r>
        <w:t xml:space="preserve"> </w:t>
      </w:r>
    </w:p>
    <w:p w14:paraId="221EAB98" w14:textId="77777777" w:rsidR="00742247" w:rsidRDefault="00742247" w:rsidP="00742247">
      <w:pPr>
        <w:pStyle w:val="Heading2"/>
        <w:numPr>
          <w:ilvl w:val="3"/>
          <w:numId w:val="8"/>
        </w:numPr>
        <w:jc w:val="left"/>
      </w:pPr>
      <w:bookmarkStart w:id="632" w:name="_Toc381796480"/>
      <w:bookmarkStart w:id="633" w:name="_Toc455916069"/>
      <w:bookmarkStart w:id="634" w:name="_Toc457383626"/>
      <w:bookmarkStart w:id="635" w:name="_Toc459987874"/>
      <w:bookmarkStart w:id="636" w:name="_Toc460513994"/>
      <w:r>
        <w:t>Results of</w:t>
      </w:r>
      <w:r w:rsidRPr="00183E4D">
        <w:t xml:space="preserve"> the </w:t>
      </w:r>
      <w:r>
        <w:t>economic e</w:t>
      </w:r>
      <w:r w:rsidRPr="00183E4D">
        <w:t>valuation</w:t>
      </w:r>
      <w:bookmarkEnd w:id="632"/>
      <w:bookmarkEnd w:id="633"/>
      <w:bookmarkEnd w:id="634"/>
      <w:bookmarkEnd w:id="635"/>
      <w:bookmarkEnd w:id="636"/>
    </w:p>
    <w:p w14:paraId="0DA9A696" w14:textId="776C21BD" w:rsidR="00742247" w:rsidRPr="00183E4D" w:rsidRDefault="00941C1B" w:rsidP="00742247">
      <w:pPr>
        <w:pStyle w:val="Heading3"/>
      </w:pPr>
      <w:bookmarkStart w:id="637" w:name="_Toc457383627"/>
      <w:bookmarkStart w:id="638" w:name="_Toc459987875"/>
      <w:bookmarkStart w:id="639" w:name="_Toc460513995"/>
      <w:r>
        <w:t>Base-</w:t>
      </w:r>
      <w:r w:rsidR="00742247">
        <w:t>case</w:t>
      </w:r>
      <w:bookmarkEnd w:id="637"/>
      <w:bookmarkEnd w:id="638"/>
      <w:bookmarkEnd w:id="639"/>
    </w:p>
    <w:p w14:paraId="40687D18" w14:textId="1E9B76D1" w:rsidR="00742247" w:rsidRDefault="00742247" w:rsidP="00742247">
      <w:bookmarkStart w:id="640" w:name="_Ref378943976"/>
      <w:r>
        <w:t xml:space="preserve">The mpMRI can either be introduced in Population 1, or in Population 2, or in both. For each of these options, </w:t>
      </w:r>
      <w:r>
        <w:fldChar w:fldCharType="begin"/>
      </w:r>
      <w:r>
        <w:instrText xml:space="preserve"> REF _Ref457217793 \h </w:instrText>
      </w:r>
      <w:r>
        <w:fldChar w:fldCharType="separate"/>
      </w:r>
      <w:r w:rsidR="0029649D" w:rsidRPr="00015DDB">
        <w:t xml:space="preserve">Table </w:t>
      </w:r>
      <w:r w:rsidR="0029649D">
        <w:rPr>
          <w:noProof/>
        </w:rPr>
        <w:t>61</w:t>
      </w:r>
      <w:r>
        <w:fldChar w:fldCharType="end"/>
      </w:r>
      <w:r>
        <w:t xml:space="preserve"> provides t</w:t>
      </w:r>
      <w:r w:rsidRPr="00183E4D">
        <w:t>he overall costs</w:t>
      </w:r>
      <w:r>
        <w:t>,</w:t>
      </w:r>
      <w:r w:rsidRPr="00183E4D">
        <w:t xml:space="preserve"> outcomes, incremental cost</w:t>
      </w:r>
      <w:r>
        <w:t>s and incremental outcomes</w:t>
      </w:r>
      <w:r w:rsidRPr="00183E4D">
        <w:t xml:space="preserve"> </w:t>
      </w:r>
      <w:r w:rsidR="00941C1B">
        <w:t xml:space="preserve">for </w:t>
      </w:r>
      <w:r>
        <w:t>mpMRI</w:t>
      </w:r>
      <w:r w:rsidRPr="00183E4D">
        <w:t xml:space="preserve"> </w:t>
      </w:r>
      <w:r w:rsidR="00941C1B">
        <w:t xml:space="preserve">and </w:t>
      </w:r>
      <w:r>
        <w:t>prostate biopsy</w:t>
      </w:r>
      <w:r w:rsidRPr="00183E4D">
        <w:t xml:space="preserve"> </w:t>
      </w:r>
      <w:r w:rsidR="00941C1B">
        <w:t xml:space="preserve">as per </w:t>
      </w:r>
      <w:r>
        <w:t>the</w:t>
      </w:r>
      <w:r w:rsidR="00941C1B">
        <w:t xml:space="preserve"> model</w:t>
      </w:r>
      <w:r w:rsidRPr="00183E4D">
        <w:t>.</w:t>
      </w:r>
      <w:r>
        <w:t xml:space="preserve"> The table also provides the mean number of biopsies per patient in the model, for each of the strategies. A comparison of the findings from Gordon et al</w:t>
      </w:r>
      <w:r w:rsidR="00941C1B">
        <w:t>.</w:t>
      </w:r>
      <w:r>
        <w:t xml:space="preserve"> (2016) and this assessment for Population 1 are also presented. </w:t>
      </w:r>
    </w:p>
    <w:p w14:paraId="0393C8D4" w14:textId="4D29E400" w:rsidR="00742247" w:rsidRDefault="00742247" w:rsidP="00742247">
      <w:r>
        <w:t xml:space="preserve">The results in </w:t>
      </w:r>
      <w:r>
        <w:fldChar w:fldCharType="begin"/>
      </w:r>
      <w:r>
        <w:instrText xml:space="preserve"> REF _Ref457217793 \h </w:instrText>
      </w:r>
      <w:r>
        <w:fldChar w:fldCharType="separate"/>
      </w:r>
      <w:r w:rsidR="0029649D" w:rsidRPr="00015DDB">
        <w:t xml:space="preserve">Table </w:t>
      </w:r>
      <w:r w:rsidR="0029649D">
        <w:rPr>
          <w:noProof/>
        </w:rPr>
        <w:t>61</w:t>
      </w:r>
      <w:r>
        <w:fldChar w:fldCharType="end"/>
      </w:r>
      <w:r>
        <w:t xml:space="preserve"> show that all strategies with mpMRI are more expensive than the strategies without mpMRI. The introduction of mpMRI in Population 1 slightly reduces the overall number of QALYs, while the introduction of mpMRI in Population 2 slightly increases the overall number of QALYs. Uncertainty around these estimates is further evaluated in section D.6. In Population 1, mpMRI is dominated (more costly, less effective) by the prostate biopsy. In Population 2, the incremental costs per QALY</w:t>
      </w:r>
      <w:r w:rsidR="00941C1B">
        <w:t>s</w:t>
      </w:r>
      <w:r>
        <w:t xml:space="preserve"> gained by </w:t>
      </w:r>
      <w:r w:rsidRPr="00977FE3">
        <w:t>using mpMRI is $12,821.</w:t>
      </w:r>
      <w:r>
        <w:t xml:space="preserve"> </w:t>
      </w:r>
    </w:p>
    <w:p w14:paraId="578C2EF4" w14:textId="0C3BD589" w:rsidR="00742247" w:rsidRPr="00503C5B" w:rsidRDefault="00742247" w:rsidP="00742247">
      <w:r>
        <w:lastRenderedPageBreak/>
        <w:t xml:space="preserve">For each of the strategies, mpMRI reduces the average number of biopsies needed per patient. This reduction is largest </w:t>
      </w:r>
      <w:r w:rsidR="00D632BE">
        <w:t>where</w:t>
      </w:r>
      <w:r>
        <w:t xml:space="preserve"> </w:t>
      </w:r>
      <w:r w:rsidRPr="00B75404">
        <w:t xml:space="preserve">mpMRI is introduced </w:t>
      </w:r>
      <w:r w:rsidR="00D632BE">
        <w:t>for</w:t>
      </w:r>
      <w:r w:rsidRPr="00B75404">
        <w:t xml:space="preserve"> both </w:t>
      </w:r>
      <w:r>
        <w:t>Population 1</w:t>
      </w:r>
      <w:r w:rsidRPr="00B75404">
        <w:t xml:space="preserve"> and 2, resulting in an average of 1.01 biopsies avoided per patient. The introduction of mpMRI results in a higher number of significant cancers diagnosed (613 versus 604 per 1,000 patients), while reducing the number of insignificant cancer</w:t>
      </w:r>
      <w:r>
        <w:t>s</w:t>
      </w:r>
      <w:r w:rsidRPr="00B75404">
        <w:t xml:space="preserve"> diagnosed (625 versus 654 per 1,000 patients) at initial </w:t>
      </w:r>
      <w:r>
        <w:t>PCa diagnosis.</w:t>
      </w:r>
    </w:p>
    <w:p w14:paraId="37F21A7C" w14:textId="31D5B57F" w:rsidR="00742247" w:rsidRPr="00183E4D" w:rsidRDefault="00742247" w:rsidP="00742247">
      <w:r>
        <w:t>The incremental effectiveness estimates of the mpMRI strategies in this assessment and as reported by Gordon et al</w:t>
      </w:r>
      <w:r w:rsidR="00D632BE">
        <w:t>.</w:t>
      </w:r>
      <w:r>
        <w:t xml:space="preserve"> (2016) are similar across Population 1. The incremental costs are slightly higher in this assessment compared with Gordon et al</w:t>
      </w:r>
      <w:r w:rsidR="00D632BE">
        <w:t>.</w:t>
      </w:r>
      <w:r>
        <w:t xml:space="preserve"> (2016) ($355 </w:t>
      </w:r>
      <w:r w:rsidR="006C03BC">
        <w:t>versus</w:t>
      </w:r>
      <w:r>
        <w:t xml:space="preserve"> $134). The mean numbers of biopsies avoided in Population 1 are similar. In both economic evaluations the mpMRI strategy is dominated by TRUSGB in Population 1.</w:t>
      </w:r>
    </w:p>
    <w:p w14:paraId="5DEEEAB3" w14:textId="77777777" w:rsidR="00742247" w:rsidRPr="00015DDB" w:rsidRDefault="00742247" w:rsidP="00742247">
      <w:pPr>
        <w:pStyle w:val="Caption"/>
      </w:pPr>
      <w:bookmarkStart w:id="641" w:name="_Ref457217793"/>
      <w:bookmarkStart w:id="642" w:name="_Toc381969877"/>
      <w:bookmarkStart w:id="643" w:name="_Toc432677302"/>
      <w:bookmarkStart w:id="644" w:name="_Toc457383682"/>
      <w:bookmarkStart w:id="645" w:name="_Toc459987921"/>
      <w:bookmarkStart w:id="646" w:name="_Toc460514561"/>
      <w:r w:rsidRPr="00015DDB">
        <w:t xml:space="preserve">Table </w:t>
      </w:r>
      <w:fldSimple w:instr=" SEQ Table \* ARABIC ">
        <w:r w:rsidR="0029649D">
          <w:rPr>
            <w:noProof/>
          </w:rPr>
          <w:t>61</w:t>
        </w:r>
      </w:fldSimple>
      <w:bookmarkEnd w:id="641"/>
      <w:r w:rsidRPr="00015DDB">
        <w:t xml:space="preserve"> </w:t>
      </w:r>
      <w:r w:rsidRPr="00015DDB">
        <w:tab/>
      </w:r>
      <w:bookmarkEnd w:id="642"/>
      <w:bookmarkEnd w:id="643"/>
      <w:r w:rsidRPr="00015DDB">
        <w:t>Results of the economic evaluation</w:t>
      </w:r>
      <w:bookmarkEnd w:id="644"/>
      <w:bookmarkEnd w:id="645"/>
      <w:bookmarkEnd w:id="646"/>
      <w:r w:rsidRPr="00015DDB">
        <w:t xml:space="preserve"> </w:t>
      </w:r>
    </w:p>
    <w:tbl>
      <w:tblPr>
        <w:tblStyle w:val="TableGrid2"/>
        <w:tblW w:w="9112" w:type="dxa"/>
        <w:tblInd w:w="130" w:type="dxa"/>
        <w:tblLayout w:type="fixed"/>
        <w:tblCellMar>
          <w:left w:w="28" w:type="dxa"/>
          <w:right w:w="28" w:type="dxa"/>
        </w:tblCellMar>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1243"/>
        <w:gridCol w:w="28"/>
        <w:gridCol w:w="2548"/>
        <w:gridCol w:w="1131"/>
        <w:gridCol w:w="1414"/>
        <w:gridCol w:w="1131"/>
        <w:gridCol w:w="1617"/>
      </w:tblGrid>
      <w:tr w:rsidR="00742247" w:rsidRPr="004768B3" w14:paraId="246CC2A6" w14:textId="77777777" w:rsidTr="004768B3">
        <w:trPr>
          <w:cnfStyle w:val="100000000000" w:firstRow="1" w:lastRow="0" w:firstColumn="0" w:lastColumn="0" w:oddVBand="0" w:evenVBand="0" w:oddHBand="0" w:evenHBand="0" w:firstRowFirstColumn="0" w:firstRowLastColumn="0" w:lastRowFirstColumn="0" w:lastRowLastColumn="0"/>
          <w:trHeight w:val="397"/>
          <w:tblHeader/>
        </w:trPr>
        <w:tc>
          <w:tcPr>
            <w:tcW w:w="3828" w:type="dxa"/>
            <w:gridSpan w:val="3"/>
            <w:tcBorders>
              <w:bottom w:val="single" w:sz="4" w:space="0" w:color="auto"/>
            </w:tcBorders>
          </w:tcPr>
          <w:p w14:paraId="31AEC532" w14:textId="77777777" w:rsidR="00742247" w:rsidRPr="004768B3" w:rsidRDefault="00742247" w:rsidP="0050091A">
            <w:pPr>
              <w:pStyle w:val="Tableheading1"/>
            </w:pPr>
          </w:p>
        </w:tc>
        <w:tc>
          <w:tcPr>
            <w:tcW w:w="1134" w:type="dxa"/>
            <w:tcBorders>
              <w:bottom w:val="single" w:sz="4" w:space="0" w:color="auto"/>
            </w:tcBorders>
            <w:vAlign w:val="center"/>
          </w:tcPr>
          <w:p w14:paraId="18CFE5C9" w14:textId="77777777" w:rsidR="00742247" w:rsidRPr="004768B3" w:rsidRDefault="00742247" w:rsidP="0050091A">
            <w:pPr>
              <w:pStyle w:val="Tableheading1"/>
            </w:pPr>
            <w:r w:rsidRPr="004768B3">
              <w:t>Cost</w:t>
            </w:r>
          </w:p>
        </w:tc>
        <w:tc>
          <w:tcPr>
            <w:tcW w:w="1417" w:type="dxa"/>
            <w:tcBorders>
              <w:bottom w:val="single" w:sz="4" w:space="0" w:color="auto"/>
            </w:tcBorders>
            <w:vAlign w:val="center"/>
          </w:tcPr>
          <w:p w14:paraId="7AAF0298" w14:textId="77777777" w:rsidR="00742247" w:rsidRPr="004768B3" w:rsidRDefault="00742247" w:rsidP="0050091A">
            <w:pPr>
              <w:pStyle w:val="Tableheading1"/>
            </w:pPr>
            <w:r w:rsidRPr="004768B3">
              <w:t>Effectiveness (QALYs)</w:t>
            </w:r>
          </w:p>
        </w:tc>
        <w:tc>
          <w:tcPr>
            <w:tcW w:w="1134" w:type="dxa"/>
            <w:tcBorders>
              <w:bottom w:val="single" w:sz="4" w:space="0" w:color="auto"/>
            </w:tcBorders>
            <w:vAlign w:val="center"/>
          </w:tcPr>
          <w:p w14:paraId="2703725D" w14:textId="77777777" w:rsidR="00742247" w:rsidRPr="004768B3" w:rsidRDefault="00742247" w:rsidP="0050091A">
            <w:pPr>
              <w:pStyle w:val="Tableheading1"/>
            </w:pPr>
            <w:r w:rsidRPr="004768B3">
              <w:t>ICER</w:t>
            </w:r>
          </w:p>
        </w:tc>
        <w:tc>
          <w:tcPr>
            <w:tcW w:w="1621" w:type="dxa"/>
            <w:tcBorders>
              <w:bottom w:val="single" w:sz="4" w:space="0" w:color="auto"/>
            </w:tcBorders>
            <w:vAlign w:val="center"/>
          </w:tcPr>
          <w:p w14:paraId="4A4717E7" w14:textId="77777777" w:rsidR="00742247" w:rsidRPr="004768B3" w:rsidRDefault="00742247" w:rsidP="0050091A">
            <w:pPr>
              <w:pStyle w:val="Tableheading1"/>
            </w:pPr>
            <w:r w:rsidRPr="004768B3">
              <w:t>Mean number of biopsies per patient</w:t>
            </w:r>
          </w:p>
        </w:tc>
      </w:tr>
      <w:tr w:rsidR="00742247" w:rsidRPr="004768B3" w14:paraId="327A52B4" w14:textId="77777777" w:rsidTr="004768B3">
        <w:trPr>
          <w:trHeight w:val="397"/>
        </w:trPr>
        <w:tc>
          <w:tcPr>
            <w:tcW w:w="9134" w:type="dxa"/>
            <w:gridSpan w:val="7"/>
          </w:tcPr>
          <w:p w14:paraId="7B7429F3" w14:textId="77777777" w:rsidR="00742247" w:rsidRPr="004768B3" w:rsidRDefault="00742247" w:rsidP="0050091A">
            <w:pPr>
              <w:pStyle w:val="Tabletext1"/>
            </w:pPr>
            <w:r w:rsidRPr="004768B3">
              <w:t>Population 1 only</w:t>
            </w:r>
          </w:p>
        </w:tc>
      </w:tr>
      <w:tr w:rsidR="00742247" w:rsidRPr="00420CC0" w14:paraId="4BEE0364" w14:textId="77777777" w:rsidTr="004768B3">
        <w:trPr>
          <w:trHeight w:val="397"/>
        </w:trPr>
        <w:tc>
          <w:tcPr>
            <w:tcW w:w="1246" w:type="dxa"/>
            <w:tcBorders>
              <w:right w:val="nil"/>
            </w:tcBorders>
          </w:tcPr>
          <w:p w14:paraId="19C38DCC" w14:textId="77777777" w:rsidR="00742247" w:rsidRPr="004768B3" w:rsidRDefault="00742247" w:rsidP="0050091A">
            <w:pPr>
              <w:pStyle w:val="Tabletext1"/>
            </w:pPr>
            <w:r w:rsidRPr="004768B3">
              <w:t>Intervention</w:t>
            </w:r>
          </w:p>
        </w:tc>
        <w:tc>
          <w:tcPr>
            <w:tcW w:w="2582" w:type="dxa"/>
            <w:gridSpan w:val="2"/>
            <w:tcBorders>
              <w:left w:val="nil"/>
            </w:tcBorders>
          </w:tcPr>
          <w:p w14:paraId="7E238CBE" w14:textId="77777777" w:rsidR="00742247" w:rsidRPr="00F12882" w:rsidRDefault="00742247" w:rsidP="0050091A">
            <w:pPr>
              <w:pStyle w:val="Tabletext1"/>
            </w:pPr>
            <w:r w:rsidRPr="00F12882">
              <w:t>mpMRI in Population 1, prostate biopsy in Population 2</w:t>
            </w:r>
          </w:p>
        </w:tc>
        <w:tc>
          <w:tcPr>
            <w:tcW w:w="1134" w:type="dxa"/>
            <w:vAlign w:val="center"/>
          </w:tcPr>
          <w:p w14:paraId="34DB59B9" w14:textId="77777777" w:rsidR="00742247" w:rsidRPr="00F12882" w:rsidRDefault="00742247" w:rsidP="0050091A">
            <w:pPr>
              <w:pStyle w:val="Tabletext1"/>
              <w:rPr>
                <w:snapToGrid w:val="0"/>
              </w:rPr>
            </w:pPr>
            <w:r w:rsidRPr="00F12882">
              <w:rPr>
                <w:snapToGrid w:val="0"/>
              </w:rPr>
              <w:t>$12,990</w:t>
            </w:r>
          </w:p>
        </w:tc>
        <w:tc>
          <w:tcPr>
            <w:tcW w:w="1417" w:type="dxa"/>
            <w:vAlign w:val="center"/>
          </w:tcPr>
          <w:p w14:paraId="5E0DDC0E" w14:textId="77777777" w:rsidR="00742247" w:rsidRPr="00F12882" w:rsidRDefault="00742247" w:rsidP="0050091A">
            <w:pPr>
              <w:pStyle w:val="Tabletext1"/>
              <w:rPr>
                <w:snapToGrid w:val="0"/>
              </w:rPr>
            </w:pPr>
            <w:r w:rsidRPr="00F12882">
              <w:rPr>
                <w:snapToGrid w:val="0"/>
              </w:rPr>
              <w:t>7.40</w:t>
            </w:r>
          </w:p>
        </w:tc>
        <w:tc>
          <w:tcPr>
            <w:tcW w:w="1134" w:type="dxa"/>
            <w:tcBorders>
              <w:bottom w:val="nil"/>
            </w:tcBorders>
            <w:vAlign w:val="center"/>
          </w:tcPr>
          <w:p w14:paraId="54BFFAB9" w14:textId="77777777" w:rsidR="00742247" w:rsidRPr="00F12882" w:rsidRDefault="00742247" w:rsidP="0050091A">
            <w:pPr>
              <w:pStyle w:val="Tabletext1"/>
              <w:rPr>
                <w:snapToGrid w:val="0"/>
              </w:rPr>
            </w:pPr>
          </w:p>
        </w:tc>
        <w:tc>
          <w:tcPr>
            <w:tcW w:w="1621" w:type="dxa"/>
            <w:vAlign w:val="center"/>
          </w:tcPr>
          <w:p w14:paraId="64026BCA" w14:textId="77777777" w:rsidR="00742247" w:rsidRPr="00F12882" w:rsidRDefault="00742247" w:rsidP="0050091A">
            <w:pPr>
              <w:pStyle w:val="Tabletext1"/>
              <w:rPr>
                <w:snapToGrid w:val="0"/>
              </w:rPr>
            </w:pPr>
            <w:r w:rsidRPr="00F12882">
              <w:rPr>
                <w:snapToGrid w:val="0"/>
              </w:rPr>
              <w:t>3.17</w:t>
            </w:r>
          </w:p>
        </w:tc>
      </w:tr>
      <w:tr w:rsidR="00742247" w:rsidRPr="00420CC0" w14:paraId="7EA33AC6" w14:textId="77777777" w:rsidTr="004768B3">
        <w:trPr>
          <w:trHeight w:val="397"/>
        </w:trPr>
        <w:tc>
          <w:tcPr>
            <w:tcW w:w="1246" w:type="dxa"/>
            <w:tcBorders>
              <w:right w:val="nil"/>
            </w:tcBorders>
          </w:tcPr>
          <w:p w14:paraId="0504F976" w14:textId="77777777" w:rsidR="00742247" w:rsidRPr="004768B3" w:rsidRDefault="00742247" w:rsidP="0050091A">
            <w:pPr>
              <w:pStyle w:val="Tabletext1"/>
            </w:pPr>
            <w:r w:rsidRPr="004768B3">
              <w:t>Comparator</w:t>
            </w:r>
          </w:p>
        </w:tc>
        <w:tc>
          <w:tcPr>
            <w:tcW w:w="2582" w:type="dxa"/>
            <w:gridSpan w:val="2"/>
            <w:tcBorders>
              <w:left w:val="nil"/>
            </w:tcBorders>
          </w:tcPr>
          <w:p w14:paraId="2AE2C716" w14:textId="77777777" w:rsidR="00742247" w:rsidRPr="00F12882" w:rsidRDefault="00742247" w:rsidP="0050091A">
            <w:pPr>
              <w:pStyle w:val="Tabletext1"/>
            </w:pPr>
            <w:r w:rsidRPr="00F12882">
              <w:t>Prostate biopsy in Population 1 and 2.</w:t>
            </w:r>
          </w:p>
        </w:tc>
        <w:tc>
          <w:tcPr>
            <w:tcW w:w="1134" w:type="dxa"/>
            <w:vAlign w:val="center"/>
          </w:tcPr>
          <w:p w14:paraId="58FC58B4" w14:textId="77777777" w:rsidR="00742247" w:rsidRPr="00F12882" w:rsidRDefault="00742247" w:rsidP="0050091A">
            <w:pPr>
              <w:pStyle w:val="Tabletext1"/>
              <w:rPr>
                <w:snapToGrid w:val="0"/>
              </w:rPr>
            </w:pPr>
            <w:r w:rsidRPr="00F12882">
              <w:rPr>
                <w:snapToGrid w:val="0"/>
              </w:rPr>
              <w:t>$12,635</w:t>
            </w:r>
          </w:p>
        </w:tc>
        <w:tc>
          <w:tcPr>
            <w:tcW w:w="1417" w:type="dxa"/>
            <w:vAlign w:val="center"/>
          </w:tcPr>
          <w:p w14:paraId="63E3D6B1" w14:textId="77777777" w:rsidR="00742247" w:rsidRPr="00F12882" w:rsidRDefault="00742247" w:rsidP="0050091A">
            <w:pPr>
              <w:pStyle w:val="Tabletext1"/>
              <w:rPr>
                <w:snapToGrid w:val="0"/>
              </w:rPr>
            </w:pPr>
            <w:r w:rsidRPr="00F12882">
              <w:rPr>
                <w:snapToGrid w:val="0"/>
              </w:rPr>
              <w:t>7.45</w:t>
            </w:r>
          </w:p>
        </w:tc>
        <w:tc>
          <w:tcPr>
            <w:tcW w:w="1134" w:type="dxa"/>
            <w:tcBorders>
              <w:top w:val="nil"/>
              <w:bottom w:val="nil"/>
            </w:tcBorders>
            <w:vAlign w:val="center"/>
          </w:tcPr>
          <w:p w14:paraId="36B03452" w14:textId="77777777" w:rsidR="00742247" w:rsidRPr="00F12882" w:rsidRDefault="00742247" w:rsidP="0050091A">
            <w:pPr>
              <w:pStyle w:val="Tabletext1"/>
              <w:rPr>
                <w:snapToGrid w:val="0"/>
              </w:rPr>
            </w:pPr>
          </w:p>
        </w:tc>
        <w:tc>
          <w:tcPr>
            <w:tcW w:w="1621" w:type="dxa"/>
            <w:vAlign w:val="center"/>
          </w:tcPr>
          <w:p w14:paraId="20D3F679" w14:textId="77777777" w:rsidR="00742247" w:rsidRPr="00F12882" w:rsidRDefault="00742247" w:rsidP="0050091A">
            <w:pPr>
              <w:pStyle w:val="Tabletext1"/>
              <w:rPr>
                <w:snapToGrid w:val="0"/>
              </w:rPr>
            </w:pPr>
            <w:r w:rsidRPr="00F12882">
              <w:rPr>
                <w:snapToGrid w:val="0"/>
              </w:rPr>
              <w:t>3.61</w:t>
            </w:r>
          </w:p>
        </w:tc>
      </w:tr>
      <w:tr w:rsidR="00742247" w:rsidRPr="00420CC0" w14:paraId="719C4584" w14:textId="77777777" w:rsidTr="004768B3">
        <w:trPr>
          <w:trHeight w:val="397"/>
        </w:trPr>
        <w:tc>
          <w:tcPr>
            <w:tcW w:w="3828" w:type="dxa"/>
            <w:gridSpan w:val="3"/>
          </w:tcPr>
          <w:p w14:paraId="5712AE52" w14:textId="77777777" w:rsidR="00742247" w:rsidRPr="004768B3" w:rsidRDefault="00742247" w:rsidP="0050091A">
            <w:pPr>
              <w:pStyle w:val="Tabletext1"/>
            </w:pPr>
            <w:r w:rsidRPr="004768B3">
              <w:t>Increment</w:t>
            </w:r>
          </w:p>
        </w:tc>
        <w:tc>
          <w:tcPr>
            <w:tcW w:w="1134" w:type="dxa"/>
            <w:vAlign w:val="center"/>
          </w:tcPr>
          <w:p w14:paraId="02B66B51" w14:textId="77777777" w:rsidR="00742247" w:rsidRPr="00F12882" w:rsidRDefault="00742247" w:rsidP="0050091A">
            <w:pPr>
              <w:pStyle w:val="Tabletext1"/>
              <w:rPr>
                <w:snapToGrid w:val="0"/>
              </w:rPr>
            </w:pPr>
            <w:r w:rsidRPr="00F12882">
              <w:rPr>
                <w:snapToGrid w:val="0"/>
              </w:rPr>
              <w:t>$355</w:t>
            </w:r>
          </w:p>
        </w:tc>
        <w:tc>
          <w:tcPr>
            <w:tcW w:w="1417" w:type="dxa"/>
            <w:vAlign w:val="center"/>
          </w:tcPr>
          <w:p w14:paraId="2B3FA8A4" w14:textId="77777777" w:rsidR="00742247" w:rsidRPr="00F12882" w:rsidRDefault="00742247" w:rsidP="0050091A">
            <w:pPr>
              <w:pStyle w:val="Tabletext1"/>
              <w:rPr>
                <w:snapToGrid w:val="0"/>
              </w:rPr>
            </w:pPr>
            <w:r w:rsidRPr="00F12882">
              <w:rPr>
                <w:snapToGrid w:val="0"/>
              </w:rPr>
              <w:t>-0.05</w:t>
            </w:r>
          </w:p>
        </w:tc>
        <w:tc>
          <w:tcPr>
            <w:tcW w:w="1134" w:type="dxa"/>
            <w:tcBorders>
              <w:top w:val="nil"/>
            </w:tcBorders>
            <w:vAlign w:val="center"/>
          </w:tcPr>
          <w:p w14:paraId="4435677C" w14:textId="77777777" w:rsidR="00742247" w:rsidRPr="00F12882" w:rsidRDefault="00742247" w:rsidP="0050091A">
            <w:pPr>
              <w:pStyle w:val="Tabletext1"/>
              <w:rPr>
                <w:snapToGrid w:val="0"/>
              </w:rPr>
            </w:pPr>
            <w:r w:rsidRPr="00F12882">
              <w:rPr>
                <w:snapToGrid w:val="0"/>
              </w:rPr>
              <w:t>Dominated</w:t>
            </w:r>
          </w:p>
        </w:tc>
        <w:tc>
          <w:tcPr>
            <w:tcW w:w="1621" w:type="dxa"/>
            <w:vAlign w:val="center"/>
          </w:tcPr>
          <w:p w14:paraId="4FCFCA9A" w14:textId="77777777" w:rsidR="00742247" w:rsidRPr="00F12882" w:rsidRDefault="00742247" w:rsidP="0050091A">
            <w:pPr>
              <w:pStyle w:val="Tabletext1"/>
              <w:rPr>
                <w:snapToGrid w:val="0"/>
              </w:rPr>
            </w:pPr>
            <w:r w:rsidRPr="00F12882">
              <w:rPr>
                <w:snapToGrid w:val="0"/>
              </w:rPr>
              <w:t>mean 0.44 biopsies avoided per patient</w:t>
            </w:r>
          </w:p>
        </w:tc>
      </w:tr>
      <w:tr w:rsidR="00742247" w:rsidRPr="004768B3" w14:paraId="60BEEBBE" w14:textId="77777777" w:rsidTr="004768B3">
        <w:trPr>
          <w:trHeight w:val="397"/>
        </w:trPr>
        <w:tc>
          <w:tcPr>
            <w:tcW w:w="9134" w:type="dxa"/>
            <w:gridSpan w:val="7"/>
          </w:tcPr>
          <w:p w14:paraId="1323D569" w14:textId="77777777" w:rsidR="00742247" w:rsidRPr="004768B3" w:rsidRDefault="00742247" w:rsidP="0050091A">
            <w:pPr>
              <w:pStyle w:val="Tabletext1"/>
            </w:pPr>
            <w:r w:rsidRPr="004768B3">
              <w:t>Population 2 only</w:t>
            </w:r>
          </w:p>
        </w:tc>
      </w:tr>
      <w:tr w:rsidR="00742247" w:rsidRPr="00420CC0" w14:paraId="16A2E19D" w14:textId="77777777" w:rsidTr="004768B3">
        <w:trPr>
          <w:trHeight w:val="397"/>
        </w:trPr>
        <w:tc>
          <w:tcPr>
            <w:tcW w:w="1246" w:type="dxa"/>
            <w:tcBorders>
              <w:right w:val="nil"/>
            </w:tcBorders>
          </w:tcPr>
          <w:p w14:paraId="1766C69F" w14:textId="77777777" w:rsidR="00742247" w:rsidRPr="004768B3" w:rsidRDefault="00742247" w:rsidP="0050091A">
            <w:pPr>
              <w:pStyle w:val="Tabletext1"/>
            </w:pPr>
            <w:r w:rsidRPr="004768B3">
              <w:t>Intervention</w:t>
            </w:r>
          </w:p>
        </w:tc>
        <w:tc>
          <w:tcPr>
            <w:tcW w:w="2582" w:type="dxa"/>
            <w:gridSpan w:val="2"/>
            <w:tcBorders>
              <w:left w:val="nil"/>
            </w:tcBorders>
          </w:tcPr>
          <w:p w14:paraId="5CDE7922" w14:textId="77777777" w:rsidR="00742247" w:rsidRPr="00F12882" w:rsidRDefault="00742247" w:rsidP="0050091A">
            <w:pPr>
              <w:pStyle w:val="Tabletext1"/>
            </w:pPr>
            <w:r w:rsidRPr="00F12882">
              <w:t>Prostate biopsy in Population 1, mpMRI in Population 2.</w:t>
            </w:r>
          </w:p>
        </w:tc>
        <w:tc>
          <w:tcPr>
            <w:tcW w:w="1134" w:type="dxa"/>
            <w:vAlign w:val="center"/>
          </w:tcPr>
          <w:p w14:paraId="5DD9F01B" w14:textId="77777777" w:rsidR="00742247" w:rsidRPr="00F12882" w:rsidRDefault="00742247" w:rsidP="0050091A">
            <w:pPr>
              <w:pStyle w:val="Tabletext1"/>
              <w:rPr>
                <w:snapToGrid w:val="0"/>
              </w:rPr>
            </w:pPr>
            <w:r w:rsidRPr="00F12882">
              <w:rPr>
                <w:snapToGrid w:val="0"/>
              </w:rPr>
              <w:t>$13,148</w:t>
            </w:r>
          </w:p>
        </w:tc>
        <w:tc>
          <w:tcPr>
            <w:tcW w:w="1417" w:type="dxa"/>
            <w:vAlign w:val="center"/>
          </w:tcPr>
          <w:p w14:paraId="0CDD2516" w14:textId="77777777" w:rsidR="00742247" w:rsidRPr="00F12882" w:rsidRDefault="00742247" w:rsidP="0050091A">
            <w:pPr>
              <w:pStyle w:val="Tabletext1"/>
              <w:rPr>
                <w:snapToGrid w:val="0"/>
              </w:rPr>
            </w:pPr>
            <w:r w:rsidRPr="00F12882">
              <w:rPr>
                <w:snapToGrid w:val="0"/>
              </w:rPr>
              <w:t>7.49</w:t>
            </w:r>
          </w:p>
        </w:tc>
        <w:tc>
          <w:tcPr>
            <w:tcW w:w="1134" w:type="dxa"/>
            <w:tcBorders>
              <w:bottom w:val="nil"/>
            </w:tcBorders>
            <w:vAlign w:val="center"/>
          </w:tcPr>
          <w:p w14:paraId="1AE47857" w14:textId="77777777" w:rsidR="00742247" w:rsidRPr="00F12882" w:rsidRDefault="00742247" w:rsidP="0050091A">
            <w:pPr>
              <w:pStyle w:val="Tabletext1"/>
              <w:rPr>
                <w:snapToGrid w:val="0"/>
              </w:rPr>
            </w:pPr>
          </w:p>
        </w:tc>
        <w:tc>
          <w:tcPr>
            <w:tcW w:w="1621" w:type="dxa"/>
            <w:vAlign w:val="center"/>
          </w:tcPr>
          <w:p w14:paraId="49E94FB0" w14:textId="77777777" w:rsidR="00742247" w:rsidRPr="00F12882" w:rsidRDefault="00742247" w:rsidP="0050091A">
            <w:pPr>
              <w:pStyle w:val="Tabletext1"/>
              <w:rPr>
                <w:snapToGrid w:val="0"/>
              </w:rPr>
            </w:pPr>
            <w:r w:rsidRPr="00F12882">
              <w:rPr>
                <w:snapToGrid w:val="0"/>
              </w:rPr>
              <w:t>3.01</w:t>
            </w:r>
          </w:p>
        </w:tc>
      </w:tr>
      <w:tr w:rsidR="00742247" w:rsidRPr="00420CC0" w14:paraId="03438B71" w14:textId="77777777" w:rsidTr="004768B3">
        <w:trPr>
          <w:trHeight w:val="397"/>
        </w:trPr>
        <w:tc>
          <w:tcPr>
            <w:tcW w:w="1246" w:type="dxa"/>
            <w:tcBorders>
              <w:right w:val="nil"/>
            </w:tcBorders>
          </w:tcPr>
          <w:p w14:paraId="01B6133D" w14:textId="77777777" w:rsidR="00742247" w:rsidRPr="004768B3" w:rsidRDefault="00742247" w:rsidP="0050091A">
            <w:pPr>
              <w:pStyle w:val="Tabletext1"/>
            </w:pPr>
            <w:r w:rsidRPr="004768B3">
              <w:t>Comparator</w:t>
            </w:r>
          </w:p>
        </w:tc>
        <w:tc>
          <w:tcPr>
            <w:tcW w:w="2582" w:type="dxa"/>
            <w:gridSpan w:val="2"/>
            <w:tcBorders>
              <w:left w:val="nil"/>
            </w:tcBorders>
          </w:tcPr>
          <w:p w14:paraId="410CBE69" w14:textId="77777777" w:rsidR="00742247" w:rsidRPr="00F12882" w:rsidRDefault="00742247" w:rsidP="0050091A">
            <w:pPr>
              <w:pStyle w:val="Tabletext1"/>
            </w:pPr>
            <w:r w:rsidRPr="00F12882">
              <w:t>Prostate biopsy in Population 1 and 2.</w:t>
            </w:r>
          </w:p>
        </w:tc>
        <w:tc>
          <w:tcPr>
            <w:tcW w:w="1134" w:type="dxa"/>
            <w:vAlign w:val="center"/>
          </w:tcPr>
          <w:p w14:paraId="20F1A547" w14:textId="77777777" w:rsidR="00742247" w:rsidRPr="00F12882" w:rsidRDefault="00742247" w:rsidP="0050091A">
            <w:pPr>
              <w:pStyle w:val="Tabletext1"/>
              <w:rPr>
                <w:snapToGrid w:val="0"/>
              </w:rPr>
            </w:pPr>
            <w:r w:rsidRPr="00F12882">
              <w:rPr>
                <w:snapToGrid w:val="0"/>
              </w:rPr>
              <w:t>$12,635</w:t>
            </w:r>
          </w:p>
        </w:tc>
        <w:tc>
          <w:tcPr>
            <w:tcW w:w="1417" w:type="dxa"/>
            <w:vAlign w:val="center"/>
          </w:tcPr>
          <w:p w14:paraId="715E6B2F" w14:textId="77777777" w:rsidR="00742247" w:rsidRPr="00F12882" w:rsidRDefault="00742247" w:rsidP="0050091A">
            <w:pPr>
              <w:pStyle w:val="Tabletext1"/>
              <w:rPr>
                <w:snapToGrid w:val="0"/>
              </w:rPr>
            </w:pPr>
            <w:r w:rsidRPr="00F12882">
              <w:rPr>
                <w:snapToGrid w:val="0"/>
              </w:rPr>
              <w:t>7.45</w:t>
            </w:r>
          </w:p>
        </w:tc>
        <w:tc>
          <w:tcPr>
            <w:tcW w:w="1134" w:type="dxa"/>
            <w:tcBorders>
              <w:top w:val="nil"/>
              <w:bottom w:val="nil"/>
            </w:tcBorders>
            <w:vAlign w:val="center"/>
          </w:tcPr>
          <w:p w14:paraId="4E42D479" w14:textId="77777777" w:rsidR="00742247" w:rsidRPr="00F12882" w:rsidRDefault="00742247" w:rsidP="0050091A">
            <w:pPr>
              <w:pStyle w:val="Tabletext1"/>
              <w:rPr>
                <w:snapToGrid w:val="0"/>
              </w:rPr>
            </w:pPr>
          </w:p>
        </w:tc>
        <w:tc>
          <w:tcPr>
            <w:tcW w:w="1621" w:type="dxa"/>
            <w:vAlign w:val="center"/>
          </w:tcPr>
          <w:p w14:paraId="74DDFD19" w14:textId="77777777" w:rsidR="00742247" w:rsidRPr="00F12882" w:rsidRDefault="00742247" w:rsidP="0050091A">
            <w:pPr>
              <w:pStyle w:val="Tabletext1"/>
              <w:rPr>
                <w:snapToGrid w:val="0"/>
              </w:rPr>
            </w:pPr>
            <w:r w:rsidRPr="00F12882">
              <w:rPr>
                <w:snapToGrid w:val="0"/>
              </w:rPr>
              <w:t>3.61</w:t>
            </w:r>
          </w:p>
        </w:tc>
      </w:tr>
      <w:tr w:rsidR="00742247" w:rsidRPr="00420CC0" w14:paraId="6A68DA07" w14:textId="77777777" w:rsidTr="004768B3">
        <w:trPr>
          <w:trHeight w:val="397"/>
        </w:trPr>
        <w:tc>
          <w:tcPr>
            <w:tcW w:w="3828" w:type="dxa"/>
            <w:gridSpan w:val="3"/>
          </w:tcPr>
          <w:p w14:paraId="51491BFB" w14:textId="77777777" w:rsidR="00742247" w:rsidRPr="004768B3" w:rsidRDefault="00742247" w:rsidP="0050091A">
            <w:pPr>
              <w:pStyle w:val="Tabletext1"/>
            </w:pPr>
            <w:r w:rsidRPr="004768B3">
              <w:t>Increment</w:t>
            </w:r>
          </w:p>
        </w:tc>
        <w:tc>
          <w:tcPr>
            <w:tcW w:w="1134" w:type="dxa"/>
            <w:vAlign w:val="center"/>
          </w:tcPr>
          <w:p w14:paraId="7CC35349" w14:textId="77777777" w:rsidR="00742247" w:rsidRPr="00F12882" w:rsidRDefault="00742247" w:rsidP="0050091A">
            <w:pPr>
              <w:pStyle w:val="Tabletext1"/>
              <w:rPr>
                <w:snapToGrid w:val="0"/>
              </w:rPr>
            </w:pPr>
            <w:r w:rsidRPr="00F12882">
              <w:rPr>
                <w:snapToGrid w:val="0"/>
              </w:rPr>
              <w:t>$513</w:t>
            </w:r>
          </w:p>
        </w:tc>
        <w:tc>
          <w:tcPr>
            <w:tcW w:w="1417" w:type="dxa"/>
            <w:vAlign w:val="center"/>
          </w:tcPr>
          <w:p w14:paraId="6C5F05F6" w14:textId="77777777" w:rsidR="00742247" w:rsidRPr="00F12882" w:rsidRDefault="00742247" w:rsidP="0050091A">
            <w:pPr>
              <w:pStyle w:val="Tabletext1"/>
              <w:rPr>
                <w:snapToGrid w:val="0"/>
              </w:rPr>
            </w:pPr>
            <w:r w:rsidRPr="00F12882">
              <w:rPr>
                <w:snapToGrid w:val="0"/>
              </w:rPr>
              <w:t>0.04</w:t>
            </w:r>
          </w:p>
        </w:tc>
        <w:tc>
          <w:tcPr>
            <w:tcW w:w="1134" w:type="dxa"/>
            <w:tcBorders>
              <w:top w:val="nil"/>
            </w:tcBorders>
            <w:vAlign w:val="center"/>
          </w:tcPr>
          <w:p w14:paraId="1474A488" w14:textId="77777777" w:rsidR="00742247" w:rsidRPr="00F12882" w:rsidRDefault="00742247" w:rsidP="0050091A">
            <w:pPr>
              <w:pStyle w:val="Tabletext1"/>
              <w:rPr>
                <w:snapToGrid w:val="0"/>
              </w:rPr>
            </w:pPr>
            <w:r w:rsidRPr="00F12882">
              <w:rPr>
                <w:snapToGrid w:val="0"/>
              </w:rPr>
              <w:t>$12,821</w:t>
            </w:r>
          </w:p>
        </w:tc>
        <w:tc>
          <w:tcPr>
            <w:tcW w:w="1621" w:type="dxa"/>
            <w:vAlign w:val="center"/>
          </w:tcPr>
          <w:p w14:paraId="59D8BA1D" w14:textId="77777777" w:rsidR="00742247" w:rsidRPr="00F12882" w:rsidRDefault="00742247" w:rsidP="0050091A">
            <w:pPr>
              <w:pStyle w:val="Tabletext1"/>
              <w:rPr>
                <w:snapToGrid w:val="0"/>
              </w:rPr>
            </w:pPr>
            <w:r w:rsidRPr="00F12882">
              <w:rPr>
                <w:snapToGrid w:val="0"/>
              </w:rPr>
              <w:t>0.60 biopsies avoided per patient</w:t>
            </w:r>
          </w:p>
        </w:tc>
      </w:tr>
      <w:tr w:rsidR="00742247" w:rsidRPr="004768B3" w14:paraId="1C2F26A7" w14:textId="77777777" w:rsidTr="004768B3">
        <w:trPr>
          <w:trHeight w:val="397"/>
        </w:trPr>
        <w:tc>
          <w:tcPr>
            <w:tcW w:w="9134" w:type="dxa"/>
            <w:gridSpan w:val="7"/>
          </w:tcPr>
          <w:p w14:paraId="5381232C" w14:textId="77777777" w:rsidR="00742247" w:rsidRPr="004768B3" w:rsidRDefault="00742247" w:rsidP="0050091A">
            <w:pPr>
              <w:pStyle w:val="Tabletext1"/>
            </w:pPr>
            <w:r w:rsidRPr="004768B3">
              <w:t>Both populations</w:t>
            </w:r>
          </w:p>
        </w:tc>
      </w:tr>
      <w:tr w:rsidR="00742247" w:rsidRPr="00420CC0" w14:paraId="6B210CF1" w14:textId="77777777" w:rsidTr="004768B3">
        <w:trPr>
          <w:trHeight w:val="397"/>
        </w:trPr>
        <w:tc>
          <w:tcPr>
            <w:tcW w:w="1246" w:type="dxa"/>
            <w:tcBorders>
              <w:right w:val="nil"/>
            </w:tcBorders>
          </w:tcPr>
          <w:p w14:paraId="57EA9C13" w14:textId="77777777" w:rsidR="00742247" w:rsidRPr="004768B3" w:rsidRDefault="00742247" w:rsidP="0050091A">
            <w:pPr>
              <w:pStyle w:val="Tabletext1"/>
            </w:pPr>
            <w:r w:rsidRPr="004768B3">
              <w:t>Intervention</w:t>
            </w:r>
          </w:p>
        </w:tc>
        <w:tc>
          <w:tcPr>
            <w:tcW w:w="2582" w:type="dxa"/>
            <w:gridSpan w:val="2"/>
            <w:tcBorders>
              <w:left w:val="nil"/>
            </w:tcBorders>
          </w:tcPr>
          <w:p w14:paraId="5E7262B6" w14:textId="77777777" w:rsidR="00742247" w:rsidRPr="00F12882" w:rsidRDefault="00742247" w:rsidP="0050091A">
            <w:pPr>
              <w:pStyle w:val="Tabletext1"/>
            </w:pPr>
            <w:r w:rsidRPr="00F12882">
              <w:t>mpMRI in Population 1 and 2.</w:t>
            </w:r>
          </w:p>
        </w:tc>
        <w:tc>
          <w:tcPr>
            <w:tcW w:w="1134" w:type="dxa"/>
            <w:vAlign w:val="center"/>
          </w:tcPr>
          <w:p w14:paraId="6541C9D7" w14:textId="77777777" w:rsidR="00742247" w:rsidRPr="00F12882" w:rsidRDefault="00742247" w:rsidP="0050091A">
            <w:pPr>
              <w:pStyle w:val="Tabletext1"/>
              <w:rPr>
                <w:snapToGrid w:val="0"/>
              </w:rPr>
            </w:pPr>
            <w:r w:rsidRPr="00F12882">
              <w:rPr>
                <w:snapToGrid w:val="0"/>
              </w:rPr>
              <w:t>$13,490</w:t>
            </w:r>
          </w:p>
        </w:tc>
        <w:tc>
          <w:tcPr>
            <w:tcW w:w="1417" w:type="dxa"/>
            <w:vAlign w:val="center"/>
          </w:tcPr>
          <w:p w14:paraId="27E92243" w14:textId="77777777" w:rsidR="00742247" w:rsidRPr="00F12882" w:rsidRDefault="00742247" w:rsidP="0050091A">
            <w:pPr>
              <w:pStyle w:val="Tabletext1"/>
              <w:rPr>
                <w:snapToGrid w:val="0"/>
              </w:rPr>
            </w:pPr>
            <w:r w:rsidRPr="00F12882">
              <w:rPr>
                <w:snapToGrid w:val="0"/>
              </w:rPr>
              <w:t>7.43</w:t>
            </w:r>
          </w:p>
        </w:tc>
        <w:tc>
          <w:tcPr>
            <w:tcW w:w="1134" w:type="dxa"/>
            <w:tcBorders>
              <w:bottom w:val="nil"/>
            </w:tcBorders>
            <w:vAlign w:val="center"/>
          </w:tcPr>
          <w:p w14:paraId="35D4200F" w14:textId="77777777" w:rsidR="00742247" w:rsidRPr="00F12882" w:rsidRDefault="00742247" w:rsidP="0050091A">
            <w:pPr>
              <w:pStyle w:val="Tabletext1"/>
              <w:rPr>
                <w:snapToGrid w:val="0"/>
              </w:rPr>
            </w:pPr>
          </w:p>
        </w:tc>
        <w:tc>
          <w:tcPr>
            <w:tcW w:w="1621" w:type="dxa"/>
            <w:vAlign w:val="center"/>
          </w:tcPr>
          <w:p w14:paraId="25DEB060" w14:textId="77777777" w:rsidR="00742247" w:rsidRPr="00F12882" w:rsidRDefault="00742247" w:rsidP="0050091A">
            <w:pPr>
              <w:pStyle w:val="Tabletext1"/>
              <w:rPr>
                <w:snapToGrid w:val="0"/>
              </w:rPr>
            </w:pPr>
            <w:r w:rsidRPr="00F12882">
              <w:rPr>
                <w:snapToGrid w:val="0"/>
              </w:rPr>
              <w:t>2.60</w:t>
            </w:r>
          </w:p>
        </w:tc>
      </w:tr>
      <w:tr w:rsidR="00742247" w:rsidRPr="00420CC0" w14:paraId="3F9FC164" w14:textId="77777777" w:rsidTr="004768B3">
        <w:trPr>
          <w:trHeight w:val="397"/>
        </w:trPr>
        <w:tc>
          <w:tcPr>
            <w:tcW w:w="1246" w:type="dxa"/>
            <w:tcBorders>
              <w:right w:val="nil"/>
            </w:tcBorders>
          </w:tcPr>
          <w:p w14:paraId="6DFA70FC" w14:textId="77777777" w:rsidR="00742247" w:rsidRPr="004768B3" w:rsidRDefault="00742247" w:rsidP="0050091A">
            <w:pPr>
              <w:pStyle w:val="Tabletext1"/>
            </w:pPr>
            <w:r w:rsidRPr="004768B3">
              <w:t>Comparator</w:t>
            </w:r>
          </w:p>
        </w:tc>
        <w:tc>
          <w:tcPr>
            <w:tcW w:w="2582" w:type="dxa"/>
            <w:gridSpan w:val="2"/>
            <w:tcBorders>
              <w:left w:val="nil"/>
            </w:tcBorders>
          </w:tcPr>
          <w:p w14:paraId="3BCD61EB" w14:textId="77777777" w:rsidR="00742247" w:rsidRPr="00F12882" w:rsidRDefault="00742247" w:rsidP="0050091A">
            <w:pPr>
              <w:pStyle w:val="Tabletext1"/>
            </w:pPr>
            <w:r w:rsidRPr="00F12882">
              <w:t>Prostate biopsy in Population 1 and 2.</w:t>
            </w:r>
          </w:p>
        </w:tc>
        <w:tc>
          <w:tcPr>
            <w:tcW w:w="1134" w:type="dxa"/>
            <w:vAlign w:val="center"/>
          </w:tcPr>
          <w:p w14:paraId="51323D47" w14:textId="77777777" w:rsidR="00742247" w:rsidRPr="00F12882" w:rsidRDefault="00742247" w:rsidP="0050091A">
            <w:pPr>
              <w:pStyle w:val="Tabletext1"/>
              <w:rPr>
                <w:snapToGrid w:val="0"/>
              </w:rPr>
            </w:pPr>
            <w:r w:rsidRPr="00F12882">
              <w:rPr>
                <w:snapToGrid w:val="0"/>
              </w:rPr>
              <w:t xml:space="preserve">$12,635 </w:t>
            </w:r>
          </w:p>
        </w:tc>
        <w:tc>
          <w:tcPr>
            <w:tcW w:w="1417" w:type="dxa"/>
            <w:vAlign w:val="center"/>
          </w:tcPr>
          <w:p w14:paraId="0F659C85" w14:textId="77777777" w:rsidR="00742247" w:rsidRPr="00F12882" w:rsidRDefault="00742247" w:rsidP="0050091A">
            <w:pPr>
              <w:pStyle w:val="Tabletext1"/>
              <w:rPr>
                <w:snapToGrid w:val="0"/>
              </w:rPr>
            </w:pPr>
            <w:r w:rsidRPr="00F12882">
              <w:rPr>
                <w:snapToGrid w:val="0"/>
              </w:rPr>
              <w:t>7.45</w:t>
            </w:r>
          </w:p>
        </w:tc>
        <w:tc>
          <w:tcPr>
            <w:tcW w:w="1134" w:type="dxa"/>
            <w:tcBorders>
              <w:top w:val="nil"/>
              <w:bottom w:val="nil"/>
            </w:tcBorders>
            <w:vAlign w:val="center"/>
          </w:tcPr>
          <w:p w14:paraId="483257FB" w14:textId="77777777" w:rsidR="00742247" w:rsidRPr="00F12882" w:rsidRDefault="00742247" w:rsidP="0050091A">
            <w:pPr>
              <w:pStyle w:val="Tabletext1"/>
              <w:rPr>
                <w:snapToGrid w:val="0"/>
              </w:rPr>
            </w:pPr>
          </w:p>
        </w:tc>
        <w:tc>
          <w:tcPr>
            <w:tcW w:w="1621" w:type="dxa"/>
            <w:vAlign w:val="center"/>
          </w:tcPr>
          <w:p w14:paraId="4E6624D4" w14:textId="77777777" w:rsidR="00742247" w:rsidRPr="00F12882" w:rsidRDefault="00742247" w:rsidP="0050091A">
            <w:pPr>
              <w:pStyle w:val="Tabletext1"/>
              <w:rPr>
                <w:snapToGrid w:val="0"/>
              </w:rPr>
            </w:pPr>
            <w:r w:rsidRPr="00F12882">
              <w:rPr>
                <w:snapToGrid w:val="0"/>
              </w:rPr>
              <w:t>3.61</w:t>
            </w:r>
          </w:p>
        </w:tc>
      </w:tr>
      <w:tr w:rsidR="00742247" w:rsidRPr="00420CC0" w14:paraId="4AD0C7B1" w14:textId="77777777" w:rsidTr="004768B3">
        <w:trPr>
          <w:trHeight w:val="397"/>
        </w:trPr>
        <w:tc>
          <w:tcPr>
            <w:tcW w:w="3828" w:type="dxa"/>
            <w:gridSpan w:val="3"/>
            <w:tcBorders>
              <w:bottom w:val="single" w:sz="4" w:space="0" w:color="auto"/>
            </w:tcBorders>
          </w:tcPr>
          <w:p w14:paraId="6ECAF424" w14:textId="77777777" w:rsidR="00742247" w:rsidRPr="004768B3" w:rsidRDefault="00742247" w:rsidP="0050091A">
            <w:pPr>
              <w:pStyle w:val="Tabletext1"/>
            </w:pPr>
            <w:r w:rsidRPr="004768B3">
              <w:t>Increment</w:t>
            </w:r>
          </w:p>
        </w:tc>
        <w:tc>
          <w:tcPr>
            <w:tcW w:w="1134" w:type="dxa"/>
            <w:tcBorders>
              <w:bottom w:val="single" w:sz="4" w:space="0" w:color="auto"/>
            </w:tcBorders>
            <w:vAlign w:val="center"/>
          </w:tcPr>
          <w:p w14:paraId="7B04E89C" w14:textId="77777777" w:rsidR="00742247" w:rsidRPr="00F12882" w:rsidRDefault="00742247" w:rsidP="0050091A">
            <w:pPr>
              <w:pStyle w:val="Tabletext1"/>
              <w:rPr>
                <w:snapToGrid w:val="0"/>
              </w:rPr>
            </w:pPr>
            <w:r w:rsidRPr="00F12882">
              <w:rPr>
                <w:snapToGrid w:val="0"/>
              </w:rPr>
              <w:t>$855</w:t>
            </w:r>
          </w:p>
        </w:tc>
        <w:tc>
          <w:tcPr>
            <w:tcW w:w="1417" w:type="dxa"/>
            <w:tcBorders>
              <w:bottom w:val="single" w:sz="4" w:space="0" w:color="auto"/>
            </w:tcBorders>
            <w:vAlign w:val="center"/>
          </w:tcPr>
          <w:p w14:paraId="065C994B" w14:textId="77777777" w:rsidR="00742247" w:rsidRPr="00F12882" w:rsidRDefault="00742247" w:rsidP="0050091A">
            <w:pPr>
              <w:pStyle w:val="Tabletext1"/>
              <w:rPr>
                <w:snapToGrid w:val="0"/>
              </w:rPr>
            </w:pPr>
            <w:r w:rsidRPr="00F12882">
              <w:rPr>
                <w:snapToGrid w:val="0"/>
              </w:rPr>
              <w:t>-0.02</w:t>
            </w:r>
          </w:p>
        </w:tc>
        <w:tc>
          <w:tcPr>
            <w:tcW w:w="1134" w:type="dxa"/>
            <w:tcBorders>
              <w:top w:val="nil"/>
              <w:bottom w:val="single" w:sz="4" w:space="0" w:color="auto"/>
            </w:tcBorders>
            <w:vAlign w:val="center"/>
          </w:tcPr>
          <w:p w14:paraId="29718606" w14:textId="77777777" w:rsidR="00742247" w:rsidRPr="00F12882" w:rsidRDefault="00742247" w:rsidP="0050091A">
            <w:pPr>
              <w:pStyle w:val="Tabletext1"/>
              <w:rPr>
                <w:snapToGrid w:val="0"/>
              </w:rPr>
            </w:pPr>
            <w:r w:rsidRPr="00F12882">
              <w:rPr>
                <w:snapToGrid w:val="0"/>
              </w:rPr>
              <w:t>Dominated</w:t>
            </w:r>
          </w:p>
        </w:tc>
        <w:tc>
          <w:tcPr>
            <w:tcW w:w="1621" w:type="dxa"/>
            <w:tcBorders>
              <w:bottom w:val="single" w:sz="4" w:space="0" w:color="auto"/>
            </w:tcBorders>
            <w:vAlign w:val="center"/>
          </w:tcPr>
          <w:p w14:paraId="032F5B5E" w14:textId="77777777" w:rsidR="00742247" w:rsidRPr="00F12882" w:rsidRDefault="00742247" w:rsidP="0050091A">
            <w:pPr>
              <w:pStyle w:val="Tabletext1"/>
              <w:rPr>
                <w:snapToGrid w:val="0"/>
              </w:rPr>
            </w:pPr>
            <w:r w:rsidRPr="00F12882">
              <w:rPr>
                <w:snapToGrid w:val="0"/>
              </w:rPr>
              <w:t>1.01 biopsies avoided per patient</w:t>
            </w:r>
          </w:p>
        </w:tc>
      </w:tr>
      <w:tr w:rsidR="00742247" w:rsidRPr="004768B3" w14:paraId="7FEAD33E" w14:textId="77777777" w:rsidTr="004768B3">
        <w:trPr>
          <w:trHeight w:val="397"/>
        </w:trPr>
        <w:tc>
          <w:tcPr>
            <w:tcW w:w="3828" w:type="dxa"/>
            <w:gridSpan w:val="3"/>
            <w:tcBorders>
              <w:top w:val="single" w:sz="4" w:space="0" w:color="auto"/>
              <w:bottom w:val="single" w:sz="4" w:space="0" w:color="auto"/>
              <w:right w:val="nil"/>
            </w:tcBorders>
          </w:tcPr>
          <w:p w14:paraId="4689A107" w14:textId="0F83B963" w:rsidR="00742247" w:rsidRPr="004768B3" w:rsidRDefault="00742247" w:rsidP="0050091A">
            <w:pPr>
              <w:pStyle w:val="Tabletext1"/>
            </w:pPr>
            <w:r w:rsidRPr="004768B3">
              <w:t>Gordon et al</w:t>
            </w:r>
            <w:r w:rsidR="003130E5" w:rsidRPr="004768B3">
              <w:t>.</w:t>
            </w:r>
            <w:r w:rsidRPr="004768B3">
              <w:t xml:space="preserve"> (2016): Population 1</w:t>
            </w:r>
          </w:p>
        </w:tc>
        <w:tc>
          <w:tcPr>
            <w:tcW w:w="1134" w:type="dxa"/>
            <w:tcBorders>
              <w:top w:val="single" w:sz="4" w:space="0" w:color="auto"/>
              <w:left w:val="nil"/>
              <w:bottom w:val="single" w:sz="4" w:space="0" w:color="auto"/>
              <w:right w:val="nil"/>
            </w:tcBorders>
            <w:vAlign w:val="center"/>
          </w:tcPr>
          <w:p w14:paraId="28F35E37" w14:textId="77777777" w:rsidR="00742247" w:rsidRPr="004768B3" w:rsidRDefault="00742247" w:rsidP="0050091A">
            <w:pPr>
              <w:pStyle w:val="Tabletext1"/>
              <w:rPr>
                <w:snapToGrid w:val="0"/>
              </w:rPr>
            </w:pPr>
          </w:p>
        </w:tc>
        <w:tc>
          <w:tcPr>
            <w:tcW w:w="1417" w:type="dxa"/>
            <w:tcBorders>
              <w:top w:val="single" w:sz="4" w:space="0" w:color="auto"/>
              <w:left w:val="nil"/>
              <w:bottom w:val="single" w:sz="4" w:space="0" w:color="auto"/>
              <w:right w:val="nil"/>
            </w:tcBorders>
            <w:vAlign w:val="center"/>
          </w:tcPr>
          <w:p w14:paraId="1B722133" w14:textId="77777777" w:rsidR="00742247" w:rsidRPr="004768B3" w:rsidRDefault="00742247" w:rsidP="0050091A">
            <w:pPr>
              <w:pStyle w:val="Tabletext1"/>
              <w:rPr>
                <w:snapToGrid w:val="0"/>
              </w:rPr>
            </w:pPr>
          </w:p>
        </w:tc>
        <w:tc>
          <w:tcPr>
            <w:tcW w:w="1134" w:type="dxa"/>
            <w:tcBorders>
              <w:top w:val="single" w:sz="4" w:space="0" w:color="auto"/>
              <w:left w:val="nil"/>
              <w:bottom w:val="single" w:sz="4" w:space="0" w:color="auto"/>
              <w:right w:val="nil"/>
            </w:tcBorders>
            <w:vAlign w:val="center"/>
          </w:tcPr>
          <w:p w14:paraId="0470645E" w14:textId="77777777" w:rsidR="00742247" w:rsidRPr="004768B3" w:rsidRDefault="00742247" w:rsidP="0050091A">
            <w:pPr>
              <w:pStyle w:val="Tabletext1"/>
              <w:rPr>
                <w:snapToGrid w:val="0"/>
              </w:rPr>
            </w:pPr>
          </w:p>
        </w:tc>
        <w:tc>
          <w:tcPr>
            <w:tcW w:w="1621" w:type="dxa"/>
            <w:tcBorders>
              <w:top w:val="single" w:sz="4" w:space="0" w:color="auto"/>
              <w:left w:val="nil"/>
              <w:bottom w:val="single" w:sz="4" w:space="0" w:color="auto"/>
            </w:tcBorders>
            <w:vAlign w:val="center"/>
          </w:tcPr>
          <w:p w14:paraId="66C71E85" w14:textId="77777777" w:rsidR="00742247" w:rsidRPr="004768B3" w:rsidRDefault="00742247" w:rsidP="0050091A">
            <w:pPr>
              <w:pStyle w:val="Tabletext1"/>
              <w:rPr>
                <w:snapToGrid w:val="0"/>
              </w:rPr>
            </w:pPr>
          </w:p>
        </w:tc>
      </w:tr>
      <w:tr w:rsidR="00742247" w:rsidRPr="00420CC0" w14:paraId="23D7FFFF" w14:textId="77777777" w:rsidTr="004768B3">
        <w:trPr>
          <w:trHeight w:val="397"/>
        </w:trPr>
        <w:tc>
          <w:tcPr>
            <w:tcW w:w="1274" w:type="dxa"/>
            <w:gridSpan w:val="2"/>
            <w:tcBorders>
              <w:top w:val="single" w:sz="4" w:space="0" w:color="auto"/>
              <w:right w:val="nil"/>
            </w:tcBorders>
            <w:vAlign w:val="center"/>
          </w:tcPr>
          <w:p w14:paraId="6EB6E62F" w14:textId="77777777" w:rsidR="00742247" w:rsidRPr="004768B3" w:rsidRDefault="00742247" w:rsidP="0050091A">
            <w:pPr>
              <w:pStyle w:val="Tabletext1"/>
            </w:pPr>
            <w:r w:rsidRPr="004768B3">
              <w:rPr>
                <w:bCs/>
                <w:color w:val="000000"/>
              </w:rPr>
              <w:t>Intervention</w:t>
            </w:r>
          </w:p>
        </w:tc>
        <w:tc>
          <w:tcPr>
            <w:tcW w:w="2554" w:type="dxa"/>
            <w:tcBorders>
              <w:top w:val="single" w:sz="4" w:space="0" w:color="auto"/>
              <w:left w:val="nil"/>
            </w:tcBorders>
            <w:vAlign w:val="center"/>
          </w:tcPr>
          <w:p w14:paraId="79A9923B" w14:textId="6EFF52E9" w:rsidR="00742247" w:rsidRPr="00F12882" w:rsidRDefault="00742247" w:rsidP="0050091A">
            <w:pPr>
              <w:pStyle w:val="Tabletext1"/>
            </w:pPr>
            <w:r w:rsidRPr="00F12882">
              <w:rPr>
                <w:bCs/>
                <w:color w:val="000000"/>
              </w:rPr>
              <w:t xml:space="preserve">Strategy 2: mpMRI ± </w:t>
            </w:r>
            <w:r w:rsidR="00E96DDA">
              <w:rPr>
                <w:bCs/>
                <w:color w:val="000000"/>
              </w:rPr>
              <w:t>MRIGB</w:t>
            </w:r>
          </w:p>
        </w:tc>
        <w:tc>
          <w:tcPr>
            <w:tcW w:w="1134" w:type="dxa"/>
            <w:tcBorders>
              <w:top w:val="single" w:sz="4" w:space="0" w:color="auto"/>
            </w:tcBorders>
            <w:vAlign w:val="center"/>
          </w:tcPr>
          <w:p w14:paraId="795BD6B1" w14:textId="77777777" w:rsidR="00742247" w:rsidRPr="00F12882" w:rsidRDefault="00742247" w:rsidP="0050091A">
            <w:pPr>
              <w:pStyle w:val="Tabletext1"/>
              <w:rPr>
                <w:snapToGrid w:val="0"/>
              </w:rPr>
            </w:pPr>
            <w:r w:rsidRPr="00F12882">
              <w:rPr>
                <w:snapToGrid w:val="0"/>
              </w:rPr>
              <w:t>$24,943</w:t>
            </w:r>
          </w:p>
        </w:tc>
        <w:tc>
          <w:tcPr>
            <w:tcW w:w="1417" w:type="dxa"/>
            <w:tcBorders>
              <w:top w:val="single" w:sz="4" w:space="0" w:color="auto"/>
            </w:tcBorders>
            <w:vAlign w:val="center"/>
          </w:tcPr>
          <w:p w14:paraId="53484ED8" w14:textId="77777777" w:rsidR="00742247" w:rsidRPr="00F12882" w:rsidRDefault="00742247" w:rsidP="0050091A">
            <w:pPr>
              <w:pStyle w:val="Tabletext1"/>
              <w:rPr>
                <w:snapToGrid w:val="0"/>
              </w:rPr>
            </w:pPr>
            <w:r w:rsidRPr="00F12882">
              <w:rPr>
                <w:snapToGrid w:val="0"/>
              </w:rPr>
              <w:t>7.7</w:t>
            </w:r>
          </w:p>
        </w:tc>
        <w:tc>
          <w:tcPr>
            <w:tcW w:w="1134" w:type="dxa"/>
            <w:tcBorders>
              <w:top w:val="single" w:sz="4" w:space="0" w:color="auto"/>
              <w:bottom w:val="nil"/>
            </w:tcBorders>
            <w:vAlign w:val="center"/>
          </w:tcPr>
          <w:p w14:paraId="180588C4" w14:textId="77777777" w:rsidR="00742247" w:rsidRPr="00F12882" w:rsidRDefault="00742247" w:rsidP="0050091A">
            <w:pPr>
              <w:pStyle w:val="Tabletext1"/>
              <w:rPr>
                <w:snapToGrid w:val="0"/>
              </w:rPr>
            </w:pPr>
          </w:p>
        </w:tc>
        <w:tc>
          <w:tcPr>
            <w:tcW w:w="1621" w:type="dxa"/>
            <w:tcBorders>
              <w:top w:val="single" w:sz="4" w:space="0" w:color="auto"/>
            </w:tcBorders>
            <w:vAlign w:val="center"/>
          </w:tcPr>
          <w:p w14:paraId="275C87F1" w14:textId="77777777" w:rsidR="00742247" w:rsidRPr="00F12882" w:rsidRDefault="00742247" w:rsidP="0050091A">
            <w:pPr>
              <w:pStyle w:val="Tabletext1"/>
              <w:rPr>
                <w:snapToGrid w:val="0"/>
              </w:rPr>
            </w:pPr>
            <w:r w:rsidRPr="00F12882">
              <w:rPr>
                <w:snapToGrid w:val="0"/>
              </w:rPr>
              <w:t>1.14</w:t>
            </w:r>
          </w:p>
        </w:tc>
      </w:tr>
      <w:tr w:rsidR="00742247" w:rsidRPr="00420CC0" w14:paraId="476F9E12" w14:textId="77777777" w:rsidTr="004768B3">
        <w:trPr>
          <w:trHeight w:val="397"/>
        </w:trPr>
        <w:tc>
          <w:tcPr>
            <w:tcW w:w="1274" w:type="dxa"/>
            <w:gridSpan w:val="2"/>
            <w:tcBorders>
              <w:right w:val="nil"/>
            </w:tcBorders>
            <w:vAlign w:val="center"/>
          </w:tcPr>
          <w:p w14:paraId="30848C24" w14:textId="77777777" w:rsidR="00742247" w:rsidRPr="004768B3" w:rsidRDefault="00742247" w:rsidP="0050091A">
            <w:pPr>
              <w:pStyle w:val="Tabletext1"/>
            </w:pPr>
            <w:r w:rsidRPr="004768B3">
              <w:rPr>
                <w:bCs/>
                <w:color w:val="000000"/>
              </w:rPr>
              <w:t xml:space="preserve">Comparator </w:t>
            </w:r>
          </w:p>
        </w:tc>
        <w:tc>
          <w:tcPr>
            <w:tcW w:w="2554" w:type="dxa"/>
            <w:tcBorders>
              <w:left w:val="nil"/>
            </w:tcBorders>
            <w:vAlign w:val="center"/>
          </w:tcPr>
          <w:p w14:paraId="680104E3" w14:textId="77777777" w:rsidR="00742247" w:rsidRPr="00F12882" w:rsidRDefault="00742247" w:rsidP="0050091A">
            <w:pPr>
              <w:pStyle w:val="Tabletext1"/>
            </w:pPr>
            <w:r w:rsidRPr="00F12882">
              <w:rPr>
                <w:bCs/>
                <w:color w:val="000000"/>
              </w:rPr>
              <w:t>Strategy 1: TRUSGB</w:t>
            </w:r>
          </w:p>
        </w:tc>
        <w:tc>
          <w:tcPr>
            <w:tcW w:w="1134" w:type="dxa"/>
            <w:vAlign w:val="center"/>
          </w:tcPr>
          <w:p w14:paraId="0A256111" w14:textId="77777777" w:rsidR="00742247" w:rsidRPr="00F12882" w:rsidRDefault="00742247" w:rsidP="0050091A">
            <w:pPr>
              <w:pStyle w:val="Tabletext1"/>
              <w:rPr>
                <w:snapToGrid w:val="0"/>
              </w:rPr>
            </w:pPr>
            <w:r w:rsidRPr="00F12882">
              <w:rPr>
                <w:snapToGrid w:val="0"/>
              </w:rPr>
              <w:t>$24,203</w:t>
            </w:r>
          </w:p>
        </w:tc>
        <w:tc>
          <w:tcPr>
            <w:tcW w:w="1417" w:type="dxa"/>
            <w:vAlign w:val="center"/>
          </w:tcPr>
          <w:p w14:paraId="57099288" w14:textId="77777777" w:rsidR="00742247" w:rsidRPr="00F12882" w:rsidRDefault="00742247" w:rsidP="0050091A">
            <w:pPr>
              <w:pStyle w:val="Tabletext1"/>
              <w:rPr>
                <w:snapToGrid w:val="0"/>
              </w:rPr>
            </w:pPr>
            <w:r w:rsidRPr="00F12882">
              <w:rPr>
                <w:snapToGrid w:val="0"/>
              </w:rPr>
              <w:t>7.82</w:t>
            </w:r>
          </w:p>
        </w:tc>
        <w:tc>
          <w:tcPr>
            <w:tcW w:w="1134" w:type="dxa"/>
            <w:tcBorders>
              <w:top w:val="nil"/>
              <w:bottom w:val="nil"/>
            </w:tcBorders>
            <w:vAlign w:val="center"/>
          </w:tcPr>
          <w:p w14:paraId="25473E94" w14:textId="77777777" w:rsidR="00742247" w:rsidRPr="00F12882" w:rsidRDefault="00742247" w:rsidP="0050091A">
            <w:pPr>
              <w:pStyle w:val="Tabletext1"/>
              <w:rPr>
                <w:snapToGrid w:val="0"/>
              </w:rPr>
            </w:pPr>
          </w:p>
        </w:tc>
        <w:tc>
          <w:tcPr>
            <w:tcW w:w="1621" w:type="dxa"/>
            <w:vAlign w:val="center"/>
          </w:tcPr>
          <w:p w14:paraId="39387F12" w14:textId="77777777" w:rsidR="00742247" w:rsidRPr="00F12882" w:rsidRDefault="00742247" w:rsidP="0050091A">
            <w:pPr>
              <w:pStyle w:val="Tabletext1"/>
              <w:rPr>
                <w:snapToGrid w:val="0"/>
              </w:rPr>
            </w:pPr>
            <w:r w:rsidRPr="00F12882">
              <w:rPr>
                <w:snapToGrid w:val="0"/>
              </w:rPr>
              <w:t>1.44</w:t>
            </w:r>
          </w:p>
        </w:tc>
      </w:tr>
      <w:tr w:rsidR="00742247" w:rsidRPr="00420CC0" w14:paraId="3DE5950A" w14:textId="77777777" w:rsidTr="004768B3">
        <w:trPr>
          <w:trHeight w:val="397"/>
        </w:trPr>
        <w:tc>
          <w:tcPr>
            <w:tcW w:w="3828" w:type="dxa"/>
            <w:gridSpan w:val="3"/>
            <w:tcBorders>
              <w:bottom w:val="single" w:sz="4" w:space="0" w:color="auto"/>
            </w:tcBorders>
            <w:vAlign w:val="center"/>
          </w:tcPr>
          <w:p w14:paraId="200FEBC9" w14:textId="77777777" w:rsidR="00742247" w:rsidRPr="004768B3" w:rsidRDefault="00742247" w:rsidP="0050091A">
            <w:pPr>
              <w:pStyle w:val="Tabletext1"/>
            </w:pPr>
            <w:r w:rsidRPr="004768B3">
              <w:rPr>
                <w:bCs/>
                <w:color w:val="000000"/>
              </w:rPr>
              <w:t>Increment</w:t>
            </w:r>
          </w:p>
        </w:tc>
        <w:tc>
          <w:tcPr>
            <w:tcW w:w="1134" w:type="dxa"/>
            <w:tcBorders>
              <w:bottom w:val="single" w:sz="4" w:space="0" w:color="auto"/>
            </w:tcBorders>
            <w:vAlign w:val="center"/>
          </w:tcPr>
          <w:p w14:paraId="1DD5504B" w14:textId="77777777" w:rsidR="00742247" w:rsidRPr="00F12882" w:rsidRDefault="00742247" w:rsidP="0050091A">
            <w:pPr>
              <w:pStyle w:val="Tabletext1"/>
              <w:rPr>
                <w:snapToGrid w:val="0"/>
              </w:rPr>
            </w:pPr>
            <w:r w:rsidRPr="00F12882">
              <w:rPr>
                <w:snapToGrid w:val="0"/>
              </w:rPr>
              <w:t>$740</w:t>
            </w:r>
          </w:p>
        </w:tc>
        <w:tc>
          <w:tcPr>
            <w:tcW w:w="1417" w:type="dxa"/>
            <w:tcBorders>
              <w:bottom w:val="single" w:sz="4" w:space="0" w:color="auto"/>
            </w:tcBorders>
            <w:vAlign w:val="center"/>
          </w:tcPr>
          <w:p w14:paraId="1B7611A8" w14:textId="77777777" w:rsidR="00742247" w:rsidRPr="00F12882" w:rsidRDefault="00742247" w:rsidP="0050091A">
            <w:pPr>
              <w:pStyle w:val="Tabletext1"/>
              <w:rPr>
                <w:snapToGrid w:val="0"/>
              </w:rPr>
            </w:pPr>
            <w:r w:rsidRPr="00F12882">
              <w:rPr>
                <w:snapToGrid w:val="0"/>
              </w:rPr>
              <w:t>-0.12</w:t>
            </w:r>
          </w:p>
        </w:tc>
        <w:tc>
          <w:tcPr>
            <w:tcW w:w="1134" w:type="dxa"/>
            <w:tcBorders>
              <w:top w:val="nil"/>
              <w:bottom w:val="single" w:sz="4" w:space="0" w:color="auto"/>
            </w:tcBorders>
            <w:vAlign w:val="center"/>
          </w:tcPr>
          <w:p w14:paraId="1B902DA7" w14:textId="77777777" w:rsidR="00742247" w:rsidRPr="00F12882" w:rsidRDefault="00742247" w:rsidP="0050091A">
            <w:pPr>
              <w:pStyle w:val="Tabletext1"/>
              <w:rPr>
                <w:snapToGrid w:val="0"/>
              </w:rPr>
            </w:pPr>
            <w:r w:rsidRPr="00F12882">
              <w:rPr>
                <w:snapToGrid w:val="0"/>
              </w:rPr>
              <w:t>Dominated</w:t>
            </w:r>
          </w:p>
        </w:tc>
        <w:tc>
          <w:tcPr>
            <w:tcW w:w="1621" w:type="dxa"/>
            <w:tcBorders>
              <w:bottom w:val="single" w:sz="4" w:space="0" w:color="auto"/>
            </w:tcBorders>
            <w:vAlign w:val="center"/>
          </w:tcPr>
          <w:p w14:paraId="05342E6C" w14:textId="77777777" w:rsidR="00742247" w:rsidRPr="00F12882" w:rsidRDefault="00742247" w:rsidP="0050091A">
            <w:pPr>
              <w:pStyle w:val="Tabletext1"/>
              <w:rPr>
                <w:snapToGrid w:val="0"/>
              </w:rPr>
            </w:pPr>
            <w:r w:rsidRPr="00F12882">
              <w:rPr>
                <w:snapToGrid w:val="0"/>
              </w:rPr>
              <w:t>0.3 biopsies avoided per patient</w:t>
            </w:r>
          </w:p>
        </w:tc>
      </w:tr>
      <w:tr w:rsidR="00742247" w:rsidRPr="00420CC0" w14:paraId="6AE5C51A" w14:textId="77777777" w:rsidTr="004768B3">
        <w:trPr>
          <w:trHeight w:val="397"/>
        </w:trPr>
        <w:tc>
          <w:tcPr>
            <w:tcW w:w="1274" w:type="dxa"/>
            <w:gridSpan w:val="2"/>
            <w:tcBorders>
              <w:top w:val="single" w:sz="4" w:space="0" w:color="auto"/>
              <w:right w:val="nil"/>
            </w:tcBorders>
            <w:vAlign w:val="center"/>
          </w:tcPr>
          <w:p w14:paraId="2B937621" w14:textId="77777777" w:rsidR="00742247" w:rsidRPr="004768B3" w:rsidRDefault="00742247" w:rsidP="0050091A">
            <w:pPr>
              <w:pStyle w:val="Tabletext1"/>
            </w:pPr>
            <w:r w:rsidRPr="004768B3">
              <w:rPr>
                <w:bCs/>
                <w:color w:val="000000"/>
              </w:rPr>
              <w:t>Intervention</w:t>
            </w:r>
          </w:p>
        </w:tc>
        <w:tc>
          <w:tcPr>
            <w:tcW w:w="2554" w:type="dxa"/>
            <w:tcBorders>
              <w:top w:val="single" w:sz="4" w:space="0" w:color="auto"/>
              <w:left w:val="nil"/>
            </w:tcBorders>
            <w:vAlign w:val="center"/>
          </w:tcPr>
          <w:p w14:paraId="53278D21" w14:textId="3905AE32" w:rsidR="00742247" w:rsidRPr="00F12882" w:rsidRDefault="00742247" w:rsidP="0050091A">
            <w:pPr>
              <w:pStyle w:val="Tabletext1"/>
            </w:pPr>
            <w:r w:rsidRPr="00F12882">
              <w:rPr>
                <w:bCs/>
                <w:color w:val="000000"/>
              </w:rPr>
              <w:t>Strategy 3: mpMRI ± TRUS</w:t>
            </w:r>
            <w:r w:rsidR="00F217EE">
              <w:rPr>
                <w:bCs/>
                <w:color w:val="000000"/>
              </w:rPr>
              <w:t>GB</w:t>
            </w:r>
            <w:r w:rsidRPr="00F12882">
              <w:rPr>
                <w:bCs/>
                <w:color w:val="000000"/>
              </w:rPr>
              <w:t>/ TPUS</w:t>
            </w:r>
            <w:r w:rsidR="00F217EE">
              <w:rPr>
                <w:bCs/>
                <w:color w:val="000000"/>
              </w:rPr>
              <w:t>GB</w:t>
            </w:r>
            <w:r w:rsidRPr="00F12882">
              <w:rPr>
                <w:bCs/>
                <w:color w:val="000000"/>
              </w:rPr>
              <w:t xml:space="preserve"> or </w:t>
            </w:r>
            <w:r w:rsidR="00E96DDA">
              <w:rPr>
                <w:bCs/>
                <w:color w:val="000000"/>
              </w:rPr>
              <w:t>MRIGB</w:t>
            </w:r>
          </w:p>
        </w:tc>
        <w:tc>
          <w:tcPr>
            <w:tcW w:w="1134" w:type="dxa"/>
            <w:tcBorders>
              <w:top w:val="single" w:sz="4" w:space="0" w:color="auto"/>
            </w:tcBorders>
            <w:vAlign w:val="center"/>
          </w:tcPr>
          <w:p w14:paraId="2F5E0D38" w14:textId="77777777" w:rsidR="00742247" w:rsidRPr="00F12882" w:rsidRDefault="00742247" w:rsidP="0050091A">
            <w:pPr>
              <w:pStyle w:val="Tabletext1"/>
              <w:rPr>
                <w:snapToGrid w:val="0"/>
              </w:rPr>
            </w:pPr>
            <w:r w:rsidRPr="00F12882">
              <w:rPr>
                <w:snapToGrid w:val="0"/>
              </w:rPr>
              <w:t>$24,337</w:t>
            </w:r>
          </w:p>
        </w:tc>
        <w:tc>
          <w:tcPr>
            <w:tcW w:w="1417" w:type="dxa"/>
            <w:tcBorders>
              <w:top w:val="single" w:sz="4" w:space="0" w:color="auto"/>
            </w:tcBorders>
            <w:vAlign w:val="center"/>
          </w:tcPr>
          <w:p w14:paraId="462DFC34" w14:textId="77777777" w:rsidR="00742247" w:rsidRPr="00F12882" w:rsidRDefault="00742247" w:rsidP="0050091A">
            <w:pPr>
              <w:pStyle w:val="Tabletext1"/>
              <w:rPr>
                <w:snapToGrid w:val="0"/>
              </w:rPr>
            </w:pPr>
            <w:r w:rsidRPr="00F12882">
              <w:rPr>
                <w:snapToGrid w:val="0"/>
              </w:rPr>
              <w:t>7.77</w:t>
            </w:r>
          </w:p>
        </w:tc>
        <w:tc>
          <w:tcPr>
            <w:tcW w:w="1134" w:type="dxa"/>
            <w:tcBorders>
              <w:top w:val="single" w:sz="4" w:space="0" w:color="auto"/>
              <w:bottom w:val="nil"/>
            </w:tcBorders>
            <w:vAlign w:val="center"/>
          </w:tcPr>
          <w:p w14:paraId="6D312F14" w14:textId="77777777" w:rsidR="00742247" w:rsidRPr="00F12882" w:rsidRDefault="00742247" w:rsidP="0050091A">
            <w:pPr>
              <w:pStyle w:val="Tabletext1"/>
              <w:rPr>
                <w:snapToGrid w:val="0"/>
              </w:rPr>
            </w:pPr>
          </w:p>
        </w:tc>
        <w:tc>
          <w:tcPr>
            <w:tcW w:w="1621" w:type="dxa"/>
            <w:tcBorders>
              <w:top w:val="single" w:sz="4" w:space="0" w:color="auto"/>
            </w:tcBorders>
            <w:vAlign w:val="center"/>
          </w:tcPr>
          <w:p w14:paraId="12E80A74" w14:textId="77777777" w:rsidR="00742247" w:rsidRPr="00F12882" w:rsidRDefault="00742247" w:rsidP="0050091A">
            <w:pPr>
              <w:pStyle w:val="Tabletext1"/>
              <w:rPr>
                <w:snapToGrid w:val="0"/>
              </w:rPr>
            </w:pPr>
            <w:r w:rsidRPr="00F12882">
              <w:rPr>
                <w:snapToGrid w:val="0"/>
              </w:rPr>
              <w:t>1.10</w:t>
            </w:r>
          </w:p>
        </w:tc>
      </w:tr>
      <w:tr w:rsidR="00742247" w:rsidRPr="00420CC0" w14:paraId="54BDFF6A" w14:textId="77777777" w:rsidTr="004768B3">
        <w:trPr>
          <w:trHeight w:val="397"/>
        </w:trPr>
        <w:tc>
          <w:tcPr>
            <w:tcW w:w="1274" w:type="dxa"/>
            <w:gridSpan w:val="2"/>
            <w:tcBorders>
              <w:right w:val="nil"/>
            </w:tcBorders>
            <w:vAlign w:val="center"/>
          </w:tcPr>
          <w:p w14:paraId="0BC762CC" w14:textId="77777777" w:rsidR="00742247" w:rsidRPr="004768B3" w:rsidRDefault="00742247" w:rsidP="0050091A">
            <w:pPr>
              <w:pStyle w:val="Tabletext1"/>
            </w:pPr>
            <w:r w:rsidRPr="004768B3">
              <w:rPr>
                <w:bCs/>
                <w:color w:val="000000"/>
              </w:rPr>
              <w:t>Comparator</w:t>
            </w:r>
          </w:p>
        </w:tc>
        <w:tc>
          <w:tcPr>
            <w:tcW w:w="2554" w:type="dxa"/>
            <w:tcBorders>
              <w:left w:val="nil"/>
            </w:tcBorders>
            <w:vAlign w:val="center"/>
          </w:tcPr>
          <w:p w14:paraId="7B25D23F" w14:textId="77777777" w:rsidR="00742247" w:rsidRPr="00F12882" w:rsidRDefault="00742247" w:rsidP="0050091A">
            <w:pPr>
              <w:pStyle w:val="Tabletext1"/>
            </w:pPr>
            <w:r w:rsidRPr="00F12882">
              <w:rPr>
                <w:bCs/>
                <w:color w:val="000000"/>
              </w:rPr>
              <w:t>Strategy 1: TRUSGB</w:t>
            </w:r>
          </w:p>
        </w:tc>
        <w:tc>
          <w:tcPr>
            <w:tcW w:w="1134" w:type="dxa"/>
            <w:vAlign w:val="center"/>
          </w:tcPr>
          <w:p w14:paraId="74FFA62E" w14:textId="77777777" w:rsidR="00742247" w:rsidRPr="00F12882" w:rsidRDefault="00742247" w:rsidP="0050091A">
            <w:pPr>
              <w:pStyle w:val="Tabletext1"/>
              <w:rPr>
                <w:snapToGrid w:val="0"/>
              </w:rPr>
            </w:pPr>
            <w:r w:rsidRPr="00F12882">
              <w:rPr>
                <w:snapToGrid w:val="0"/>
              </w:rPr>
              <w:t>$24,203</w:t>
            </w:r>
          </w:p>
        </w:tc>
        <w:tc>
          <w:tcPr>
            <w:tcW w:w="1417" w:type="dxa"/>
            <w:vAlign w:val="center"/>
          </w:tcPr>
          <w:p w14:paraId="0E97371D" w14:textId="77777777" w:rsidR="00742247" w:rsidRPr="00F12882" w:rsidRDefault="00742247" w:rsidP="0050091A">
            <w:pPr>
              <w:pStyle w:val="Tabletext1"/>
              <w:rPr>
                <w:snapToGrid w:val="0"/>
              </w:rPr>
            </w:pPr>
            <w:r w:rsidRPr="00F12882">
              <w:rPr>
                <w:snapToGrid w:val="0"/>
              </w:rPr>
              <w:t>7.82</w:t>
            </w:r>
          </w:p>
        </w:tc>
        <w:tc>
          <w:tcPr>
            <w:tcW w:w="1134" w:type="dxa"/>
            <w:tcBorders>
              <w:top w:val="nil"/>
              <w:bottom w:val="nil"/>
            </w:tcBorders>
            <w:vAlign w:val="center"/>
          </w:tcPr>
          <w:p w14:paraId="5A2A0583" w14:textId="77777777" w:rsidR="00742247" w:rsidRPr="00F12882" w:rsidRDefault="00742247" w:rsidP="0050091A">
            <w:pPr>
              <w:pStyle w:val="Tabletext1"/>
              <w:rPr>
                <w:snapToGrid w:val="0"/>
              </w:rPr>
            </w:pPr>
          </w:p>
        </w:tc>
        <w:tc>
          <w:tcPr>
            <w:tcW w:w="1621" w:type="dxa"/>
            <w:vAlign w:val="center"/>
          </w:tcPr>
          <w:p w14:paraId="1922525A" w14:textId="77777777" w:rsidR="00742247" w:rsidRPr="00F12882" w:rsidRDefault="00742247" w:rsidP="0050091A">
            <w:pPr>
              <w:pStyle w:val="Tabletext1"/>
              <w:rPr>
                <w:snapToGrid w:val="0"/>
              </w:rPr>
            </w:pPr>
            <w:r w:rsidRPr="00F12882">
              <w:rPr>
                <w:snapToGrid w:val="0"/>
              </w:rPr>
              <w:t>1.44</w:t>
            </w:r>
          </w:p>
        </w:tc>
      </w:tr>
      <w:tr w:rsidR="00742247" w:rsidRPr="00420CC0" w14:paraId="7E2CC15A" w14:textId="77777777" w:rsidTr="004768B3">
        <w:trPr>
          <w:trHeight w:val="397"/>
        </w:trPr>
        <w:tc>
          <w:tcPr>
            <w:tcW w:w="3828" w:type="dxa"/>
            <w:gridSpan w:val="3"/>
            <w:vAlign w:val="center"/>
          </w:tcPr>
          <w:p w14:paraId="17FC729B" w14:textId="77777777" w:rsidR="00742247" w:rsidRPr="004768B3" w:rsidRDefault="00742247" w:rsidP="0050091A">
            <w:pPr>
              <w:pStyle w:val="Tabletext1"/>
            </w:pPr>
            <w:r w:rsidRPr="004768B3">
              <w:rPr>
                <w:bCs/>
                <w:color w:val="000000"/>
              </w:rPr>
              <w:lastRenderedPageBreak/>
              <w:t>Increment</w:t>
            </w:r>
          </w:p>
        </w:tc>
        <w:tc>
          <w:tcPr>
            <w:tcW w:w="1134" w:type="dxa"/>
            <w:vAlign w:val="center"/>
          </w:tcPr>
          <w:p w14:paraId="4AC569C4" w14:textId="77777777" w:rsidR="00742247" w:rsidRPr="00F12882" w:rsidRDefault="00742247" w:rsidP="0050091A">
            <w:pPr>
              <w:pStyle w:val="Tabletext1"/>
              <w:rPr>
                <w:snapToGrid w:val="0"/>
              </w:rPr>
            </w:pPr>
            <w:r w:rsidRPr="00F12882">
              <w:rPr>
                <w:snapToGrid w:val="0"/>
              </w:rPr>
              <w:t>$134</w:t>
            </w:r>
          </w:p>
        </w:tc>
        <w:tc>
          <w:tcPr>
            <w:tcW w:w="1417" w:type="dxa"/>
            <w:vAlign w:val="center"/>
          </w:tcPr>
          <w:p w14:paraId="12776CA8" w14:textId="77777777" w:rsidR="00742247" w:rsidRPr="00F12882" w:rsidRDefault="00742247" w:rsidP="0050091A">
            <w:pPr>
              <w:pStyle w:val="Tabletext1"/>
              <w:rPr>
                <w:snapToGrid w:val="0"/>
              </w:rPr>
            </w:pPr>
            <w:r w:rsidRPr="00F12882">
              <w:rPr>
                <w:snapToGrid w:val="0"/>
              </w:rPr>
              <w:t>-0.05</w:t>
            </w:r>
          </w:p>
        </w:tc>
        <w:tc>
          <w:tcPr>
            <w:tcW w:w="1134" w:type="dxa"/>
            <w:tcBorders>
              <w:top w:val="nil"/>
            </w:tcBorders>
            <w:vAlign w:val="center"/>
          </w:tcPr>
          <w:p w14:paraId="0A902474" w14:textId="77777777" w:rsidR="00742247" w:rsidRPr="00F12882" w:rsidRDefault="00742247" w:rsidP="0050091A">
            <w:pPr>
              <w:pStyle w:val="Tabletext1"/>
              <w:rPr>
                <w:snapToGrid w:val="0"/>
              </w:rPr>
            </w:pPr>
            <w:r w:rsidRPr="00F12882">
              <w:rPr>
                <w:snapToGrid w:val="0"/>
              </w:rPr>
              <w:t>Dominated</w:t>
            </w:r>
          </w:p>
        </w:tc>
        <w:tc>
          <w:tcPr>
            <w:tcW w:w="1621" w:type="dxa"/>
            <w:vAlign w:val="center"/>
          </w:tcPr>
          <w:p w14:paraId="56D32B30" w14:textId="77777777" w:rsidR="00742247" w:rsidRPr="00F12882" w:rsidRDefault="00742247" w:rsidP="0050091A">
            <w:pPr>
              <w:pStyle w:val="Tabletext1"/>
              <w:rPr>
                <w:snapToGrid w:val="0"/>
              </w:rPr>
            </w:pPr>
            <w:r w:rsidRPr="00F12882">
              <w:rPr>
                <w:snapToGrid w:val="0"/>
              </w:rPr>
              <w:t>0.34 biopsies avoided per patient</w:t>
            </w:r>
          </w:p>
        </w:tc>
      </w:tr>
    </w:tbl>
    <w:p w14:paraId="16028FA3" w14:textId="63F46773" w:rsidR="00742247" w:rsidRDefault="00742247" w:rsidP="00DC025B">
      <w:pPr>
        <w:pStyle w:val="TableNotes"/>
      </w:pPr>
      <w:r w:rsidRPr="00461145">
        <w:t>ICER</w:t>
      </w:r>
      <w:r w:rsidR="001B5FFE">
        <w:t xml:space="preserve"> =</w:t>
      </w:r>
      <w:r w:rsidRPr="00461145">
        <w:t xml:space="preserve"> incremental cost-effectiveness ratio</w:t>
      </w:r>
      <w:r w:rsidR="001B5FFE">
        <w:t>,</w:t>
      </w:r>
      <w:r w:rsidRPr="00461145">
        <w:t xml:space="preserve"> mpMRI</w:t>
      </w:r>
      <w:r w:rsidR="001B5FFE">
        <w:t xml:space="preserve"> =</w:t>
      </w:r>
      <w:r w:rsidRPr="00461145">
        <w:t xml:space="preserve"> multiparametric MRI</w:t>
      </w:r>
      <w:r w:rsidR="001B5FFE">
        <w:t>,</w:t>
      </w:r>
      <w:r w:rsidRPr="00461145">
        <w:t xml:space="preserve"> </w:t>
      </w:r>
      <w:r w:rsidR="00E96DDA">
        <w:t>MRIGB</w:t>
      </w:r>
      <w:r w:rsidR="001B5FFE">
        <w:t xml:space="preserve"> =</w:t>
      </w:r>
      <w:r w:rsidRPr="00461145">
        <w:t xml:space="preserve"> magnetic resonance guided biopsy</w:t>
      </w:r>
      <w:r w:rsidR="001B5FFE">
        <w:t>,</w:t>
      </w:r>
      <w:r w:rsidRPr="00461145">
        <w:t xml:space="preserve"> QALY</w:t>
      </w:r>
      <w:r w:rsidR="001B5FFE">
        <w:t xml:space="preserve"> = Quality adjusted life-</w:t>
      </w:r>
      <w:r w:rsidRPr="00461145">
        <w:t>year</w:t>
      </w:r>
      <w:r w:rsidR="001B5FFE">
        <w:t xml:space="preserve">, </w:t>
      </w:r>
      <w:r w:rsidRPr="00461145">
        <w:t>TPUSGB</w:t>
      </w:r>
      <w:r w:rsidR="001B5FFE">
        <w:t xml:space="preserve"> =</w:t>
      </w:r>
      <w:r w:rsidRPr="00461145">
        <w:t xml:space="preserve"> trans</w:t>
      </w:r>
      <w:r w:rsidR="001B5FFE">
        <w:t>-</w:t>
      </w:r>
      <w:r w:rsidRPr="00461145">
        <w:t>perineal ultrasound guided biopsy</w:t>
      </w:r>
      <w:r w:rsidR="001B5FFE">
        <w:t>,</w:t>
      </w:r>
      <w:r w:rsidRPr="00461145">
        <w:t xml:space="preserve"> TRUSGB</w:t>
      </w:r>
      <w:r w:rsidR="001B5FFE">
        <w:t xml:space="preserve"> =</w:t>
      </w:r>
      <w:r w:rsidRPr="00461145">
        <w:t xml:space="preserve"> trans</w:t>
      </w:r>
      <w:r w:rsidR="001B5FFE">
        <w:t>-</w:t>
      </w:r>
      <w:r>
        <w:t xml:space="preserve">rectal ultrasound guided biopsy. </w:t>
      </w:r>
    </w:p>
    <w:p w14:paraId="7B4D0FF1" w14:textId="4B6BCCAD" w:rsidR="00742247" w:rsidRPr="00183E4D" w:rsidRDefault="00742247" w:rsidP="00DC025B">
      <w:pPr>
        <w:pStyle w:val="TableNotes"/>
      </w:pPr>
      <w:r>
        <w:t>Source: CA 1397 base model; Table 12 p33 Gordon et al</w:t>
      </w:r>
      <w:r w:rsidR="003130E5">
        <w:t>.</w:t>
      </w:r>
      <w:r>
        <w:t xml:space="preserve"> (2016)</w:t>
      </w:r>
    </w:p>
    <w:p w14:paraId="29310151" w14:textId="77777777" w:rsidR="00742247" w:rsidRPr="00183E4D" w:rsidRDefault="00742247" w:rsidP="00742247">
      <w:pPr>
        <w:pStyle w:val="Heading2"/>
        <w:numPr>
          <w:ilvl w:val="3"/>
          <w:numId w:val="8"/>
        </w:numPr>
        <w:jc w:val="left"/>
      </w:pPr>
      <w:bookmarkStart w:id="647" w:name="_Toc445463511"/>
      <w:bookmarkStart w:id="648" w:name="_Toc457383628"/>
      <w:bookmarkStart w:id="649" w:name="_Toc459987876"/>
      <w:bookmarkStart w:id="650" w:name="_Toc460513996"/>
      <w:bookmarkEnd w:id="640"/>
      <w:r w:rsidRPr="00183E4D">
        <w:t>Sensitivity analyses</w:t>
      </w:r>
      <w:bookmarkEnd w:id="647"/>
      <w:bookmarkEnd w:id="648"/>
      <w:bookmarkEnd w:id="649"/>
      <w:bookmarkEnd w:id="650"/>
    </w:p>
    <w:p w14:paraId="580C3BEB" w14:textId="1CB66D4F" w:rsidR="00742247" w:rsidRDefault="00742247" w:rsidP="00742247">
      <w:r w:rsidRPr="00BC5A54">
        <w:t xml:space="preserve">In Population 1, mpMRI is dominated by prostate biopsy in each of the scenarios, except when looking at a time horizon of </w:t>
      </w:r>
      <w:r w:rsidR="00BD0A9F">
        <w:t>only five</w:t>
      </w:r>
      <w:r w:rsidRPr="00BC5A54">
        <w:t xml:space="preserve"> years (see s</w:t>
      </w:r>
      <w:r w:rsidR="00BD0A9F">
        <w:t>ensitivity analysis I). With a five</w:t>
      </w:r>
      <w:r w:rsidRPr="00BC5A54">
        <w:t xml:space="preserve"> year time horizon, the ICER of mpMRI </w:t>
      </w:r>
      <w:r w:rsidR="00BD0A9F">
        <w:t>dominates</w:t>
      </w:r>
      <w:r w:rsidR="00BD0A9F" w:rsidRPr="00BC5A54">
        <w:t xml:space="preserve"> </w:t>
      </w:r>
      <w:r w:rsidRPr="00BC5A54">
        <w:t xml:space="preserve">prostate biopsy </w:t>
      </w:r>
      <w:r w:rsidR="00BD0A9F">
        <w:t>at</w:t>
      </w:r>
      <w:r w:rsidRPr="00BC5A54">
        <w:t xml:space="preserve"> </w:t>
      </w:r>
      <w:r w:rsidRPr="00BC5A54">
        <w:rPr>
          <w:snapToGrid w:val="0"/>
          <w:lang w:eastAsia="en-US"/>
        </w:rPr>
        <w:t>$80,264</w:t>
      </w:r>
      <w:r w:rsidR="00BD0A9F">
        <w:rPr>
          <w:snapToGrid w:val="0"/>
          <w:lang w:eastAsia="en-US"/>
        </w:rPr>
        <w:t xml:space="preserve"> per </w:t>
      </w:r>
      <w:r w:rsidRPr="00BC5A54">
        <w:rPr>
          <w:snapToGrid w:val="0"/>
          <w:lang w:eastAsia="en-US"/>
        </w:rPr>
        <w:t xml:space="preserve">QALY </w:t>
      </w:r>
      <w:r w:rsidR="00BD0A9F">
        <w:rPr>
          <w:snapToGrid w:val="0"/>
          <w:lang w:eastAsia="en-US"/>
        </w:rPr>
        <w:t>for</w:t>
      </w:r>
      <w:r w:rsidRPr="00BC5A54">
        <w:rPr>
          <w:snapToGrid w:val="0"/>
          <w:lang w:eastAsia="en-US"/>
        </w:rPr>
        <w:t xml:space="preserve"> Population 1. </w:t>
      </w:r>
      <w:r w:rsidRPr="00BC5A54">
        <w:t xml:space="preserve">In Population 2, the ICER is most sensitive to the use of </w:t>
      </w:r>
      <w:r w:rsidR="00E96DDA">
        <w:t>MRIGB</w:t>
      </w:r>
      <w:r w:rsidRPr="00BC5A54">
        <w:t xml:space="preserve"> in addition to mpMRI in the intervention arm. In this sensitivity analysis (analysis A), </w:t>
      </w:r>
      <w:r w:rsidR="00E96DDA">
        <w:t>MRIGB</w:t>
      </w:r>
      <w:r w:rsidRPr="00BC5A54">
        <w:t xml:space="preserve"> was assumed to be used for all patients with PI-RADS 4-5, consistent with the proposed clinical algorithm in the </w:t>
      </w:r>
      <w:r w:rsidR="00BD0A9F">
        <w:t>P</w:t>
      </w:r>
      <w:r w:rsidRPr="00BC5A54">
        <w:t>rotocol 1397. This increases the ICER from $12,821 to $66,320 per QALY gained with mpMRI.</w:t>
      </w:r>
    </w:p>
    <w:p w14:paraId="686388C0" w14:textId="77777777" w:rsidR="00742247" w:rsidRPr="00183E4D" w:rsidRDefault="00742247" w:rsidP="00742247">
      <w:pPr>
        <w:pStyle w:val="Caption"/>
        <w:tabs>
          <w:tab w:val="left" w:pos="1134"/>
        </w:tabs>
        <w:ind w:left="1134" w:hanging="1134"/>
        <w:rPr>
          <w:rFonts w:cs="Arial"/>
          <w:snapToGrid w:val="0"/>
          <w:szCs w:val="16"/>
          <w:lang w:eastAsia="en-US"/>
        </w:rPr>
      </w:pPr>
      <w:bookmarkStart w:id="651" w:name="_Toc455916113"/>
      <w:bookmarkStart w:id="652" w:name="_Toc456880689"/>
      <w:bookmarkStart w:id="653" w:name="_Toc457383683"/>
      <w:bookmarkStart w:id="654" w:name="_Toc459987922"/>
      <w:bookmarkStart w:id="655" w:name="_Toc460514562"/>
      <w:r w:rsidRPr="00EE5398">
        <w:lastRenderedPageBreak/>
        <w:t xml:space="preserve">Table </w:t>
      </w:r>
      <w:fldSimple w:instr=" SEQ Table \* ARABIC ">
        <w:r w:rsidR="0029649D">
          <w:rPr>
            <w:noProof/>
          </w:rPr>
          <w:t>62</w:t>
        </w:r>
      </w:fldSimple>
      <w:r w:rsidRPr="00EE5398">
        <w:tab/>
      </w:r>
      <w:r w:rsidRPr="00EE5398">
        <w:rPr>
          <w:rFonts w:cs="Arial"/>
          <w:snapToGrid w:val="0"/>
          <w:szCs w:val="16"/>
          <w:lang w:eastAsia="en-US"/>
        </w:rPr>
        <w:t>Key drivers</w:t>
      </w:r>
      <w:r w:rsidRPr="00183E4D">
        <w:rPr>
          <w:rFonts w:cs="Arial"/>
          <w:snapToGrid w:val="0"/>
          <w:szCs w:val="16"/>
          <w:lang w:eastAsia="en-US"/>
        </w:rPr>
        <w:t xml:space="preserve"> of the economic model</w:t>
      </w:r>
      <w:bookmarkEnd w:id="651"/>
      <w:bookmarkEnd w:id="652"/>
      <w:bookmarkEnd w:id="653"/>
      <w:bookmarkEnd w:id="654"/>
      <w:bookmarkEnd w:id="655"/>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4 Key drivers of the economic model"/>
        <w:tblDescription w:val="This table describes what factors and assumptions in the economic model affect the incremental cost-effectiveness to the greatest extent."/>
      </w:tblPr>
      <w:tblGrid>
        <w:gridCol w:w="314"/>
        <w:gridCol w:w="1849"/>
        <w:gridCol w:w="2709"/>
        <w:gridCol w:w="1414"/>
        <w:gridCol w:w="1414"/>
        <w:gridCol w:w="1412"/>
      </w:tblGrid>
      <w:tr w:rsidR="00742247" w:rsidRPr="004768B3" w14:paraId="4CA55D12" w14:textId="77777777" w:rsidTr="004768B3">
        <w:trPr>
          <w:trHeight w:val="397"/>
          <w:tblHeader/>
        </w:trPr>
        <w:tc>
          <w:tcPr>
            <w:tcW w:w="172" w:type="pct"/>
          </w:tcPr>
          <w:p w14:paraId="4D821A8C" w14:textId="77777777" w:rsidR="00742247" w:rsidRPr="004768B3" w:rsidRDefault="00742247" w:rsidP="001444F3">
            <w:pPr>
              <w:pStyle w:val="Tableheading1"/>
              <w:keepNext/>
              <w:rPr>
                <w:snapToGrid w:val="0"/>
              </w:rPr>
            </w:pPr>
          </w:p>
        </w:tc>
        <w:tc>
          <w:tcPr>
            <w:tcW w:w="1014" w:type="pct"/>
            <w:shd w:val="clear" w:color="auto" w:fill="auto"/>
            <w:vAlign w:val="center"/>
          </w:tcPr>
          <w:p w14:paraId="13413CD0" w14:textId="77777777" w:rsidR="00742247" w:rsidRPr="004768B3" w:rsidRDefault="00742247" w:rsidP="001444F3">
            <w:pPr>
              <w:pStyle w:val="Tableheading1"/>
              <w:keepNext/>
              <w:rPr>
                <w:snapToGrid w:val="0"/>
              </w:rPr>
            </w:pPr>
            <w:r w:rsidRPr="004768B3">
              <w:rPr>
                <w:snapToGrid w:val="0"/>
              </w:rPr>
              <w:t>Description</w:t>
            </w:r>
          </w:p>
        </w:tc>
        <w:tc>
          <w:tcPr>
            <w:tcW w:w="1486" w:type="pct"/>
            <w:shd w:val="clear" w:color="auto" w:fill="auto"/>
            <w:vAlign w:val="center"/>
          </w:tcPr>
          <w:p w14:paraId="48C6A3C5" w14:textId="77777777" w:rsidR="00742247" w:rsidRPr="004768B3" w:rsidRDefault="00742247" w:rsidP="001444F3">
            <w:pPr>
              <w:pStyle w:val="Tableheading1"/>
              <w:keepNext/>
              <w:rPr>
                <w:snapToGrid w:val="0"/>
              </w:rPr>
            </w:pPr>
            <w:r w:rsidRPr="004768B3">
              <w:rPr>
                <w:snapToGrid w:val="0"/>
              </w:rPr>
              <w:t>Method/Value</w:t>
            </w:r>
          </w:p>
        </w:tc>
        <w:tc>
          <w:tcPr>
            <w:tcW w:w="776" w:type="pct"/>
            <w:shd w:val="clear" w:color="auto" w:fill="auto"/>
            <w:vAlign w:val="center"/>
          </w:tcPr>
          <w:p w14:paraId="07859CDA" w14:textId="77777777" w:rsidR="00742247" w:rsidRPr="004768B3" w:rsidRDefault="00742247" w:rsidP="001444F3">
            <w:pPr>
              <w:pStyle w:val="Tableheading1"/>
              <w:keepNext/>
              <w:rPr>
                <w:snapToGrid w:val="0"/>
              </w:rPr>
            </w:pPr>
            <w:r w:rsidRPr="004768B3">
              <w:rPr>
                <w:snapToGrid w:val="0"/>
              </w:rPr>
              <w:t xml:space="preserve">ICER </w:t>
            </w:r>
            <w:r w:rsidRPr="004768B3">
              <w:rPr>
                <w:snapToGrid w:val="0"/>
              </w:rPr>
              <w:br/>
              <w:t>Population 1</w:t>
            </w:r>
          </w:p>
        </w:tc>
        <w:tc>
          <w:tcPr>
            <w:tcW w:w="776" w:type="pct"/>
            <w:vAlign w:val="center"/>
          </w:tcPr>
          <w:p w14:paraId="2BDF1A55" w14:textId="77777777" w:rsidR="00742247" w:rsidRPr="004768B3" w:rsidRDefault="00742247" w:rsidP="001444F3">
            <w:pPr>
              <w:pStyle w:val="Tableheading1"/>
              <w:keepNext/>
              <w:rPr>
                <w:snapToGrid w:val="0"/>
              </w:rPr>
            </w:pPr>
            <w:r w:rsidRPr="004768B3">
              <w:rPr>
                <w:snapToGrid w:val="0"/>
              </w:rPr>
              <w:t xml:space="preserve">ICER </w:t>
            </w:r>
            <w:r w:rsidRPr="004768B3">
              <w:rPr>
                <w:snapToGrid w:val="0"/>
              </w:rPr>
              <w:br/>
              <w:t>Population 2</w:t>
            </w:r>
          </w:p>
        </w:tc>
        <w:tc>
          <w:tcPr>
            <w:tcW w:w="775" w:type="pct"/>
            <w:vAlign w:val="center"/>
          </w:tcPr>
          <w:p w14:paraId="2901FF21" w14:textId="77777777" w:rsidR="00742247" w:rsidRPr="004768B3" w:rsidRDefault="00742247" w:rsidP="001444F3">
            <w:pPr>
              <w:pStyle w:val="Tableheading1"/>
              <w:keepNext/>
              <w:rPr>
                <w:snapToGrid w:val="0"/>
              </w:rPr>
            </w:pPr>
            <w:r w:rsidRPr="004768B3">
              <w:rPr>
                <w:snapToGrid w:val="0"/>
              </w:rPr>
              <w:t>ICER Population 1 and 2</w:t>
            </w:r>
          </w:p>
        </w:tc>
      </w:tr>
      <w:tr w:rsidR="00742247" w:rsidRPr="00183E4D" w14:paraId="11329A06" w14:textId="77777777" w:rsidTr="004768B3">
        <w:trPr>
          <w:trHeight w:val="397"/>
        </w:trPr>
        <w:tc>
          <w:tcPr>
            <w:tcW w:w="172" w:type="pct"/>
          </w:tcPr>
          <w:p w14:paraId="7EF04B56" w14:textId="77777777" w:rsidR="00742247" w:rsidRPr="004768B3" w:rsidRDefault="00742247" w:rsidP="001444F3">
            <w:pPr>
              <w:pStyle w:val="Tabletext1"/>
              <w:keepNext/>
              <w:rPr>
                <w:snapToGrid w:val="0"/>
              </w:rPr>
            </w:pPr>
          </w:p>
        </w:tc>
        <w:tc>
          <w:tcPr>
            <w:tcW w:w="1014" w:type="pct"/>
            <w:shd w:val="clear" w:color="auto" w:fill="auto"/>
            <w:vAlign w:val="center"/>
          </w:tcPr>
          <w:p w14:paraId="63870D3D" w14:textId="76356522" w:rsidR="00742247" w:rsidRDefault="00742247" w:rsidP="001444F3">
            <w:pPr>
              <w:pStyle w:val="Tabletext1"/>
              <w:keepNext/>
              <w:rPr>
                <w:snapToGrid w:val="0"/>
              </w:rPr>
            </w:pPr>
            <w:r>
              <w:rPr>
                <w:snapToGrid w:val="0"/>
              </w:rPr>
              <w:t>Base</w:t>
            </w:r>
            <w:r w:rsidR="00BD0A9F">
              <w:rPr>
                <w:snapToGrid w:val="0"/>
              </w:rPr>
              <w:t>-</w:t>
            </w:r>
            <w:r>
              <w:rPr>
                <w:snapToGrid w:val="0"/>
              </w:rPr>
              <w:t>case</w:t>
            </w:r>
          </w:p>
        </w:tc>
        <w:tc>
          <w:tcPr>
            <w:tcW w:w="1486" w:type="pct"/>
            <w:shd w:val="clear" w:color="auto" w:fill="auto"/>
            <w:vAlign w:val="center"/>
          </w:tcPr>
          <w:p w14:paraId="4F13C5AF" w14:textId="77777777" w:rsidR="00742247" w:rsidRPr="00183E4D" w:rsidRDefault="00742247" w:rsidP="001444F3">
            <w:pPr>
              <w:pStyle w:val="Tabletext1"/>
              <w:keepNext/>
              <w:rPr>
                <w:snapToGrid w:val="0"/>
              </w:rPr>
            </w:pPr>
            <w:r>
              <w:rPr>
                <w:snapToGrid w:val="0"/>
              </w:rPr>
              <w:t>NA</w:t>
            </w:r>
          </w:p>
        </w:tc>
        <w:tc>
          <w:tcPr>
            <w:tcW w:w="776" w:type="pct"/>
            <w:shd w:val="clear" w:color="auto" w:fill="auto"/>
            <w:vAlign w:val="center"/>
          </w:tcPr>
          <w:p w14:paraId="4493B353" w14:textId="77777777" w:rsidR="00742247" w:rsidRPr="005E26E9" w:rsidRDefault="00742247" w:rsidP="001444F3">
            <w:pPr>
              <w:pStyle w:val="Tabletext1"/>
              <w:keepNext/>
              <w:rPr>
                <w:snapToGrid w:val="0"/>
              </w:rPr>
            </w:pPr>
            <w:r w:rsidRPr="005E26E9">
              <w:rPr>
                <w:snapToGrid w:val="0"/>
              </w:rPr>
              <w:t>Dominated</w:t>
            </w:r>
          </w:p>
        </w:tc>
        <w:tc>
          <w:tcPr>
            <w:tcW w:w="776" w:type="pct"/>
            <w:vAlign w:val="center"/>
          </w:tcPr>
          <w:p w14:paraId="71534E71" w14:textId="77777777" w:rsidR="00742247" w:rsidRPr="005E26E9" w:rsidRDefault="00742247" w:rsidP="001444F3">
            <w:pPr>
              <w:pStyle w:val="Tabletext1"/>
              <w:keepNext/>
              <w:rPr>
                <w:snapToGrid w:val="0"/>
              </w:rPr>
            </w:pPr>
            <w:r w:rsidRPr="005E26E9">
              <w:rPr>
                <w:snapToGrid w:val="0"/>
              </w:rPr>
              <w:t>$12,821</w:t>
            </w:r>
          </w:p>
        </w:tc>
        <w:tc>
          <w:tcPr>
            <w:tcW w:w="775" w:type="pct"/>
            <w:vAlign w:val="center"/>
          </w:tcPr>
          <w:p w14:paraId="23F53658" w14:textId="77777777" w:rsidR="00742247" w:rsidRPr="00183E4D" w:rsidRDefault="00742247" w:rsidP="001444F3">
            <w:pPr>
              <w:pStyle w:val="Tabletext1"/>
              <w:keepNext/>
              <w:rPr>
                <w:snapToGrid w:val="0"/>
              </w:rPr>
            </w:pPr>
            <w:r>
              <w:rPr>
                <w:snapToGrid w:val="0"/>
              </w:rPr>
              <w:t>Dominated</w:t>
            </w:r>
          </w:p>
        </w:tc>
      </w:tr>
      <w:tr w:rsidR="00742247" w:rsidRPr="00183E4D" w14:paraId="001C888A" w14:textId="77777777" w:rsidTr="004768B3">
        <w:trPr>
          <w:trHeight w:val="397"/>
        </w:trPr>
        <w:tc>
          <w:tcPr>
            <w:tcW w:w="172" w:type="pct"/>
          </w:tcPr>
          <w:p w14:paraId="5D4B99AA" w14:textId="77777777" w:rsidR="00742247" w:rsidRPr="004768B3" w:rsidRDefault="00742247" w:rsidP="001444F3">
            <w:pPr>
              <w:pStyle w:val="Tabletext1"/>
              <w:keepNext/>
              <w:rPr>
                <w:snapToGrid w:val="0"/>
              </w:rPr>
            </w:pPr>
            <w:r w:rsidRPr="004768B3">
              <w:rPr>
                <w:snapToGrid w:val="0"/>
              </w:rPr>
              <w:t>A</w:t>
            </w:r>
          </w:p>
        </w:tc>
        <w:tc>
          <w:tcPr>
            <w:tcW w:w="1014" w:type="pct"/>
            <w:shd w:val="clear" w:color="auto" w:fill="auto"/>
          </w:tcPr>
          <w:p w14:paraId="38530585" w14:textId="727C72F9" w:rsidR="00742247" w:rsidRPr="00EA0E16" w:rsidRDefault="00742247" w:rsidP="001444F3">
            <w:pPr>
              <w:pStyle w:val="Tabletext1"/>
              <w:keepNext/>
              <w:rPr>
                <w:snapToGrid w:val="0"/>
              </w:rPr>
            </w:pPr>
            <w:r w:rsidRPr="00EA0E16">
              <w:rPr>
                <w:snapToGrid w:val="0"/>
              </w:rPr>
              <w:t xml:space="preserve">Use of </w:t>
            </w:r>
            <w:r w:rsidR="00E96DDA">
              <w:rPr>
                <w:snapToGrid w:val="0"/>
              </w:rPr>
              <w:t>MRIGB</w:t>
            </w:r>
            <w:r w:rsidRPr="00EA0E16">
              <w:rPr>
                <w:snapToGrid w:val="0"/>
              </w:rPr>
              <w:t xml:space="preserve"> for patients with mpMRI PI-RADS 4-5</w:t>
            </w:r>
          </w:p>
        </w:tc>
        <w:tc>
          <w:tcPr>
            <w:tcW w:w="1486" w:type="pct"/>
            <w:shd w:val="clear" w:color="auto" w:fill="auto"/>
            <w:vAlign w:val="center"/>
          </w:tcPr>
          <w:p w14:paraId="64079555" w14:textId="77777777" w:rsidR="00742247" w:rsidRPr="00EA0E16" w:rsidRDefault="00742247" w:rsidP="001444F3">
            <w:pPr>
              <w:pStyle w:val="Tabletext1"/>
              <w:keepNext/>
              <w:rPr>
                <w:snapToGrid w:val="0"/>
              </w:rPr>
            </w:pPr>
            <w:r w:rsidRPr="00EA0E16">
              <w:rPr>
                <w:snapToGrid w:val="0"/>
              </w:rPr>
              <w:t xml:space="preserve">Sensitivity 0.85 (Schoots et al. 2014), specificity 0.97 (Pokorny et al. 2014), costs $2,346 (based on the costs for MR-in gantry in </w:t>
            </w:r>
            <w:r>
              <w:t>CA 1424</w:t>
            </w:r>
            <w:r w:rsidRPr="00EA0E16">
              <w:t>)</w:t>
            </w:r>
            <w:r w:rsidRPr="00EA0E16">
              <w:rPr>
                <w:snapToGrid w:val="0"/>
              </w:rPr>
              <w:t xml:space="preserve"> </w:t>
            </w:r>
          </w:p>
        </w:tc>
        <w:tc>
          <w:tcPr>
            <w:tcW w:w="776" w:type="pct"/>
            <w:shd w:val="clear" w:color="auto" w:fill="auto"/>
            <w:vAlign w:val="center"/>
          </w:tcPr>
          <w:p w14:paraId="11F8CBCD" w14:textId="77777777" w:rsidR="00742247" w:rsidRPr="00183E4D" w:rsidRDefault="00742247" w:rsidP="001444F3">
            <w:pPr>
              <w:pStyle w:val="Tabletext1"/>
              <w:keepNext/>
              <w:rPr>
                <w:snapToGrid w:val="0"/>
              </w:rPr>
            </w:pPr>
            <w:r>
              <w:rPr>
                <w:snapToGrid w:val="0"/>
              </w:rPr>
              <w:t>Dominated</w:t>
            </w:r>
          </w:p>
        </w:tc>
        <w:tc>
          <w:tcPr>
            <w:tcW w:w="776" w:type="pct"/>
            <w:vAlign w:val="center"/>
          </w:tcPr>
          <w:p w14:paraId="10AF3CDC" w14:textId="77777777" w:rsidR="00742247" w:rsidRPr="00F074AF" w:rsidRDefault="00742247" w:rsidP="001444F3">
            <w:pPr>
              <w:pStyle w:val="Tabletext1"/>
              <w:keepNext/>
              <w:rPr>
                <w:snapToGrid w:val="0"/>
              </w:rPr>
            </w:pPr>
            <w:r>
              <w:rPr>
                <w:snapToGrid w:val="0"/>
              </w:rPr>
              <w:t>$66,320</w:t>
            </w:r>
          </w:p>
        </w:tc>
        <w:tc>
          <w:tcPr>
            <w:tcW w:w="775" w:type="pct"/>
            <w:vAlign w:val="center"/>
          </w:tcPr>
          <w:p w14:paraId="2DBE7F0B" w14:textId="77777777" w:rsidR="00742247" w:rsidRPr="00183E4D" w:rsidRDefault="00742247" w:rsidP="001444F3">
            <w:pPr>
              <w:pStyle w:val="Tabletext1"/>
              <w:keepNext/>
              <w:rPr>
                <w:snapToGrid w:val="0"/>
              </w:rPr>
            </w:pPr>
            <w:r>
              <w:rPr>
                <w:snapToGrid w:val="0"/>
              </w:rPr>
              <w:t>Dominated</w:t>
            </w:r>
          </w:p>
        </w:tc>
      </w:tr>
      <w:tr w:rsidR="00742247" w:rsidRPr="00183E4D" w14:paraId="71AFE1BE" w14:textId="77777777" w:rsidTr="004768B3">
        <w:trPr>
          <w:trHeight w:val="397"/>
        </w:trPr>
        <w:tc>
          <w:tcPr>
            <w:tcW w:w="172" w:type="pct"/>
          </w:tcPr>
          <w:p w14:paraId="61AECACE" w14:textId="77777777" w:rsidR="00742247" w:rsidRPr="004768B3" w:rsidRDefault="00742247" w:rsidP="001444F3">
            <w:pPr>
              <w:pStyle w:val="Tabletext1"/>
              <w:keepNext/>
              <w:rPr>
                <w:snapToGrid w:val="0"/>
              </w:rPr>
            </w:pPr>
            <w:r w:rsidRPr="004768B3">
              <w:rPr>
                <w:snapToGrid w:val="0"/>
              </w:rPr>
              <w:t>B</w:t>
            </w:r>
          </w:p>
        </w:tc>
        <w:tc>
          <w:tcPr>
            <w:tcW w:w="1014" w:type="pct"/>
            <w:shd w:val="clear" w:color="auto" w:fill="auto"/>
          </w:tcPr>
          <w:p w14:paraId="09A73548" w14:textId="77777777" w:rsidR="00742247" w:rsidRPr="006843FD" w:rsidRDefault="00742247" w:rsidP="001444F3">
            <w:pPr>
              <w:pStyle w:val="Tabletext1"/>
              <w:keepNext/>
              <w:rPr>
                <w:snapToGrid w:val="0"/>
                <w:highlight w:val="yellow"/>
              </w:rPr>
            </w:pPr>
            <w:r w:rsidRPr="00E27C24">
              <w:rPr>
                <w:snapToGrid w:val="0"/>
              </w:rPr>
              <w:t xml:space="preserve">Accuracy of mpMRI in </w:t>
            </w:r>
            <w:r>
              <w:rPr>
                <w:snapToGrid w:val="0"/>
              </w:rPr>
              <w:t>Population 1</w:t>
            </w:r>
            <w:r w:rsidRPr="00E27C24">
              <w:rPr>
                <w:snapToGrid w:val="0"/>
              </w:rPr>
              <w:t xml:space="preserve"> obtained from the sub-sample of Australian studies</w:t>
            </w:r>
          </w:p>
        </w:tc>
        <w:tc>
          <w:tcPr>
            <w:tcW w:w="1486" w:type="pct"/>
            <w:shd w:val="clear" w:color="auto" w:fill="auto"/>
            <w:vAlign w:val="center"/>
          </w:tcPr>
          <w:p w14:paraId="6EB3B0FE" w14:textId="77777777" w:rsidR="00742247" w:rsidRPr="006843FD" w:rsidRDefault="00742247" w:rsidP="001444F3">
            <w:pPr>
              <w:pStyle w:val="Tabletext1"/>
              <w:keepNext/>
              <w:rPr>
                <w:snapToGrid w:val="0"/>
                <w:highlight w:val="yellow"/>
              </w:rPr>
            </w:pPr>
            <w:r>
              <w:t xml:space="preserve">Sensitivity </w:t>
            </w:r>
            <w:r w:rsidRPr="00B82E0F">
              <w:t>54.3%</w:t>
            </w:r>
            <w:r>
              <w:t xml:space="preserve"> instead of </w:t>
            </w:r>
            <w:r w:rsidRPr="00B82E0F">
              <w:t>73.4%</w:t>
            </w:r>
            <w:r>
              <w:t xml:space="preserve">; </w:t>
            </w:r>
            <w:r w:rsidRPr="00B82E0F">
              <w:t>specificity 87.2%</w:t>
            </w:r>
            <w:r>
              <w:t xml:space="preserve"> instead of </w:t>
            </w:r>
            <w:r w:rsidRPr="00B82E0F">
              <w:t>77.1%</w:t>
            </w:r>
            <w:r>
              <w:t xml:space="preserve"> (see section C.2)</w:t>
            </w:r>
          </w:p>
        </w:tc>
        <w:tc>
          <w:tcPr>
            <w:tcW w:w="776" w:type="pct"/>
            <w:shd w:val="clear" w:color="auto" w:fill="auto"/>
            <w:vAlign w:val="center"/>
          </w:tcPr>
          <w:p w14:paraId="7E99F60F" w14:textId="77777777" w:rsidR="00742247" w:rsidRPr="00183E4D" w:rsidRDefault="00742247" w:rsidP="001444F3">
            <w:pPr>
              <w:pStyle w:val="Tabletext1"/>
              <w:keepNext/>
              <w:rPr>
                <w:snapToGrid w:val="0"/>
              </w:rPr>
            </w:pPr>
            <w:r>
              <w:rPr>
                <w:snapToGrid w:val="0"/>
              </w:rPr>
              <w:t>Dominated</w:t>
            </w:r>
          </w:p>
        </w:tc>
        <w:tc>
          <w:tcPr>
            <w:tcW w:w="776" w:type="pct"/>
            <w:vAlign w:val="center"/>
          </w:tcPr>
          <w:p w14:paraId="73818BF7" w14:textId="77777777" w:rsidR="00742247" w:rsidRPr="00F074AF" w:rsidRDefault="00742247" w:rsidP="001444F3">
            <w:pPr>
              <w:pStyle w:val="Tabletext1"/>
              <w:keepNext/>
              <w:rPr>
                <w:snapToGrid w:val="0"/>
              </w:rPr>
            </w:pPr>
            <w:r w:rsidRPr="00F074AF">
              <w:rPr>
                <w:snapToGrid w:val="0"/>
              </w:rPr>
              <w:t>$12,821</w:t>
            </w:r>
          </w:p>
        </w:tc>
        <w:tc>
          <w:tcPr>
            <w:tcW w:w="775" w:type="pct"/>
            <w:vAlign w:val="center"/>
          </w:tcPr>
          <w:p w14:paraId="4BE37FEF" w14:textId="77777777" w:rsidR="00742247" w:rsidRPr="00183E4D" w:rsidRDefault="00742247" w:rsidP="001444F3">
            <w:pPr>
              <w:pStyle w:val="Tabletext1"/>
              <w:keepNext/>
              <w:rPr>
                <w:snapToGrid w:val="0"/>
              </w:rPr>
            </w:pPr>
            <w:r>
              <w:rPr>
                <w:snapToGrid w:val="0"/>
              </w:rPr>
              <w:t>Dominated</w:t>
            </w:r>
          </w:p>
        </w:tc>
      </w:tr>
      <w:tr w:rsidR="00742247" w:rsidRPr="00183E4D" w14:paraId="7B4129FB" w14:textId="77777777" w:rsidTr="004768B3">
        <w:trPr>
          <w:trHeight w:val="397"/>
        </w:trPr>
        <w:tc>
          <w:tcPr>
            <w:tcW w:w="172" w:type="pct"/>
          </w:tcPr>
          <w:p w14:paraId="037421C6" w14:textId="77777777" w:rsidR="00742247" w:rsidRPr="004768B3" w:rsidRDefault="00742247" w:rsidP="001444F3">
            <w:pPr>
              <w:pStyle w:val="Tabletext1"/>
              <w:keepNext/>
              <w:rPr>
                <w:snapToGrid w:val="0"/>
              </w:rPr>
            </w:pPr>
            <w:r w:rsidRPr="004768B3">
              <w:rPr>
                <w:snapToGrid w:val="0"/>
              </w:rPr>
              <w:t>C</w:t>
            </w:r>
          </w:p>
        </w:tc>
        <w:tc>
          <w:tcPr>
            <w:tcW w:w="1014" w:type="pct"/>
            <w:shd w:val="clear" w:color="auto" w:fill="auto"/>
          </w:tcPr>
          <w:p w14:paraId="1940640D" w14:textId="77777777" w:rsidR="00742247" w:rsidRPr="006843FD" w:rsidRDefault="00742247" w:rsidP="001444F3">
            <w:pPr>
              <w:pStyle w:val="Tabletext1"/>
              <w:keepNext/>
              <w:rPr>
                <w:snapToGrid w:val="0"/>
                <w:highlight w:val="yellow"/>
              </w:rPr>
            </w:pPr>
            <w:r w:rsidRPr="00E27C24">
              <w:rPr>
                <w:snapToGrid w:val="0"/>
              </w:rPr>
              <w:t>Reduced sensitivity and increased specificity of mpMRI</w:t>
            </w:r>
          </w:p>
        </w:tc>
        <w:tc>
          <w:tcPr>
            <w:tcW w:w="1486" w:type="pct"/>
            <w:shd w:val="clear" w:color="auto" w:fill="auto"/>
            <w:vAlign w:val="center"/>
          </w:tcPr>
          <w:p w14:paraId="564B0643" w14:textId="77777777" w:rsidR="00742247" w:rsidRDefault="00742247" w:rsidP="001444F3">
            <w:pPr>
              <w:pStyle w:val="Tabletext1"/>
              <w:keepNext/>
            </w:pPr>
            <w:r>
              <w:t xml:space="preserve">Population 1: sensitivity 57.0% instead of </w:t>
            </w:r>
            <w:r w:rsidRPr="00B82E0F">
              <w:t>73.4%</w:t>
            </w:r>
            <w:r>
              <w:t xml:space="preserve">; </w:t>
            </w:r>
            <w:r w:rsidRPr="00B82E0F">
              <w:t xml:space="preserve">specificity </w:t>
            </w:r>
            <w:r>
              <w:t xml:space="preserve">86.7% instead of </w:t>
            </w:r>
            <w:r w:rsidRPr="00B82E0F">
              <w:t>77.1%</w:t>
            </w:r>
            <w:r>
              <w:t>.</w:t>
            </w:r>
          </w:p>
          <w:p w14:paraId="173C1361" w14:textId="77777777" w:rsidR="00742247" w:rsidRDefault="00742247" w:rsidP="001444F3">
            <w:pPr>
              <w:pStyle w:val="Tabletext1"/>
              <w:keepNext/>
            </w:pPr>
            <w:r>
              <w:t xml:space="preserve">Population 2: sensitivity 74.6% instead of 79.3%; </w:t>
            </w:r>
            <w:r w:rsidRPr="00B82E0F">
              <w:t xml:space="preserve">specificity </w:t>
            </w:r>
            <w:r>
              <w:t>59.8% instead of 55.1%.</w:t>
            </w:r>
          </w:p>
          <w:p w14:paraId="76C03E4F" w14:textId="77777777" w:rsidR="00742247" w:rsidRPr="00E27C24" w:rsidRDefault="00742247" w:rsidP="001444F3">
            <w:pPr>
              <w:pStyle w:val="Tabletext1"/>
              <w:keepNext/>
            </w:pPr>
            <w:r>
              <w:t>(based on 95% CIs, see section B.6)</w:t>
            </w:r>
          </w:p>
        </w:tc>
        <w:tc>
          <w:tcPr>
            <w:tcW w:w="776" w:type="pct"/>
            <w:shd w:val="clear" w:color="auto" w:fill="auto"/>
            <w:vAlign w:val="center"/>
          </w:tcPr>
          <w:p w14:paraId="4823673E" w14:textId="77777777" w:rsidR="00742247" w:rsidRPr="00F074AF" w:rsidRDefault="00742247" w:rsidP="001444F3">
            <w:pPr>
              <w:pStyle w:val="Tabletext1"/>
              <w:keepNext/>
              <w:rPr>
                <w:snapToGrid w:val="0"/>
              </w:rPr>
            </w:pPr>
            <w:r w:rsidRPr="00F074AF">
              <w:rPr>
                <w:snapToGrid w:val="0"/>
              </w:rPr>
              <w:t>Dominated</w:t>
            </w:r>
          </w:p>
        </w:tc>
        <w:tc>
          <w:tcPr>
            <w:tcW w:w="776" w:type="pct"/>
            <w:vAlign w:val="center"/>
          </w:tcPr>
          <w:p w14:paraId="113C89D2" w14:textId="77777777" w:rsidR="00742247" w:rsidRPr="00F074AF" w:rsidRDefault="00742247" w:rsidP="001444F3">
            <w:pPr>
              <w:pStyle w:val="Tabletext1"/>
              <w:keepNext/>
              <w:rPr>
                <w:snapToGrid w:val="0"/>
              </w:rPr>
            </w:pPr>
            <w:r>
              <w:rPr>
                <w:snapToGrid w:val="0"/>
              </w:rPr>
              <w:t>$16,425</w:t>
            </w:r>
          </w:p>
        </w:tc>
        <w:tc>
          <w:tcPr>
            <w:tcW w:w="775" w:type="pct"/>
            <w:vAlign w:val="center"/>
          </w:tcPr>
          <w:p w14:paraId="5A7FFE07" w14:textId="77777777" w:rsidR="00742247" w:rsidRPr="00183E4D" w:rsidRDefault="00742247" w:rsidP="001444F3">
            <w:pPr>
              <w:pStyle w:val="Tabletext1"/>
              <w:keepNext/>
              <w:rPr>
                <w:snapToGrid w:val="0"/>
              </w:rPr>
            </w:pPr>
            <w:r>
              <w:rPr>
                <w:snapToGrid w:val="0"/>
              </w:rPr>
              <w:t>Dominated</w:t>
            </w:r>
          </w:p>
        </w:tc>
      </w:tr>
      <w:tr w:rsidR="00742247" w:rsidRPr="00183E4D" w14:paraId="1E2B588F" w14:textId="77777777" w:rsidTr="004768B3">
        <w:trPr>
          <w:trHeight w:val="397"/>
        </w:trPr>
        <w:tc>
          <w:tcPr>
            <w:tcW w:w="172" w:type="pct"/>
          </w:tcPr>
          <w:p w14:paraId="0DF4816A" w14:textId="77777777" w:rsidR="00742247" w:rsidRPr="004768B3" w:rsidRDefault="00742247" w:rsidP="001444F3">
            <w:pPr>
              <w:pStyle w:val="Tabletext1"/>
              <w:keepNext/>
              <w:rPr>
                <w:snapToGrid w:val="0"/>
              </w:rPr>
            </w:pPr>
            <w:r w:rsidRPr="004768B3">
              <w:rPr>
                <w:snapToGrid w:val="0"/>
              </w:rPr>
              <w:t>D</w:t>
            </w:r>
          </w:p>
        </w:tc>
        <w:tc>
          <w:tcPr>
            <w:tcW w:w="1014" w:type="pct"/>
            <w:shd w:val="clear" w:color="auto" w:fill="auto"/>
          </w:tcPr>
          <w:p w14:paraId="78158351" w14:textId="77777777" w:rsidR="00742247" w:rsidRPr="006843FD" w:rsidRDefault="00742247" w:rsidP="001444F3">
            <w:pPr>
              <w:pStyle w:val="Tabletext1"/>
              <w:keepNext/>
              <w:rPr>
                <w:snapToGrid w:val="0"/>
                <w:highlight w:val="yellow"/>
              </w:rPr>
            </w:pPr>
            <w:r>
              <w:rPr>
                <w:snapToGrid w:val="0"/>
              </w:rPr>
              <w:t xml:space="preserve">Increased </w:t>
            </w:r>
            <w:r w:rsidRPr="00E27C24">
              <w:rPr>
                <w:snapToGrid w:val="0"/>
              </w:rPr>
              <w:t xml:space="preserve">sensitivity and </w:t>
            </w:r>
            <w:r>
              <w:rPr>
                <w:snapToGrid w:val="0"/>
              </w:rPr>
              <w:t>reduced</w:t>
            </w:r>
            <w:r w:rsidRPr="00E27C24">
              <w:rPr>
                <w:snapToGrid w:val="0"/>
              </w:rPr>
              <w:t xml:space="preserve"> specificity of mpMRI</w:t>
            </w:r>
          </w:p>
        </w:tc>
        <w:tc>
          <w:tcPr>
            <w:tcW w:w="1486" w:type="pct"/>
            <w:shd w:val="clear" w:color="auto" w:fill="auto"/>
            <w:vAlign w:val="center"/>
          </w:tcPr>
          <w:p w14:paraId="6C5BA306" w14:textId="77777777" w:rsidR="00742247" w:rsidRDefault="00742247" w:rsidP="001444F3">
            <w:pPr>
              <w:pStyle w:val="Tabletext1"/>
              <w:keepNext/>
            </w:pPr>
            <w:r>
              <w:t xml:space="preserve">Population 1: sensitivity 85.1% instead of </w:t>
            </w:r>
            <w:r w:rsidRPr="00B82E0F">
              <w:t>73.4%</w:t>
            </w:r>
            <w:r>
              <w:t xml:space="preserve">; </w:t>
            </w:r>
            <w:r w:rsidRPr="00B82E0F">
              <w:t xml:space="preserve">specificity </w:t>
            </w:r>
            <w:r>
              <w:t xml:space="preserve">63.5% instead of </w:t>
            </w:r>
            <w:r w:rsidRPr="00B82E0F">
              <w:t>77.1%</w:t>
            </w:r>
            <w:r>
              <w:t>.</w:t>
            </w:r>
          </w:p>
          <w:p w14:paraId="128A0CE7" w14:textId="77777777" w:rsidR="00742247" w:rsidRDefault="00742247" w:rsidP="001444F3">
            <w:pPr>
              <w:pStyle w:val="Tabletext1"/>
              <w:keepNext/>
            </w:pPr>
            <w:r>
              <w:t xml:space="preserve">Population 2: sensitivity 83.3% instead of 79.3%; </w:t>
            </w:r>
            <w:r w:rsidRPr="00B82E0F">
              <w:t xml:space="preserve">specificity </w:t>
            </w:r>
            <w:r>
              <w:t>50.4% instead of 55.1%.</w:t>
            </w:r>
          </w:p>
          <w:p w14:paraId="551DA6CD" w14:textId="77777777" w:rsidR="00742247" w:rsidRPr="006843FD" w:rsidRDefault="00742247" w:rsidP="001444F3">
            <w:pPr>
              <w:pStyle w:val="Tabletext1"/>
              <w:keepNext/>
              <w:rPr>
                <w:snapToGrid w:val="0"/>
                <w:highlight w:val="yellow"/>
              </w:rPr>
            </w:pPr>
            <w:r>
              <w:t>(based on 95% CIs, see section B.6)</w:t>
            </w:r>
          </w:p>
        </w:tc>
        <w:tc>
          <w:tcPr>
            <w:tcW w:w="776" w:type="pct"/>
            <w:shd w:val="clear" w:color="auto" w:fill="auto"/>
            <w:vAlign w:val="center"/>
          </w:tcPr>
          <w:p w14:paraId="6D94D8BE" w14:textId="77777777" w:rsidR="00742247" w:rsidRPr="00183E4D" w:rsidRDefault="00742247" w:rsidP="001444F3">
            <w:pPr>
              <w:pStyle w:val="Tabletext1"/>
              <w:keepNext/>
              <w:rPr>
                <w:snapToGrid w:val="0"/>
              </w:rPr>
            </w:pPr>
            <w:r>
              <w:rPr>
                <w:snapToGrid w:val="0"/>
              </w:rPr>
              <w:t>Dominated</w:t>
            </w:r>
          </w:p>
        </w:tc>
        <w:tc>
          <w:tcPr>
            <w:tcW w:w="776" w:type="pct"/>
            <w:vAlign w:val="center"/>
          </w:tcPr>
          <w:p w14:paraId="024BDBCD" w14:textId="77777777" w:rsidR="00742247" w:rsidRPr="00F074AF" w:rsidRDefault="00742247" w:rsidP="001444F3">
            <w:pPr>
              <w:pStyle w:val="Tabletext1"/>
              <w:keepNext/>
              <w:rPr>
                <w:snapToGrid w:val="0"/>
              </w:rPr>
            </w:pPr>
            <w:r>
              <w:rPr>
                <w:snapToGrid w:val="0"/>
              </w:rPr>
              <w:t>$13,329</w:t>
            </w:r>
          </w:p>
        </w:tc>
        <w:tc>
          <w:tcPr>
            <w:tcW w:w="775" w:type="pct"/>
            <w:vAlign w:val="center"/>
          </w:tcPr>
          <w:p w14:paraId="333BF4CE" w14:textId="77777777" w:rsidR="00742247" w:rsidRPr="00183E4D" w:rsidRDefault="00742247" w:rsidP="001444F3">
            <w:pPr>
              <w:pStyle w:val="Tabletext1"/>
              <w:keepNext/>
              <w:rPr>
                <w:snapToGrid w:val="0"/>
              </w:rPr>
            </w:pPr>
            <w:r>
              <w:rPr>
                <w:snapToGrid w:val="0"/>
              </w:rPr>
              <w:t>Dominated</w:t>
            </w:r>
          </w:p>
        </w:tc>
      </w:tr>
      <w:tr w:rsidR="00742247" w:rsidRPr="00183E4D" w14:paraId="40BD4A9D" w14:textId="77777777" w:rsidTr="004768B3">
        <w:trPr>
          <w:trHeight w:val="397"/>
        </w:trPr>
        <w:tc>
          <w:tcPr>
            <w:tcW w:w="172" w:type="pct"/>
            <w:shd w:val="clear" w:color="auto" w:fill="auto"/>
          </w:tcPr>
          <w:p w14:paraId="7FF128A2" w14:textId="77777777" w:rsidR="00742247" w:rsidRPr="004768B3" w:rsidRDefault="00742247" w:rsidP="001444F3">
            <w:pPr>
              <w:pStyle w:val="Tabletext1"/>
              <w:keepNext/>
            </w:pPr>
            <w:r w:rsidRPr="004768B3">
              <w:t>E</w:t>
            </w:r>
          </w:p>
        </w:tc>
        <w:tc>
          <w:tcPr>
            <w:tcW w:w="1014" w:type="pct"/>
            <w:shd w:val="clear" w:color="auto" w:fill="auto"/>
          </w:tcPr>
          <w:p w14:paraId="61B0C204" w14:textId="77777777" w:rsidR="00742247" w:rsidRPr="00EE5398" w:rsidRDefault="00742247" w:rsidP="001444F3">
            <w:pPr>
              <w:pStyle w:val="Tabletext1"/>
              <w:keepNext/>
            </w:pPr>
            <w:r w:rsidRPr="00EE5398">
              <w:t>Immediate risk of disease progression to advanced PC</w:t>
            </w:r>
            <w:r>
              <w:t>a</w:t>
            </w:r>
            <w:r w:rsidRPr="00EE5398">
              <w:t xml:space="preserve"> for false-negative patients with intermediate/high risk PC</w:t>
            </w:r>
            <w:r>
              <w:t>a</w:t>
            </w:r>
            <w:r w:rsidRPr="00EE5398">
              <w:t>.</w:t>
            </w:r>
          </w:p>
        </w:tc>
        <w:tc>
          <w:tcPr>
            <w:tcW w:w="1486" w:type="pct"/>
            <w:shd w:val="clear" w:color="auto" w:fill="auto"/>
            <w:vAlign w:val="center"/>
          </w:tcPr>
          <w:p w14:paraId="550FF456" w14:textId="77777777" w:rsidR="00742247" w:rsidRPr="00EE5398" w:rsidRDefault="00742247" w:rsidP="001444F3">
            <w:pPr>
              <w:pStyle w:val="Tabletext1"/>
              <w:keepNext/>
            </w:pPr>
            <w:r w:rsidRPr="00EE5398">
              <w:t xml:space="preserve">0.097% (Gann et al. 2010, see </w:t>
            </w:r>
            <w:r>
              <w:t>CA 1424</w:t>
            </w:r>
            <w:r w:rsidRPr="00EE5398">
              <w:t>) instead of 0%</w:t>
            </w:r>
          </w:p>
        </w:tc>
        <w:tc>
          <w:tcPr>
            <w:tcW w:w="776" w:type="pct"/>
            <w:shd w:val="clear" w:color="auto" w:fill="auto"/>
            <w:vAlign w:val="center"/>
          </w:tcPr>
          <w:p w14:paraId="601D5BC2" w14:textId="77777777" w:rsidR="00742247" w:rsidRPr="00EE5398" w:rsidRDefault="00742247" w:rsidP="001444F3">
            <w:pPr>
              <w:pStyle w:val="Tabletext1"/>
              <w:keepNext/>
              <w:rPr>
                <w:snapToGrid w:val="0"/>
              </w:rPr>
            </w:pPr>
            <w:r>
              <w:rPr>
                <w:snapToGrid w:val="0"/>
              </w:rPr>
              <w:t>Dominated</w:t>
            </w:r>
          </w:p>
        </w:tc>
        <w:tc>
          <w:tcPr>
            <w:tcW w:w="776" w:type="pct"/>
            <w:vAlign w:val="center"/>
          </w:tcPr>
          <w:p w14:paraId="61561D7B" w14:textId="77777777" w:rsidR="00742247" w:rsidRPr="00F074AF" w:rsidRDefault="00742247" w:rsidP="001444F3">
            <w:pPr>
              <w:pStyle w:val="Tabletext1"/>
              <w:keepNext/>
              <w:rPr>
                <w:snapToGrid w:val="0"/>
              </w:rPr>
            </w:pPr>
            <w:r>
              <w:rPr>
                <w:snapToGrid w:val="0"/>
              </w:rPr>
              <w:t>$17,241</w:t>
            </w:r>
          </w:p>
        </w:tc>
        <w:tc>
          <w:tcPr>
            <w:tcW w:w="775" w:type="pct"/>
            <w:vAlign w:val="center"/>
          </w:tcPr>
          <w:p w14:paraId="3FB5E920" w14:textId="77777777" w:rsidR="00742247" w:rsidRPr="00183E4D" w:rsidRDefault="00742247" w:rsidP="001444F3">
            <w:pPr>
              <w:pStyle w:val="Tabletext1"/>
              <w:keepNext/>
              <w:rPr>
                <w:snapToGrid w:val="0"/>
              </w:rPr>
            </w:pPr>
            <w:r>
              <w:rPr>
                <w:snapToGrid w:val="0"/>
              </w:rPr>
              <w:t>Dominated</w:t>
            </w:r>
          </w:p>
        </w:tc>
      </w:tr>
      <w:tr w:rsidR="00742247" w:rsidRPr="00183E4D" w14:paraId="6257C5E7" w14:textId="77777777" w:rsidTr="004768B3">
        <w:trPr>
          <w:trHeight w:val="397"/>
        </w:trPr>
        <w:tc>
          <w:tcPr>
            <w:tcW w:w="172" w:type="pct"/>
          </w:tcPr>
          <w:p w14:paraId="38E448A5" w14:textId="77777777" w:rsidR="00742247" w:rsidRPr="004768B3" w:rsidRDefault="00742247" w:rsidP="001444F3">
            <w:pPr>
              <w:pStyle w:val="Tabletext1"/>
              <w:keepNext/>
            </w:pPr>
            <w:r w:rsidRPr="004768B3">
              <w:t>F</w:t>
            </w:r>
          </w:p>
        </w:tc>
        <w:tc>
          <w:tcPr>
            <w:tcW w:w="1014" w:type="pct"/>
            <w:shd w:val="clear" w:color="auto" w:fill="auto"/>
          </w:tcPr>
          <w:p w14:paraId="28C3B317" w14:textId="77777777" w:rsidR="00742247" w:rsidRPr="00614614" w:rsidRDefault="00742247" w:rsidP="001444F3">
            <w:pPr>
              <w:pStyle w:val="Tabletext1"/>
              <w:keepNext/>
            </w:pPr>
            <w:r w:rsidRPr="00614614">
              <w:t>No disutility for biopsy</w:t>
            </w:r>
          </w:p>
        </w:tc>
        <w:tc>
          <w:tcPr>
            <w:tcW w:w="1486" w:type="pct"/>
            <w:shd w:val="clear" w:color="auto" w:fill="auto"/>
            <w:vAlign w:val="center"/>
          </w:tcPr>
          <w:p w14:paraId="76BA4854" w14:textId="77777777" w:rsidR="00742247" w:rsidRPr="00614614" w:rsidRDefault="00742247" w:rsidP="001444F3">
            <w:pPr>
              <w:pStyle w:val="Tabletext1"/>
              <w:keepNext/>
            </w:pPr>
            <w:r w:rsidRPr="00614614">
              <w:t>0 instead of -0.035</w:t>
            </w:r>
          </w:p>
        </w:tc>
        <w:tc>
          <w:tcPr>
            <w:tcW w:w="776" w:type="pct"/>
            <w:shd w:val="clear" w:color="auto" w:fill="auto"/>
            <w:vAlign w:val="center"/>
          </w:tcPr>
          <w:p w14:paraId="6375A996" w14:textId="77777777" w:rsidR="00742247" w:rsidRPr="00614614" w:rsidRDefault="00742247" w:rsidP="001444F3">
            <w:pPr>
              <w:pStyle w:val="Tabletext1"/>
              <w:keepNext/>
              <w:rPr>
                <w:snapToGrid w:val="0"/>
              </w:rPr>
            </w:pPr>
            <w:r w:rsidRPr="00614614">
              <w:rPr>
                <w:snapToGrid w:val="0"/>
              </w:rPr>
              <w:t>Dominated</w:t>
            </w:r>
          </w:p>
        </w:tc>
        <w:tc>
          <w:tcPr>
            <w:tcW w:w="776" w:type="pct"/>
            <w:vAlign w:val="center"/>
          </w:tcPr>
          <w:p w14:paraId="33F7CF10" w14:textId="77777777" w:rsidR="00742247" w:rsidRPr="005E26E9" w:rsidRDefault="00742247" w:rsidP="001444F3">
            <w:pPr>
              <w:pStyle w:val="Tabletext1"/>
              <w:keepNext/>
              <w:rPr>
                <w:snapToGrid w:val="0"/>
                <w:highlight w:val="red"/>
              </w:rPr>
            </w:pPr>
            <w:r>
              <w:rPr>
                <w:snapToGrid w:val="0"/>
              </w:rPr>
              <w:t>$17,094</w:t>
            </w:r>
          </w:p>
        </w:tc>
        <w:tc>
          <w:tcPr>
            <w:tcW w:w="775" w:type="pct"/>
            <w:vAlign w:val="center"/>
          </w:tcPr>
          <w:p w14:paraId="44CF5E0C" w14:textId="77777777" w:rsidR="00742247" w:rsidRPr="00614614" w:rsidRDefault="00742247" w:rsidP="001444F3">
            <w:pPr>
              <w:pStyle w:val="Tabletext1"/>
              <w:keepNext/>
              <w:rPr>
                <w:snapToGrid w:val="0"/>
              </w:rPr>
            </w:pPr>
            <w:r w:rsidRPr="00614614">
              <w:rPr>
                <w:snapToGrid w:val="0"/>
              </w:rPr>
              <w:t>Dominated</w:t>
            </w:r>
          </w:p>
        </w:tc>
      </w:tr>
      <w:tr w:rsidR="00742247" w:rsidRPr="00183E4D" w14:paraId="14CC36D0" w14:textId="77777777" w:rsidTr="004768B3">
        <w:trPr>
          <w:trHeight w:val="397"/>
        </w:trPr>
        <w:tc>
          <w:tcPr>
            <w:tcW w:w="172" w:type="pct"/>
          </w:tcPr>
          <w:p w14:paraId="5C501D10" w14:textId="77777777" w:rsidR="00742247" w:rsidRPr="004768B3" w:rsidRDefault="00742247" w:rsidP="001444F3">
            <w:pPr>
              <w:pStyle w:val="Tabletext1"/>
              <w:keepNext/>
            </w:pPr>
            <w:r w:rsidRPr="004768B3">
              <w:t>G</w:t>
            </w:r>
          </w:p>
        </w:tc>
        <w:tc>
          <w:tcPr>
            <w:tcW w:w="1014" w:type="pct"/>
            <w:shd w:val="clear" w:color="auto" w:fill="auto"/>
          </w:tcPr>
          <w:p w14:paraId="0877C91B" w14:textId="77777777" w:rsidR="00742247" w:rsidRPr="00614614" w:rsidRDefault="00742247" w:rsidP="001444F3">
            <w:pPr>
              <w:pStyle w:val="Tabletext1"/>
              <w:keepNext/>
            </w:pPr>
            <w:r w:rsidRPr="00614614">
              <w:t>Higher disutility for biopsy</w:t>
            </w:r>
          </w:p>
        </w:tc>
        <w:tc>
          <w:tcPr>
            <w:tcW w:w="1486" w:type="pct"/>
            <w:shd w:val="clear" w:color="auto" w:fill="auto"/>
            <w:vAlign w:val="center"/>
          </w:tcPr>
          <w:p w14:paraId="766ABF90" w14:textId="77777777" w:rsidR="00742247" w:rsidRPr="00614614" w:rsidRDefault="00742247" w:rsidP="001444F3">
            <w:pPr>
              <w:pStyle w:val="Tabletext1"/>
              <w:keepNext/>
            </w:pPr>
            <w:r w:rsidRPr="00614614">
              <w:t>-0.05 instead of -0.035</w:t>
            </w:r>
          </w:p>
        </w:tc>
        <w:tc>
          <w:tcPr>
            <w:tcW w:w="776" w:type="pct"/>
            <w:shd w:val="clear" w:color="auto" w:fill="auto"/>
            <w:vAlign w:val="center"/>
          </w:tcPr>
          <w:p w14:paraId="7843DE56" w14:textId="77777777" w:rsidR="00742247" w:rsidRPr="00A60DB3" w:rsidRDefault="00742247" w:rsidP="001444F3">
            <w:pPr>
              <w:pStyle w:val="Tabletext1"/>
              <w:keepNext/>
              <w:rPr>
                <w:snapToGrid w:val="0"/>
              </w:rPr>
            </w:pPr>
            <w:r w:rsidRPr="00A60DB3">
              <w:rPr>
                <w:snapToGrid w:val="0"/>
              </w:rPr>
              <w:t>Dominated</w:t>
            </w:r>
          </w:p>
        </w:tc>
        <w:tc>
          <w:tcPr>
            <w:tcW w:w="776" w:type="pct"/>
            <w:vAlign w:val="center"/>
          </w:tcPr>
          <w:p w14:paraId="5EB58027" w14:textId="77777777" w:rsidR="00742247" w:rsidRPr="00A60DB3" w:rsidRDefault="00742247" w:rsidP="001444F3">
            <w:pPr>
              <w:pStyle w:val="Tabletext1"/>
              <w:keepNext/>
              <w:rPr>
                <w:snapToGrid w:val="0"/>
              </w:rPr>
            </w:pPr>
            <w:r w:rsidRPr="00A60DB3">
              <w:rPr>
                <w:snapToGrid w:val="0"/>
              </w:rPr>
              <w:t>$12,821</w:t>
            </w:r>
          </w:p>
        </w:tc>
        <w:tc>
          <w:tcPr>
            <w:tcW w:w="775" w:type="pct"/>
            <w:vAlign w:val="center"/>
          </w:tcPr>
          <w:p w14:paraId="74023C32" w14:textId="77777777" w:rsidR="00742247" w:rsidRPr="00614614" w:rsidRDefault="00742247" w:rsidP="001444F3">
            <w:pPr>
              <w:pStyle w:val="Tabletext1"/>
              <w:keepNext/>
              <w:rPr>
                <w:snapToGrid w:val="0"/>
              </w:rPr>
            </w:pPr>
            <w:r w:rsidRPr="00614614">
              <w:rPr>
                <w:snapToGrid w:val="0"/>
              </w:rPr>
              <w:t>Dominated</w:t>
            </w:r>
          </w:p>
        </w:tc>
      </w:tr>
      <w:tr w:rsidR="00742247" w:rsidRPr="00183E4D" w14:paraId="4FA9FC30" w14:textId="77777777" w:rsidTr="004768B3">
        <w:trPr>
          <w:trHeight w:val="397"/>
        </w:trPr>
        <w:tc>
          <w:tcPr>
            <w:tcW w:w="172" w:type="pct"/>
          </w:tcPr>
          <w:p w14:paraId="795F8B92" w14:textId="77777777" w:rsidR="00742247" w:rsidRPr="004768B3" w:rsidRDefault="00742247" w:rsidP="001444F3">
            <w:pPr>
              <w:pStyle w:val="Tabletext1"/>
              <w:keepNext/>
              <w:rPr>
                <w:snapToGrid w:val="0"/>
              </w:rPr>
            </w:pPr>
            <w:r w:rsidRPr="004768B3">
              <w:rPr>
                <w:snapToGrid w:val="0"/>
              </w:rPr>
              <w:t>H</w:t>
            </w:r>
          </w:p>
        </w:tc>
        <w:tc>
          <w:tcPr>
            <w:tcW w:w="1014" w:type="pct"/>
            <w:shd w:val="clear" w:color="auto" w:fill="auto"/>
          </w:tcPr>
          <w:p w14:paraId="617A6137" w14:textId="77777777" w:rsidR="00742247" w:rsidRPr="00D12C4E" w:rsidRDefault="00742247" w:rsidP="001444F3">
            <w:pPr>
              <w:pStyle w:val="Tabletext1"/>
              <w:keepNext/>
              <w:rPr>
                <w:snapToGrid w:val="0"/>
              </w:rPr>
            </w:pPr>
            <w:r>
              <w:rPr>
                <w:snapToGrid w:val="0"/>
              </w:rPr>
              <w:t>Lower mpMRI fee</w:t>
            </w:r>
          </w:p>
        </w:tc>
        <w:tc>
          <w:tcPr>
            <w:tcW w:w="1486" w:type="pct"/>
            <w:shd w:val="clear" w:color="auto" w:fill="auto"/>
            <w:vAlign w:val="center"/>
          </w:tcPr>
          <w:p w14:paraId="2EF05A84" w14:textId="77777777" w:rsidR="00742247" w:rsidRPr="00D12C4E" w:rsidRDefault="00742247" w:rsidP="001444F3">
            <w:pPr>
              <w:pStyle w:val="Tabletext1"/>
              <w:keepNext/>
              <w:rPr>
                <w:snapToGrid w:val="0"/>
              </w:rPr>
            </w:pPr>
            <w:r>
              <w:t>$380.80 instead of $510.02</w:t>
            </w:r>
          </w:p>
        </w:tc>
        <w:tc>
          <w:tcPr>
            <w:tcW w:w="776" w:type="pct"/>
            <w:shd w:val="clear" w:color="auto" w:fill="auto"/>
            <w:vAlign w:val="center"/>
          </w:tcPr>
          <w:p w14:paraId="55CD4422" w14:textId="77777777" w:rsidR="00742247" w:rsidRPr="004F2F9D" w:rsidRDefault="00742247" w:rsidP="001444F3">
            <w:pPr>
              <w:pStyle w:val="Tabletext1"/>
              <w:keepNext/>
              <w:rPr>
                <w:snapToGrid w:val="0"/>
              </w:rPr>
            </w:pPr>
            <w:r w:rsidRPr="004F2F9D">
              <w:rPr>
                <w:snapToGrid w:val="0"/>
              </w:rPr>
              <w:t>Dominated</w:t>
            </w:r>
          </w:p>
        </w:tc>
        <w:tc>
          <w:tcPr>
            <w:tcW w:w="776" w:type="pct"/>
            <w:vAlign w:val="center"/>
          </w:tcPr>
          <w:p w14:paraId="3EBB9F73" w14:textId="77777777" w:rsidR="00742247" w:rsidRPr="004F2F9D" w:rsidRDefault="00742247" w:rsidP="001444F3">
            <w:pPr>
              <w:pStyle w:val="Tabletext1"/>
              <w:keepNext/>
              <w:rPr>
                <w:snapToGrid w:val="0"/>
              </w:rPr>
            </w:pPr>
            <w:r w:rsidRPr="004F2F9D">
              <w:rPr>
                <w:snapToGrid w:val="0"/>
              </w:rPr>
              <w:t>$7,293</w:t>
            </w:r>
          </w:p>
        </w:tc>
        <w:tc>
          <w:tcPr>
            <w:tcW w:w="775" w:type="pct"/>
            <w:vAlign w:val="center"/>
          </w:tcPr>
          <w:p w14:paraId="3EE0C31D" w14:textId="77777777" w:rsidR="00742247" w:rsidRPr="00183E4D" w:rsidRDefault="00742247" w:rsidP="001444F3">
            <w:pPr>
              <w:pStyle w:val="Tabletext1"/>
              <w:keepNext/>
              <w:rPr>
                <w:snapToGrid w:val="0"/>
              </w:rPr>
            </w:pPr>
            <w:r>
              <w:rPr>
                <w:snapToGrid w:val="0"/>
              </w:rPr>
              <w:t>Dominated</w:t>
            </w:r>
          </w:p>
        </w:tc>
      </w:tr>
      <w:tr w:rsidR="00742247" w:rsidRPr="00183E4D" w14:paraId="5100AFE4" w14:textId="77777777" w:rsidTr="004768B3">
        <w:trPr>
          <w:trHeight w:val="397"/>
        </w:trPr>
        <w:tc>
          <w:tcPr>
            <w:tcW w:w="172" w:type="pct"/>
          </w:tcPr>
          <w:p w14:paraId="473C904F" w14:textId="77777777" w:rsidR="00742247" w:rsidRPr="004768B3" w:rsidRDefault="00742247" w:rsidP="001444F3">
            <w:pPr>
              <w:pStyle w:val="Tabletext1"/>
              <w:keepNext/>
              <w:rPr>
                <w:snapToGrid w:val="0"/>
              </w:rPr>
            </w:pPr>
            <w:r w:rsidRPr="004768B3">
              <w:rPr>
                <w:snapToGrid w:val="0"/>
              </w:rPr>
              <w:t>I</w:t>
            </w:r>
          </w:p>
        </w:tc>
        <w:tc>
          <w:tcPr>
            <w:tcW w:w="1014" w:type="pct"/>
            <w:shd w:val="clear" w:color="auto" w:fill="auto"/>
          </w:tcPr>
          <w:p w14:paraId="7978FC7D" w14:textId="77777777" w:rsidR="00742247" w:rsidRPr="00D12C4E" w:rsidRDefault="00742247" w:rsidP="001444F3">
            <w:pPr>
              <w:pStyle w:val="Tabletext1"/>
              <w:keepNext/>
              <w:rPr>
                <w:snapToGrid w:val="0"/>
              </w:rPr>
            </w:pPr>
            <w:r w:rsidRPr="00D12C4E">
              <w:rPr>
                <w:snapToGrid w:val="0"/>
              </w:rPr>
              <w:t>Time horizon</w:t>
            </w:r>
            <w:r>
              <w:rPr>
                <w:snapToGrid w:val="0"/>
              </w:rPr>
              <w:t xml:space="preserve"> 5 years</w:t>
            </w:r>
          </w:p>
        </w:tc>
        <w:tc>
          <w:tcPr>
            <w:tcW w:w="1486" w:type="pct"/>
            <w:shd w:val="clear" w:color="auto" w:fill="auto"/>
            <w:vAlign w:val="center"/>
          </w:tcPr>
          <w:p w14:paraId="317B46CA" w14:textId="77777777" w:rsidR="00742247" w:rsidRPr="00D12C4E" w:rsidRDefault="00742247" w:rsidP="001444F3">
            <w:pPr>
              <w:pStyle w:val="Tabletext1"/>
              <w:keepNext/>
              <w:rPr>
                <w:snapToGrid w:val="0"/>
              </w:rPr>
            </w:pPr>
            <w:r>
              <w:t>5 years instead of 25 years (lifetime)</w:t>
            </w:r>
          </w:p>
        </w:tc>
        <w:tc>
          <w:tcPr>
            <w:tcW w:w="776" w:type="pct"/>
            <w:shd w:val="clear" w:color="auto" w:fill="auto"/>
            <w:vAlign w:val="center"/>
          </w:tcPr>
          <w:p w14:paraId="61578521" w14:textId="77777777" w:rsidR="00742247" w:rsidRPr="00A16F5C" w:rsidRDefault="00742247" w:rsidP="001444F3">
            <w:pPr>
              <w:pStyle w:val="Tabletext1"/>
              <w:keepNext/>
              <w:rPr>
                <w:snapToGrid w:val="0"/>
              </w:rPr>
            </w:pPr>
            <w:r>
              <w:rPr>
                <w:snapToGrid w:val="0"/>
              </w:rPr>
              <w:t>$80,264</w:t>
            </w:r>
          </w:p>
        </w:tc>
        <w:tc>
          <w:tcPr>
            <w:tcW w:w="776" w:type="pct"/>
            <w:vAlign w:val="center"/>
          </w:tcPr>
          <w:p w14:paraId="759B2358" w14:textId="77777777" w:rsidR="00742247" w:rsidRPr="005A3E63" w:rsidRDefault="00742247" w:rsidP="001444F3">
            <w:pPr>
              <w:pStyle w:val="Tabletext1"/>
              <w:keepNext/>
              <w:rPr>
                <w:snapToGrid w:val="0"/>
              </w:rPr>
            </w:pPr>
            <w:r w:rsidRPr="005A3E63">
              <w:rPr>
                <w:snapToGrid w:val="0"/>
              </w:rPr>
              <w:t>$26,856</w:t>
            </w:r>
          </w:p>
        </w:tc>
        <w:tc>
          <w:tcPr>
            <w:tcW w:w="775" w:type="pct"/>
            <w:vAlign w:val="center"/>
          </w:tcPr>
          <w:p w14:paraId="5BA7D76F" w14:textId="77777777" w:rsidR="00742247" w:rsidRPr="00A16F5C" w:rsidRDefault="00742247" w:rsidP="001444F3">
            <w:pPr>
              <w:pStyle w:val="Tabletext1"/>
              <w:keepNext/>
              <w:rPr>
                <w:snapToGrid w:val="0"/>
              </w:rPr>
            </w:pPr>
            <w:r>
              <w:rPr>
                <w:snapToGrid w:val="0"/>
              </w:rPr>
              <w:t>$58,356</w:t>
            </w:r>
          </w:p>
        </w:tc>
      </w:tr>
      <w:tr w:rsidR="00742247" w:rsidRPr="00183E4D" w14:paraId="3ED7727A" w14:textId="77777777" w:rsidTr="004768B3">
        <w:trPr>
          <w:trHeight w:val="397"/>
        </w:trPr>
        <w:tc>
          <w:tcPr>
            <w:tcW w:w="172" w:type="pct"/>
          </w:tcPr>
          <w:p w14:paraId="22688D41" w14:textId="77777777" w:rsidR="00742247" w:rsidRPr="004768B3" w:rsidRDefault="00742247" w:rsidP="001444F3">
            <w:pPr>
              <w:pStyle w:val="Tabletext1"/>
              <w:keepNext/>
              <w:rPr>
                <w:snapToGrid w:val="0"/>
              </w:rPr>
            </w:pPr>
            <w:r w:rsidRPr="004768B3">
              <w:rPr>
                <w:snapToGrid w:val="0"/>
              </w:rPr>
              <w:t>J</w:t>
            </w:r>
          </w:p>
        </w:tc>
        <w:tc>
          <w:tcPr>
            <w:tcW w:w="1014" w:type="pct"/>
            <w:shd w:val="clear" w:color="auto" w:fill="auto"/>
          </w:tcPr>
          <w:p w14:paraId="1FFFBEC6" w14:textId="77777777" w:rsidR="00742247" w:rsidRPr="00D12C4E" w:rsidRDefault="00742247" w:rsidP="001444F3">
            <w:pPr>
              <w:pStyle w:val="Tabletext1"/>
              <w:keepNext/>
              <w:rPr>
                <w:snapToGrid w:val="0"/>
              </w:rPr>
            </w:pPr>
            <w:r w:rsidRPr="00D12C4E">
              <w:rPr>
                <w:snapToGrid w:val="0"/>
              </w:rPr>
              <w:t>Time horizon</w:t>
            </w:r>
            <w:r>
              <w:rPr>
                <w:snapToGrid w:val="0"/>
              </w:rPr>
              <w:t xml:space="preserve"> 10 years</w:t>
            </w:r>
          </w:p>
        </w:tc>
        <w:tc>
          <w:tcPr>
            <w:tcW w:w="1486" w:type="pct"/>
            <w:shd w:val="clear" w:color="auto" w:fill="auto"/>
            <w:vAlign w:val="center"/>
          </w:tcPr>
          <w:p w14:paraId="31466256" w14:textId="77777777" w:rsidR="00742247" w:rsidRPr="00D12C4E" w:rsidRDefault="00742247" w:rsidP="001444F3">
            <w:pPr>
              <w:pStyle w:val="Tabletext1"/>
              <w:keepNext/>
            </w:pPr>
            <w:r>
              <w:t>10 years instead of 25 years (lifetime)</w:t>
            </w:r>
          </w:p>
        </w:tc>
        <w:tc>
          <w:tcPr>
            <w:tcW w:w="776" w:type="pct"/>
            <w:shd w:val="clear" w:color="auto" w:fill="auto"/>
            <w:vAlign w:val="center"/>
          </w:tcPr>
          <w:p w14:paraId="74373DC1" w14:textId="77777777" w:rsidR="00742247" w:rsidRPr="00183E4D" w:rsidRDefault="00742247" w:rsidP="001444F3">
            <w:pPr>
              <w:pStyle w:val="Tabletext1"/>
              <w:keepNext/>
              <w:rPr>
                <w:snapToGrid w:val="0"/>
              </w:rPr>
            </w:pPr>
            <w:r>
              <w:rPr>
                <w:snapToGrid w:val="0"/>
              </w:rPr>
              <w:t>Dominated</w:t>
            </w:r>
          </w:p>
        </w:tc>
        <w:tc>
          <w:tcPr>
            <w:tcW w:w="776" w:type="pct"/>
            <w:vAlign w:val="center"/>
          </w:tcPr>
          <w:p w14:paraId="0648FE04" w14:textId="77777777" w:rsidR="00742247" w:rsidRPr="005A3E63" w:rsidRDefault="00742247" w:rsidP="001444F3">
            <w:pPr>
              <w:pStyle w:val="Tabletext1"/>
              <w:keepNext/>
              <w:rPr>
                <w:snapToGrid w:val="0"/>
              </w:rPr>
            </w:pPr>
            <w:r w:rsidRPr="005A3E63">
              <w:rPr>
                <w:snapToGrid w:val="0"/>
              </w:rPr>
              <w:t>$25,711</w:t>
            </w:r>
          </w:p>
        </w:tc>
        <w:tc>
          <w:tcPr>
            <w:tcW w:w="775" w:type="pct"/>
            <w:vAlign w:val="center"/>
          </w:tcPr>
          <w:p w14:paraId="39459E52" w14:textId="77777777" w:rsidR="00742247" w:rsidRPr="00183E4D" w:rsidRDefault="00742247" w:rsidP="001444F3">
            <w:pPr>
              <w:pStyle w:val="Tabletext1"/>
              <w:keepNext/>
              <w:rPr>
                <w:snapToGrid w:val="0"/>
              </w:rPr>
            </w:pPr>
            <w:r>
              <w:rPr>
                <w:snapToGrid w:val="0"/>
              </w:rPr>
              <w:t>Dominated</w:t>
            </w:r>
          </w:p>
        </w:tc>
      </w:tr>
      <w:tr w:rsidR="00742247" w:rsidRPr="00183E4D" w14:paraId="04AB6D61" w14:textId="77777777" w:rsidTr="004768B3">
        <w:trPr>
          <w:trHeight w:val="397"/>
        </w:trPr>
        <w:tc>
          <w:tcPr>
            <w:tcW w:w="172" w:type="pct"/>
          </w:tcPr>
          <w:p w14:paraId="6A4F7F1F" w14:textId="77777777" w:rsidR="00742247" w:rsidRPr="004768B3" w:rsidRDefault="00742247" w:rsidP="001444F3">
            <w:pPr>
              <w:pStyle w:val="Tabletext1"/>
              <w:keepNext/>
            </w:pPr>
            <w:r w:rsidRPr="004768B3">
              <w:t>K</w:t>
            </w:r>
          </w:p>
        </w:tc>
        <w:tc>
          <w:tcPr>
            <w:tcW w:w="1014" w:type="pct"/>
            <w:shd w:val="clear" w:color="auto" w:fill="auto"/>
          </w:tcPr>
          <w:p w14:paraId="06CCA913" w14:textId="77777777" w:rsidR="00742247" w:rsidRPr="00D12C4E" w:rsidRDefault="00742247" w:rsidP="001444F3">
            <w:pPr>
              <w:pStyle w:val="Tabletext1"/>
              <w:keepNext/>
              <w:rPr>
                <w:snapToGrid w:val="0"/>
              </w:rPr>
            </w:pPr>
            <w:r>
              <w:t>No d</w:t>
            </w:r>
            <w:r w:rsidRPr="00D12C4E">
              <w:t>iscounting</w:t>
            </w:r>
          </w:p>
        </w:tc>
        <w:tc>
          <w:tcPr>
            <w:tcW w:w="1486" w:type="pct"/>
            <w:shd w:val="clear" w:color="auto" w:fill="auto"/>
            <w:vAlign w:val="center"/>
          </w:tcPr>
          <w:p w14:paraId="747EE516" w14:textId="77777777" w:rsidR="00742247" w:rsidRPr="00D12C4E" w:rsidRDefault="00742247" w:rsidP="001444F3">
            <w:pPr>
              <w:pStyle w:val="Tabletext1"/>
              <w:keepNext/>
              <w:rPr>
                <w:snapToGrid w:val="0"/>
              </w:rPr>
            </w:pPr>
            <w:r w:rsidRPr="00D12C4E">
              <w:t>No discounting</w:t>
            </w:r>
          </w:p>
        </w:tc>
        <w:tc>
          <w:tcPr>
            <w:tcW w:w="776" w:type="pct"/>
            <w:shd w:val="clear" w:color="auto" w:fill="auto"/>
            <w:vAlign w:val="center"/>
          </w:tcPr>
          <w:p w14:paraId="43277D1F" w14:textId="77777777" w:rsidR="00742247" w:rsidRPr="007A7294" w:rsidRDefault="00742247" w:rsidP="001444F3">
            <w:pPr>
              <w:pStyle w:val="Tabletext1"/>
              <w:keepNext/>
              <w:rPr>
                <w:snapToGrid w:val="0"/>
              </w:rPr>
            </w:pPr>
            <w:r w:rsidRPr="007A7294">
              <w:rPr>
                <w:snapToGrid w:val="0"/>
              </w:rPr>
              <w:t>Dominated</w:t>
            </w:r>
          </w:p>
        </w:tc>
        <w:tc>
          <w:tcPr>
            <w:tcW w:w="776" w:type="pct"/>
            <w:vAlign w:val="center"/>
          </w:tcPr>
          <w:p w14:paraId="5CF7D8F7" w14:textId="77777777" w:rsidR="00742247" w:rsidRPr="00104B6C" w:rsidRDefault="00742247" w:rsidP="001444F3">
            <w:pPr>
              <w:pStyle w:val="Tabletext1"/>
              <w:keepNext/>
              <w:rPr>
                <w:snapToGrid w:val="0"/>
              </w:rPr>
            </w:pPr>
            <w:r w:rsidRPr="00104B6C">
              <w:rPr>
                <w:snapToGrid w:val="0"/>
              </w:rPr>
              <w:t>$</w:t>
            </w:r>
            <w:r>
              <w:rPr>
                <w:snapToGrid w:val="0"/>
              </w:rPr>
              <w:t>12,8</w:t>
            </w:r>
            <w:r w:rsidRPr="00104B6C">
              <w:rPr>
                <w:snapToGrid w:val="0"/>
              </w:rPr>
              <w:t>21</w:t>
            </w:r>
          </w:p>
        </w:tc>
        <w:tc>
          <w:tcPr>
            <w:tcW w:w="775" w:type="pct"/>
            <w:vAlign w:val="center"/>
          </w:tcPr>
          <w:p w14:paraId="2B4B593E" w14:textId="77777777" w:rsidR="00742247" w:rsidRPr="00183E4D" w:rsidRDefault="00742247" w:rsidP="001444F3">
            <w:pPr>
              <w:pStyle w:val="Tabletext1"/>
              <w:keepNext/>
              <w:rPr>
                <w:snapToGrid w:val="0"/>
              </w:rPr>
            </w:pPr>
            <w:r>
              <w:rPr>
                <w:snapToGrid w:val="0"/>
              </w:rPr>
              <w:t>Dominated</w:t>
            </w:r>
          </w:p>
        </w:tc>
      </w:tr>
      <w:tr w:rsidR="00742247" w:rsidRPr="00183E4D" w14:paraId="5028C16A" w14:textId="77777777" w:rsidTr="004768B3">
        <w:trPr>
          <w:trHeight w:val="397"/>
        </w:trPr>
        <w:tc>
          <w:tcPr>
            <w:tcW w:w="172" w:type="pct"/>
          </w:tcPr>
          <w:p w14:paraId="3F8FCB26" w14:textId="77777777" w:rsidR="00742247" w:rsidRPr="004768B3" w:rsidRDefault="00742247" w:rsidP="001444F3">
            <w:pPr>
              <w:pStyle w:val="Tabletext1"/>
              <w:keepNext/>
            </w:pPr>
            <w:r w:rsidRPr="004768B3">
              <w:t>L</w:t>
            </w:r>
          </w:p>
        </w:tc>
        <w:tc>
          <w:tcPr>
            <w:tcW w:w="1014" w:type="pct"/>
            <w:shd w:val="clear" w:color="auto" w:fill="auto"/>
          </w:tcPr>
          <w:p w14:paraId="0A715164" w14:textId="77777777" w:rsidR="00742247" w:rsidRPr="00D12C4E" w:rsidRDefault="00742247" w:rsidP="001444F3">
            <w:pPr>
              <w:pStyle w:val="Tabletext1"/>
              <w:keepNext/>
              <w:rPr>
                <w:snapToGrid w:val="0"/>
              </w:rPr>
            </w:pPr>
            <w:r>
              <w:t>Include half-cycle correction</w:t>
            </w:r>
          </w:p>
        </w:tc>
        <w:tc>
          <w:tcPr>
            <w:tcW w:w="1486" w:type="pct"/>
            <w:shd w:val="clear" w:color="auto" w:fill="auto"/>
            <w:vAlign w:val="center"/>
          </w:tcPr>
          <w:p w14:paraId="384C21FA" w14:textId="77777777" w:rsidR="00742247" w:rsidRPr="00D12C4E" w:rsidRDefault="00742247" w:rsidP="001444F3">
            <w:pPr>
              <w:pStyle w:val="Tabletext1"/>
              <w:keepNext/>
              <w:rPr>
                <w:snapToGrid w:val="0"/>
              </w:rPr>
            </w:pPr>
            <w:r>
              <w:rPr>
                <w:snapToGrid w:val="0"/>
              </w:rPr>
              <w:t>Half-cycle correction activated in TreeAge</w:t>
            </w:r>
          </w:p>
        </w:tc>
        <w:tc>
          <w:tcPr>
            <w:tcW w:w="776" w:type="pct"/>
            <w:shd w:val="clear" w:color="auto" w:fill="auto"/>
            <w:vAlign w:val="center"/>
          </w:tcPr>
          <w:p w14:paraId="5BC03395" w14:textId="77777777" w:rsidR="00742247" w:rsidRPr="00183E4D" w:rsidRDefault="00742247" w:rsidP="001444F3">
            <w:pPr>
              <w:pStyle w:val="Tabletext1"/>
              <w:keepNext/>
              <w:rPr>
                <w:snapToGrid w:val="0"/>
              </w:rPr>
            </w:pPr>
            <w:r>
              <w:rPr>
                <w:snapToGrid w:val="0"/>
              </w:rPr>
              <w:t>Dominated</w:t>
            </w:r>
          </w:p>
        </w:tc>
        <w:tc>
          <w:tcPr>
            <w:tcW w:w="776" w:type="pct"/>
            <w:vAlign w:val="center"/>
          </w:tcPr>
          <w:p w14:paraId="7787CB12" w14:textId="77777777" w:rsidR="00742247" w:rsidRPr="00104B6C" w:rsidRDefault="00742247" w:rsidP="001444F3">
            <w:pPr>
              <w:pStyle w:val="Tabletext1"/>
              <w:keepNext/>
              <w:rPr>
                <w:snapToGrid w:val="0"/>
              </w:rPr>
            </w:pPr>
            <w:r w:rsidRPr="00104B6C">
              <w:rPr>
                <w:snapToGrid w:val="0"/>
              </w:rPr>
              <w:t>$</w:t>
            </w:r>
            <w:r>
              <w:rPr>
                <w:snapToGrid w:val="0"/>
              </w:rPr>
              <w:t>13,864</w:t>
            </w:r>
          </w:p>
        </w:tc>
        <w:tc>
          <w:tcPr>
            <w:tcW w:w="775" w:type="pct"/>
            <w:vAlign w:val="center"/>
          </w:tcPr>
          <w:p w14:paraId="2F86599E" w14:textId="77777777" w:rsidR="00742247" w:rsidRPr="00183E4D" w:rsidRDefault="00742247" w:rsidP="001444F3">
            <w:pPr>
              <w:pStyle w:val="Tabletext1"/>
              <w:keepNext/>
              <w:rPr>
                <w:snapToGrid w:val="0"/>
              </w:rPr>
            </w:pPr>
            <w:r>
              <w:rPr>
                <w:snapToGrid w:val="0"/>
              </w:rPr>
              <w:t>Dominated</w:t>
            </w:r>
          </w:p>
        </w:tc>
      </w:tr>
    </w:tbl>
    <w:p w14:paraId="4690D021" w14:textId="4DB11E17" w:rsidR="00742247" w:rsidRDefault="00742247" w:rsidP="00742247">
      <w:pPr>
        <w:spacing w:line="240" w:lineRule="auto"/>
        <w:contextualSpacing/>
        <w:rPr>
          <w:rFonts w:ascii="Arial Narrow" w:hAnsi="Arial Narrow"/>
          <w:sz w:val="20"/>
        </w:rPr>
      </w:pPr>
      <w:r w:rsidRPr="00DC025B">
        <w:rPr>
          <w:rStyle w:val="TableNotesChar"/>
        </w:rPr>
        <w:t>CI</w:t>
      </w:r>
      <w:r w:rsidR="003130E5" w:rsidRPr="00DC025B">
        <w:rPr>
          <w:rStyle w:val="TableNotesChar"/>
        </w:rPr>
        <w:t xml:space="preserve"> =</w:t>
      </w:r>
      <w:r w:rsidRPr="00DC025B">
        <w:rPr>
          <w:rStyle w:val="TableNotesChar"/>
        </w:rPr>
        <w:t xml:space="preserve"> confidence interval</w:t>
      </w:r>
      <w:r w:rsidR="003130E5" w:rsidRPr="00DC025B">
        <w:rPr>
          <w:rStyle w:val="TableNotesChar"/>
        </w:rPr>
        <w:t>,</w:t>
      </w:r>
      <w:r w:rsidRPr="00DC025B">
        <w:rPr>
          <w:rStyle w:val="TableNotesChar"/>
        </w:rPr>
        <w:t xml:space="preserve"> ICER</w:t>
      </w:r>
      <w:r w:rsidR="003130E5" w:rsidRPr="00DC025B">
        <w:rPr>
          <w:rStyle w:val="TableNotesChar"/>
        </w:rPr>
        <w:t xml:space="preserve"> =</w:t>
      </w:r>
      <w:r w:rsidRPr="00DC025B">
        <w:rPr>
          <w:rStyle w:val="TableNotesChar"/>
        </w:rPr>
        <w:t xml:space="preserve"> incremental cost-effectiveness ratio</w:t>
      </w:r>
      <w:r w:rsidR="003130E5" w:rsidRPr="00DC025B">
        <w:rPr>
          <w:rStyle w:val="TableNotesChar"/>
        </w:rPr>
        <w:t>,</w:t>
      </w:r>
      <w:r w:rsidRPr="00DC025B">
        <w:rPr>
          <w:rStyle w:val="TableNotesChar"/>
        </w:rPr>
        <w:t xml:space="preserve"> mpMRI</w:t>
      </w:r>
      <w:r w:rsidR="003130E5" w:rsidRPr="00DC025B">
        <w:rPr>
          <w:rStyle w:val="TableNotesChar"/>
        </w:rPr>
        <w:t xml:space="preserve"> =</w:t>
      </w:r>
      <w:r w:rsidRPr="00DC025B">
        <w:rPr>
          <w:rStyle w:val="TableNotesChar"/>
        </w:rPr>
        <w:t xml:space="preserve"> multiparametric MRI</w:t>
      </w:r>
      <w:r w:rsidR="003130E5" w:rsidRPr="00DC025B">
        <w:rPr>
          <w:rStyle w:val="TableNotesChar"/>
        </w:rPr>
        <w:t>,</w:t>
      </w:r>
      <w:r w:rsidRPr="00DC025B">
        <w:rPr>
          <w:rStyle w:val="TableNotesChar"/>
        </w:rPr>
        <w:t xml:space="preserve"> </w:t>
      </w:r>
      <w:r w:rsidR="00E96DDA" w:rsidRPr="00DC025B">
        <w:rPr>
          <w:rStyle w:val="TableNotesChar"/>
        </w:rPr>
        <w:t>MRIGB</w:t>
      </w:r>
      <w:r w:rsidR="003130E5" w:rsidRPr="00DC025B">
        <w:rPr>
          <w:rStyle w:val="TableNotesChar"/>
        </w:rPr>
        <w:t xml:space="preserve"> =</w:t>
      </w:r>
      <w:r w:rsidRPr="00DC025B">
        <w:rPr>
          <w:rStyle w:val="TableNotesChar"/>
        </w:rPr>
        <w:t xml:space="preserve"> magnetic resonance guided biopsy</w:t>
      </w:r>
      <w:r w:rsidR="003130E5" w:rsidRPr="00DC025B">
        <w:rPr>
          <w:rStyle w:val="TableNotesChar"/>
        </w:rPr>
        <w:t>,</w:t>
      </w:r>
      <w:r w:rsidRPr="00DC025B">
        <w:rPr>
          <w:rStyle w:val="TableNotesChar"/>
        </w:rPr>
        <w:t xml:space="preserve"> NA</w:t>
      </w:r>
      <w:r w:rsidR="003130E5" w:rsidRPr="00DC025B">
        <w:rPr>
          <w:rStyle w:val="TableNotesChar"/>
        </w:rPr>
        <w:t xml:space="preserve"> =</w:t>
      </w:r>
      <w:r w:rsidRPr="00DC025B">
        <w:rPr>
          <w:rStyle w:val="TableNotesChar"/>
        </w:rPr>
        <w:t xml:space="preserve"> not available</w:t>
      </w:r>
      <w:r w:rsidR="003130E5" w:rsidRPr="00DC025B">
        <w:rPr>
          <w:rStyle w:val="TableNotesChar"/>
        </w:rPr>
        <w:t>,</w:t>
      </w:r>
      <w:r w:rsidRPr="00DC025B">
        <w:rPr>
          <w:rStyle w:val="TableNotesChar"/>
        </w:rPr>
        <w:t xml:space="preserve"> PCa</w:t>
      </w:r>
      <w:r w:rsidR="003130E5" w:rsidRPr="00DC025B">
        <w:rPr>
          <w:rStyle w:val="TableNotesChar"/>
        </w:rPr>
        <w:t xml:space="preserve"> =</w:t>
      </w:r>
      <w:r w:rsidRPr="00DC025B">
        <w:rPr>
          <w:rStyle w:val="TableNotesChar"/>
        </w:rPr>
        <w:t xml:space="preserve"> prostate cancer</w:t>
      </w:r>
      <w:r w:rsidR="003130E5" w:rsidRPr="00DC025B">
        <w:rPr>
          <w:rStyle w:val="TableNotesChar"/>
        </w:rPr>
        <w:t>,</w:t>
      </w:r>
      <w:r w:rsidRPr="00DC025B">
        <w:rPr>
          <w:rStyle w:val="TableNotesChar"/>
        </w:rPr>
        <w:t xml:space="preserve"> PI-RADS</w:t>
      </w:r>
      <w:r w:rsidR="003130E5" w:rsidRPr="00DC025B">
        <w:rPr>
          <w:rStyle w:val="TableNotesChar"/>
        </w:rPr>
        <w:t xml:space="preserve"> =</w:t>
      </w:r>
      <w:r w:rsidR="00BF3F0A" w:rsidRPr="00DC025B">
        <w:rPr>
          <w:rStyle w:val="TableNotesChar"/>
        </w:rPr>
        <w:t xml:space="preserve"> p</w:t>
      </w:r>
      <w:r w:rsidRPr="00DC025B">
        <w:rPr>
          <w:rStyle w:val="TableNotesChar"/>
        </w:rPr>
        <w:t>rostate imaging reported and data system</w:t>
      </w:r>
      <w:r>
        <w:rPr>
          <w:rFonts w:ascii="Arial Narrow" w:hAnsi="Arial Narrow"/>
          <w:sz w:val="20"/>
        </w:rPr>
        <w:t xml:space="preserve">.  </w:t>
      </w:r>
    </w:p>
    <w:p w14:paraId="18980834" w14:textId="77777777" w:rsidR="00742247" w:rsidRPr="00183E4D" w:rsidRDefault="00742247" w:rsidP="00742247">
      <w:pPr>
        <w:spacing w:after="0" w:line="240" w:lineRule="auto"/>
      </w:pPr>
      <w:r w:rsidRPr="00183E4D">
        <w:br w:type="page"/>
      </w:r>
    </w:p>
    <w:p w14:paraId="742DF142" w14:textId="77777777" w:rsidR="00742247" w:rsidRPr="00183E4D" w:rsidRDefault="00742247" w:rsidP="00742247">
      <w:pPr>
        <w:pStyle w:val="Heading1"/>
      </w:pPr>
      <w:bookmarkStart w:id="656" w:name="_Toc445463512"/>
      <w:bookmarkStart w:id="657" w:name="_Toc457223213"/>
      <w:bookmarkStart w:id="658" w:name="_Toc457383629"/>
      <w:bookmarkStart w:id="659" w:name="_Toc459987877"/>
      <w:bookmarkStart w:id="660" w:name="_Toc460513997"/>
      <w:bookmarkStart w:id="661" w:name="_Ref379274614"/>
      <w:bookmarkEnd w:id="485"/>
      <w:r w:rsidRPr="00183E4D">
        <w:lastRenderedPageBreak/>
        <w:t xml:space="preserve">Section </w:t>
      </w:r>
      <w:r>
        <w:t>E</w:t>
      </w:r>
      <w:r w:rsidRPr="00183E4D">
        <w:tab/>
      </w:r>
      <w:r>
        <w:t>Financial Implications</w:t>
      </w:r>
      <w:bookmarkEnd w:id="656"/>
      <w:bookmarkEnd w:id="657"/>
      <w:bookmarkEnd w:id="658"/>
      <w:bookmarkEnd w:id="659"/>
      <w:bookmarkEnd w:id="660"/>
    </w:p>
    <w:p w14:paraId="218D6425" w14:textId="77777777" w:rsidR="00742247" w:rsidRDefault="00742247" w:rsidP="00742247">
      <w:pPr>
        <w:pStyle w:val="Heading2"/>
        <w:numPr>
          <w:ilvl w:val="4"/>
          <w:numId w:val="8"/>
        </w:numPr>
        <w:jc w:val="left"/>
      </w:pPr>
      <w:bookmarkStart w:id="662" w:name="_Toc214091269"/>
      <w:bookmarkStart w:id="663" w:name="_Toc341796089"/>
      <w:bookmarkStart w:id="664" w:name="_Toc445463513"/>
      <w:bookmarkStart w:id="665" w:name="_Toc457223214"/>
      <w:bookmarkStart w:id="666" w:name="_Toc457383630"/>
      <w:bookmarkStart w:id="667" w:name="_Toc459987878"/>
      <w:bookmarkStart w:id="668" w:name="_Toc460513998"/>
      <w:r>
        <w:t>Justification of the selection of sources of data</w:t>
      </w:r>
      <w:bookmarkEnd w:id="662"/>
      <w:bookmarkEnd w:id="663"/>
      <w:bookmarkEnd w:id="664"/>
      <w:bookmarkEnd w:id="665"/>
      <w:bookmarkEnd w:id="666"/>
      <w:bookmarkEnd w:id="667"/>
      <w:bookmarkEnd w:id="668"/>
    </w:p>
    <w:p w14:paraId="484799F6" w14:textId="77777777" w:rsidR="00742247" w:rsidRDefault="00742247" w:rsidP="00742247">
      <w:r w:rsidRPr="00007302">
        <w:t xml:space="preserve">A combination of the market share approach (in </w:t>
      </w:r>
      <w:r>
        <w:t>Population 1</w:t>
      </w:r>
      <w:r w:rsidRPr="00007302">
        <w:t xml:space="preserve"> and 2) and the epidemiological approach (in </w:t>
      </w:r>
      <w:r>
        <w:t>Population 2</w:t>
      </w:r>
      <w:r w:rsidRPr="00007302">
        <w:t>) were used to estimate the financial implications of the introduction of mpMRI. Where possible, utilisation estimates from different data sources were compared.</w:t>
      </w:r>
      <w:r>
        <w:t xml:space="preserve"> The sources of data used in the assessment are summarised in </w:t>
      </w:r>
      <w:r>
        <w:fldChar w:fldCharType="begin"/>
      </w:r>
      <w:r>
        <w:instrText xml:space="preserve"> REF _Ref456681176 \h </w:instrText>
      </w:r>
      <w:r>
        <w:fldChar w:fldCharType="separate"/>
      </w:r>
      <w:r w:rsidR="0029649D">
        <w:t xml:space="preserve">Table </w:t>
      </w:r>
      <w:r w:rsidR="0029649D">
        <w:rPr>
          <w:noProof/>
        </w:rPr>
        <w:t>63</w:t>
      </w:r>
      <w:r>
        <w:fldChar w:fldCharType="end"/>
      </w:r>
      <w:r>
        <w:t xml:space="preserve">. </w:t>
      </w:r>
    </w:p>
    <w:p w14:paraId="7DEA46E2" w14:textId="77777777" w:rsidR="00742247" w:rsidRPr="004C739F" w:rsidRDefault="00742247" w:rsidP="00742247">
      <w:pPr>
        <w:pStyle w:val="Caption"/>
      </w:pPr>
      <w:bookmarkStart w:id="669" w:name="_Ref456681176"/>
      <w:bookmarkStart w:id="670" w:name="_Toc457223144"/>
      <w:bookmarkStart w:id="671" w:name="_Toc457383684"/>
      <w:bookmarkStart w:id="672" w:name="_Toc459987923"/>
      <w:bookmarkStart w:id="673" w:name="_Toc460514563"/>
      <w:r>
        <w:t xml:space="preserve">Table </w:t>
      </w:r>
      <w:fldSimple w:instr=" SEQ Table \* ARABIC ">
        <w:r w:rsidR="0029649D">
          <w:rPr>
            <w:noProof/>
          </w:rPr>
          <w:t>63</w:t>
        </w:r>
      </w:fldSimple>
      <w:bookmarkEnd w:id="669"/>
      <w:r>
        <w:tab/>
      </w:r>
      <w:r w:rsidRPr="004C739F">
        <w:t>Summary of data sources used</w:t>
      </w:r>
      <w:bookmarkEnd w:id="670"/>
      <w:bookmarkEnd w:id="671"/>
      <w:bookmarkEnd w:id="672"/>
      <w:bookmarkEnd w:id="673"/>
      <w:r>
        <w:t xml:space="preserve"> </w:t>
      </w:r>
    </w:p>
    <w:tbl>
      <w:tblPr>
        <w:tblStyle w:val="TableGrid"/>
        <w:tblW w:w="5000" w:type="pct"/>
        <w:tblLayout w:type="fixed"/>
        <w:tblLook w:val="04A0" w:firstRow="1" w:lastRow="0" w:firstColumn="1" w:lastColumn="0" w:noHBand="0" w:noVBand="1"/>
        <w:tblDescription w:val="Summary of data sources used "/>
      </w:tblPr>
      <w:tblGrid>
        <w:gridCol w:w="2983"/>
        <w:gridCol w:w="952"/>
        <w:gridCol w:w="5307"/>
      </w:tblGrid>
      <w:tr w:rsidR="00742247" w:rsidRPr="004768B3" w14:paraId="621087A8" w14:textId="77777777" w:rsidTr="00BF3F0A">
        <w:trPr>
          <w:tblHeader/>
        </w:trPr>
        <w:tc>
          <w:tcPr>
            <w:tcW w:w="1614" w:type="pct"/>
            <w:tcBorders>
              <w:top w:val="single" w:sz="4" w:space="0" w:color="auto"/>
              <w:left w:val="single" w:sz="4" w:space="0" w:color="auto"/>
              <w:bottom w:val="single" w:sz="4" w:space="0" w:color="auto"/>
              <w:right w:val="single" w:sz="4" w:space="0" w:color="auto"/>
            </w:tcBorders>
          </w:tcPr>
          <w:p w14:paraId="1FAE481C" w14:textId="77777777" w:rsidR="00742247" w:rsidRPr="004768B3" w:rsidRDefault="00742247" w:rsidP="00597E3E">
            <w:pPr>
              <w:pStyle w:val="Tableheading1"/>
              <w:rPr>
                <w:snapToGrid w:val="0"/>
              </w:rPr>
            </w:pPr>
            <w:r w:rsidRPr="004768B3">
              <w:rPr>
                <w:snapToGrid w:val="0"/>
              </w:rPr>
              <w:t>Parameter</w:t>
            </w:r>
          </w:p>
        </w:tc>
        <w:tc>
          <w:tcPr>
            <w:tcW w:w="515" w:type="pct"/>
            <w:tcBorders>
              <w:top w:val="single" w:sz="4" w:space="0" w:color="auto"/>
              <w:left w:val="single" w:sz="4" w:space="0" w:color="auto"/>
              <w:bottom w:val="single" w:sz="4" w:space="0" w:color="auto"/>
              <w:right w:val="single" w:sz="4" w:space="0" w:color="auto"/>
            </w:tcBorders>
          </w:tcPr>
          <w:p w14:paraId="7C112552" w14:textId="77777777" w:rsidR="00742247" w:rsidRPr="004768B3" w:rsidRDefault="00742247" w:rsidP="00597E3E">
            <w:pPr>
              <w:pStyle w:val="Tableheading1"/>
              <w:rPr>
                <w:snapToGrid w:val="0"/>
              </w:rPr>
            </w:pPr>
            <w:r w:rsidRPr="004768B3">
              <w:rPr>
                <w:snapToGrid w:val="0"/>
              </w:rPr>
              <w:t>Value</w:t>
            </w:r>
          </w:p>
        </w:tc>
        <w:tc>
          <w:tcPr>
            <w:tcW w:w="2871" w:type="pct"/>
            <w:tcBorders>
              <w:top w:val="single" w:sz="4" w:space="0" w:color="auto"/>
              <w:left w:val="single" w:sz="4" w:space="0" w:color="auto"/>
              <w:bottom w:val="single" w:sz="4" w:space="0" w:color="auto"/>
              <w:right w:val="single" w:sz="4" w:space="0" w:color="auto"/>
            </w:tcBorders>
          </w:tcPr>
          <w:p w14:paraId="38D1C21C" w14:textId="77777777" w:rsidR="00742247" w:rsidRPr="004768B3" w:rsidRDefault="00742247" w:rsidP="00597E3E">
            <w:pPr>
              <w:pStyle w:val="Tableheading1"/>
              <w:rPr>
                <w:snapToGrid w:val="0"/>
              </w:rPr>
            </w:pPr>
            <w:r w:rsidRPr="004768B3">
              <w:rPr>
                <w:snapToGrid w:val="0"/>
              </w:rPr>
              <w:t>Source</w:t>
            </w:r>
          </w:p>
        </w:tc>
      </w:tr>
      <w:tr w:rsidR="00742247" w:rsidRPr="004768B3" w14:paraId="0D0815D4" w14:textId="77777777" w:rsidTr="002768CD">
        <w:tc>
          <w:tcPr>
            <w:tcW w:w="5000" w:type="pct"/>
            <w:gridSpan w:val="3"/>
            <w:tcBorders>
              <w:top w:val="single" w:sz="4" w:space="0" w:color="auto"/>
              <w:left w:val="single" w:sz="4" w:space="0" w:color="auto"/>
              <w:bottom w:val="single" w:sz="4" w:space="0" w:color="auto"/>
              <w:right w:val="single" w:sz="4" w:space="0" w:color="auto"/>
            </w:tcBorders>
          </w:tcPr>
          <w:p w14:paraId="2F312FEB" w14:textId="77777777" w:rsidR="00742247" w:rsidRPr="004768B3" w:rsidRDefault="00742247" w:rsidP="00597E3E">
            <w:pPr>
              <w:pStyle w:val="Tabletext1"/>
            </w:pPr>
            <w:r w:rsidRPr="004768B3">
              <w:t xml:space="preserve">Intervention costs </w:t>
            </w:r>
          </w:p>
        </w:tc>
      </w:tr>
      <w:tr w:rsidR="00742247" w:rsidRPr="0040023F" w14:paraId="43AA11F0" w14:textId="77777777" w:rsidTr="00BF3F0A">
        <w:tc>
          <w:tcPr>
            <w:tcW w:w="1614" w:type="pct"/>
            <w:tcBorders>
              <w:top w:val="single" w:sz="4" w:space="0" w:color="auto"/>
              <w:left w:val="single" w:sz="4" w:space="0" w:color="auto"/>
              <w:bottom w:val="single" w:sz="4" w:space="0" w:color="auto"/>
              <w:right w:val="nil"/>
            </w:tcBorders>
          </w:tcPr>
          <w:p w14:paraId="0A3A1620" w14:textId="77777777" w:rsidR="00742247" w:rsidRPr="00745F16" w:rsidRDefault="00742247" w:rsidP="00597E3E">
            <w:pPr>
              <w:pStyle w:val="Tabletext1"/>
              <w:rPr>
                <w:snapToGrid w:val="0"/>
              </w:rPr>
            </w:pPr>
            <w:r w:rsidRPr="00745F16">
              <w:rPr>
                <w:snapToGrid w:val="0"/>
              </w:rPr>
              <w:t>mpMRI</w:t>
            </w:r>
          </w:p>
        </w:tc>
        <w:tc>
          <w:tcPr>
            <w:tcW w:w="515" w:type="pct"/>
            <w:tcBorders>
              <w:top w:val="single" w:sz="4" w:space="0" w:color="auto"/>
              <w:left w:val="nil"/>
              <w:bottom w:val="single" w:sz="4" w:space="0" w:color="auto"/>
              <w:right w:val="nil"/>
            </w:tcBorders>
          </w:tcPr>
          <w:p w14:paraId="716F6E43" w14:textId="77777777" w:rsidR="00742247" w:rsidRPr="00EC6845" w:rsidRDefault="00742247" w:rsidP="00597E3E">
            <w:pPr>
              <w:pStyle w:val="Tabletext1"/>
              <w:rPr>
                <w:snapToGrid w:val="0"/>
              </w:rPr>
            </w:pPr>
          </w:p>
        </w:tc>
        <w:tc>
          <w:tcPr>
            <w:tcW w:w="2871" w:type="pct"/>
            <w:tcBorders>
              <w:top w:val="single" w:sz="4" w:space="0" w:color="auto"/>
              <w:left w:val="nil"/>
              <w:bottom w:val="single" w:sz="4" w:space="0" w:color="auto"/>
              <w:right w:val="single" w:sz="4" w:space="0" w:color="auto"/>
            </w:tcBorders>
          </w:tcPr>
          <w:p w14:paraId="5AE5F9B9" w14:textId="77777777" w:rsidR="00742247" w:rsidRPr="00FB43AB" w:rsidRDefault="00742247" w:rsidP="00597E3E">
            <w:pPr>
              <w:pStyle w:val="Tabletext1"/>
              <w:rPr>
                <w:i/>
                <w:snapToGrid w:val="0"/>
              </w:rPr>
            </w:pPr>
          </w:p>
        </w:tc>
      </w:tr>
      <w:tr w:rsidR="00742247" w:rsidRPr="0040023F" w14:paraId="26D721A8" w14:textId="77777777" w:rsidTr="00BF3F0A">
        <w:tc>
          <w:tcPr>
            <w:tcW w:w="1614" w:type="pct"/>
            <w:tcBorders>
              <w:top w:val="single" w:sz="4" w:space="0" w:color="auto"/>
              <w:left w:val="single" w:sz="4" w:space="0" w:color="auto"/>
              <w:bottom w:val="single" w:sz="4" w:space="0" w:color="auto"/>
              <w:right w:val="single" w:sz="4" w:space="0" w:color="auto"/>
            </w:tcBorders>
          </w:tcPr>
          <w:p w14:paraId="6E7EF4F5" w14:textId="77777777" w:rsidR="00742247" w:rsidRPr="00EC6845" w:rsidRDefault="00742247" w:rsidP="00597E3E">
            <w:pPr>
              <w:pStyle w:val="Tabletext1"/>
              <w:rPr>
                <w:snapToGrid w:val="0"/>
              </w:rPr>
            </w:pPr>
            <w:r w:rsidRPr="00EC6845">
              <w:rPr>
                <w:snapToGrid w:val="0"/>
              </w:rPr>
              <w:t>mpMRI</w:t>
            </w:r>
          </w:p>
        </w:tc>
        <w:tc>
          <w:tcPr>
            <w:tcW w:w="515" w:type="pct"/>
            <w:tcBorders>
              <w:top w:val="single" w:sz="4" w:space="0" w:color="auto"/>
              <w:left w:val="single" w:sz="4" w:space="0" w:color="auto"/>
              <w:bottom w:val="single" w:sz="4" w:space="0" w:color="auto"/>
              <w:right w:val="single" w:sz="4" w:space="0" w:color="auto"/>
            </w:tcBorders>
          </w:tcPr>
          <w:p w14:paraId="178853DE" w14:textId="77777777" w:rsidR="00742247" w:rsidRPr="00EC6845" w:rsidRDefault="00742247" w:rsidP="00597E3E">
            <w:pPr>
              <w:pStyle w:val="Tabletext1"/>
              <w:rPr>
                <w:snapToGrid w:val="0"/>
              </w:rPr>
            </w:pPr>
            <w:r>
              <w:rPr>
                <w:snapToGrid w:val="0"/>
              </w:rPr>
              <w:t>$471</w:t>
            </w:r>
            <w:r w:rsidRPr="00EC6845">
              <w:rPr>
                <w:snapToGrid w:val="0"/>
              </w:rPr>
              <w:t>.</w:t>
            </w:r>
            <w:r>
              <w:rPr>
                <w:snapToGrid w:val="0"/>
              </w:rPr>
              <w:t>9</w:t>
            </w:r>
            <w:r w:rsidRPr="00EC6845">
              <w:rPr>
                <w:snapToGrid w:val="0"/>
              </w:rPr>
              <w:t>0</w:t>
            </w:r>
          </w:p>
        </w:tc>
        <w:tc>
          <w:tcPr>
            <w:tcW w:w="2871" w:type="pct"/>
            <w:tcBorders>
              <w:top w:val="single" w:sz="4" w:space="0" w:color="auto"/>
              <w:left w:val="single" w:sz="4" w:space="0" w:color="auto"/>
              <w:bottom w:val="single" w:sz="4" w:space="0" w:color="auto"/>
              <w:right w:val="single" w:sz="4" w:space="0" w:color="auto"/>
            </w:tcBorders>
          </w:tcPr>
          <w:p w14:paraId="64061EAC" w14:textId="112C08FF" w:rsidR="00742247" w:rsidRDefault="00DC025B" w:rsidP="00597E3E">
            <w:pPr>
              <w:pStyle w:val="Tabletext1"/>
              <w:rPr>
                <w:snapToGrid w:val="0"/>
              </w:rPr>
            </w:pPr>
            <w:r>
              <w:rPr>
                <w:snapToGrid w:val="0"/>
              </w:rPr>
              <w:t>P</w:t>
            </w:r>
            <w:r w:rsidR="00742247">
              <w:rPr>
                <w:snapToGrid w:val="0"/>
              </w:rPr>
              <w:t>rotocol</w:t>
            </w:r>
            <w:r w:rsidR="00742247" w:rsidRPr="00EC6845">
              <w:rPr>
                <w:snapToGrid w:val="0"/>
              </w:rPr>
              <w:t xml:space="preserve"> CA 1397 </w:t>
            </w:r>
            <w:r w:rsidR="00742247">
              <w:rPr>
                <w:snapToGrid w:val="0"/>
              </w:rPr>
              <w:t xml:space="preserve">85% of </w:t>
            </w:r>
            <w:r w:rsidR="00742247" w:rsidRPr="00EC6845">
              <w:rPr>
                <w:snapToGrid w:val="0"/>
              </w:rPr>
              <w:t>$600.00</w:t>
            </w:r>
            <w:r w:rsidR="00742247">
              <w:rPr>
                <w:snapToGrid w:val="0"/>
              </w:rPr>
              <w:t xml:space="preserve">, </w:t>
            </w:r>
            <w:r w:rsidR="00742247" w:rsidRPr="00EC6845">
              <w:rPr>
                <w:snapToGrid w:val="0"/>
              </w:rPr>
              <w:t>minus cost of contrast</w:t>
            </w:r>
          </w:p>
          <w:p w14:paraId="59D3A112" w14:textId="182144A4" w:rsidR="00742247" w:rsidRPr="00FB43AB" w:rsidRDefault="00742247" w:rsidP="00597E3E">
            <w:pPr>
              <w:pStyle w:val="Tabletext1"/>
              <w:rPr>
                <w:i/>
                <w:snapToGrid w:val="0"/>
              </w:rPr>
            </w:pPr>
            <w:r>
              <w:rPr>
                <w:i/>
                <w:snapToGrid w:val="0"/>
              </w:rPr>
              <w:t xml:space="preserve">Sensitivity: $342.75 based on similar MBS item 63476, </w:t>
            </w:r>
            <w:r w:rsidR="00DC025B">
              <w:rPr>
                <w:i/>
                <w:snapToGrid w:val="0"/>
              </w:rPr>
              <w:t>(fee:$403.20)</w:t>
            </w:r>
          </w:p>
        </w:tc>
      </w:tr>
      <w:tr w:rsidR="00742247" w:rsidRPr="0040023F" w14:paraId="32D99172" w14:textId="77777777" w:rsidTr="00BF3F0A">
        <w:tc>
          <w:tcPr>
            <w:tcW w:w="1614" w:type="pct"/>
            <w:tcBorders>
              <w:top w:val="single" w:sz="4" w:space="0" w:color="auto"/>
              <w:left w:val="single" w:sz="4" w:space="0" w:color="auto"/>
              <w:bottom w:val="single" w:sz="4" w:space="0" w:color="auto"/>
              <w:right w:val="single" w:sz="4" w:space="0" w:color="auto"/>
            </w:tcBorders>
          </w:tcPr>
          <w:p w14:paraId="2632F603" w14:textId="77777777" w:rsidR="00742247" w:rsidRPr="00EC6845" w:rsidRDefault="00742247" w:rsidP="00597E3E">
            <w:pPr>
              <w:pStyle w:val="Tabletext1"/>
              <w:rPr>
                <w:snapToGrid w:val="0"/>
              </w:rPr>
            </w:pPr>
            <w:r w:rsidRPr="00EC6845">
              <w:rPr>
                <w:snapToGrid w:val="0"/>
              </w:rPr>
              <w:t>Contrast for MRI</w:t>
            </w:r>
            <w:r>
              <w:rPr>
                <w:snapToGrid w:val="0"/>
              </w:rPr>
              <w:t xml:space="preserve"> (gadolinium-based)</w:t>
            </w:r>
          </w:p>
        </w:tc>
        <w:tc>
          <w:tcPr>
            <w:tcW w:w="515" w:type="pct"/>
            <w:tcBorders>
              <w:top w:val="single" w:sz="4" w:space="0" w:color="auto"/>
              <w:left w:val="single" w:sz="4" w:space="0" w:color="auto"/>
              <w:bottom w:val="single" w:sz="4" w:space="0" w:color="auto"/>
              <w:right w:val="single" w:sz="4" w:space="0" w:color="auto"/>
            </w:tcBorders>
          </w:tcPr>
          <w:p w14:paraId="0C148B9D" w14:textId="77777777" w:rsidR="00742247" w:rsidRPr="00EC6845" w:rsidRDefault="00742247" w:rsidP="00597E3E">
            <w:pPr>
              <w:pStyle w:val="Tabletext1"/>
              <w:rPr>
                <w:snapToGrid w:val="0"/>
              </w:rPr>
            </w:pPr>
            <w:r w:rsidRPr="00EC6845">
              <w:rPr>
                <w:snapToGrid w:val="0"/>
              </w:rPr>
              <w:t>$38.10</w:t>
            </w:r>
          </w:p>
        </w:tc>
        <w:tc>
          <w:tcPr>
            <w:tcW w:w="2871" w:type="pct"/>
            <w:tcBorders>
              <w:top w:val="single" w:sz="4" w:space="0" w:color="auto"/>
              <w:left w:val="single" w:sz="4" w:space="0" w:color="auto"/>
              <w:bottom w:val="single" w:sz="4" w:space="0" w:color="auto"/>
              <w:right w:val="single" w:sz="4" w:space="0" w:color="auto"/>
            </w:tcBorders>
          </w:tcPr>
          <w:p w14:paraId="0B3CB432" w14:textId="77777777" w:rsidR="00742247" w:rsidRPr="00EC6845" w:rsidRDefault="00742247" w:rsidP="00597E3E">
            <w:pPr>
              <w:pStyle w:val="Tabletext1"/>
              <w:rPr>
                <w:snapToGrid w:val="0"/>
              </w:rPr>
            </w:pPr>
            <w:r w:rsidRPr="00EC6845">
              <w:rPr>
                <w:snapToGrid w:val="0"/>
              </w:rPr>
              <w:t>MBS 63491, Fee: $44.80, 85%: $38.10</w:t>
            </w:r>
          </w:p>
        </w:tc>
      </w:tr>
      <w:tr w:rsidR="00742247" w:rsidRPr="0040023F" w14:paraId="227D58ED" w14:textId="77777777" w:rsidTr="00BF3F0A">
        <w:tc>
          <w:tcPr>
            <w:tcW w:w="1614" w:type="pct"/>
            <w:tcBorders>
              <w:top w:val="single" w:sz="4" w:space="0" w:color="auto"/>
              <w:left w:val="single" w:sz="4" w:space="0" w:color="auto"/>
              <w:bottom w:val="single" w:sz="4" w:space="0" w:color="auto"/>
              <w:right w:val="single" w:sz="4" w:space="0" w:color="auto"/>
            </w:tcBorders>
          </w:tcPr>
          <w:p w14:paraId="5FAD8D7E" w14:textId="77777777" w:rsidR="00742247" w:rsidRPr="00EC6845" w:rsidRDefault="00742247" w:rsidP="00597E3E">
            <w:pPr>
              <w:pStyle w:val="Tabletext1"/>
              <w:rPr>
                <w:snapToGrid w:val="0"/>
              </w:rPr>
            </w:pPr>
            <w:r>
              <w:t xml:space="preserve">Patient co-payment </w:t>
            </w:r>
          </w:p>
        </w:tc>
        <w:tc>
          <w:tcPr>
            <w:tcW w:w="515" w:type="pct"/>
            <w:tcBorders>
              <w:top w:val="single" w:sz="4" w:space="0" w:color="auto"/>
              <w:left w:val="single" w:sz="4" w:space="0" w:color="auto"/>
              <w:bottom w:val="single" w:sz="4" w:space="0" w:color="auto"/>
              <w:right w:val="single" w:sz="4" w:space="0" w:color="auto"/>
            </w:tcBorders>
          </w:tcPr>
          <w:p w14:paraId="2019F4C4" w14:textId="77777777" w:rsidR="00742247" w:rsidRPr="00CB5328" w:rsidRDefault="00742247" w:rsidP="00597E3E">
            <w:pPr>
              <w:pStyle w:val="Tabletext1"/>
            </w:pPr>
            <w:r w:rsidRPr="00CB5328">
              <w:t>$</w:t>
            </w:r>
            <w:r>
              <w:t>90.00</w:t>
            </w:r>
          </w:p>
        </w:tc>
        <w:tc>
          <w:tcPr>
            <w:tcW w:w="2871" w:type="pct"/>
            <w:tcBorders>
              <w:top w:val="single" w:sz="4" w:space="0" w:color="auto"/>
              <w:left w:val="single" w:sz="4" w:space="0" w:color="auto"/>
              <w:bottom w:val="single" w:sz="4" w:space="0" w:color="auto"/>
              <w:right w:val="single" w:sz="4" w:space="0" w:color="auto"/>
            </w:tcBorders>
          </w:tcPr>
          <w:p w14:paraId="1ECFBC73" w14:textId="77C4EED0" w:rsidR="00742247" w:rsidRDefault="00742247" w:rsidP="00597E3E">
            <w:pPr>
              <w:pStyle w:val="Tabletext1"/>
              <w:rPr>
                <w:snapToGrid w:val="0"/>
              </w:rPr>
            </w:pPr>
            <w:r>
              <w:rPr>
                <w:snapToGrid w:val="0"/>
              </w:rPr>
              <w:t xml:space="preserve">Assumption based on co-payment </w:t>
            </w:r>
            <w:r w:rsidR="00DC025B">
              <w:rPr>
                <w:snapToGrid w:val="0"/>
              </w:rPr>
              <w:t>(Fee-</w:t>
            </w:r>
            <w:r>
              <w:rPr>
                <w:snapToGrid w:val="0"/>
              </w:rPr>
              <w:t>85% benefit</w:t>
            </w:r>
            <w:r w:rsidR="00DC025B">
              <w:rPr>
                <w:snapToGrid w:val="0"/>
              </w:rPr>
              <w:t>)</w:t>
            </w:r>
          </w:p>
        </w:tc>
      </w:tr>
      <w:tr w:rsidR="00742247" w:rsidRPr="0040023F" w14:paraId="0CD5FBE4" w14:textId="77777777" w:rsidTr="00BF3F0A">
        <w:tc>
          <w:tcPr>
            <w:tcW w:w="1614" w:type="pct"/>
            <w:tcBorders>
              <w:top w:val="single" w:sz="4" w:space="0" w:color="auto"/>
              <w:left w:val="single" w:sz="4" w:space="0" w:color="auto"/>
              <w:bottom w:val="single" w:sz="4" w:space="0" w:color="auto"/>
              <w:right w:val="nil"/>
            </w:tcBorders>
          </w:tcPr>
          <w:p w14:paraId="3DC94B13" w14:textId="77777777" w:rsidR="00742247" w:rsidRPr="00745F16" w:rsidRDefault="00742247" w:rsidP="00597E3E">
            <w:pPr>
              <w:pStyle w:val="Tabletext1"/>
            </w:pPr>
            <w:r w:rsidRPr="00745F16">
              <w:t>TRUSGB/TPUSGB</w:t>
            </w:r>
          </w:p>
        </w:tc>
        <w:tc>
          <w:tcPr>
            <w:tcW w:w="515" w:type="pct"/>
            <w:tcBorders>
              <w:top w:val="single" w:sz="4" w:space="0" w:color="auto"/>
              <w:left w:val="nil"/>
              <w:bottom w:val="single" w:sz="4" w:space="0" w:color="auto"/>
              <w:right w:val="nil"/>
            </w:tcBorders>
          </w:tcPr>
          <w:p w14:paraId="6E51DC9C" w14:textId="77777777" w:rsidR="00742247" w:rsidRPr="00CB5328" w:rsidRDefault="00742247" w:rsidP="00597E3E">
            <w:pPr>
              <w:pStyle w:val="Tabletext1"/>
            </w:pPr>
          </w:p>
        </w:tc>
        <w:tc>
          <w:tcPr>
            <w:tcW w:w="2871" w:type="pct"/>
            <w:tcBorders>
              <w:top w:val="single" w:sz="4" w:space="0" w:color="auto"/>
              <w:left w:val="nil"/>
              <w:bottom w:val="single" w:sz="4" w:space="0" w:color="auto"/>
              <w:right w:val="single" w:sz="4" w:space="0" w:color="auto"/>
            </w:tcBorders>
          </w:tcPr>
          <w:p w14:paraId="55893C2A" w14:textId="77777777" w:rsidR="00742247" w:rsidRPr="009D634D" w:rsidRDefault="00742247" w:rsidP="00597E3E">
            <w:pPr>
              <w:pStyle w:val="Tabletext1"/>
              <w:rPr>
                <w:snapToGrid w:val="0"/>
              </w:rPr>
            </w:pPr>
          </w:p>
        </w:tc>
      </w:tr>
      <w:tr w:rsidR="00742247" w:rsidRPr="0040023F" w14:paraId="4DFE27C0" w14:textId="77777777" w:rsidTr="00BF3F0A">
        <w:tc>
          <w:tcPr>
            <w:tcW w:w="1614" w:type="pct"/>
            <w:tcBorders>
              <w:top w:val="single" w:sz="4" w:space="0" w:color="auto"/>
              <w:left w:val="single" w:sz="4" w:space="0" w:color="auto"/>
              <w:bottom w:val="nil"/>
              <w:right w:val="single" w:sz="4" w:space="0" w:color="auto"/>
            </w:tcBorders>
          </w:tcPr>
          <w:p w14:paraId="082D0B22" w14:textId="77777777" w:rsidR="00742247" w:rsidRPr="00EC6845" w:rsidRDefault="00742247" w:rsidP="00597E3E">
            <w:pPr>
              <w:pStyle w:val="Tabletext1"/>
              <w:rPr>
                <w:snapToGrid w:val="0"/>
              </w:rPr>
            </w:pPr>
            <w:r>
              <w:rPr>
                <w:snapToGrid w:val="0"/>
              </w:rPr>
              <w:t>TRUSGB/TPUSGB (75:25)</w:t>
            </w:r>
          </w:p>
        </w:tc>
        <w:tc>
          <w:tcPr>
            <w:tcW w:w="515" w:type="pct"/>
            <w:tcBorders>
              <w:top w:val="single" w:sz="4" w:space="0" w:color="auto"/>
              <w:left w:val="single" w:sz="4" w:space="0" w:color="auto"/>
              <w:bottom w:val="single" w:sz="4" w:space="0" w:color="auto"/>
              <w:right w:val="single" w:sz="4" w:space="0" w:color="auto"/>
            </w:tcBorders>
          </w:tcPr>
          <w:p w14:paraId="4310DEC2" w14:textId="77777777" w:rsidR="00742247" w:rsidRPr="00EC6845" w:rsidRDefault="00742247" w:rsidP="00597E3E">
            <w:pPr>
              <w:pStyle w:val="Tabletext1"/>
              <w:rPr>
                <w:snapToGrid w:val="0"/>
              </w:rPr>
            </w:pPr>
            <w:r>
              <w:t>$523.98</w:t>
            </w:r>
          </w:p>
        </w:tc>
        <w:tc>
          <w:tcPr>
            <w:tcW w:w="2871" w:type="pct"/>
            <w:tcBorders>
              <w:top w:val="single" w:sz="4" w:space="0" w:color="auto"/>
              <w:left w:val="single" w:sz="4" w:space="0" w:color="auto"/>
              <w:bottom w:val="nil"/>
              <w:right w:val="single" w:sz="4" w:space="0" w:color="auto"/>
            </w:tcBorders>
          </w:tcPr>
          <w:p w14:paraId="793E9649" w14:textId="77777777" w:rsidR="00742247" w:rsidRDefault="00742247" w:rsidP="00597E3E">
            <w:pPr>
              <w:pStyle w:val="Tabletext1"/>
              <w:rPr>
                <w:snapToGrid w:val="0"/>
              </w:rPr>
            </w:pPr>
            <w:r w:rsidRPr="003705C8">
              <w:rPr>
                <w:snapToGrid w:val="0"/>
              </w:rPr>
              <w:t xml:space="preserve">See section D.4 </w:t>
            </w:r>
            <w:r w:rsidRPr="005854E6">
              <w:rPr>
                <w:snapToGrid w:val="0"/>
              </w:rPr>
              <w:fldChar w:fldCharType="begin"/>
            </w:r>
            <w:r w:rsidRPr="005854E6">
              <w:rPr>
                <w:snapToGrid w:val="0"/>
              </w:rPr>
              <w:instrText xml:space="preserve"> REF _Ref456525096 \h  \* MERGEFORMAT </w:instrText>
            </w:r>
            <w:r w:rsidRPr="005854E6">
              <w:rPr>
                <w:snapToGrid w:val="0"/>
              </w:rPr>
            </w:r>
            <w:r w:rsidRPr="005854E6">
              <w:rPr>
                <w:snapToGrid w:val="0"/>
              </w:rPr>
              <w:fldChar w:fldCharType="separate"/>
            </w:r>
            <w:r w:rsidR="0029649D" w:rsidRPr="00770BBC">
              <w:t xml:space="preserve">Table </w:t>
            </w:r>
            <w:r w:rsidR="0029649D">
              <w:rPr>
                <w:noProof/>
              </w:rPr>
              <w:t>59</w:t>
            </w:r>
            <w:r w:rsidRPr="005854E6">
              <w:rPr>
                <w:snapToGrid w:val="0"/>
              </w:rPr>
              <w:fldChar w:fldCharType="end"/>
            </w:r>
            <w:r w:rsidRPr="005854E6">
              <w:rPr>
                <w:snapToGrid w:val="0"/>
              </w:rPr>
              <w:t>. $523.95 when only including MBS items.</w:t>
            </w:r>
          </w:p>
          <w:p w14:paraId="7118583E" w14:textId="77777777" w:rsidR="00742247" w:rsidRPr="00EC6845" w:rsidRDefault="00742247" w:rsidP="00597E3E">
            <w:pPr>
              <w:pStyle w:val="Tabletext1"/>
              <w:rPr>
                <w:snapToGrid w:val="0"/>
              </w:rPr>
            </w:pPr>
            <w:r>
              <w:rPr>
                <w:snapToGrid w:val="0"/>
              </w:rPr>
              <w:t xml:space="preserve">Only MBS items numbers are included in value (i.e. costs are not included for PBS item 1209P or admission theatre costs for TRUSGB). </w:t>
            </w:r>
          </w:p>
        </w:tc>
      </w:tr>
      <w:tr w:rsidR="00742247" w:rsidRPr="0040023F" w14:paraId="6F1F11E9" w14:textId="77777777" w:rsidTr="00BF3F0A">
        <w:tc>
          <w:tcPr>
            <w:tcW w:w="1614" w:type="pct"/>
            <w:tcBorders>
              <w:top w:val="single" w:sz="4" w:space="0" w:color="auto"/>
              <w:left w:val="single" w:sz="4" w:space="0" w:color="auto"/>
              <w:bottom w:val="nil"/>
              <w:right w:val="single" w:sz="4" w:space="0" w:color="auto"/>
            </w:tcBorders>
          </w:tcPr>
          <w:p w14:paraId="2A47D9E0" w14:textId="77777777" w:rsidR="00742247" w:rsidRDefault="00742247" w:rsidP="00597E3E">
            <w:pPr>
              <w:pStyle w:val="Tabletext1"/>
              <w:rPr>
                <w:snapToGrid w:val="0"/>
              </w:rPr>
            </w:pPr>
            <w:r>
              <w:rPr>
                <w:snapToGrid w:val="0"/>
              </w:rPr>
              <w:t>Patient co-payment</w:t>
            </w:r>
          </w:p>
        </w:tc>
        <w:tc>
          <w:tcPr>
            <w:tcW w:w="515" w:type="pct"/>
            <w:tcBorders>
              <w:top w:val="single" w:sz="4" w:space="0" w:color="auto"/>
              <w:left w:val="single" w:sz="4" w:space="0" w:color="auto"/>
              <w:bottom w:val="single" w:sz="4" w:space="0" w:color="auto"/>
              <w:right w:val="single" w:sz="4" w:space="0" w:color="auto"/>
            </w:tcBorders>
          </w:tcPr>
          <w:p w14:paraId="217E3A26" w14:textId="77777777" w:rsidR="00742247" w:rsidRPr="006F445D" w:rsidRDefault="00742247" w:rsidP="00597E3E">
            <w:pPr>
              <w:pStyle w:val="Tabletext1"/>
              <w:rPr>
                <w:i/>
              </w:rPr>
            </w:pPr>
            <w:r w:rsidRPr="006F445D">
              <w:rPr>
                <w:i/>
              </w:rPr>
              <w:t>$377.03</w:t>
            </w:r>
          </w:p>
        </w:tc>
        <w:tc>
          <w:tcPr>
            <w:tcW w:w="2871" w:type="pct"/>
            <w:tcBorders>
              <w:top w:val="single" w:sz="4" w:space="0" w:color="auto"/>
              <w:left w:val="single" w:sz="4" w:space="0" w:color="auto"/>
              <w:bottom w:val="single" w:sz="4" w:space="0" w:color="auto"/>
              <w:right w:val="single" w:sz="4" w:space="0" w:color="auto"/>
            </w:tcBorders>
          </w:tcPr>
          <w:p w14:paraId="02897A22" w14:textId="77777777" w:rsidR="00742247" w:rsidRPr="003705C8" w:rsidRDefault="00742247" w:rsidP="00597E3E">
            <w:pPr>
              <w:pStyle w:val="Tabletext1"/>
              <w:rPr>
                <w:snapToGrid w:val="0"/>
              </w:rPr>
            </w:pPr>
            <w:r>
              <w:rPr>
                <w:snapToGrid w:val="0"/>
              </w:rPr>
              <w:t>Department of Health, 2015/2016 Financial Year and MBS statistics</w:t>
            </w:r>
          </w:p>
        </w:tc>
      </w:tr>
      <w:tr w:rsidR="00742247" w:rsidRPr="0040023F" w14:paraId="02C72D8B" w14:textId="77777777" w:rsidTr="00BF3F0A">
        <w:tc>
          <w:tcPr>
            <w:tcW w:w="1614" w:type="pct"/>
            <w:tcBorders>
              <w:top w:val="nil"/>
              <w:left w:val="single" w:sz="4" w:space="0" w:color="auto"/>
              <w:bottom w:val="nil"/>
              <w:right w:val="single" w:sz="4" w:space="0" w:color="auto"/>
            </w:tcBorders>
          </w:tcPr>
          <w:p w14:paraId="15FF1441" w14:textId="77777777" w:rsidR="00742247" w:rsidRPr="001E777B" w:rsidRDefault="00742247" w:rsidP="00597E3E">
            <w:pPr>
              <w:pStyle w:val="Tabletext1"/>
              <w:rPr>
                <w:snapToGrid w:val="0"/>
              </w:rPr>
            </w:pPr>
          </w:p>
        </w:tc>
        <w:tc>
          <w:tcPr>
            <w:tcW w:w="515" w:type="pct"/>
            <w:tcBorders>
              <w:top w:val="single" w:sz="4" w:space="0" w:color="auto"/>
              <w:left w:val="single" w:sz="4" w:space="0" w:color="auto"/>
              <w:bottom w:val="nil"/>
              <w:right w:val="single" w:sz="4" w:space="0" w:color="auto"/>
            </w:tcBorders>
          </w:tcPr>
          <w:p w14:paraId="75B8CEB6" w14:textId="77777777" w:rsidR="00742247" w:rsidRPr="006F445D" w:rsidRDefault="00742247" w:rsidP="00597E3E">
            <w:pPr>
              <w:pStyle w:val="Tabletext1"/>
              <w:rPr>
                <w:snapToGrid w:val="0"/>
              </w:rPr>
            </w:pPr>
            <w:r w:rsidRPr="006F445D">
              <w:rPr>
                <w:snapToGrid w:val="0"/>
              </w:rPr>
              <w:t>$82.72</w:t>
            </w:r>
          </w:p>
        </w:tc>
        <w:tc>
          <w:tcPr>
            <w:tcW w:w="2871" w:type="pct"/>
            <w:tcBorders>
              <w:top w:val="single" w:sz="4" w:space="0" w:color="auto"/>
              <w:left w:val="single" w:sz="4" w:space="0" w:color="auto"/>
              <w:bottom w:val="nil"/>
              <w:right w:val="single" w:sz="4" w:space="0" w:color="auto"/>
            </w:tcBorders>
          </w:tcPr>
          <w:p w14:paraId="4DDF18CC" w14:textId="77777777" w:rsidR="00742247" w:rsidRPr="009D634D" w:rsidRDefault="00742247" w:rsidP="00597E3E">
            <w:pPr>
              <w:pStyle w:val="Tabletext1"/>
              <w:rPr>
                <w:snapToGrid w:val="0"/>
              </w:rPr>
            </w:pPr>
            <w:r>
              <w:rPr>
                <w:snapToGrid w:val="0"/>
              </w:rPr>
              <w:t xml:space="preserve">Ultrasound: MBS statistics items: 55601, 55603, 55604, 55600: Weighted average of co-payment and no. of services. </w:t>
            </w:r>
          </w:p>
        </w:tc>
      </w:tr>
      <w:tr w:rsidR="00742247" w:rsidRPr="0040023F" w14:paraId="181D949E" w14:textId="77777777" w:rsidTr="00BF3F0A">
        <w:tc>
          <w:tcPr>
            <w:tcW w:w="1614" w:type="pct"/>
            <w:tcBorders>
              <w:top w:val="nil"/>
              <w:left w:val="single" w:sz="4" w:space="0" w:color="auto"/>
              <w:bottom w:val="nil"/>
              <w:right w:val="single" w:sz="4" w:space="0" w:color="auto"/>
            </w:tcBorders>
          </w:tcPr>
          <w:p w14:paraId="2E2AE266" w14:textId="77777777" w:rsidR="00742247" w:rsidRPr="001E777B" w:rsidRDefault="00742247" w:rsidP="00597E3E">
            <w:pPr>
              <w:pStyle w:val="Tabletext1"/>
              <w:rPr>
                <w:snapToGrid w:val="0"/>
              </w:rPr>
            </w:pPr>
          </w:p>
        </w:tc>
        <w:tc>
          <w:tcPr>
            <w:tcW w:w="515" w:type="pct"/>
            <w:tcBorders>
              <w:top w:val="nil"/>
              <w:left w:val="single" w:sz="4" w:space="0" w:color="auto"/>
              <w:bottom w:val="nil"/>
              <w:right w:val="single" w:sz="4" w:space="0" w:color="auto"/>
            </w:tcBorders>
          </w:tcPr>
          <w:p w14:paraId="3E3C1FAD" w14:textId="77777777" w:rsidR="00742247" w:rsidRPr="006F445D" w:rsidRDefault="00742247" w:rsidP="00597E3E">
            <w:pPr>
              <w:pStyle w:val="Tabletext1"/>
              <w:rPr>
                <w:snapToGrid w:val="0"/>
              </w:rPr>
            </w:pPr>
            <w:r w:rsidRPr="006F445D">
              <w:rPr>
                <w:snapToGrid w:val="0"/>
              </w:rPr>
              <w:t>$144.01</w:t>
            </w:r>
          </w:p>
        </w:tc>
        <w:tc>
          <w:tcPr>
            <w:tcW w:w="2871" w:type="pct"/>
            <w:tcBorders>
              <w:top w:val="nil"/>
              <w:left w:val="single" w:sz="4" w:space="0" w:color="auto"/>
              <w:bottom w:val="nil"/>
              <w:right w:val="single" w:sz="4" w:space="0" w:color="auto"/>
            </w:tcBorders>
          </w:tcPr>
          <w:p w14:paraId="2397F84E" w14:textId="77777777" w:rsidR="00742247" w:rsidRPr="009D634D" w:rsidRDefault="00742247" w:rsidP="00597E3E">
            <w:pPr>
              <w:pStyle w:val="Tabletext1"/>
              <w:rPr>
                <w:snapToGrid w:val="0"/>
              </w:rPr>
            </w:pPr>
            <w:r w:rsidRPr="00EC6845">
              <w:rPr>
                <w:snapToGrid w:val="0"/>
              </w:rPr>
              <w:t xml:space="preserve">MBS </w:t>
            </w:r>
            <w:r w:rsidRPr="009D634D">
              <w:rPr>
                <w:snapToGrid w:val="0"/>
              </w:rPr>
              <w:t>37219</w:t>
            </w:r>
            <w:r>
              <w:rPr>
                <w:snapToGrid w:val="0"/>
              </w:rPr>
              <w:t>, Biopsy</w:t>
            </w:r>
          </w:p>
        </w:tc>
      </w:tr>
      <w:tr w:rsidR="00742247" w:rsidRPr="0040023F" w14:paraId="212D8AA6" w14:textId="77777777" w:rsidTr="00BF3F0A">
        <w:tc>
          <w:tcPr>
            <w:tcW w:w="1614" w:type="pct"/>
            <w:tcBorders>
              <w:top w:val="nil"/>
              <w:left w:val="single" w:sz="4" w:space="0" w:color="auto"/>
              <w:bottom w:val="nil"/>
              <w:right w:val="single" w:sz="4" w:space="0" w:color="auto"/>
            </w:tcBorders>
          </w:tcPr>
          <w:p w14:paraId="41DB216D" w14:textId="77777777" w:rsidR="00742247" w:rsidRDefault="00742247" w:rsidP="00597E3E">
            <w:pPr>
              <w:pStyle w:val="Tabletext1"/>
              <w:rPr>
                <w:snapToGrid w:val="0"/>
              </w:rPr>
            </w:pPr>
          </w:p>
        </w:tc>
        <w:tc>
          <w:tcPr>
            <w:tcW w:w="515" w:type="pct"/>
            <w:tcBorders>
              <w:top w:val="nil"/>
              <w:left w:val="single" w:sz="4" w:space="0" w:color="auto"/>
              <w:bottom w:val="nil"/>
              <w:right w:val="single" w:sz="4" w:space="0" w:color="auto"/>
            </w:tcBorders>
          </w:tcPr>
          <w:p w14:paraId="0E9E3D00" w14:textId="77777777" w:rsidR="00742247" w:rsidRPr="006F445D" w:rsidRDefault="00742247" w:rsidP="00597E3E">
            <w:pPr>
              <w:pStyle w:val="Tabletext1"/>
              <w:rPr>
                <w:snapToGrid w:val="0"/>
              </w:rPr>
            </w:pPr>
            <w:r w:rsidRPr="006F445D">
              <w:rPr>
                <w:snapToGrid w:val="0"/>
              </w:rPr>
              <w:t>$100.62</w:t>
            </w:r>
          </w:p>
        </w:tc>
        <w:tc>
          <w:tcPr>
            <w:tcW w:w="2871" w:type="pct"/>
            <w:tcBorders>
              <w:top w:val="nil"/>
              <w:left w:val="single" w:sz="4" w:space="0" w:color="auto"/>
              <w:bottom w:val="nil"/>
              <w:right w:val="single" w:sz="4" w:space="0" w:color="auto"/>
            </w:tcBorders>
          </w:tcPr>
          <w:p w14:paraId="6796D9C7" w14:textId="77777777" w:rsidR="00742247" w:rsidRPr="00EC6845" w:rsidRDefault="00742247" w:rsidP="00597E3E">
            <w:pPr>
              <w:pStyle w:val="Tabletext1"/>
              <w:rPr>
                <w:snapToGrid w:val="0"/>
              </w:rPr>
            </w:pPr>
            <w:r>
              <w:rPr>
                <w:snapToGrid w:val="0"/>
              </w:rPr>
              <w:t xml:space="preserve">MBS 72825, </w:t>
            </w:r>
            <w:r w:rsidRPr="009D634D">
              <w:rPr>
                <w:snapToGrid w:val="0"/>
              </w:rPr>
              <w:t>Biopsy specimen analyse</w:t>
            </w:r>
          </w:p>
        </w:tc>
      </w:tr>
      <w:tr w:rsidR="00742247" w:rsidRPr="0040023F" w14:paraId="347A4152" w14:textId="77777777" w:rsidTr="00BF3F0A">
        <w:tc>
          <w:tcPr>
            <w:tcW w:w="1614" w:type="pct"/>
            <w:tcBorders>
              <w:top w:val="nil"/>
              <w:left w:val="single" w:sz="4" w:space="0" w:color="auto"/>
              <w:bottom w:val="nil"/>
              <w:right w:val="single" w:sz="4" w:space="0" w:color="auto"/>
            </w:tcBorders>
          </w:tcPr>
          <w:p w14:paraId="6B2CD699" w14:textId="77777777" w:rsidR="00742247" w:rsidRDefault="00742247" w:rsidP="00597E3E">
            <w:pPr>
              <w:pStyle w:val="Tabletext1"/>
              <w:rPr>
                <w:snapToGrid w:val="0"/>
              </w:rPr>
            </w:pPr>
          </w:p>
        </w:tc>
        <w:tc>
          <w:tcPr>
            <w:tcW w:w="515" w:type="pct"/>
            <w:tcBorders>
              <w:top w:val="nil"/>
              <w:left w:val="single" w:sz="4" w:space="0" w:color="auto"/>
              <w:bottom w:val="nil"/>
              <w:right w:val="single" w:sz="4" w:space="0" w:color="auto"/>
            </w:tcBorders>
          </w:tcPr>
          <w:p w14:paraId="323192AF" w14:textId="77777777" w:rsidR="00742247" w:rsidRPr="006F445D" w:rsidRDefault="00742247" w:rsidP="00597E3E">
            <w:pPr>
              <w:pStyle w:val="Tabletext1"/>
              <w:rPr>
                <w:snapToGrid w:val="0"/>
              </w:rPr>
            </w:pPr>
            <w:r w:rsidRPr="006F445D">
              <w:rPr>
                <w:snapToGrid w:val="0"/>
              </w:rPr>
              <w:t>$49.69</w:t>
            </w:r>
          </w:p>
        </w:tc>
        <w:tc>
          <w:tcPr>
            <w:tcW w:w="2871" w:type="pct"/>
            <w:tcBorders>
              <w:top w:val="nil"/>
              <w:left w:val="single" w:sz="4" w:space="0" w:color="auto"/>
              <w:bottom w:val="nil"/>
              <w:right w:val="single" w:sz="4" w:space="0" w:color="auto"/>
            </w:tcBorders>
          </w:tcPr>
          <w:p w14:paraId="32D51B04" w14:textId="77777777" w:rsidR="00742247" w:rsidRPr="00EC6845" w:rsidRDefault="00742247" w:rsidP="00597E3E">
            <w:pPr>
              <w:pStyle w:val="Tabletext1"/>
              <w:rPr>
                <w:snapToGrid w:val="0"/>
              </w:rPr>
            </w:pPr>
            <w:r>
              <w:rPr>
                <w:snapToGrid w:val="0"/>
              </w:rPr>
              <w:t xml:space="preserve">MBS 17615, </w:t>
            </w:r>
            <w:r w:rsidRPr="009D634D">
              <w:rPr>
                <w:snapToGrid w:val="0"/>
              </w:rPr>
              <w:t xml:space="preserve">General anaesthesia, initiation </w:t>
            </w:r>
          </w:p>
        </w:tc>
      </w:tr>
      <w:tr w:rsidR="00742247" w:rsidRPr="004768B3" w14:paraId="4985AB22" w14:textId="77777777" w:rsidTr="00BF3F0A">
        <w:tc>
          <w:tcPr>
            <w:tcW w:w="1614" w:type="pct"/>
            <w:tcBorders>
              <w:top w:val="single" w:sz="4" w:space="0" w:color="auto"/>
              <w:left w:val="single" w:sz="4" w:space="0" w:color="auto"/>
              <w:bottom w:val="single" w:sz="4" w:space="0" w:color="auto"/>
              <w:right w:val="nil"/>
            </w:tcBorders>
          </w:tcPr>
          <w:p w14:paraId="5128AA99" w14:textId="77777777" w:rsidR="00742247" w:rsidRPr="004768B3" w:rsidRDefault="00742247" w:rsidP="00597E3E">
            <w:pPr>
              <w:pStyle w:val="Tabletext1"/>
              <w:rPr>
                <w:snapToGrid w:val="0"/>
              </w:rPr>
            </w:pPr>
            <w:r w:rsidRPr="004768B3">
              <w:rPr>
                <w:snapToGrid w:val="0"/>
              </w:rPr>
              <w:t xml:space="preserve">Utilisation </w:t>
            </w:r>
          </w:p>
        </w:tc>
        <w:tc>
          <w:tcPr>
            <w:tcW w:w="515" w:type="pct"/>
            <w:tcBorders>
              <w:top w:val="single" w:sz="4" w:space="0" w:color="auto"/>
              <w:left w:val="nil"/>
              <w:bottom w:val="single" w:sz="4" w:space="0" w:color="auto"/>
              <w:right w:val="nil"/>
            </w:tcBorders>
          </w:tcPr>
          <w:p w14:paraId="2025982F" w14:textId="77777777" w:rsidR="00742247" w:rsidRPr="004768B3" w:rsidRDefault="00742247" w:rsidP="00597E3E">
            <w:pPr>
              <w:pStyle w:val="Tabletext1"/>
              <w:rPr>
                <w:snapToGrid w:val="0"/>
              </w:rPr>
            </w:pPr>
          </w:p>
        </w:tc>
        <w:tc>
          <w:tcPr>
            <w:tcW w:w="2871" w:type="pct"/>
            <w:tcBorders>
              <w:top w:val="single" w:sz="4" w:space="0" w:color="auto"/>
              <w:left w:val="nil"/>
              <w:bottom w:val="single" w:sz="4" w:space="0" w:color="auto"/>
              <w:right w:val="single" w:sz="4" w:space="0" w:color="auto"/>
            </w:tcBorders>
          </w:tcPr>
          <w:p w14:paraId="5D4C0C6D" w14:textId="77777777" w:rsidR="00742247" w:rsidRPr="004768B3" w:rsidRDefault="00742247" w:rsidP="00597E3E">
            <w:pPr>
              <w:pStyle w:val="Tabletext1"/>
              <w:rPr>
                <w:snapToGrid w:val="0"/>
              </w:rPr>
            </w:pPr>
          </w:p>
        </w:tc>
      </w:tr>
      <w:tr w:rsidR="00742247" w:rsidRPr="0040023F" w14:paraId="7B391238" w14:textId="77777777" w:rsidTr="00BF3F0A">
        <w:tc>
          <w:tcPr>
            <w:tcW w:w="1614" w:type="pct"/>
            <w:tcBorders>
              <w:top w:val="single" w:sz="4" w:space="0" w:color="auto"/>
              <w:left w:val="single" w:sz="4" w:space="0" w:color="auto"/>
              <w:bottom w:val="nil"/>
              <w:right w:val="single" w:sz="4" w:space="0" w:color="auto"/>
            </w:tcBorders>
          </w:tcPr>
          <w:p w14:paraId="280302A8" w14:textId="77777777" w:rsidR="00742247" w:rsidRPr="00EC6845" w:rsidRDefault="00742247" w:rsidP="00597E3E">
            <w:pPr>
              <w:pStyle w:val="Tabletext1"/>
              <w:rPr>
                <w:snapToGrid w:val="0"/>
              </w:rPr>
            </w:pPr>
            <w:r w:rsidRPr="00EC6845">
              <w:rPr>
                <w:snapToGrid w:val="0"/>
              </w:rPr>
              <w:t>Market growth rate</w:t>
            </w:r>
          </w:p>
        </w:tc>
        <w:tc>
          <w:tcPr>
            <w:tcW w:w="515" w:type="pct"/>
            <w:tcBorders>
              <w:top w:val="single" w:sz="4" w:space="0" w:color="auto"/>
              <w:left w:val="single" w:sz="4" w:space="0" w:color="auto"/>
              <w:bottom w:val="nil"/>
              <w:right w:val="single" w:sz="4" w:space="0" w:color="auto"/>
            </w:tcBorders>
          </w:tcPr>
          <w:p w14:paraId="1689AF91" w14:textId="77777777" w:rsidR="00742247" w:rsidRPr="00EC6845" w:rsidRDefault="00742247" w:rsidP="00597E3E">
            <w:pPr>
              <w:pStyle w:val="Tabletext1"/>
              <w:rPr>
                <w:snapToGrid w:val="0"/>
              </w:rPr>
            </w:pPr>
            <w:r w:rsidRPr="00EC6845">
              <w:rPr>
                <w:snapToGrid w:val="0"/>
              </w:rPr>
              <w:t>0%</w:t>
            </w:r>
          </w:p>
        </w:tc>
        <w:tc>
          <w:tcPr>
            <w:tcW w:w="2871" w:type="pct"/>
            <w:tcBorders>
              <w:top w:val="single" w:sz="4" w:space="0" w:color="auto"/>
              <w:left w:val="single" w:sz="4" w:space="0" w:color="auto"/>
              <w:bottom w:val="nil"/>
              <w:right w:val="single" w:sz="4" w:space="0" w:color="auto"/>
            </w:tcBorders>
          </w:tcPr>
          <w:p w14:paraId="3B20FA8F" w14:textId="26A3DC14" w:rsidR="00742247" w:rsidRPr="00DE60E6" w:rsidRDefault="00742247" w:rsidP="00597E3E">
            <w:pPr>
              <w:pStyle w:val="Tabletext1"/>
              <w:rPr>
                <w:snapToGrid w:val="0"/>
              </w:rPr>
            </w:pPr>
            <w:r w:rsidRPr="00EC6845">
              <w:rPr>
                <w:snapToGrid w:val="0"/>
              </w:rPr>
              <w:t xml:space="preserve">No growth, </w:t>
            </w:r>
            <w:r>
              <w:rPr>
                <w:snapToGrid w:val="0"/>
              </w:rPr>
              <w:t xml:space="preserve">utilisation was </w:t>
            </w:r>
            <w:r w:rsidRPr="00EC6845">
              <w:rPr>
                <w:snapToGrid w:val="0"/>
              </w:rPr>
              <w:t xml:space="preserve">assumed to </w:t>
            </w:r>
            <w:r w:rsidR="004768B3">
              <w:rPr>
                <w:snapToGrid w:val="0"/>
              </w:rPr>
              <w:t>be stable from Year 1-</w:t>
            </w:r>
            <w:r>
              <w:rPr>
                <w:snapToGrid w:val="0"/>
              </w:rPr>
              <w:t>5</w:t>
            </w:r>
          </w:p>
        </w:tc>
      </w:tr>
      <w:tr w:rsidR="00742247" w:rsidRPr="0040023F" w14:paraId="1264143D" w14:textId="77777777" w:rsidTr="00BF3F0A">
        <w:tc>
          <w:tcPr>
            <w:tcW w:w="1614" w:type="pct"/>
            <w:tcBorders>
              <w:top w:val="single" w:sz="4" w:space="0" w:color="auto"/>
              <w:left w:val="single" w:sz="4" w:space="0" w:color="auto"/>
              <w:bottom w:val="nil"/>
              <w:right w:val="single" w:sz="4" w:space="0" w:color="auto"/>
            </w:tcBorders>
          </w:tcPr>
          <w:p w14:paraId="577CD91E" w14:textId="77777777" w:rsidR="00742247" w:rsidRPr="00484F40" w:rsidRDefault="00742247" w:rsidP="00597E3E">
            <w:pPr>
              <w:pStyle w:val="Tabletext1"/>
              <w:rPr>
                <w:snapToGrid w:val="0"/>
              </w:rPr>
            </w:pPr>
            <w:r w:rsidRPr="00484F40">
              <w:rPr>
                <w:snapToGrid w:val="0"/>
              </w:rPr>
              <w:t>Rate of uptake of mpMRI</w:t>
            </w:r>
          </w:p>
        </w:tc>
        <w:tc>
          <w:tcPr>
            <w:tcW w:w="515" w:type="pct"/>
            <w:tcBorders>
              <w:top w:val="single" w:sz="4" w:space="0" w:color="auto"/>
              <w:left w:val="single" w:sz="4" w:space="0" w:color="auto"/>
              <w:bottom w:val="nil"/>
              <w:right w:val="single" w:sz="4" w:space="0" w:color="auto"/>
            </w:tcBorders>
          </w:tcPr>
          <w:p w14:paraId="6BA22797" w14:textId="77777777" w:rsidR="00742247" w:rsidRPr="00484F40" w:rsidRDefault="00742247" w:rsidP="00597E3E">
            <w:pPr>
              <w:pStyle w:val="Tabletext1"/>
              <w:rPr>
                <w:snapToGrid w:val="0"/>
              </w:rPr>
            </w:pPr>
            <w:r w:rsidRPr="00484F40">
              <w:rPr>
                <w:snapToGrid w:val="0"/>
              </w:rPr>
              <w:t>100%</w:t>
            </w:r>
          </w:p>
        </w:tc>
        <w:tc>
          <w:tcPr>
            <w:tcW w:w="2871" w:type="pct"/>
            <w:tcBorders>
              <w:top w:val="single" w:sz="4" w:space="0" w:color="auto"/>
              <w:left w:val="single" w:sz="4" w:space="0" w:color="auto"/>
              <w:bottom w:val="nil"/>
              <w:right w:val="single" w:sz="4" w:space="0" w:color="auto"/>
            </w:tcBorders>
          </w:tcPr>
          <w:p w14:paraId="46D5C7F0" w14:textId="77777777" w:rsidR="00742247" w:rsidRPr="00484F40" w:rsidRDefault="00742247" w:rsidP="00597E3E">
            <w:pPr>
              <w:pStyle w:val="Tabletext1"/>
              <w:rPr>
                <w:snapToGrid w:val="0"/>
              </w:rPr>
            </w:pPr>
            <w:r>
              <w:rPr>
                <w:snapToGrid w:val="0"/>
              </w:rPr>
              <w:t>Assumption</w:t>
            </w:r>
          </w:p>
        </w:tc>
      </w:tr>
      <w:tr w:rsidR="00742247" w:rsidRPr="0040023F" w14:paraId="665E8309" w14:textId="77777777" w:rsidTr="00BF3F0A">
        <w:tc>
          <w:tcPr>
            <w:tcW w:w="1614" w:type="pct"/>
            <w:tcBorders>
              <w:top w:val="single" w:sz="4" w:space="0" w:color="auto"/>
              <w:left w:val="single" w:sz="4" w:space="0" w:color="auto"/>
              <w:bottom w:val="nil"/>
              <w:right w:val="single" w:sz="4" w:space="0" w:color="auto"/>
            </w:tcBorders>
          </w:tcPr>
          <w:p w14:paraId="246917AB" w14:textId="77777777" w:rsidR="00742247" w:rsidRPr="00EC6845" w:rsidRDefault="00742247" w:rsidP="00597E3E">
            <w:pPr>
              <w:pStyle w:val="Tabletext1"/>
              <w:rPr>
                <w:snapToGrid w:val="0"/>
              </w:rPr>
            </w:pPr>
            <w:r w:rsidRPr="00EC6845">
              <w:rPr>
                <w:snapToGrid w:val="0"/>
              </w:rPr>
              <w:t>Patients having TRUSGB</w:t>
            </w:r>
          </w:p>
        </w:tc>
        <w:tc>
          <w:tcPr>
            <w:tcW w:w="515" w:type="pct"/>
            <w:tcBorders>
              <w:top w:val="single" w:sz="4" w:space="0" w:color="auto"/>
              <w:left w:val="single" w:sz="4" w:space="0" w:color="auto"/>
              <w:bottom w:val="nil"/>
              <w:right w:val="single" w:sz="4" w:space="0" w:color="auto"/>
            </w:tcBorders>
          </w:tcPr>
          <w:p w14:paraId="6EBDB4BD" w14:textId="77777777" w:rsidR="00742247" w:rsidRPr="00EC6845" w:rsidRDefault="00742247" w:rsidP="00597E3E">
            <w:pPr>
              <w:pStyle w:val="Tabletext1"/>
              <w:rPr>
                <w:snapToGrid w:val="0"/>
              </w:rPr>
            </w:pPr>
            <w:r w:rsidRPr="00EC6845">
              <w:rPr>
                <w:snapToGrid w:val="0"/>
              </w:rPr>
              <w:t>20,149</w:t>
            </w:r>
          </w:p>
        </w:tc>
        <w:tc>
          <w:tcPr>
            <w:tcW w:w="2871" w:type="pct"/>
            <w:tcBorders>
              <w:top w:val="single" w:sz="4" w:space="0" w:color="auto"/>
              <w:left w:val="single" w:sz="4" w:space="0" w:color="auto"/>
              <w:bottom w:val="nil"/>
              <w:right w:val="single" w:sz="4" w:space="0" w:color="auto"/>
            </w:tcBorders>
          </w:tcPr>
          <w:p w14:paraId="7ECBAAA5" w14:textId="77777777" w:rsidR="00742247" w:rsidRPr="00EC6845" w:rsidRDefault="00742247" w:rsidP="00597E3E">
            <w:pPr>
              <w:pStyle w:val="Tabletext1"/>
              <w:rPr>
                <w:snapToGrid w:val="0"/>
              </w:rPr>
            </w:pPr>
            <w:r w:rsidRPr="00EC6845">
              <w:rPr>
                <w:snapToGrid w:val="0"/>
              </w:rPr>
              <w:t xml:space="preserve">MBS 37219: </w:t>
            </w:r>
            <w:r>
              <w:rPr>
                <w:snapToGrid w:val="0"/>
              </w:rPr>
              <w:t>MBS statistics</w:t>
            </w:r>
            <w:r w:rsidRPr="00EC6845">
              <w:rPr>
                <w:snapToGrid w:val="0"/>
              </w:rPr>
              <w:t xml:space="preserve"> utilisation from July 2014 to June 2015</w:t>
            </w:r>
          </w:p>
        </w:tc>
      </w:tr>
      <w:tr w:rsidR="00742247" w:rsidRPr="0040023F" w14:paraId="2BA44222" w14:textId="77777777" w:rsidTr="00BF3F0A">
        <w:tc>
          <w:tcPr>
            <w:tcW w:w="1614" w:type="pct"/>
            <w:tcBorders>
              <w:top w:val="nil"/>
              <w:left w:val="single" w:sz="4" w:space="0" w:color="auto"/>
              <w:bottom w:val="nil"/>
              <w:right w:val="single" w:sz="4" w:space="0" w:color="auto"/>
            </w:tcBorders>
          </w:tcPr>
          <w:p w14:paraId="52D5DD4A" w14:textId="77777777" w:rsidR="00742247" w:rsidRPr="00EC6845" w:rsidRDefault="00742247" w:rsidP="00597E3E">
            <w:pPr>
              <w:pStyle w:val="Tabletext1"/>
              <w:rPr>
                <w:snapToGrid w:val="0"/>
              </w:rPr>
            </w:pPr>
            <w:r w:rsidRPr="00EC6845">
              <w:rPr>
                <w:snapToGrid w:val="0"/>
              </w:rPr>
              <w:t>Population 1</w:t>
            </w:r>
          </w:p>
        </w:tc>
        <w:tc>
          <w:tcPr>
            <w:tcW w:w="515" w:type="pct"/>
            <w:tcBorders>
              <w:top w:val="nil"/>
              <w:left w:val="single" w:sz="4" w:space="0" w:color="auto"/>
              <w:bottom w:val="nil"/>
              <w:right w:val="single" w:sz="4" w:space="0" w:color="auto"/>
            </w:tcBorders>
          </w:tcPr>
          <w:p w14:paraId="719744BC" w14:textId="77777777" w:rsidR="00742247" w:rsidRPr="00EC6845" w:rsidRDefault="00742247" w:rsidP="00597E3E">
            <w:pPr>
              <w:pStyle w:val="Tabletext1"/>
              <w:rPr>
                <w:snapToGrid w:val="0"/>
              </w:rPr>
            </w:pPr>
            <w:r w:rsidRPr="00EC6845">
              <w:rPr>
                <w:snapToGrid w:val="0"/>
              </w:rPr>
              <w:t>13,276</w:t>
            </w:r>
          </w:p>
        </w:tc>
        <w:tc>
          <w:tcPr>
            <w:tcW w:w="2871" w:type="pct"/>
            <w:tcBorders>
              <w:top w:val="nil"/>
              <w:left w:val="single" w:sz="4" w:space="0" w:color="auto"/>
              <w:bottom w:val="nil"/>
              <w:right w:val="single" w:sz="4" w:space="0" w:color="auto"/>
            </w:tcBorders>
          </w:tcPr>
          <w:p w14:paraId="5334CCDE" w14:textId="0BB124C7" w:rsidR="00742247" w:rsidRPr="00EC6845" w:rsidRDefault="00742247" w:rsidP="00597E3E">
            <w:pPr>
              <w:pStyle w:val="Tabletext1"/>
              <w:rPr>
                <w:snapToGrid w:val="0"/>
              </w:rPr>
            </w:pPr>
            <w:r>
              <w:rPr>
                <w:snapToGrid w:val="0"/>
              </w:rPr>
              <w:t>C</w:t>
            </w:r>
            <w:r w:rsidR="004768B3">
              <w:rPr>
                <w:snapToGrid w:val="0"/>
              </w:rPr>
              <w:t>alculation: 20,149–</w:t>
            </w:r>
            <w:r w:rsidRPr="00EC6845">
              <w:rPr>
                <w:snapToGrid w:val="0"/>
              </w:rPr>
              <w:t>6,873 (Population 2)=13,276</w:t>
            </w:r>
          </w:p>
        </w:tc>
      </w:tr>
      <w:tr w:rsidR="00742247" w:rsidRPr="0040023F" w14:paraId="483472D1" w14:textId="77777777" w:rsidTr="00BF3F0A">
        <w:tc>
          <w:tcPr>
            <w:tcW w:w="1614" w:type="pct"/>
            <w:tcBorders>
              <w:top w:val="nil"/>
              <w:left w:val="single" w:sz="4" w:space="0" w:color="auto"/>
              <w:bottom w:val="single" w:sz="4" w:space="0" w:color="auto"/>
              <w:right w:val="single" w:sz="4" w:space="0" w:color="auto"/>
            </w:tcBorders>
          </w:tcPr>
          <w:p w14:paraId="5789D1E4" w14:textId="77777777" w:rsidR="00742247" w:rsidRPr="00EC6845" w:rsidRDefault="00742247" w:rsidP="00597E3E">
            <w:pPr>
              <w:pStyle w:val="Tabletext1"/>
              <w:rPr>
                <w:snapToGrid w:val="0"/>
              </w:rPr>
            </w:pPr>
            <w:r w:rsidRPr="00EC6845">
              <w:rPr>
                <w:snapToGrid w:val="0"/>
              </w:rPr>
              <w:t xml:space="preserve">Population 2 </w:t>
            </w:r>
          </w:p>
        </w:tc>
        <w:tc>
          <w:tcPr>
            <w:tcW w:w="515" w:type="pct"/>
            <w:tcBorders>
              <w:top w:val="nil"/>
              <w:left w:val="single" w:sz="4" w:space="0" w:color="auto"/>
              <w:bottom w:val="single" w:sz="4" w:space="0" w:color="auto"/>
              <w:right w:val="single" w:sz="4" w:space="0" w:color="auto"/>
            </w:tcBorders>
          </w:tcPr>
          <w:p w14:paraId="5D45F2DD" w14:textId="77777777" w:rsidR="00742247" w:rsidRPr="00EC6845" w:rsidRDefault="00742247" w:rsidP="00597E3E">
            <w:pPr>
              <w:pStyle w:val="Tabletext1"/>
              <w:rPr>
                <w:snapToGrid w:val="0"/>
              </w:rPr>
            </w:pPr>
            <w:r w:rsidRPr="00EC6845">
              <w:rPr>
                <w:snapToGrid w:val="0"/>
              </w:rPr>
              <w:t>6,873</w:t>
            </w:r>
          </w:p>
        </w:tc>
        <w:tc>
          <w:tcPr>
            <w:tcW w:w="2871" w:type="pct"/>
            <w:tcBorders>
              <w:top w:val="nil"/>
              <w:left w:val="single" w:sz="4" w:space="0" w:color="auto"/>
              <w:bottom w:val="single" w:sz="4" w:space="0" w:color="auto"/>
              <w:right w:val="single" w:sz="4" w:space="0" w:color="auto"/>
            </w:tcBorders>
          </w:tcPr>
          <w:p w14:paraId="5F82FCB9" w14:textId="77777777" w:rsidR="00742247" w:rsidRPr="00EC6845" w:rsidRDefault="00742247" w:rsidP="00597E3E">
            <w:pPr>
              <w:pStyle w:val="Tabletext1"/>
              <w:rPr>
                <w:snapToGrid w:val="0"/>
              </w:rPr>
            </w:pPr>
            <w:r w:rsidRPr="00EC6845">
              <w:rPr>
                <w:snapToGrid w:val="0"/>
              </w:rPr>
              <w:t xml:space="preserve">AIHW 2016: reported 89,841 men diagnosed with PCa from 2006 to 2010; </w:t>
            </w:r>
          </w:p>
          <w:p w14:paraId="3F262963" w14:textId="222CF981" w:rsidR="00742247" w:rsidRPr="00EC6845" w:rsidRDefault="00742247" w:rsidP="00597E3E">
            <w:pPr>
              <w:pStyle w:val="Tabletext1"/>
              <w:rPr>
                <w:snapToGrid w:val="0"/>
              </w:rPr>
            </w:pPr>
            <w:r w:rsidRPr="00EC6845">
              <w:rPr>
                <w:snapToGrid w:val="0"/>
              </w:rPr>
              <w:t>Victorian Prostate Cancer Registry (Weerakoon e</w:t>
            </w:r>
            <w:r w:rsidR="00DC025B">
              <w:rPr>
                <w:snapToGrid w:val="0"/>
              </w:rPr>
              <w:t>t</w:t>
            </w:r>
            <w:r w:rsidRPr="00EC6845">
              <w:rPr>
                <w:snapToGrid w:val="0"/>
              </w:rPr>
              <w:t xml:space="preserve"> al</w:t>
            </w:r>
            <w:r w:rsidR="00DC025B">
              <w:rPr>
                <w:snapToGrid w:val="0"/>
              </w:rPr>
              <w:t xml:space="preserve">. </w:t>
            </w:r>
            <w:r w:rsidRPr="00EC6845">
              <w:rPr>
                <w:snapToGrid w:val="0"/>
              </w:rPr>
              <w:t xml:space="preserve">2015) reported Proportion of men undergoing </w:t>
            </w:r>
            <w:r w:rsidR="00AB1EEA">
              <w:rPr>
                <w:snapToGrid w:val="0"/>
              </w:rPr>
              <w:t>AS</w:t>
            </w:r>
            <w:r w:rsidRPr="00EC6845">
              <w:rPr>
                <w:snapToGrid w:val="0"/>
              </w:rPr>
              <w:t xml:space="preserve">, 15.3%. </w:t>
            </w:r>
          </w:p>
          <w:p w14:paraId="360E8F2F" w14:textId="0259E83F" w:rsidR="00742247" w:rsidRPr="00EC6845" w:rsidRDefault="00742247" w:rsidP="00597E3E">
            <w:pPr>
              <w:pStyle w:val="Tabletext1"/>
              <w:rPr>
                <w:snapToGrid w:val="0"/>
              </w:rPr>
            </w:pPr>
            <w:r w:rsidRPr="00EC6845">
              <w:rPr>
                <w:snapToGrid w:val="0"/>
              </w:rPr>
              <w:t xml:space="preserve">No. of men with Prostate cancer undergoing </w:t>
            </w:r>
            <w:r w:rsidR="00AB1EEA">
              <w:rPr>
                <w:snapToGrid w:val="0"/>
              </w:rPr>
              <w:t>AS</w:t>
            </w:r>
            <w:r w:rsidRPr="00EC6845">
              <w:rPr>
                <w:snapToGrid w:val="0"/>
              </w:rPr>
              <w:t>: 89,841x15.3%= 13,746</w:t>
            </w:r>
          </w:p>
          <w:p w14:paraId="6797DE35" w14:textId="50399E99" w:rsidR="00742247" w:rsidRPr="00EC6845" w:rsidRDefault="00742247" w:rsidP="00597E3E">
            <w:pPr>
              <w:pStyle w:val="Tabletext1"/>
              <w:rPr>
                <w:snapToGrid w:val="0"/>
              </w:rPr>
            </w:pPr>
            <w:r w:rsidRPr="00EC6845">
              <w:rPr>
                <w:snapToGrid w:val="0"/>
              </w:rPr>
              <w:t>Assume mpMRI once every 2 years: 1</w:t>
            </w:r>
            <w:r w:rsidR="004768B3">
              <w:rPr>
                <w:snapToGrid w:val="0"/>
              </w:rPr>
              <w:t>3,746</w:t>
            </w:r>
            <w:r w:rsidRPr="00EC6845">
              <w:rPr>
                <w:snapToGrid w:val="0"/>
              </w:rPr>
              <w:t>/</w:t>
            </w:r>
            <w:r w:rsidR="004768B3">
              <w:rPr>
                <w:snapToGrid w:val="0"/>
              </w:rPr>
              <w:t>2</w:t>
            </w:r>
            <w:r w:rsidRPr="00EC6845">
              <w:rPr>
                <w:snapToGrid w:val="0"/>
              </w:rPr>
              <w:t>=6873</w:t>
            </w:r>
          </w:p>
        </w:tc>
      </w:tr>
    </w:tbl>
    <w:p w14:paraId="1F25946B" w14:textId="0ED56103" w:rsidR="00742247" w:rsidRDefault="00DC025B" w:rsidP="00DC025B">
      <w:pPr>
        <w:pStyle w:val="TableNotes"/>
      </w:pPr>
      <w:r>
        <w:t>AIHW =</w:t>
      </w:r>
      <w:r w:rsidR="00742247" w:rsidRPr="00045B3F">
        <w:t xml:space="preserve"> Australian I</w:t>
      </w:r>
      <w:r>
        <w:t xml:space="preserve">nstitute of Health and Welfare, </w:t>
      </w:r>
      <w:r w:rsidR="00742247" w:rsidRPr="00045B3F">
        <w:t>MBS</w:t>
      </w:r>
      <w:r>
        <w:t xml:space="preserve"> =</w:t>
      </w:r>
      <w:r w:rsidR="00742247" w:rsidRPr="00045B3F">
        <w:t xml:space="preserve"> Medicare Benefits Schedule</w:t>
      </w:r>
      <w:r>
        <w:t>,</w:t>
      </w:r>
      <w:r w:rsidR="00742247" w:rsidRPr="00045B3F">
        <w:t xml:space="preserve"> mpMRI</w:t>
      </w:r>
      <w:r>
        <w:t xml:space="preserve"> =</w:t>
      </w:r>
      <w:r w:rsidR="00742247" w:rsidRPr="00045B3F">
        <w:t xml:space="preserve"> multiparametric MRI</w:t>
      </w:r>
      <w:r>
        <w:t>,</w:t>
      </w:r>
      <w:r w:rsidR="00742247" w:rsidRPr="00045B3F">
        <w:t xml:space="preserve"> PBS</w:t>
      </w:r>
      <w:r>
        <w:t xml:space="preserve"> =</w:t>
      </w:r>
      <w:r w:rsidR="00742247" w:rsidRPr="00045B3F">
        <w:t xml:space="preserve"> Pharmaceutical Benefits Scheme</w:t>
      </w:r>
      <w:r>
        <w:t>,</w:t>
      </w:r>
      <w:r w:rsidR="00AB1EEA">
        <w:t xml:space="preserve">AS = active surveillance, </w:t>
      </w:r>
      <w:r w:rsidR="00742247" w:rsidRPr="00045B3F">
        <w:t>PCa</w:t>
      </w:r>
      <w:r>
        <w:t xml:space="preserve"> =</w:t>
      </w:r>
      <w:r w:rsidR="00742247" w:rsidRPr="00045B3F">
        <w:t xml:space="preserve"> prostate cancer</w:t>
      </w:r>
      <w:r>
        <w:t>,</w:t>
      </w:r>
      <w:r w:rsidR="00742247" w:rsidRPr="00045B3F">
        <w:t xml:space="preserve"> TPUSGB</w:t>
      </w:r>
      <w:r>
        <w:t xml:space="preserve"> =</w:t>
      </w:r>
      <w:r w:rsidR="00742247" w:rsidRPr="00045B3F">
        <w:t xml:space="preserve"> trans</w:t>
      </w:r>
      <w:r>
        <w:t>-</w:t>
      </w:r>
      <w:r w:rsidR="00742247" w:rsidRPr="00045B3F">
        <w:t>perineal ultrasound guided biopsy</w:t>
      </w:r>
      <w:r>
        <w:t>,</w:t>
      </w:r>
      <w:r w:rsidR="00742247" w:rsidRPr="00045B3F">
        <w:t xml:space="preserve"> TRUSGB</w:t>
      </w:r>
      <w:r>
        <w:t xml:space="preserve"> =</w:t>
      </w:r>
      <w:r w:rsidR="00742247" w:rsidRPr="00045B3F">
        <w:t xml:space="preserve"> trans</w:t>
      </w:r>
      <w:r>
        <w:t>-</w:t>
      </w:r>
      <w:r w:rsidR="00742247" w:rsidRPr="00045B3F">
        <w:t>rectal ultrasound guided biopsy.</w:t>
      </w:r>
    </w:p>
    <w:p w14:paraId="5A3165BB" w14:textId="77777777" w:rsidR="00742247" w:rsidRDefault="00742247" w:rsidP="00742247">
      <w:pPr>
        <w:pStyle w:val="Heading2"/>
        <w:numPr>
          <w:ilvl w:val="4"/>
          <w:numId w:val="8"/>
        </w:numPr>
        <w:jc w:val="left"/>
      </w:pPr>
      <w:bookmarkStart w:id="674" w:name="_Toc214091270"/>
      <w:bookmarkStart w:id="675" w:name="_Toc341796094"/>
      <w:bookmarkStart w:id="676" w:name="_Toc445463514"/>
      <w:bookmarkStart w:id="677" w:name="_Toc457223215"/>
      <w:bookmarkStart w:id="678" w:name="_Toc457383631"/>
      <w:bookmarkStart w:id="679" w:name="_Toc459987879"/>
      <w:bookmarkStart w:id="680" w:name="_Toc460513999"/>
      <w:bookmarkStart w:id="681" w:name="_Toc379118300"/>
      <w:bookmarkStart w:id="682" w:name="_Toc381796483"/>
      <w:bookmarkEnd w:id="661"/>
      <w:r>
        <w:lastRenderedPageBreak/>
        <w:t xml:space="preserve">Use and costs of </w:t>
      </w:r>
      <w:bookmarkEnd w:id="674"/>
      <w:bookmarkEnd w:id="675"/>
      <w:bookmarkEnd w:id="676"/>
      <w:r>
        <w:t>mpMRI</w:t>
      </w:r>
      <w:bookmarkEnd w:id="677"/>
      <w:bookmarkEnd w:id="678"/>
      <w:bookmarkEnd w:id="679"/>
      <w:bookmarkEnd w:id="680"/>
    </w:p>
    <w:p w14:paraId="3418A4DB" w14:textId="77777777" w:rsidR="00742247" w:rsidRPr="00F762E2" w:rsidRDefault="00742247" w:rsidP="00742247">
      <w:pPr>
        <w:pStyle w:val="Heading3"/>
      </w:pPr>
      <w:bookmarkStart w:id="683" w:name="_Toc457223216"/>
      <w:bookmarkStart w:id="684" w:name="_Toc457383632"/>
      <w:bookmarkStart w:id="685" w:name="_Toc459987880"/>
      <w:bookmarkStart w:id="686" w:name="_Toc460514000"/>
      <w:r>
        <w:t>Population 1 and 2</w:t>
      </w:r>
      <w:bookmarkEnd w:id="683"/>
      <w:bookmarkEnd w:id="684"/>
      <w:bookmarkEnd w:id="685"/>
      <w:bookmarkEnd w:id="686"/>
    </w:p>
    <w:p w14:paraId="30792AF2" w14:textId="28F4616A" w:rsidR="00742247" w:rsidRDefault="00742247" w:rsidP="00742247">
      <w:r>
        <w:t xml:space="preserve">Between July 2014 and June 2015, approximately 664,240 PSA tests </w:t>
      </w:r>
      <w:r w:rsidR="00B77D34">
        <w:t xml:space="preserve">were </w:t>
      </w:r>
      <w:r>
        <w:t>performed in Australia (MBS item 66655)</w:t>
      </w:r>
      <w:r w:rsidR="005F5C94">
        <w:t xml:space="preserve"> </w:t>
      </w:r>
      <w:r w:rsidR="008E0B00">
        <w:fldChar w:fldCharType="begin"/>
      </w:r>
      <w:r w:rsidR="008E0B00">
        <w:instrText xml:space="preserve"> ADDIN EN.CITE &lt;EndNote&gt;&lt;Cite&gt;&lt;Author&gt;DoH&lt;/Author&gt;&lt;Year&gt;2016&lt;/Year&gt;&lt;RecNum&gt;213&lt;/RecNum&gt;&lt;DisplayText&gt;(DoH 2016b)&lt;/DisplayText&gt;&lt;record&gt;&lt;rec-number&gt;213&lt;/rec-number&gt;&lt;foreign-keys&gt;&lt;key app="EN" db-id="xzzrstesqpaavfe0te5p2zssvee5ervas2vt" timestamp="1469588963"&gt;213&lt;/key&gt;&lt;/foreign-keys&gt;&lt;ref-type name="Web Page"&gt;12&lt;/ref-type&gt;&lt;contributors&gt;&lt;authors&gt;&lt;author&gt;DoH&lt;/author&gt;&lt;/authors&gt;&lt;/contributors&gt;&lt;titles&gt;&lt;title&gt;Requested Medicare items processed from July 2014 to June 2015, Item 66655&lt;/title&gt;&lt;/titles&gt;&lt;number&gt;15/07/2016&lt;/number&gt;&lt;dates&gt;&lt;year&gt;2016&lt;/year&gt;&lt;/dates&gt;&lt;urls&gt;&lt;related-urls&gt;&lt;url&gt;http://medicarestatistics.humanservices.gov.au/statistics/do.jsp?_PROGRAM=%2Fstatistics%2Fmbs_item_standard_report&amp;amp;DRILL=ag&amp;amp;group=66655&amp;amp;VAR=services&amp;amp;STAT=count&amp;amp;RPT_FMT=by+state&amp;amp;PTYPE=finyear&amp;amp;START_DT=201407&amp;amp;END_DT=201506&lt;/url&gt;&lt;/related-urls&gt;&lt;/urls&gt;&lt;/record&gt;&lt;/Cite&gt;&lt;/EndNote&gt;</w:instrText>
      </w:r>
      <w:r w:rsidR="008E0B00">
        <w:fldChar w:fldCharType="separate"/>
      </w:r>
      <w:r w:rsidR="008E0B00">
        <w:rPr>
          <w:noProof/>
        </w:rPr>
        <w:t>(</w:t>
      </w:r>
      <w:hyperlink w:anchor="_ENREF_40" w:tooltip="DoH, 2016 #213" w:history="1">
        <w:r w:rsidR="008E0B00">
          <w:rPr>
            <w:noProof/>
          </w:rPr>
          <w:t>DoH 2016b</w:t>
        </w:r>
      </w:hyperlink>
      <w:r w:rsidR="008E0B00">
        <w:rPr>
          <w:noProof/>
        </w:rPr>
        <w:t>)</w:t>
      </w:r>
      <w:r w:rsidR="008E0B00">
        <w:fldChar w:fldCharType="end"/>
      </w:r>
      <w:r>
        <w:t xml:space="preserve">. </w:t>
      </w:r>
      <w:r w:rsidR="00267DDC">
        <w:t>Of these, t</w:t>
      </w:r>
      <w:r>
        <w:t xml:space="preserve">here are no data available </w:t>
      </w:r>
      <w:r w:rsidR="00B77D34">
        <w:t>to</w:t>
      </w:r>
      <w:r>
        <w:t xml:space="preserve"> estimate the proportion of </w:t>
      </w:r>
      <w:r w:rsidR="00267DDC">
        <w:t xml:space="preserve">high/concerning PSA </w:t>
      </w:r>
      <w:r>
        <w:t>test</w:t>
      </w:r>
      <w:r w:rsidR="00267DDC">
        <w:t xml:space="preserve"> results</w:t>
      </w:r>
      <w:r>
        <w:t>. Data from the Australian Cancer Registry</w:t>
      </w:r>
      <w:r w:rsidR="00267DDC">
        <w:t>, however,</w:t>
      </w:r>
      <w:r>
        <w:t xml:space="preserve"> suggests that </w:t>
      </w:r>
      <w:r w:rsidR="00B77D34">
        <w:t>TRUSGB</w:t>
      </w:r>
      <w:r>
        <w:t xml:space="preserve"> was performed in 2.9</w:t>
      </w:r>
      <w:r w:rsidR="00B77D34">
        <w:t xml:space="preserve"> per cent</w:t>
      </w:r>
      <w:r>
        <w:t xml:space="preserve"> of the men who had a PSA test</w:t>
      </w:r>
      <w:r w:rsidR="005F5C94">
        <w:t xml:space="preserve"> </w:t>
      </w:r>
      <w:r w:rsidR="008E0B00">
        <w:fldChar w:fldCharType="begin"/>
      </w:r>
      <w:r w:rsidR="008E0B00">
        <w:instrText xml:space="preserve"> ADDIN EN.CITE &lt;EndNote&gt;&lt;Cite&gt;&lt;Author&gt;Ranasinghe&lt;/Author&gt;&lt;Year&gt;2014&lt;/Year&gt;&lt;RecNum&gt;176&lt;/RecNum&gt;&lt;DisplayText&gt;(Ranasinghe et al. 2014)&lt;/DisplayText&gt;&lt;record&gt;&lt;rec-number&gt;176&lt;/rec-number&gt;&lt;foreign-keys&gt;&lt;key app="EN" db-id="2p9terxr22fx91epzebpfdwuzrwtw2a2ep2t" timestamp="1472684646"&gt;176&lt;/key&gt;&lt;/foreign-keys&gt;&lt;ref-type name="Journal Article"&gt;17&lt;/ref-type&gt;&lt;contributors&gt;&lt;authors&gt;&lt;author&gt;Ranasinghe, Weranja KB&lt;/author&gt;&lt;author&gt;Kim, Simon P&lt;/author&gt;&lt;author&gt;Lawrentschuk, Nathan&lt;/author&gt;&lt;author&gt;Sengupta, Shomik&lt;/author&gt;&lt;author&gt;Hounsome, Luke&lt;/author&gt;&lt;author&gt;Barber, Jim&lt;/author&gt;&lt;author&gt;Jones, Richard&lt;/author&gt;&lt;author&gt;Davis, Paul&lt;/author&gt;&lt;author&gt;Bolton, Damien&lt;/author&gt;&lt;author&gt;Persad, Raj&lt;/author&gt;&lt;/authors&gt;&lt;/contributors&gt;&lt;titles&gt;&lt;title&gt;Population‐based analysis of prostate‐specific antigen (PSA) screening in younger men (&amp;lt; 55 years) in Australia&lt;/title&gt;&lt;secondary-title&gt;BJU Int&lt;/secondary-title&gt;&lt;/titles&gt;&lt;periodical&gt;&lt;full-title&gt;BJU Int&lt;/full-title&gt;&lt;/periodical&gt;&lt;pages&gt;77-83&lt;/pages&gt;&lt;volume&gt;113&lt;/volume&gt;&lt;number&gt;1&lt;/number&gt;&lt;dates&gt;&lt;year&gt;2014&lt;/year&gt;&lt;/dates&gt;&lt;isbn&gt;1464-410X&lt;/isbn&gt;&lt;urls&gt;&lt;/urls&gt;&lt;/record&gt;&lt;/Cite&gt;&lt;/EndNote&gt;</w:instrText>
      </w:r>
      <w:r w:rsidR="008E0B00">
        <w:fldChar w:fldCharType="separate"/>
      </w:r>
      <w:r w:rsidR="008E0B00">
        <w:rPr>
          <w:noProof/>
        </w:rPr>
        <w:t>(</w:t>
      </w:r>
      <w:hyperlink w:anchor="_ENREF_120" w:tooltip="Ranasinghe, 2014 #176" w:history="1">
        <w:r w:rsidR="008E0B00">
          <w:rPr>
            <w:noProof/>
          </w:rPr>
          <w:t>Ranasinghe et al. 2014</w:t>
        </w:r>
      </w:hyperlink>
      <w:r w:rsidR="008E0B00">
        <w:rPr>
          <w:noProof/>
        </w:rPr>
        <w:t>)</w:t>
      </w:r>
      <w:r w:rsidR="008E0B00">
        <w:fldChar w:fldCharType="end"/>
      </w:r>
      <w:r>
        <w:t xml:space="preserve">. Assuming that this </w:t>
      </w:r>
      <w:r w:rsidR="00072E82">
        <w:t xml:space="preserve">is an appropriate measure, </w:t>
      </w:r>
      <w:r>
        <w:t>approximate</w:t>
      </w:r>
      <w:r w:rsidR="00072E82">
        <w:t>ly</w:t>
      </w:r>
      <w:r>
        <w:t xml:space="preserve"> 19,263 men </w:t>
      </w:r>
      <w:r w:rsidR="00072E82">
        <w:t xml:space="preserve">with high/concerning PSA </w:t>
      </w:r>
      <w:r>
        <w:t>would undergo mpMRI per year.</w:t>
      </w:r>
      <w:r w:rsidRPr="00564B03">
        <w:t xml:space="preserve"> </w:t>
      </w:r>
    </w:p>
    <w:p w14:paraId="39453517" w14:textId="1E5B4BAD" w:rsidR="00CD6163" w:rsidRDefault="00B77D34" w:rsidP="00742247">
      <w:r>
        <w:t>C</w:t>
      </w:r>
      <w:r w:rsidR="00742247">
        <w:t>onsistent with the Protocol</w:t>
      </w:r>
      <w:r w:rsidR="00267DDC">
        <w:t xml:space="preserve"> 1397, another method to identify population numbers was derived using</w:t>
      </w:r>
      <w:r w:rsidR="00742247">
        <w:t xml:space="preserve"> data from MBS item reports (MBS item 37219)</w:t>
      </w:r>
      <w:r w:rsidR="00267DDC">
        <w:t>. This approached</w:t>
      </w:r>
      <w:r w:rsidR="00742247">
        <w:t xml:space="preserve"> </w:t>
      </w:r>
      <w:r w:rsidR="00267DDC">
        <w:t xml:space="preserve">identified </w:t>
      </w:r>
      <w:r w:rsidR="00742247">
        <w:t>that between July 2014 and June 2015, there were 20,149 services claimed on the MBS for ultrasound-guided prostate biopsy</w:t>
      </w:r>
      <w:r w:rsidR="005F5C94">
        <w:t xml:space="preserve"> </w:t>
      </w:r>
      <w:r w:rsidR="008E0B00">
        <w:fldChar w:fldCharType="begin"/>
      </w:r>
      <w:r w:rsidR="008E0B00">
        <w:instrText xml:space="preserve"> ADDIN EN.CITE &lt;EndNote&gt;&lt;Cite&gt;&lt;Author&gt;DoH&lt;/Author&gt;&lt;Year&gt;2016&lt;/Year&gt;&lt;RecNum&gt;213&lt;/RecNum&gt;&lt;DisplayText&gt;(DoH 2016b)&lt;/DisplayText&gt;&lt;record&gt;&lt;rec-number&gt;213&lt;/rec-number&gt;&lt;foreign-keys&gt;&lt;key app="EN" db-id="xzzrstesqpaavfe0te5p2zssvee5ervas2vt" timestamp="1469588963"&gt;213&lt;/key&gt;&lt;/foreign-keys&gt;&lt;ref-type name="Web Page"&gt;12&lt;/ref-type&gt;&lt;contributors&gt;&lt;authors&gt;&lt;author&gt;DoH&lt;/author&gt;&lt;/authors&gt;&lt;/contributors&gt;&lt;titles&gt;&lt;title&gt;Requested Medicare items processed from July 2014 to June 2015, Item 66655&lt;/title&gt;&lt;/titles&gt;&lt;number&gt;15/07/2016&lt;/number&gt;&lt;dates&gt;&lt;year&gt;2016&lt;/year&gt;&lt;/dates&gt;&lt;urls&gt;&lt;related-urls&gt;&lt;url&gt;http://medicarestatistics.humanservices.gov.au/statistics/do.jsp?_PROGRAM=%2Fstatistics%2Fmbs_item_standard_report&amp;amp;DRILL=ag&amp;amp;group=66655&amp;amp;VAR=services&amp;amp;STAT=count&amp;amp;RPT_FMT=by+state&amp;amp;PTYPE=finyear&amp;amp;START_DT=201407&amp;amp;END_DT=201506&lt;/url&gt;&lt;/related-urls&gt;&lt;/urls&gt;&lt;/record&gt;&lt;/Cite&gt;&lt;/EndNote&gt;</w:instrText>
      </w:r>
      <w:r w:rsidR="008E0B00">
        <w:fldChar w:fldCharType="separate"/>
      </w:r>
      <w:r w:rsidR="008E0B00">
        <w:rPr>
          <w:noProof/>
        </w:rPr>
        <w:t>(</w:t>
      </w:r>
      <w:hyperlink w:anchor="_ENREF_40" w:tooltip="DoH, 2016 #213" w:history="1">
        <w:r w:rsidR="008E0B00">
          <w:rPr>
            <w:noProof/>
          </w:rPr>
          <w:t>DoH 2016b</w:t>
        </w:r>
      </w:hyperlink>
      <w:r w:rsidR="008E0B00">
        <w:rPr>
          <w:noProof/>
        </w:rPr>
        <w:t>)</w:t>
      </w:r>
      <w:r w:rsidR="008E0B00">
        <w:fldChar w:fldCharType="end"/>
      </w:r>
      <w:r w:rsidR="00742247">
        <w:t>. From this, there would potentially be 20,149 mpMRI services per year for men with suspected PCa.</w:t>
      </w:r>
    </w:p>
    <w:p w14:paraId="33714109" w14:textId="04EFFB5F" w:rsidR="00742247" w:rsidRDefault="00CD6163" w:rsidP="00742247">
      <w:r>
        <w:t xml:space="preserve">Importantly, previous studies have reported that 0 to 19 per cent of men refused re-biopsy after previous biopsy of the prostate </w:t>
      </w:r>
      <w:r w:rsidR="008E0B00">
        <w:fldChar w:fldCharType="begin">
          <w:fldData xml:space="preserve">PEVuZE5vdGU+PENpdGU+PEF1dGhvcj5Sb3NhcmlvPC9BdXRob3I+PFllYXI+MjAxMjwvWWVhcj48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</w:fldData>
        </w:fldChar>
      </w:r>
      <w:r w:rsidR="008E0B00">
        <w:instrText xml:space="preserve"> ADDIN EN.CITE </w:instrText>
      </w:r>
      <w:r w:rsidR="008E0B00">
        <w:fldChar w:fldCharType="begin">
          <w:fldData xml:space="preserve">PEVuZE5vdGU+PENpdGU+PEF1dGhvcj5Sb3NhcmlvPC9BdXRob3I+PFllYXI+MjAxMjwvWWVhcj48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</w:fldData>
        </w:fldChar>
      </w:r>
      <w:r w:rsidR="008E0B00">
        <w:instrText xml:space="preserve"> ADDIN EN.CITE.DATA </w:instrText>
      </w:r>
      <w:r w:rsidR="008E0B00">
        <w:fldChar w:fldCharType="end"/>
      </w:r>
      <w:r w:rsidR="008E0B00">
        <w:fldChar w:fldCharType="separate"/>
      </w:r>
      <w:r w:rsidR="008E0B00">
        <w:rPr>
          <w:noProof/>
        </w:rPr>
        <w:t>(</w:t>
      </w:r>
      <w:hyperlink w:anchor="_ENREF_129" w:tooltip="Rosario, 2012 #127" w:history="1">
        <w:r w:rsidR="008E0B00">
          <w:rPr>
            <w:noProof/>
          </w:rPr>
          <w:t>Rosario et al. 2012</w:t>
        </w:r>
      </w:hyperlink>
      <w:r w:rsidR="008E0B00">
        <w:rPr>
          <w:noProof/>
        </w:rPr>
        <w:t>)</w:t>
      </w:r>
      <w:r w:rsidR="008E0B00">
        <w:fldChar w:fldCharType="end"/>
      </w:r>
      <w:r>
        <w:t>; similarly men may also be unwilling to undertake an initial biopsy. Consequently, the estimations reported above may be an underestimation of utilisation, as men who refused a prostate biopsy may opt to undergo mpMRI screening.</w:t>
      </w:r>
    </w:p>
    <w:p w14:paraId="06C3A13E" w14:textId="77777777" w:rsidR="00742247" w:rsidRDefault="00742247" w:rsidP="00742247">
      <w:pPr>
        <w:pStyle w:val="Heading3"/>
      </w:pPr>
      <w:bookmarkStart w:id="687" w:name="_Toc457223217"/>
      <w:bookmarkStart w:id="688" w:name="_Toc457383633"/>
      <w:bookmarkStart w:id="689" w:name="_Toc459987881"/>
      <w:bookmarkStart w:id="690" w:name="_Toc460514001"/>
      <w:r>
        <w:t>Population 2</w:t>
      </w:r>
      <w:bookmarkEnd w:id="687"/>
      <w:bookmarkEnd w:id="688"/>
      <w:bookmarkEnd w:id="689"/>
      <w:bookmarkEnd w:id="690"/>
    </w:p>
    <w:p w14:paraId="1A0D6F3D" w14:textId="4395A6FD" w:rsidR="00742247" w:rsidRDefault="00742247" w:rsidP="00742247">
      <w:r>
        <w:t xml:space="preserve">Population 2 consists of men undergoing </w:t>
      </w:r>
      <w:r w:rsidR="00AB1EEA">
        <w:t>AS</w:t>
      </w:r>
      <w:r>
        <w:t>. Data from the Victorian Prostate Cancer Register indicates that 15.3</w:t>
      </w:r>
      <w:r w:rsidR="00CD6163">
        <w:t xml:space="preserve"> per cent</w:t>
      </w:r>
      <w:r>
        <w:t xml:space="preserve"> of patients newly diagnosed with PCa have their disease managed with </w:t>
      </w:r>
      <w:r w:rsidR="00AB1EEA">
        <w:t>AS</w:t>
      </w:r>
      <w:r w:rsidR="005F5C94">
        <w:t xml:space="preserve"> </w:t>
      </w:r>
      <w:r w:rsidR="008E0B00">
        <w:fldChar w:fldCharType="begin">
          <w:fldData xml:space="preserve">PEVuZE5vdGU+PENpdGU+PEF1dGhvcj5XZWVyYWtvb248L0F1dGhvcj48WWVhcj4yMDE1PC9ZZWFy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</w:fldData>
        </w:fldChar>
      </w:r>
      <w:r w:rsidR="008E0B00">
        <w:instrText xml:space="preserve"> ADDIN EN.CITE </w:instrText>
      </w:r>
      <w:r w:rsidR="008E0B00">
        <w:fldChar w:fldCharType="begin">
          <w:fldData xml:space="preserve">PEVuZE5vdGU+PENpdGU+PEF1dGhvcj5XZWVyYWtvb248L0F1dGhvcj48WWVhcj4yMDE1PC9ZZWFy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</w:fldData>
        </w:fldChar>
      </w:r>
      <w:r w:rsidR="008E0B00">
        <w:instrText xml:space="preserve"> ADDIN EN.CITE.DATA </w:instrText>
      </w:r>
      <w:r w:rsidR="008E0B00">
        <w:fldChar w:fldCharType="end"/>
      </w:r>
      <w:r w:rsidR="008E0B00">
        <w:fldChar w:fldCharType="separate"/>
      </w:r>
      <w:r w:rsidR="008E0B00">
        <w:rPr>
          <w:noProof/>
        </w:rPr>
        <w:t>(</w:t>
      </w:r>
      <w:hyperlink w:anchor="_ENREF_178" w:tooltip="Weerakoon, 2015 #15" w:history="1">
        <w:r w:rsidR="008E0B00">
          <w:rPr>
            <w:noProof/>
          </w:rPr>
          <w:t>Weerakoon et al. 2015</w:t>
        </w:r>
      </w:hyperlink>
      <w:r w:rsidR="008E0B00">
        <w:rPr>
          <w:noProof/>
        </w:rPr>
        <w:t>)</w:t>
      </w:r>
      <w:r w:rsidR="008E0B00">
        <w:fldChar w:fldCharType="end"/>
      </w:r>
      <w:r>
        <w:t xml:space="preserve">. The AIHW reported that at the end of 2010, 89,841 men in Australia were living with PCa, diagnosed in the </w:t>
      </w:r>
      <w:r w:rsidR="00CD6163">
        <w:t>five</w:t>
      </w:r>
      <w:r>
        <w:t xml:space="preserve"> year period </w:t>
      </w:r>
      <w:r w:rsidR="00CD6163">
        <w:t xml:space="preserve">between </w:t>
      </w:r>
      <w:r>
        <w:t>2006-2010</w:t>
      </w:r>
      <w:r w:rsidR="005F5C94">
        <w:t xml:space="preserve"> </w:t>
      </w:r>
      <w:r w:rsidR="008E0B00">
        <w:fldChar w:fldCharType="begin"/>
      </w:r>
      <w:r w:rsidR="008E0B00">
        <w:instrText xml:space="preserve"> ADDIN EN.CITE &lt;EndNote&gt;&lt;Cite&gt;&lt;Author&gt;Australia&lt;/Author&gt;&lt;Year&gt;2016&lt;/Year&gt;&lt;RecNum&gt;179&lt;/RecNum&gt;&lt;DisplayText&gt;(Cancer Australia 2016)&lt;/DisplayText&gt;&lt;record&gt;&lt;rec-number&gt;179&lt;/rec-number&gt;&lt;foreign-keys&gt;&lt;key app="EN" db-id="2p9terxr22fx91epzebpfdwuzrwtw2a2ep2t" timestamp="1472684647"&gt;179&lt;/key&gt;&lt;/foreign-keys&gt;&lt;ref-type name="Web Page"&gt;12&lt;/ref-type&gt;&lt;contributors&gt;&lt;authors&gt;&lt;author&gt;Cancer Australia,&lt;/author&gt;&lt;/authors&gt;&lt;/contributors&gt;&lt;titles&gt;&lt;title&gt;Prostate cancer statistics&lt;/title&gt;&lt;/titles&gt;&lt;number&gt;15/07/2016&lt;/number&gt;&lt;dates&gt;&lt;year&gt;2016&lt;/year&gt;&lt;/dates&gt;&lt;urls&gt;&lt;related-urls&gt;&lt;url&gt;https://prostate-cancer.canceraustralia.gov.au/statistics&lt;/url&gt;&lt;/related-urls&gt;&lt;/urls&gt;&lt;/record&gt;&lt;/Cite&gt;&lt;/EndNote&gt;</w:instrText>
      </w:r>
      <w:r w:rsidR="008E0B00">
        <w:fldChar w:fldCharType="separate"/>
      </w:r>
      <w:r w:rsidR="008E0B00">
        <w:rPr>
          <w:noProof/>
        </w:rPr>
        <w:t>(</w:t>
      </w:r>
      <w:hyperlink w:anchor="_ENREF_23" w:tooltip="Cancer Australia, 2016 #179" w:history="1">
        <w:r w:rsidR="008E0B00">
          <w:rPr>
            <w:noProof/>
          </w:rPr>
          <w:t>Cancer Australia 2016</w:t>
        </w:r>
      </w:hyperlink>
      <w:r w:rsidR="008E0B00">
        <w:rPr>
          <w:noProof/>
        </w:rPr>
        <w:t>)</w:t>
      </w:r>
      <w:r w:rsidR="008E0B00">
        <w:fldChar w:fldCharType="end"/>
      </w:r>
      <w:r>
        <w:t xml:space="preserve">. From this, it was </w:t>
      </w:r>
      <w:r w:rsidR="00DE6D4F">
        <w:t xml:space="preserve">conservatively </w:t>
      </w:r>
      <w:r>
        <w:t>assumed that 15.3</w:t>
      </w:r>
      <w:r w:rsidR="00CD6163">
        <w:t xml:space="preserve"> per cent</w:t>
      </w:r>
      <w:r>
        <w:t xml:space="preserve"> of these men living with PCa undergo </w:t>
      </w:r>
      <w:r w:rsidR="00AB1EEA">
        <w:t>AS</w:t>
      </w:r>
      <w:r>
        <w:t xml:space="preserve"> and that this is constant </w:t>
      </w:r>
      <w:r w:rsidR="00DE6D4F">
        <w:t xml:space="preserve">over time </w:t>
      </w:r>
      <w:r>
        <w:t xml:space="preserve">(89,841 x 0.153 = 13,746 men). </w:t>
      </w:r>
    </w:p>
    <w:p w14:paraId="107134FB" w14:textId="056BCC2F" w:rsidR="00742247" w:rsidRDefault="00742247" w:rsidP="00742247">
      <w:r>
        <w:t xml:space="preserve">Under the proposed </w:t>
      </w:r>
      <w:r w:rsidR="00DE6D4F">
        <w:t>Protocol</w:t>
      </w:r>
      <w:r>
        <w:t xml:space="preserve"> men </w:t>
      </w:r>
      <w:r w:rsidR="00DE6D4F">
        <w:t xml:space="preserve">undertaking AS </w:t>
      </w:r>
      <w:r>
        <w:t xml:space="preserve">would have a scheduled mpMRI scan at 12 months and then every three years thereafter. Men can also have an mpMRI scan at any time if there is concern about clinical or PSA changes. It was assumed that, on average, men on </w:t>
      </w:r>
      <w:r w:rsidR="00AB1EEA">
        <w:t>AS</w:t>
      </w:r>
      <w:r>
        <w:t xml:space="preserve"> will have an mpMRI scan once every two years, then this would equate to 6,873 services for mpMRI per year.</w:t>
      </w:r>
    </w:p>
    <w:p w14:paraId="5649B973" w14:textId="3CB1FAF8" w:rsidR="00CD6163" w:rsidRDefault="00CD6163" w:rsidP="00742247">
      <w:r>
        <w:t>In this evaluation it was assumed that the yearly number of mpMRIs in Population 1 and 2 is 20,149. Since the number of elderly men is rising and the uptake of new technologies is usually gradual, the number of mpMRIs may increase over the years. Conversely, the number of PSA tests and the number of ultrasound-guided prostate biopsies has been declining over the years</w:t>
      </w:r>
      <w:r w:rsidR="005F5C94">
        <w:t xml:space="preserve"> </w:t>
      </w:r>
      <w:r w:rsidR="008E0B00">
        <w:fldChar w:fldCharType="begin"/>
      </w:r>
      <w:r w:rsidR="008E0B00">
        <w:instrText xml:space="preserve"> ADDIN EN.CITE &lt;EndNote&gt;&lt;Cite&gt;&lt;Author&gt;DoH&lt;/Author&gt;&lt;Year&gt;2016&lt;/Year&gt;&lt;RecNum&gt;213&lt;/RecNum&gt;&lt;DisplayText&gt;(DoH 2016b)&lt;/DisplayText&gt;&lt;record&gt;&lt;rec-number&gt;213&lt;/rec-number&gt;&lt;foreign-keys&gt;&lt;key app="EN" db-id="xzzrstesqpaavfe0te5p2zssvee5ervas2vt" timestamp="1469588963"&gt;213&lt;/key&gt;&lt;/foreign-keys&gt;&lt;ref-type name="Web Page"&gt;12&lt;/ref-type&gt;&lt;contributors&gt;&lt;authors&gt;&lt;author&gt;DoH&lt;/author&gt;&lt;/authors&gt;&lt;/contributors&gt;&lt;titles&gt;&lt;title&gt;Requested Medicare items processed from July 2014 to June 2015, Item 66655&lt;/title&gt;&lt;/titles&gt;&lt;number&gt;15/07/2016&lt;/number&gt;&lt;dates&gt;&lt;year&gt;2016&lt;/year&gt;&lt;/dates&gt;&lt;urls&gt;&lt;related-urls&gt;&lt;url&gt;http://medicarestatistics.humanservices.gov.au/statistics/do.jsp?_PROGRAM=%2Fstatistics%2Fmbs_item_standard_report&amp;amp;DRILL=ag&amp;amp;group=66655&amp;amp;VAR=services&amp;amp;STAT=count&amp;amp;RPT_FMT=by+state&amp;amp;PTYPE=finyear&amp;amp;START_DT=201407&amp;amp;END_DT=201506&lt;/url&gt;&lt;/related-urls&gt;&lt;/urls&gt;&lt;/record&gt;&lt;/Cite&gt;&lt;/EndNote&gt;</w:instrText>
      </w:r>
      <w:r w:rsidR="008E0B00">
        <w:fldChar w:fldCharType="separate"/>
      </w:r>
      <w:r w:rsidR="008E0B00">
        <w:rPr>
          <w:noProof/>
        </w:rPr>
        <w:t>(</w:t>
      </w:r>
      <w:hyperlink w:anchor="_ENREF_40" w:tooltip="DoH, 2016 #213" w:history="1">
        <w:r w:rsidR="008E0B00">
          <w:rPr>
            <w:noProof/>
          </w:rPr>
          <w:t>DoH 2016b</w:t>
        </w:r>
      </w:hyperlink>
      <w:r w:rsidR="008E0B00">
        <w:rPr>
          <w:noProof/>
        </w:rPr>
        <w:t>)</w:t>
      </w:r>
      <w:r w:rsidR="008E0B00">
        <w:fldChar w:fldCharType="end"/>
      </w:r>
      <w:r>
        <w:t xml:space="preserve">. As it </w:t>
      </w:r>
      <w:r>
        <w:lastRenderedPageBreak/>
        <w:t>is unknown what the resulting trend will be, the number of mpMRIs was assumed to be stable for year 1 to year 5.</w:t>
      </w:r>
    </w:p>
    <w:p w14:paraId="620A2F0A" w14:textId="77777777" w:rsidR="00742247" w:rsidRDefault="00742247" w:rsidP="00742247">
      <w:pPr>
        <w:pStyle w:val="Heading3"/>
      </w:pPr>
      <w:bookmarkStart w:id="691" w:name="_Toc457223218"/>
      <w:bookmarkStart w:id="692" w:name="_Toc457383634"/>
      <w:bookmarkStart w:id="693" w:name="_Toc459987882"/>
      <w:bookmarkStart w:id="694" w:name="_Toc460514002"/>
      <w:r>
        <w:t>Population 1 versus Population 2</w:t>
      </w:r>
      <w:bookmarkEnd w:id="691"/>
      <w:bookmarkEnd w:id="692"/>
      <w:bookmarkEnd w:id="693"/>
      <w:bookmarkEnd w:id="694"/>
    </w:p>
    <w:p w14:paraId="3BBB72C4" w14:textId="298433C6" w:rsidR="00742247" w:rsidRDefault="00742247" w:rsidP="00742247">
      <w:r>
        <w:t xml:space="preserve">By subtracting the estimated number of 6,873 mpMRI services for Population 2 from the total 20,149 total mpMRI services results in 13,276 mpMRIs for Population 1. </w:t>
      </w:r>
      <w:r>
        <w:fldChar w:fldCharType="begin"/>
      </w:r>
      <w:r>
        <w:instrText xml:space="preserve"> REF _Ref456621477 \h </w:instrText>
      </w:r>
      <w:r>
        <w:fldChar w:fldCharType="separate"/>
      </w:r>
      <w:r w:rsidR="0029649D">
        <w:t xml:space="preserve">Table </w:t>
      </w:r>
      <w:r w:rsidR="0029649D">
        <w:rPr>
          <w:noProof/>
        </w:rPr>
        <w:t>64</w:t>
      </w:r>
      <w:r>
        <w:fldChar w:fldCharType="end"/>
      </w:r>
      <w:r>
        <w:t xml:space="preserve"> provides the resulting utilisation and costs of mpMRI (including contrast) per population and in total, for year </w:t>
      </w:r>
      <w:r w:rsidR="00DE6D4F">
        <w:t>one</w:t>
      </w:r>
      <w:r>
        <w:t xml:space="preserve"> to </w:t>
      </w:r>
      <w:r w:rsidR="00DE6D4F">
        <w:t>five</w:t>
      </w:r>
      <w:r>
        <w:t xml:space="preserve"> after listing. Patient co-payments have been quantified, based on data provided by the DoH on </w:t>
      </w:r>
      <w:r w:rsidR="00514B70">
        <w:t>covering the 2015-16 financial year</w:t>
      </w:r>
      <w:r>
        <w:t xml:space="preserve">. </w:t>
      </w:r>
      <w:r w:rsidRPr="0024271C">
        <w:t>The MBS cost per mpMRI (including contrast) was assumed to be $510, with an average co-payment of $90.</w:t>
      </w:r>
      <w:r>
        <w:t xml:space="preserve"> </w:t>
      </w:r>
    </w:p>
    <w:p w14:paraId="212EA4C5" w14:textId="77777777" w:rsidR="00742247" w:rsidRDefault="00742247" w:rsidP="00742247">
      <w:pPr>
        <w:pStyle w:val="Caption"/>
      </w:pPr>
      <w:bookmarkStart w:id="695" w:name="_Ref456621477"/>
      <w:bookmarkStart w:id="696" w:name="_Toc457223145"/>
      <w:bookmarkStart w:id="697" w:name="_Toc457383685"/>
      <w:bookmarkStart w:id="698" w:name="_Toc459987924"/>
      <w:bookmarkStart w:id="699" w:name="_Toc460514564"/>
      <w:bookmarkEnd w:id="681"/>
      <w:bookmarkEnd w:id="682"/>
      <w:r>
        <w:t xml:space="preserve">Table </w:t>
      </w:r>
      <w:fldSimple w:instr=" SEQ Table \* ARABIC ">
        <w:r w:rsidR="0029649D">
          <w:rPr>
            <w:noProof/>
          </w:rPr>
          <w:t>64</w:t>
        </w:r>
      </w:fldSimple>
      <w:bookmarkEnd w:id="695"/>
      <w:r>
        <w:tab/>
        <w:t>Use and costs of mpMRI</w:t>
      </w:r>
      <w:bookmarkEnd w:id="696"/>
      <w:bookmarkEnd w:id="697"/>
      <w:bookmarkEnd w:id="698"/>
      <w:bookmarkEnd w:id="699"/>
    </w:p>
    <w:tbl>
      <w:tblPr>
        <w:tblStyle w:val="TableGrid"/>
        <w:tblW w:w="9112" w:type="dxa"/>
        <w:tblInd w:w="130" w:type="dxa"/>
        <w:tblCellMar>
          <w:left w:w="28" w:type="dxa"/>
          <w:right w:w="28" w:type="dxa"/>
        </w:tblCellMar>
        <w:tblLook w:val="04A0" w:firstRow="1" w:lastRow="0" w:firstColumn="1" w:lastColumn="0" w:noHBand="0" w:noVBand="1"/>
        <w:tblDescription w:val="Use and costs of mpMRI"/>
      </w:tblPr>
      <w:tblGrid>
        <w:gridCol w:w="1615"/>
        <w:gridCol w:w="1254"/>
        <w:gridCol w:w="1256"/>
        <w:gridCol w:w="1256"/>
        <w:gridCol w:w="1256"/>
        <w:gridCol w:w="1256"/>
        <w:gridCol w:w="1219"/>
      </w:tblGrid>
      <w:tr w:rsidR="00742247" w:rsidRPr="00C61126" w14:paraId="5D8BD41E" w14:textId="77777777" w:rsidTr="004768B3">
        <w:trPr>
          <w:trHeight w:val="397"/>
          <w:tblHeader/>
        </w:trPr>
        <w:tc>
          <w:tcPr>
            <w:tcW w:w="1668" w:type="dxa"/>
          </w:tcPr>
          <w:p w14:paraId="1573CBB2" w14:textId="77777777" w:rsidR="00742247" w:rsidRPr="00EC6845" w:rsidRDefault="00742247" w:rsidP="005F5C94">
            <w:pPr>
              <w:pStyle w:val="Tableheading1"/>
              <w:rPr>
                <w:snapToGrid w:val="0"/>
              </w:rPr>
            </w:pPr>
          </w:p>
        </w:tc>
        <w:tc>
          <w:tcPr>
            <w:tcW w:w="1268" w:type="dxa"/>
            <w:vAlign w:val="bottom"/>
          </w:tcPr>
          <w:p w14:paraId="165A3300" w14:textId="77777777" w:rsidR="00742247" w:rsidRPr="00EC6845" w:rsidRDefault="00742247" w:rsidP="005F5C94">
            <w:pPr>
              <w:pStyle w:val="Tableheading1"/>
              <w:rPr>
                <w:snapToGrid w:val="0"/>
              </w:rPr>
            </w:pPr>
            <w:r w:rsidRPr="00EC6845">
              <w:rPr>
                <w:snapToGrid w:val="0"/>
              </w:rPr>
              <w:t>Year 1</w:t>
            </w:r>
          </w:p>
        </w:tc>
        <w:tc>
          <w:tcPr>
            <w:tcW w:w="1269" w:type="dxa"/>
            <w:vAlign w:val="bottom"/>
          </w:tcPr>
          <w:p w14:paraId="1D63377B" w14:textId="77777777" w:rsidR="00742247" w:rsidRPr="00EC6845" w:rsidRDefault="00742247" w:rsidP="005F5C94">
            <w:pPr>
              <w:pStyle w:val="Tableheading1"/>
              <w:rPr>
                <w:snapToGrid w:val="0"/>
              </w:rPr>
            </w:pPr>
            <w:r w:rsidRPr="00EC6845">
              <w:rPr>
                <w:snapToGrid w:val="0"/>
              </w:rPr>
              <w:t>Year 2</w:t>
            </w:r>
          </w:p>
        </w:tc>
        <w:tc>
          <w:tcPr>
            <w:tcW w:w="1269" w:type="dxa"/>
            <w:vAlign w:val="bottom"/>
          </w:tcPr>
          <w:p w14:paraId="0254312B" w14:textId="77777777" w:rsidR="00742247" w:rsidRPr="00EC6845" w:rsidRDefault="00742247" w:rsidP="005F5C94">
            <w:pPr>
              <w:pStyle w:val="Tableheading1"/>
              <w:rPr>
                <w:snapToGrid w:val="0"/>
              </w:rPr>
            </w:pPr>
            <w:r w:rsidRPr="00EC6845">
              <w:rPr>
                <w:snapToGrid w:val="0"/>
              </w:rPr>
              <w:t>Year 3</w:t>
            </w:r>
          </w:p>
        </w:tc>
        <w:tc>
          <w:tcPr>
            <w:tcW w:w="1269" w:type="dxa"/>
            <w:vAlign w:val="bottom"/>
          </w:tcPr>
          <w:p w14:paraId="72EEFD09" w14:textId="77777777" w:rsidR="00742247" w:rsidRPr="00EC6845" w:rsidRDefault="00742247" w:rsidP="005F5C94">
            <w:pPr>
              <w:pStyle w:val="Tableheading1"/>
              <w:rPr>
                <w:snapToGrid w:val="0"/>
              </w:rPr>
            </w:pPr>
            <w:r w:rsidRPr="00EC6845">
              <w:rPr>
                <w:snapToGrid w:val="0"/>
              </w:rPr>
              <w:t>Year 4</w:t>
            </w:r>
          </w:p>
        </w:tc>
        <w:tc>
          <w:tcPr>
            <w:tcW w:w="1269" w:type="dxa"/>
            <w:vAlign w:val="bottom"/>
          </w:tcPr>
          <w:p w14:paraId="556E27E0" w14:textId="77777777" w:rsidR="00742247" w:rsidRPr="00EC6845" w:rsidRDefault="00742247" w:rsidP="005F5C94">
            <w:pPr>
              <w:pStyle w:val="Tableheading1"/>
              <w:rPr>
                <w:snapToGrid w:val="0"/>
              </w:rPr>
            </w:pPr>
            <w:r w:rsidRPr="00EC6845">
              <w:rPr>
                <w:snapToGrid w:val="0"/>
              </w:rPr>
              <w:t>Year 5</w:t>
            </w:r>
          </w:p>
        </w:tc>
        <w:tc>
          <w:tcPr>
            <w:tcW w:w="1229" w:type="dxa"/>
            <w:vAlign w:val="bottom"/>
          </w:tcPr>
          <w:p w14:paraId="7DFC9277" w14:textId="77777777" w:rsidR="00742247" w:rsidRPr="00EC6845" w:rsidRDefault="00742247" w:rsidP="005F5C94">
            <w:pPr>
              <w:pStyle w:val="Tableheading1"/>
              <w:rPr>
                <w:snapToGrid w:val="0"/>
              </w:rPr>
            </w:pPr>
            <w:r w:rsidRPr="00EC6845">
              <w:rPr>
                <w:snapToGrid w:val="0"/>
              </w:rPr>
              <w:t xml:space="preserve">Total </w:t>
            </w:r>
            <w:r>
              <w:rPr>
                <w:snapToGrid w:val="0"/>
              </w:rPr>
              <w:br/>
              <w:t>(</w:t>
            </w:r>
            <w:r w:rsidRPr="00EC6845">
              <w:rPr>
                <w:snapToGrid w:val="0"/>
              </w:rPr>
              <w:t>Year 1-5</w:t>
            </w:r>
            <w:r>
              <w:rPr>
                <w:snapToGrid w:val="0"/>
              </w:rPr>
              <w:t>)</w:t>
            </w:r>
          </w:p>
        </w:tc>
      </w:tr>
      <w:tr w:rsidR="00742247" w:rsidRPr="00C61126" w14:paraId="5FE47889" w14:textId="77777777" w:rsidTr="004768B3">
        <w:trPr>
          <w:trHeight w:val="397"/>
        </w:trPr>
        <w:tc>
          <w:tcPr>
            <w:tcW w:w="9241" w:type="dxa"/>
            <w:gridSpan w:val="7"/>
          </w:tcPr>
          <w:p w14:paraId="58556A86" w14:textId="77777777" w:rsidR="00742247" w:rsidRPr="009D1228" w:rsidRDefault="00742247" w:rsidP="005F5C94">
            <w:pPr>
              <w:pStyle w:val="Tabletext1"/>
              <w:rPr>
                <w:rFonts w:cs="Arial"/>
                <w:iCs/>
                <w:szCs w:val="18"/>
              </w:rPr>
            </w:pPr>
            <w:r w:rsidRPr="009D1228">
              <w:t>Number of mpMRIs</w:t>
            </w:r>
          </w:p>
        </w:tc>
      </w:tr>
      <w:tr w:rsidR="00742247" w:rsidRPr="00C61126" w14:paraId="6A57A3CE" w14:textId="77777777" w:rsidTr="004768B3">
        <w:trPr>
          <w:trHeight w:val="397"/>
        </w:trPr>
        <w:tc>
          <w:tcPr>
            <w:tcW w:w="1668" w:type="dxa"/>
          </w:tcPr>
          <w:p w14:paraId="5AF10226" w14:textId="77777777" w:rsidR="00742247" w:rsidRPr="00EC6845" w:rsidRDefault="00742247" w:rsidP="005F5C94">
            <w:pPr>
              <w:pStyle w:val="Tabletext1"/>
              <w:rPr>
                <w:snapToGrid w:val="0"/>
              </w:rPr>
            </w:pPr>
            <w:r w:rsidRPr="00EC6845">
              <w:rPr>
                <w:snapToGrid w:val="0"/>
              </w:rPr>
              <w:t>Population 1</w:t>
            </w:r>
          </w:p>
        </w:tc>
        <w:tc>
          <w:tcPr>
            <w:tcW w:w="1268" w:type="dxa"/>
          </w:tcPr>
          <w:p w14:paraId="6AEC5899" w14:textId="77777777" w:rsidR="00742247" w:rsidRPr="00EC6845" w:rsidRDefault="00742247" w:rsidP="005F5C94">
            <w:pPr>
              <w:pStyle w:val="Tabletext1"/>
              <w:rPr>
                <w:snapToGrid w:val="0"/>
              </w:rPr>
            </w:pPr>
            <w:r w:rsidRPr="00EC6845">
              <w:rPr>
                <w:snapToGrid w:val="0"/>
              </w:rPr>
              <w:t>13,276</w:t>
            </w:r>
          </w:p>
        </w:tc>
        <w:tc>
          <w:tcPr>
            <w:tcW w:w="1269" w:type="dxa"/>
          </w:tcPr>
          <w:p w14:paraId="080FDBE6" w14:textId="77777777" w:rsidR="00742247" w:rsidRPr="00EC6845" w:rsidRDefault="00742247" w:rsidP="005F5C94">
            <w:pPr>
              <w:pStyle w:val="Tabletext1"/>
              <w:rPr>
                <w:snapToGrid w:val="0"/>
              </w:rPr>
            </w:pPr>
            <w:r w:rsidRPr="00EC6845">
              <w:rPr>
                <w:snapToGrid w:val="0"/>
              </w:rPr>
              <w:t>13,276</w:t>
            </w:r>
          </w:p>
        </w:tc>
        <w:tc>
          <w:tcPr>
            <w:tcW w:w="1269" w:type="dxa"/>
          </w:tcPr>
          <w:p w14:paraId="6373B2D6" w14:textId="77777777" w:rsidR="00742247" w:rsidRPr="00EC6845" w:rsidRDefault="00742247" w:rsidP="005F5C94">
            <w:pPr>
              <w:pStyle w:val="Tabletext1"/>
              <w:rPr>
                <w:snapToGrid w:val="0"/>
              </w:rPr>
            </w:pPr>
            <w:r w:rsidRPr="00EC6845">
              <w:rPr>
                <w:snapToGrid w:val="0"/>
              </w:rPr>
              <w:t>13,276</w:t>
            </w:r>
          </w:p>
        </w:tc>
        <w:tc>
          <w:tcPr>
            <w:tcW w:w="1269" w:type="dxa"/>
          </w:tcPr>
          <w:p w14:paraId="68A0A2FE" w14:textId="77777777" w:rsidR="00742247" w:rsidRPr="00EC6845" w:rsidRDefault="00742247" w:rsidP="005F5C94">
            <w:pPr>
              <w:pStyle w:val="Tabletext1"/>
              <w:rPr>
                <w:snapToGrid w:val="0"/>
              </w:rPr>
            </w:pPr>
            <w:r w:rsidRPr="00EC6845">
              <w:rPr>
                <w:snapToGrid w:val="0"/>
              </w:rPr>
              <w:t>13,276</w:t>
            </w:r>
          </w:p>
        </w:tc>
        <w:tc>
          <w:tcPr>
            <w:tcW w:w="1269" w:type="dxa"/>
          </w:tcPr>
          <w:p w14:paraId="7599CFA6" w14:textId="77777777" w:rsidR="00742247" w:rsidRPr="00EC6845" w:rsidRDefault="00742247" w:rsidP="005F5C94">
            <w:pPr>
              <w:pStyle w:val="Tabletext1"/>
              <w:rPr>
                <w:snapToGrid w:val="0"/>
              </w:rPr>
            </w:pPr>
            <w:r w:rsidRPr="00EC6845">
              <w:rPr>
                <w:snapToGrid w:val="0"/>
              </w:rPr>
              <w:t>13,276</w:t>
            </w:r>
          </w:p>
        </w:tc>
        <w:tc>
          <w:tcPr>
            <w:tcW w:w="1229" w:type="dxa"/>
          </w:tcPr>
          <w:p w14:paraId="28C00A4B" w14:textId="77777777" w:rsidR="00742247" w:rsidRPr="00EC6845" w:rsidRDefault="00742247" w:rsidP="005F5C94">
            <w:pPr>
              <w:pStyle w:val="Tabletext1"/>
              <w:rPr>
                <w:snapToGrid w:val="0"/>
              </w:rPr>
            </w:pPr>
            <w:r w:rsidRPr="00EC6845">
              <w:rPr>
                <w:snapToGrid w:val="0"/>
              </w:rPr>
              <w:t>66,380</w:t>
            </w:r>
          </w:p>
        </w:tc>
      </w:tr>
      <w:tr w:rsidR="00742247" w:rsidRPr="00C61126" w14:paraId="4EF7CCAD" w14:textId="77777777" w:rsidTr="004768B3">
        <w:trPr>
          <w:trHeight w:val="397"/>
        </w:trPr>
        <w:tc>
          <w:tcPr>
            <w:tcW w:w="1668" w:type="dxa"/>
          </w:tcPr>
          <w:p w14:paraId="3F33F765" w14:textId="77777777" w:rsidR="00742247" w:rsidRPr="00EC6845" w:rsidRDefault="00742247" w:rsidP="005F5C94">
            <w:pPr>
              <w:pStyle w:val="Tabletext1"/>
              <w:rPr>
                <w:snapToGrid w:val="0"/>
              </w:rPr>
            </w:pPr>
            <w:r w:rsidRPr="00EC6845">
              <w:rPr>
                <w:snapToGrid w:val="0"/>
              </w:rPr>
              <w:t>Population 2</w:t>
            </w:r>
          </w:p>
        </w:tc>
        <w:tc>
          <w:tcPr>
            <w:tcW w:w="1268" w:type="dxa"/>
          </w:tcPr>
          <w:p w14:paraId="47A6A433" w14:textId="77777777" w:rsidR="00742247" w:rsidRPr="00EC6845" w:rsidRDefault="00742247" w:rsidP="005F5C94">
            <w:pPr>
              <w:pStyle w:val="Tabletext1"/>
              <w:rPr>
                <w:snapToGrid w:val="0"/>
              </w:rPr>
            </w:pPr>
            <w:r w:rsidRPr="00EC6845">
              <w:rPr>
                <w:snapToGrid w:val="0"/>
              </w:rPr>
              <w:t>6,873</w:t>
            </w:r>
          </w:p>
        </w:tc>
        <w:tc>
          <w:tcPr>
            <w:tcW w:w="1269" w:type="dxa"/>
          </w:tcPr>
          <w:p w14:paraId="5EF60F71" w14:textId="77777777" w:rsidR="00742247" w:rsidRPr="00EC6845" w:rsidRDefault="00742247" w:rsidP="005F5C94">
            <w:pPr>
              <w:pStyle w:val="Tabletext1"/>
              <w:rPr>
                <w:snapToGrid w:val="0"/>
              </w:rPr>
            </w:pPr>
            <w:r w:rsidRPr="00EC6845">
              <w:rPr>
                <w:snapToGrid w:val="0"/>
              </w:rPr>
              <w:t>6,873</w:t>
            </w:r>
          </w:p>
        </w:tc>
        <w:tc>
          <w:tcPr>
            <w:tcW w:w="1269" w:type="dxa"/>
          </w:tcPr>
          <w:p w14:paraId="20BB56DE" w14:textId="77777777" w:rsidR="00742247" w:rsidRPr="00EC6845" w:rsidRDefault="00742247" w:rsidP="005F5C94">
            <w:pPr>
              <w:pStyle w:val="Tabletext1"/>
              <w:rPr>
                <w:snapToGrid w:val="0"/>
              </w:rPr>
            </w:pPr>
            <w:r w:rsidRPr="00EC6845">
              <w:rPr>
                <w:snapToGrid w:val="0"/>
              </w:rPr>
              <w:t>6,873</w:t>
            </w:r>
          </w:p>
        </w:tc>
        <w:tc>
          <w:tcPr>
            <w:tcW w:w="1269" w:type="dxa"/>
          </w:tcPr>
          <w:p w14:paraId="4E003CF1" w14:textId="77777777" w:rsidR="00742247" w:rsidRPr="00EC6845" w:rsidRDefault="00742247" w:rsidP="005F5C94">
            <w:pPr>
              <w:pStyle w:val="Tabletext1"/>
              <w:rPr>
                <w:snapToGrid w:val="0"/>
              </w:rPr>
            </w:pPr>
            <w:r w:rsidRPr="00EC6845">
              <w:rPr>
                <w:snapToGrid w:val="0"/>
              </w:rPr>
              <w:t>6,873</w:t>
            </w:r>
          </w:p>
        </w:tc>
        <w:tc>
          <w:tcPr>
            <w:tcW w:w="1269" w:type="dxa"/>
          </w:tcPr>
          <w:p w14:paraId="7A2ECF86" w14:textId="77777777" w:rsidR="00742247" w:rsidRPr="00EC6845" w:rsidRDefault="00742247" w:rsidP="005F5C94">
            <w:pPr>
              <w:pStyle w:val="Tabletext1"/>
              <w:rPr>
                <w:snapToGrid w:val="0"/>
              </w:rPr>
            </w:pPr>
            <w:r w:rsidRPr="00EC6845">
              <w:rPr>
                <w:snapToGrid w:val="0"/>
              </w:rPr>
              <w:t>6,873</w:t>
            </w:r>
          </w:p>
        </w:tc>
        <w:tc>
          <w:tcPr>
            <w:tcW w:w="1229" w:type="dxa"/>
          </w:tcPr>
          <w:p w14:paraId="70DC500C" w14:textId="77777777" w:rsidR="00742247" w:rsidRPr="00EC6845" w:rsidRDefault="00742247" w:rsidP="005F5C94">
            <w:pPr>
              <w:pStyle w:val="Tabletext1"/>
              <w:rPr>
                <w:snapToGrid w:val="0"/>
              </w:rPr>
            </w:pPr>
            <w:r w:rsidRPr="00EC6845">
              <w:rPr>
                <w:snapToGrid w:val="0"/>
              </w:rPr>
              <w:t>34,365</w:t>
            </w:r>
          </w:p>
        </w:tc>
      </w:tr>
      <w:tr w:rsidR="00742247" w:rsidRPr="00C61126" w14:paraId="76375AD8" w14:textId="77777777" w:rsidTr="004768B3">
        <w:trPr>
          <w:trHeight w:val="397"/>
        </w:trPr>
        <w:tc>
          <w:tcPr>
            <w:tcW w:w="1668" w:type="dxa"/>
          </w:tcPr>
          <w:p w14:paraId="1373ED7B" w14:textId="77777777" w:rsidR="00742247" w:rsidRPr="00EC6845" w:rsidRDefault="00742247" w:rsidP="005F5C94">
            <w:pPr>
              <w:pStyle w:val="Tabletext1"/>
              <w:rPr>
                <w:snapToGrid w:val="0"/>
              </w:rPr>
            </w:pPr>
            <w:r w:rsidRPr="00EC6845">
              <w:rPr>
                <w:snapToGrid w:val="0"/>
              </w:rPr>
              <w:t>Total</w:t>
            </w:r>
          </w:p>
        </w:tc>
        <w:tc>
          <w:tcPr>
            <w:tcW w:w="1268" w:type="dxa"/>
          </w:tcPr>
          <w:p w14:paraId="616A38FC" w14:textId="77777777" w:rsidR="00742247" w:rsidRPr="00EC6845" w:rsidRDefault="00742247" w:rsidP="005F5C94">
            <w:pPr>
              <w:pStyle w:val="Tabletext1"/>
              <w:rPr>
                <w:snapToGrid w:val="0"/>
              </w:rPr>
            </w:pPr>
            <w:r w:rsidRPr="00EC6845">
              <w:rPr>
                <w:snapToGrid w:val="0"/>
              </w:rPr>
              <w:t>20,149</w:t>
            </w:r>
          </w:p>
        </w:tc>
        <w:tc>
          <w:tcPr>
            <w:tcW w:w="1269" w:type="dxa"/>
          </w:tcPr>
          <w:p w14:paraId="43190951" w14:textId="77777777" w:rsidR="00742247" w:rsidRPr="00EC6845" w:rsidRDefault="00742247" w:rsidP="005F5C94">
            <w:pPr>
              <w:pStyle w:val="Tabletext1"/>
              <w:rPr>
                <w:snapToGrid w:val="0"/>
              </w:rPr>
            </w:pPr>
            <w:r w:rsidRPr="00EC6845">
              <w:rPr>
                <w:snapToGrid w:val="0"/>
              </w:rPr>
              <w:t>20,149</w:t>
            </w:r>
          </w:p>
        </w:tc>
        <w:tc>
          <w:tcPr>
            <w:tcW w:w="1269" w:type="dxa"/>
          </w:tcPr>
          <w:p w14:paraId="3287463D" w14:textId="77777777" w:rsidR="00742247" w:rsidRPr="00EC6845" w:rsidRDefault="00742247" w:rsidP="005F5C94">
            <w:pPr>
              <w:pStyle w:val="Tabletext1"/>
              <w:rPr>
                <w:snapToGrid w:val="0"/>
              </w:rPr>
            </w:pPr>
            <w:r w:rsidRPr="00EC6845">
              <w:rPr>
                <w:snapToGrid w:val="0"/>
              </w:rPr>
              <w:t>20,149</w:t>
            </w:r>
          </w:p>
        </w:tc>
        <w:tc>
          <w:tcPr>
            <w:tcW w:w="1269" w:type="dxa"/>
          </w:tcPr>
          <w:p w14:paraId="0A9E5586" w14:textId="77777777" w:rsidR="00742247" w:rsidRPr="00EC6845" w:rsidRDefault="00742247" w:rsidP="005F5C94">
            <w:pPr>
              <w:pStyle w:val="Tabletext1"/>
              <w:rPr>
                <w:snapToGrid w:val="0"/>
              </w:rPr>
            </w:pPr>
            <w:r w:rsidRPr="00EC6845">
              <w:rPr>
                <w:snapToGrid w:val="0"/>
              </w:rPr>
              <w:t>20,149</w:t>
            </w:r>
          </w:p>
        </w:tc>
        <w:tc>
          <w:tcPr>
            <w:tcW w:w="1269" w:type="dxa"/>
          </w:tcPr>
          <w:p w14:paraId="7743B477" w14:textId="77777777" w:rsidR="00742247" w:rsidRPr="00EC6845" w:rsidRDefault="00742247" w:rsidP="005F5C94">
            <w:pPr>
              <w:pStyle w:val="Tabletext1"/>
              <w:rPr>
                <w:snapToGrid w:val="0"/>
              </w:rPr>
            </w:pPr>
            <w:r w:rsidRPr="00EC6845">
              <w:rPr>
                <w:snapToGrid w:val="0"/>
              </w:rPr>
              <w:t>20,149</w:t>
            </w:r>
          </w:p>
        </w:tc>
        <w:tc>
          <w:tcPr>
            <w:tcW w:w="1229" w:type="dxa"/>
          </w:tcPr>
          <w:p w14:paraId="7B6F41AC" w14:textId="77777777" w:rsidR="00742247" w:rsidRPr="00EC6845" w:rsidRDefault="00742247" w:rsidP="005F5C94">
            <w:pPr>
              <w:pStyle w:val="Tabletext1"/>
              <w:rPr>
                <w:snapToGrid w:val="0"/>
              </w:rPr>
            </w:pPr>
            <w:r w:rsidRPr="00EC6845">
              <w:rPr>
                <w:snapToGrid w:val="0"/>
              </w:rPr>
              <w:t>100,745</w:t>
            </w:r>
          </w:p>
        </w:tc>
      </w:tr>
      <w:tr w:rsidR="00742247" w:rsidRPr="00C61126" w14:paraId="07C8D2EA" w14:textId="77777777" w:rsidTr="004768B3">
        <w:trPr>
          <w:trHeight w:val="397"/>
        </w:trPr>
        <w:tc>
          <w:tcPr>
            <w:tcW w:w="9241" w:type="dxa"/>
            <w:gridSpan w:val="7"/>
          </w:tcPr>
          <w:p w14:paraId="44A4F7F2" w14:textId="77777777" w:rsidR="00742247" w:rsidRPr="009D1228" w:rsidRDefault="00742247" w:rsidP="005F5C94">
            <w:pPr>
              <w:pStyle w:val="Tabletext1"/>
              <w:rPr>
                <w:snapToGrid w:val="0"/>
              </w:rPr>
            </w:pPr>
            <w:r w:rsidRPr="009D1228">
              <w:rPr>
                <w:snapToGrid w:val="0"/>
              </w:rPr>
              <w:t>Cost to the MBS</w:t>
            </w:r>
          </w:p>
        </w:tc>
      </w:tr>
      <w:tr w:rsidR="00742247" w:rsidRPr="00C61126" w14:paraId="1808E993" w14:textId="77777777" w:rsidTr="004768B3">
        <w:trPr>
          <w:trHeight w:val="397"/>
        </w:trPr>
        <w:tc>
          <w:tcPr>
            <w:tcW w:w="1668" w:type="dxa"/>
          </w:tcPr>
          <w:p w14:paraId="3E4FFFDF" w14:textId="77777777" w:rsidR="00742247" w:rsidRPr="00EC6845" w:rsidRDefault="00742247" w:rsidP="005F5C94">
            <w:pPr>
              <w:pStyle w:val="Tabletext1"/>
              <w:rPr>
                <w:snapToGrid w:val="0"/>
              </w:rPr>
            </w:pPr>
            <w:r w:rsidRPr="00EC6845">
              <w:rPr>
                <w:snapToGrid w:val="0"/>
              </w:rPr>
              <w:t>Population 1</w:t>
            </w:r>
          </w:p>
        </w:tc>
        <w:tc>
          <w:tcPr>
            <w:tcW w:w="1268" w:type="dxa"/>
          </w:tcPr>
          <w:p w14:paraId="1E17F5F1" w14:textId="77777777" w:rsidR="00742247" w:rsidRPr="005A2301" w:rsidRDefault="00742247" w:rsidP="005F5C94">
            <w:pPr>
              <w:pStyle w:val="Tabletext1"/>
              <w:rPr>
                <w:snapToGrid w:val="0"/>
              </w:rPr>
            </w:pPr>
            <w:r w:rsidRPr="00721964">
              <w:t>$6,770,760</w:t>
            </w:r>
          </w:p>
        </w:tc>
        <w:tc>
          <w:tcPr>
            <w:tcW w:w="1269" w:type="dxa"/>
          </w:tcPr>
          <w:p w14:paraId="1842CF8E" w14:textId="77777777" w:rsidR="00742247" w:rsidRPr="005A2301" w:rsidRDefault="00742247" w:rsidP="005F5C94">
            <w:pPr>
              <w:pStyle w:val="Tabletext1"/>
              <w:rPr>
                <w:snapToGrid w:val="0"/>
              </w:rPr>
            </w:pPr>
            <w:r w:rsidRPr="00721964">
              <w:t>$6,770,760</w:t>
            </w:r>
          </w:p>
        </w:tc>
        <w:tc>
          <w:tcPr>
            <w:tcW w:w="1269" w:type="dxa"/>
          </w:tcPr>
          <w:p w14:paraId="56214C7B" w14:textId="77777777" w:rsidR="00742247" w:rsidRPr="005A2301" w:rsidRDefault="00742247" w:rsidP="005F5C94">
            <w:pPr>
              <w:pStyle w:val="Tabletext1"/>
              <w:rPr>
                <w:snapToGrid w:val="0"/>
              </w:rPr>
            </w:pPr>
            <w:r w:rsidRPr="00721964">
              <w:t>$6,770,760</w:t>
            </w:r>
          </w:p>
        </w:tc>
        <w:tc>
          <w:tcPr>
            <w:tcW w:w="1269" w:type="dxa"/>
          </w:tcPr>
          <w:p w14:paraId="567FF8FA" w14:textId="77777777" w:rsidR="00742247" w:rsidRPr="005A2301" w:rsidRDefault="00742247" w:rsidP="005F5C94">
            <w:pPr>
              <w:pStyle w:val="Tabletext1"/>
              <w:rPr>
                <w:snapToGrid w:val="0"/>
              </w:rPr>
            </w:pPr>
            <w:r w:rsidRPr="00721964">
              <w:t>$6,770,760</w:t>
            </w:r>
          </w:p>
        </w:tc>
        <w:tc>
          <w:tcPr>
            <w:tcW w:w="1269" w:type="dxa"/>
          </w:tcPr>
          <w:p w14:paraId="067F770D" w14:textId="77777777" w:rsidR="00742247" w:rsidRPr="005A2301" w:rsidRDefault="00742247" w:rsidP="005F5C94">
            <w:pPr>
              <w:pStyle w:val="Tabletext1"/>
              <w:rPr>
                <w:snapToGrid w:val="0"/>
              </w:rPr>
            </w:pPr>
            <w:r w:rsidRPr="00721964">
              <w:t>$6,770,760</w:t>
            </w:r>
          </w:p>
        </w:tc>
        <w:tc>
          <w:tcPr>
            <w:tcW w:w="1229" w:type="dxa"/>
          </w:tcPr>
          <w:p w14:paraId="6306D43C" w14:textId="77777777" w:rsidR="00742247" w:rsidRPr="005A2301" w:rsidRDefault="00742247" w:rsidP="005F5C94">
            <w:pPr>
              <w:pStyle w:val="Tabletext1"/>
              <w:rPr>
                <w:snapToGrid w:val="0"/>
              </w:rPr>
            </w:pPr>
            <w:r w:rsidRPr="00721964">
              <w:t>$33,853,800</w:t>
            </w:r>
          </w:p>
        </w:tc>
      </w:tr>
      <w:tr w:rsidR="00742247" w:rsidRPr="00C61126" w14:paraId="51186455" w14:textId="77777777" w:rsidTr="004768B3">
        <w:trPr>
          <w:trHeight w:val="397"/>
        </w:trPr>
        <w:tc>
          <w:tcPr>
            <w:tcW w:w="1668" w:type="dxa"/>
          </w:tcPr>
          <w:p w14:paraId="28F575D5" w14:textId="77777777" w:rsidR="00742247" w:rsidRDefault="00742247" w:rsidP="005F5C94">
            <w:pPr>
              <w:pStyle w:val="Tabletext1"/>
              <w:rPr>
                <w:snapToGrid w:val="0"/>
              </w:rPr>
            </w:pPr>
            <w:r w:rsidRPr="00EC6845">
              <w:rPr>
                <w:snapToGrid w:val="0"/>
              </w:rPr>
              <w:t>Population 2</w:t>
            </w:r>
          </w:p>
        </w:tc>
        <w:tc>
          <w:tcPr>
            <w:tcW w:w="1268" w:type="dxa"/>
          </w:tcPr>
          <w:p w14:paraId="6BB64684" w14:textId="77777777" w:rsidR="00742247" w:rsidRPr="005A2301" w:rsidRDefault="00742247" w:rsidP="005F5C94">
            <w:pPr>
              <w:pStyle w:val="Tabletext1"/>
              <w:rPr>
                <w:snapToGrid w:val="0"/>
              </w:rPr>
            </w:pPr>
            <w:r w:rsidRPr="00721964">
              <w:t>$3,505,230</w:t>
            </w:r>
          </w:p>
        </w:tc>
        <w:tc>
          <w:tcPr>
            <w:tcW w:w="1269" w:type="dxa"/>
          </w:tcPr>
          <w:p w14:paraId="4ABC237F" w14:textId="77777777" w:rsidR="00742247" w:rsidRPr="005A2301" w:rsidRDefault="00742247" w:rsidP="005F5C94">
            <w:pPr>
              <w:pStyle w:val="Tabletext1"/>
              <w:rPr>
                <w:snapToGrid w:val="0"/>
              </w:rPr>
            </w:pPr>
            <w:r w:rsidRPr="00721964">
              <w:t>$3,505,230</w:t>
            </w:r>
          </w:p>
        </w:tc>
        <w:tc>
          <w:tcPr>
            <w:tcW w:w="1269" w:type="dxa"/>
          </w:tcPr>
          <w:p w14:paraId="2EAAAE68" w14:textId="77777777" w:rsidR="00742247" w:rsidRPr="005A2301" w:rsidRDefault="00742247" w:rsidP="005F5C94">
            <w:pPr>
              <w:pStyle w:val="Tabletext1"/>
              <w:rPr>
                <w:snapToGrid w:val="0"/>
              </w:rPr>
            </w:pPr>
            <w:r w:rsidRPr="00721964">
              <w:t>$3,505,230</w:t>
            </w:r>
          </w:p>
        </w:tc>
        <w:tc>
          <w:tcPr>
            <w:tcW w:w="1269" w:type="dxa"/>
          </w:tcPr>
          <w:p w14:paraId="64F19B81" w14:textId="77777777" w:rsidR="00742247" w:rsidRPr="005A2301" w:rsidRDefault="00742247" w:rsidP="005F5C94">
            <w:pPr>
              <w:pStyle w:val="Tabletext1"/>
              <w:rPr>
                <w:snapToGrid w:val="0"/>
              </w:rPr>
            </w:pPr>
            <w:r w:rsidRPr="00721964">
              <w:t>$3,505,230</w:t>
            </w:r>
          </w:p>
        </w:tc>
        <w:tc>
          <w:tcPr>
            <w:tcW w:w="1269" w:type="dxa"/>
          </w:tcPr>
          <w:p w14:paraId="23E787E5" w14:textId="77777777" w:rsidR="00742247" w:rsidRPr="005A2301" w:rsidRDefault="00742247" w:rsidP="005F5C94">
            <w:pPr>
              <w:pStyle w:val="Tabletext1"/>
              <w:rPr>
                <w:snapToGrid w:val="0"/>
              </w:rPr>
            </w:pPr>
            <w:r w:rsidRPr="00721964">
              <w:t>$3,505,230</w:t>
            </w:r>
          </w:p>
        </w:tc>
        <w:tc>
          <w:tcPr>
            <w:tcW w:w="1229" w:type="dxa"/>
          </w:tcPr>
          <w:p w14:paraId="0455227A" w14:textId="77777777" w:rsidR="00742247" w:rsidRPr="005A2301" w:rsidRDefault="00742247" w:rsidP="005F5C94">
            <w:pPr>
              <w:pStyle w:val="Tabletext1"/>
              <w:rPr>
                <w:snapToGrid w:val="0"/>
              </w:rPr>
            </w:pPr>
            <w:r w:rsidRPr="00721964">
              <w:t>$17,526,150</w:t>
            </w:r>
          </w:p>
        </w:tc>
      </w:tr>
      <w:tr w:rsidR="00742247" w:rsidRPr="00C61126" w14:paraId="750EFE7F" w14:textId="77777777" w:rsidTr="004768B3">
        <w:trPr>
          <w:trHeight w:val="397"/>
        </w:trPr>
        <w:tc>
          <w:tcPr>
            <w:tcW w:w="1668" w:type="dxa"/>
          </w:tcPr>
          <w:p w14:paraId="2FCDEBB1" w14:textId="77777777" w:rsidR="00742247" w:rsidRDefault="00742247" w:rsidP="005F5C94">
            <w:pPr>
              <w:pStyle w:val="Tabletext1"/>
              <w:rPr>
                <w:snapToGrid w:val="0"/>
              </w:rPr>
            </w:pPr>
            <w:r>
              <w:rPr>
                <w:snapToGrid w:val="0"/>
              </w:rPr>
              <w:t>Total</w:t>
            </w:r>
          </w:p>
        </w:tc>
        <w:tc>
          <w:tcPr>
            <w:tcW w:w="1268" w:type="dxa"/>
          </w:tcPr>
          <w:p w14:paraId="09D7C4D7" w14:textId="77777777" w:rsidR="00742247" w:rsidRPr="005A2301" w:rsidRDefault="00742247" w:rsidP="005F5C94">
            <w:pPr>
              <w:pStyle w:val="Tabletext1"/>
              <w:rPr>
                <w:snapToGrid w:val="0"/>
              </w:rPr>
            </w:pPr>
            <w:r w:rsidRPr="005A2301">
              <w:rPr>
                <w:snapToGrid w:val="0"/>
              </w:rPr>
              <w:t>$10,275,990</w:t>
            </w:r>
          </w:p>
        </w:tc>
        <w:tc>
          <w:tcPr>
            <w:tcW w:w="1269" w:type="dxa"/>
          </w:tcPr>
          <w:p w14:paraId="35A70FEC" w14:textId="77777777" w:rsidR="00742247" w:rsidRPr="005A2301" w:rsidRDefault="00742247" w:rsidP="005F5C94">
            <w:pPr>
              <w:pStyle w:val="Tabletext1"/>
              <w:rPr>
                <w:snapToGrid w:val="0"/>
              </w:rPr>
            </w:pPr>
            <w:r w:rsidRPr="005A2301">
              <w:rPr>
                <w:snapToGrid w:val="0"/>
              </w:rPr>
              <w:t>$10,275,990</w:t>
            </w:r>
          </w:p>
        </w:tc>
        <w:tc>
          <w:tcPr>
            <w:tcW w:w="1269" w:type="dxa"/>
          </w:tcPr>
          <w:p w14:paraId="651AA3D4" w14:textId="77777777" w:rsidR="00742247" w:rsidRPr="005A2301" w:rsidRDefault="00742247" w:rsidP="005F5C94">
            <w:pPr>
              <w:pStyle w:val="Tabletext1"/>
              <w:rPr>
                <w:snapToGrid w:val="0"/>
              </w:rPr>
            </w:pPr>
            <w:r w:rsidRPr="005A2301">
              <w:rPr>
                <w:snapToGrid w:val="0"/>
              </w:rPr>
              <w:t>$10,275,990</w:t>
            </w:r>
          </w:p>
        </w:tc>
        <w:tc>
          <w:tcPr>
            <w:tcW w:w="1269" w:type="dxa"/>
          </w:tcPr>
          <w:p w14:paraId="4A0BE6B7" w14:textId="77777777" w:rsidR="00742247" w:rsidRPr="005A2301" w:rsidRDefault="00742247" w:rsidP="005F5C94">
            <w:pPr>
              <w:pStyle w:val="Tabletext1"/>
              <w:rPr>
                <w:snapToGrid w:val="0"/>
              </w:rPr>
            </w:pPr>
            <w:r w:rsidRPr="005A2301">
              <w:rPr>
                <w:snapToGrid w:val="0"/>
              </w:rPr>
              <w:t>$10,275,990</w:t>
            </w:r>
          </w:p>
        </w:tc>
        <w:tc>
          <w:tcPr>
            <w:tcW w:w="1269" w:type="dxa"/>
          </w:tcPr>
          <w:p w14:paraId="459EC722" w14:textId="77777777" w:rsidR="00742247" w:rsidRPr="005A2301" w:rsidRDefault="00742247" w:rsidP="005F5C94">
            <w:pPr>
              <w:pStyle w:val="Tabletext1"/>
              <w:rPr>
                <w:snapToGrid w:val="0"/>
              </w:rPr>
            </w:pPr>
            <w:r w:rsidRPr="005A2301">
              <w:rPr>
                <w:snapToGrid w:val="0"/>
              </w:rPr>
              <w:t>$10,275,990</w:t>
            </w:r>
          </w:p>
        </w:tc>
        <w:tc>
          <w:tcPr>
            <w:tcW w:w="1229" w:type="dxa"/>
          </w:tcPr>
          <w:p w14:paraId="774A3638" w14:textId="77777777" w:rsidR="00742247" w:rsidRPr="005A2301" w:rsidRDefault="00742247" w:rsidP="005F5C94">
            <w:pPr>
              <w:pStyle w:val="Tabletext1"/>
              <w:rPr>
                <w:snapToGrid w:val="0"/>
              </w:rPr>
            </w:pPr>
            <w:r w:rsidRPr="005A2301">
              <w:rPr>
                <w:snapToGrid w:val="0"/>
              </w:rPr>
              <w:t>$51,379,950</w:t>
            </w:r>
          </w:p>
        </w:tc>
      </w:tr>
      <w:tr w:rsidR="00742247" w:rsidRPr="00C61126" w14:paraId="331B72A6" w14:textId="77777777" w:rsidTr="004768B3">
        <w:trPr>
          <w:trHeight w:val="397"/>
        </w:trPr>
        <w:tc>
          <w:tcPr>
            <w:tcW w:w="9241" w:type="dxa"/>
            <w:gridSpan w:val="7"/>
          </w:tcPr>
          <w:p w14:paraId="5B464D97" w14:textId="77777777" w:rsidR="00742247" w:rsidRPr="009D1228" w:rsidRDefault="00742247" w:rsidP="005F5C94">
            <w:pPr>
              <w:pStyle w:val="Tabletext1"/>
              <w:rPr>
                <w:snapToGrid w:val="0"/>
              </w:rPr>
            </w:pPr>
            <w:r w:rsidRPr="009D1228">
              <w:rPr>
                <w:snapToGrid w:val="0"/>
              </w:rPr>
              <w:t>Patient co-payments</w:t>
            </w:r>
          </w:p>
        </w:tc>
      </w:tr>
      <w:tr w:rsidR="00742247" w:rsidRPr="00C61126" w14:paraId="2DBA2634" w14:textId="77777777" w:rsidTr="004768B3">
        <w:trPr>
          <w:trHeight w:val="397"/>
        </w:trPr>
        <w:tc>
          <w:tcPr>
            <w:tcW w:w="1668" w:type="dxa"/>
          </w:tcPr>
          <w:p w14:paraId="3F0A0726" w14:textId="77777777" w:rsidR="00742247" w:rsidRDefault="00742247" w:rsidP="005F5C94">
            <w:pPr>
              <w:pStyle w:val="Tabletext1"/>
              <w:rPr>
                <w:snapToGrid w:val="0"/>
              </w:rPr>
            </w:pPr>
            <w:r w:rsidRPr="00EC6845">
              <w:rPr>
                <w:snapToGrid w:val="0"/>
              </w:rPr>
              <w:t>Population 1</w:t>
            </w:r>
          </w:p>
        </w:tc>
        <w:tc>
          <w:tcPr>
            <w:tcW w:w="1268" w:type="dxa"/>
          </w:tcPr>
          <w:p w14:paraId="7EC10329" w14:textId="77777777" w:rsidR="00742247" w:rsidRPr="00C2101C" w:rsidRDefault="00742247" w:rsidP="005F5C94">
            <w:pPr>
              <w:pStyle w:val="Tabletext1"/>
              <w:rPr>
                <w:snapToGrid w:val="0"/>
              </w:rPr>
            </w:pPr>
            <w:r w:rsidRPr="00821D04">
              <w:t>$1,194,840</w:t>
            </w:r>
          </w:p>
        </w:tc>
        <w:tc>
          <w:tcPr>
            <w:tcW w:w="1269" w:type="dxa"/>
          </w:tcPr>
          <w:p w14:paraId="4DA32B3D" w14:textId="77777777" w:rsidR="00742247" w:rsidRPr="00C2101C" w:rsidRDefault="00742247" w:rsidP="005F5C94">
            <w:pPr>
              <w:pStyle w:val="Tabletext1"/>
              <w:rPr>
                <w:snapToGrid w:val="0"/>
              </w:rPr>
            </w:pPr>
            <w:r w:rsidRPr="00821D04">
              <w:t>$1,194,840</w:t>
            </w:r>
          </w:p>
        </w:tc>
        <w:tc>
          <w:tcPr>
            <w:tcW w:w="1269" w:type="dxa"/>
          </w:tcPr>
          <w:p w14:paraId="07BE99DB" w14:textId="77777777" w:rsidR="00742247" w:rsidRPr="00C2101C" w:rsidRDefault="00742247" w:rsidP="005F5C94">
            <w:pPr>
              <w:pStyle w:val="Tabletext1"/>
              <w:rPr>
                <w:snapToGrid w:val="0"/>
              </w:rPr>
            </w:pPr>
            <w:r w:rsidRPr="00821D04">
              <w:t>$1,194,840</w:t>
            </w:r>
          </w:p>
        </w:tc>
        <w:tc>
          <w:tcPr>
            <w:tcW w:w="1269" w:type="dxa"/>
          </w:tcPr>
          <w:p w14:paraId="3621201B" w14:textId="77777777" w:rsidR="00742247" w:rsidRPr="00C2101C" w:rsidRDefault="00742247" w:rsidP="005F5C94">
            <w:pPr>
              <w:pStyle w:val="Tabletext1"/>
              <w:rPr>
                <w:snapToGrid w:val="0"/>
              </w:rPr>
            </w:pPr>
            <w:r w:rsidRPr="00821D04">
              <w:t>$1,194,840</w:t>
            </w:r>
          </w:p>
        </w:tc>
        <w:tc>
          <w:tcPr>
            <w:tcW w:w="1269" w:type="dxa"/>
          </w:tcPr>
          <w:p w14:paraId="2FD97278" w14:textId="77777777" w:rsidR="00742247" w:rsidRPr="00C2101C" w:rsidRDefault="00742247" w:rsidP="005F5C94">
            <w:pPr>
              <w:pStyle w:val="Tabletext1"/>
              <w:rPr>
                <w:snapToGrid w:val="0"/>
              </w:rPr>
            </w:pPr>
            <w:r w:rsidRPr="00821D04">
              <w:t>$1,194,840</w:t>
            </w:r>
          </w:p>
        </w:tc>
        <w:tc>
          <w:tcPr>
            <w:tcW w:w="1229" w:type="dxa"/>
          </w:tcPr>
          <w:p w14:paraId="44092416" w14:textId="77777777" w:rsidR="00742247" w:rsidRPr="00C2101C" w:rsidRDefault="00742247" w:rsidP="005F5C94">
            <w:pPr>
              <w:pStyle w:val="Tabletext1"/>
              <w:rPr>
                <w:snapToGrid w:val="0"/>
              </w:rPr>
            </w:pPr>
            <w:r w:rsidRPr="00821D04">
              <w:t>$5,974,200</w:t>
            </w:r>
          </w:p>
        </w:tc>
      </w:tr>
      <w:tr w:rsidR="00742247" w:rsidRPr="00C61126" w14:paraId="4B3AFC8D" w14:textId="77777777" w:rsidTr="004768B3">
        <w:trPr>
          <w:trHeight w:val="397"/>
        </w:trPr>
        <w:tc>
          <w:tcPr>
            <w:tcW w:w="1668" w:type="dxa"/>
          </w:tcPr>
          <w:p w14:paraId="595853EF" w14:textId="77777777" w:rsidR="00742247" w:rsidRDefault="00742247" w:rsidP="005F5C94">
            <w:pPr>
              <w:pStyle w:val="Tabletext1"/>
              <w:rPr>
                <w:snapToGrid w:val="0"/>
              </w:rPr>
            </w:pPr>
            <w:r w:rsidRPr="00EC6845">
              <w:rPr>
                <w:snapToGrid w:val="0"/>
              </w:rPr>
              <w:t>Population 2</w:t>
            </w:r>
          </w:p>
        </w:tc>
        <w:tc>
          <w:tcPr>
            <w:tcW w:w="1268" w:type="dxa"/>
          </w:tcPr>
          <w:p w14:paraId="2C98D6C3" w14:textId="77777777" w:rsidR="00742247" w:rsidRPr="00C2101C" w:rsidRDefault="00742247" w:rsidP="005F5C94">
            <w:pPr>
              <w:pStyle w:val="Tabletext1"/>
              <w:rPr>
                <w:snapToGrid w:val="0"/>
              </w:rPr>
            </w:pPr>
            <w:r w:rsidRPr="00821D04">
              <w:t>$618,570</w:t>
            </w:r>
          </w:p>
        </w:tc>
        <w:tc>
          <w:tcPr>
            <w:tcW w:w="1269" w:type="dxa"/>
          </w:tcPr>
          <w:p w14:paraId="7E73AFA2" w14:textId="77777777" w:rsidR="00742247" w:rsidRPr="00C2101C" w:rsidRDefault="00742247" w:rsidP="005F5C94">
            <w:pPr>
              <w:pStyle w:val="Tabletext1"/>
              <w:rPr>
                <w:snapToGrid w:val="0"/>
              </w:rPr>
            </w:pPr>
            <w:r w:rsidRPr="00821D04">
              <w:t>$618,570</w:t>
            </w:r>
          </w:p>
        </w:tc>
        <w:tc>
          <w:tcPr>
            <w:tcW w:w="1269" w:type="dxa"/>
          </w:tcPr>
          <w:p w14:paraId="3725CDEB" w14:textId="77777777" w:rsidR="00742247" w:rsidRPr="00C2101C" w:rsidRDefault="00742247" w:rsidP="005F5C94">
            <w:pPr>
              <w:pStyle w:val="Tabletext1"/>
              <w:rPr>
                <w:snapToGrid w:val="0"/>
              </w:rPr>
            </w:pPr>
            <w:r w:rsidRPr="00821D04">
              <w:t>$618,570</w:t>
            </w:r>
          </w:p>
        </w:tc>
        <w:tc>
          <w:tcPr>
            <w:tcW w:w="1269" w:type="dxa"/>
          </w:tcPr>
          <w:p w14:paraId="405971C9" w14:textId="77777777" w:rsidR="00742247" w:rsidRPr="00C2101C" w:rsidRDefault="00742247" w:rsidP="005F5C94">
            <w:pPr>
              <w:pStyle w:val="Tabletext1"/>
              <w:rPr>
                <w:snapToGrid w:val="0"/>
              </w:rPr>
            </w:pPr>
            <w:r w:rsidRPr="00821D04">
              <w:t>$618,570</w:t>
            </w:r>
          </w:p>
        </w:tc>
        <w:tc>
          <w:tcPr>
            <w:tcW w:w="1269" w:type="dxa"/>
          </w:tcPr>
          <w:p w14:paraId="426EF573" w14:textId="77777777" w:rsidR="00742247" w:rsidRPr="00C2101C" w:rsidRDefault="00742247" w:rsidP="005F5C94">
            <w:pPr>
              <w:pStyle w:val="Tabletext1"/>
              <w:rPr>
                <w:snapToGrid w:val="0"/>
              </w:rPr>
            </w:pPr>
            <w:r w:rsidRPr="00821D04">
              <w:t>$618,570</w:t>
            </w:r>
          </w:p>
        </w:tc>
        <w:tc>
          <w:tcPr>
            <w:tcW w:w="1229" w:type="dxa"/>
          </w:tcPr>
          <w:p w14:paraId="35CB16EB" w14:textId="77777777" w:rsidR="00742247" w:rsidRPr="00C2101C" w:rsidRDefault="00742247" w:rsidP="005F5C94">
            <w:pPr>
              <w:pStyle w:val="Tabletext1"/>
              <w:rPr>
                <w:snapToGrid w:val="0"/>
              </w:rPr>
            </w:pPr>
            <w:r w:rsidRPr="00821D04">
              <w:t>$3,092,850</w:t>
            </w:r>
          </w:p>
        </w:tc>
      </w:tr>
      <w:tr w:rsidR="00742247" w:rsidRPr="00C61126" w14:paraId="22B5CB9E" w14:textId="77777777" w:rsidTr="004768B3">
        <w:trPr>
          <w:trHeight w:val="397"/>
        </w:trPr>
        <w:tc>
          <w:tcPr>
            <w:tcW w:w="1668" w:type="dxa"/>
            <w:tcBorders>
              <w:bottom w:val="single" w:sz="4" w:space="0" w:color="auto"/>
            </w:tcBorders>
          </w:tcPr>
          <w:p w14:paraId="30F79C7E" w14:textId="77777777" w:rsidR="00742247" w:rsidRDefault="00742247" w:rsidP="005F5C94">
            <w:pPr>
              <w:pStyle w:val="Tabletext1"/>
              <w:rPr>
                <w:snapToGrid w:val="0"/>
              </w:rPr>
            </w:pPr>
            <w:r>
              <w:rPr>
                <w:snapToGrid w:val="0"/>
              </w:rPr>
              <w:t>Total</w:t>
            </w:r>
          </w:p>
        </w:tc>
        <w:tc>
          <w:tcPr>
            <w:tcW w:w="1268" w:type="dxa"/>
            <w:tcBorders>
              <w:bottom w:val="single" w:sz="4" w:space="0" w:color="auto"/>
            </w:tcBorders>
          </w:tcPr>
          <w:p w14:paraId="263B5D80" w14:textId="77777777" w:rsidR="00742247" w:rsidRPr="00C2101C" w:rsidRDefault="00742247" w:rsidP="005F5C94">
            <w:pPr>
              <w:pStyle w:val="Tabletext1"/>
              <w:rPr>
                <w:snapToGrid w:val="0"/>
              </w:rPr>
            </w:pPr>
            <w:r w:rsidRPr="00C2101C">
              <w:rPr>
                <w:snapToGrid w:val="0"/>
              </w:rPr>
              <w:t>$1,813,410</w:t>
            </w:r>
          </w:p>
        </w:tc>
        <w:tc>
          <w:tcPr>
            <w:tcW w:w="1269" w:type="dxa"/>
            <w:tcBorders>
              <w:bottom w:val="single" w:sz="4" w:space="0" w:color="auto"/>
            </w:tcBorders>
          </w:tcPr>
          <w:p w14:paraId="4E7EB52A" w14:textId="77777777" w:rsidR="00742247" w:rsidRPr="00C2101C" w:rsidRDefault="00742247" w:rsidP="005F5C94">
            <w:pPr>
              <w:pStyle w:val="Tabletext1"/>
              <w:rPr>
                <w:snapToGrid w:val="0"/>
              </w:rPr>
            </w:pPr>
            <w:r w:rsidRPr="00C2101C">
              <w:rPr>
                <w:snapToGrid w:val="0"/>
              </w:rPr>
              <w:t>$1,813,410</w:t>
            </w:r>
          </w:p>
        </w:tc>
        <w:tc>
          <w:tcPr>
            <w:tcW w:w="1269" w:type="dxa"/>
            <w:tcBorders>
              <w:bottom w:val="single" w:sz="4" w:space="0" w:color="auto"/>
            </w:tcBorders>
          </w:tcPr>
          <w:p w14:paraId="6DF8F8E7" w14:textId="77777777" w:rsidR="00742247" w:rsidRPr="00C2101C" w:rsidRDefault="00742247" w:rsidP="005F5C94">
            <w:pPr>
              <w:pStyle w:val="Tabletext1"/>
              <w:rPr>
                <w:snapToGrid w:val="0"/>
              </w:rPr>
            </w:pPr>
            <w:r w:rsidRPr="00C2101C">
              <w:rPr>
                <w:snapToGrid w:val="0"/>
              </w:rPr>
              <w:t>$1,813,410</w:t>
            </w:r>
          </w:p>
        </w:tc>
        <w:tc>
          <w:tcPr>
            <w:tcW w:w="1269" w:type="dxa"/>
            <w:tcBorders>
              <w:bottom w:val="single" w:sz="4" w:space="0" w:color="auto"/>
            </w:tcBorders>
          </w:tcPr>
          <w:p w14:paraId="03719E4C" w14:textId="77777777" w:rsidR="00742247" w:rsidRPr="00C2101C" w:rsidRDefault="00742247" w:rsidP="005F5C94">
            <w:pPr>
              <w:pStyle w:val="Tabletext1"/>
              <w:rPr>
                <w:snapToGrid w:val="0"/>
              </w:rPr>
            </w:pPr>
            <w:r w:rsidRPr="00C2101C">
              <w:rPr>
                <w:snapToGrid w:val="0"/>
              </w:rPr>
              <w:t>$1,813,410</w:t>
            </w:r>
          </w:p>
        </w:tc>
        <w:tc>
          <w:tcPr>
            <w:tcW w:w="1269" w:type="dxa"/>
            <w:tcBorders>
              <w:bottom w:val="single" w:sz="4" w:space="0" w:color="auto"/>
            </w:tcBorders>
          </w:tcPr>
          <w:p w14:paraId="38D27E23" w14:textId="77777777" w:rsidR="00742247" w:rsidRPr="00C2101C" w:rsidRDefault="00742247" w:rsidP="005F5C94">
            <w:pPr>
              <w:pStyle w:val="Tabletext1"/>
              <w:rPr>
                <w:snapToGrid w:val="0"/>
              </w:rPr>
            </w:pPr>
            <w:r w:rsidRPr="00C2101C">
              <w:rPr>
                <w:snapToGrid w:val="0"/>
              </w:rPr>
              <w:t>$1,813,410</w:t>
            </w:r>
          </w:p>
        </w:tc>
        <w:tc>
          <w:tcPr>
            <w:tcW w:w="1229" w:type="dxa"/>
            <w:tcBorders>
              <w:bottom w:val="single" w:sz="4" w:space="0" w:color="auto"/>
            </w:tcBorders>
          </w:tcPr>
          <w:p w14:paraId="7E3DC4DA" w14:textId="77777777" w:rsidR="00742247" w:rsidRPr="00C2101C" w:rsidRDefault="00742247" w:rsidP="005F5C94">
            <w:pPr>
              <w:pStyle w:val="Tabletext1"/>
              <w:rPr>
                <w:snapToGrid w:val="0"/>
              </w:rPr>
            </w:pPr>
            <w:r w:rsidRPr="00C2101C">
              <w:rPr>
                <w:snapToGrid w:val="0"/>
              </w:rPr>
              <w:t>$9,067,050</w:t>
            </w:r>
          </w:p>
        </w:tc>
      </w:tr>
      <w:tr w:rsidR="00742247" w:rsidRPr="00C61126" w14:paraId="4F0EEEB2" w14:textId="77777777" w:rsidTr="004768B3">
        <w:trPr>
          <w:trHeight w:val="397"/>
        </w:trPr>
        <w:tc>
          <w:tcPr>
            <w:tcW w:w="9241" w:type="dxa"/>
            <w:gridSpan w:val="7"/>
          </w:tcPr>
          <w:p w14:paraId="33513FF2" w14:textId="77777777" w:rsidR="00742247" w:rsidRPr="009D1228" w:rsidRDefault="00742247" w:rsidP="005F5C94">
            <w:pPr>
              <w:pStyle w:val="Tabletext1"/>
              <w:rPr>
                <w:snapToGrid w:val="0"/>
              </w:rPr>
            </w:pPr>
            <w:r w:rsidRPr="009D1228">
              <w:rPr>
                <w:snapToGrid w:val="0"/>
              </w:rPr>
              <w:t>Total cost (MBS and patients)</w:t>
            </w:r>
          </w:p>
        </w:tc>
      </w:tr>
      <w:tr w:rsidR="00742247" w:rsidRPr="00C61126" w14:paraId="3C054796" w14:textId="77777777" w:rsidTr="004768B3">
        <w:trPr>
          <w:trHeight w:val="397"/>
        </w:trPr>
        <w:tc>
          <w:tcPr>
            <w:tcW w:w="1668" w:type="dxa"/>
          </w:tcPr>
          <w:p w14:paraId="0AE7FCF5" w14:textId="77777777" w:rsidR="00742247" w:rsidRPr="003A285B" w:rsidRDefault="00742247" w:rsidP="005F5C94">
            <w:pPr>
              <w:pStyle w:val="Tabletext1"/>
              <w:rPr>
                <w:snapToGrid w:val="0"/>
              </w:rPr>
            </w:pPr>
            <w:r w:rsidRPr="003A285B">
              <w:rPr>
                <w:snapToGrid w:val="0"/>
              </w:rPr>
              <w:t>Population 1</w:t>
            </w:r>
          </w:p>
        </w:tc>
        <w:tc>
          <w:tcPr>
            <w:tcW w:w="1268" w:type="dxa"/>
          </w:tcPr>
          <w:p w14:paraId="00DFF1C3" w14:textId="77777777" w:rsidR="00742247" w:rsidRPr="003A285B" w:rsidRDefault="00742247" w:rsidP="005F5C94">
            <w:pPr>
              <w:pStyle w:val="Tabletext1"/>
              <w:rPr>
                <w:snapToGrid w:val="0"/>
              </w:rPr>
            </w:pPr>
            <w:r w:rsidRPr="003A285B">
              <w:rPr>
                <w:snapToGrid w:val="0"/>
              </w:rPr>
              <w:t>$7,965,600</w:t>
            </w:r>
          </w:p>
        </w:tc>
        <w:tc>
          <w:tcPr>
            <w:tcW w:w="1269" w:type="dxa"/>
          </w:tcPr>
          <w:p w14:paraId="2A4A8681" w14:textId="77777777" w:rsidR="00742247" w:rsidRPr="003A285B" w:rsidRDefault="00742247" w:rsidP="005F5C94">
            <w:pPr>
              <w:pStyle w:val="Tabletext1"/>
              <w:rPr>
                <w:snapToGrid w:val="0"/>
              </w:rPr>
            </w:pPr>
            <w:r w:rsidRPr="003A285B">
              <w:rPr>
                <w:snapToGrid w:val="0"/>
              </w:rPr>
              <w:t>$7,965,600</w:t>
            </w:r>
          </w:p>
        </w:tc>
        <w:tc>
          <w:tcPr>
            <w:tcW w:w="1269" w:type="dxa"/>
          </w:tcPr>
          <w:p w14:paraId="0816D357" w14:textId="77777777" w:rsidR="00742247" w:rsidRPr="003A285B" w:rsidRDefault="00742247" w:rsidP="005F5C94">
            <w:pPr>
              <w:pStyle w:val="Tabletext1"/>
              <w:rPr>
                <w:snapToGrid w:val="0"/>
              </w:rPr>
            </w:pPr>
            <w:r w:rsidRPr="003A285B">
              <w:rPr>
                <w:snapToGrid w:val="0"/>
              </w:rPr>
              <w:t>$7,965,600</w:t>
            </w:r>
          </w:p>
        </w:tc>
        <w:tc>
          <w:tcPr>
            <w:tcW w:w="1269" w:type="dxa"/>
          </w:tcPr>
          <w:p w14:paraId="6EB672BA" w14:textId="77777777" w:rsidR="00742247" w:rsidRPr="003A285B" w:rsidRDefault="00742247" w:rsidP="005F5C94">
            <w:pPr>
              <w:pStyle w:val="Tabletext1"/>
              <w:rPr>
                <w:snapToGrid w:val="0"/>
              </w:rPr>
            </w:pPr>
            <w:r w:rsidRPr="003A285B">
              <w:rPr>
                <w:snapToGrid w:val="0"/>
              </w:rPr>
              <w:t>$7,965,600</w:t>
            </w:r>
          </w:p>
        </w:tc>
        <w:tc>
          <w:tcPr>
            <w:tcW w:w="1269" w:type="dxa"/>
          </w:tcPr>
          <w:p w14:paraId="685C4204" w14:textId="77777777" w:rsidR="00742247" w:rsidRPr="003A285B" w:rsidRDefault="00742247" w:rsidP="005F5C94">
            <w:pPr>
              <w:pStyle w:val="Tabletext1"/>
              <w:rPr>
                <w:snapToGrid w:val="0"/>
              </w:rPr>
            </w:pPr>
            <w:r w:rsidRPr="003A285B">
              <w:rPr>
                <w:snapToGrid w:val="0"/>
              </w:rPr>
              <w:t>$7,965,600</w:t>
            </w:r>
          </w:p>
        </w:tc>
        <w:tc>
          <w:tcPr>
            <w:tcW w:w="1229" w:type="dxa"/>
          </w:tcPr>
          <w:p w14:paraId="365D8006" w14:textId="77777777" w:rsidR="00742247" w:rsidRPr="003A285B" w:rsidRDefault="00742247" w:rsidP="005F5C94">
            <w:pPr>
              <w:pStyle w:val="Tabletext1"/>
              <w:rPr>
                <w:snapToGrid w:val="0"/>
              </w:rPr>
            </w:pPr>
            <w:r w:rsidRPr="003A285B">
              <w:rPr>
                <w:snapToGrid w:val="0"/>
              </w:rPr>
              <w:t>$39,828,000</w:t>
            </w:r>
          </w:p>
        </w:tc>
      </w:tr>
      <w:tr w:rsidR="00742247" w:rsidRPr="00C61126" w14:paraId="14BFE927" w14:textId="77777777" w:rsidTr="004768B3">
        <w:trPr>
          <w:trHeight w:val="397"/>
        </w:trPr>
        <w:tc>
          <w:tcPr>
            <w:tcW w:w="1668" w:type="dxa"/>
          </w:tcPr>
          <w:p w14:paraId="3198246D" w14:textId="77777777" w:rsidR="00742247" w:rsidRPr="003A285B" w:rsidRDefault="00742247" w:rsidP="005F5C94">
            <w:pPr>
              <w:pStyle w:val="Tabletext1"/>
              <w:rPr>
                <w:snapToGrid w:val="0"/>
              </w:rPr>
            </w:pPr>
            <w:r w:rsidRPr="003A285B">
              <w:rPr>
                <w:snapToGrid w:val="0"/>
              </w:rPr>
              <w:t>Population 2</w:t>
            </w:r>
          </w:p>
        </w:tc>
        <w:tc>
          <w:tcPr>
            <w:tcW w:w="1268" w:type="dxa"/>
          </w:tcPr>
          <w:p w14:paraId="34BA48C2" w14:textId="77777777" w:rsidR="00742247" w:rsidRPr="003A285B" w:rsidRDefault="00742247" w:rsidP="005F5C94">
            <w:pPr>
              <w:pStyle w:val="Tabletext1"/>
              <w:rPr>
                <w:snapToGrid w:val="0"/>
              </w:rPr>
            </w:pPr>
            <w:r w:rsidRPr="003A285B">
              <w:rPr>
                <w:snapToGrid w:val="0"/>
              </w:rPr>
              <w:t>$4,123,800</w:t>
            </w:r>
          </w:p>
        </w:tc>
        <w:tc>
          <w:tcPr>
            <w:tcW w:w="1269" w:type="dxa"/>
          </w:tcPr>
          <w:p w14:paraId="6986082D" w14:textId="77777777" w:rsidR="00742247" w:rsidRPr="003A285B" w:rsidRDefault="00742247" w:rsidP="005F5C94">
            <w:pPr>
              <w:pStyle w:val="Tabletext1"/>
              <w:rPr>
                <w:snapToGrid w:val="0"/>
              </w:rPr>
            </w:pPr>
            <w:r w:rsidRPr="003A285B">
              <w:rPr>
                <w:snapToGrid w:val="0"/>
              </w:rPr>
              <w:t>$4,123,800</w:t>
            </w:r>
          </w:p>
        </w:tc>
        <w:tc>
          <w:tcPr>
            <w:tcW w:w="1269" w:type="dxa"/>
          </w:tcPr>
          <w:p w14:paraId="55F48E0C" w14:textId="77777777" w:rsidR="00742247" w:rsidRPr="003A285B" w:rsidRDefault="00742247" w:rsidP="005F5C94">
            <w:pPr>
              <w:pStyle w:val="Tabletext1"/>
              <w:rPr>
                <w:snapToGrid w:val="0"/>
              </w:rPr>
            </w:pPr>
            <w:r w:rsidRPr="003A285B">
              <w:rPr>
                <w:snapToGrid w:val="0"/>
              </w:rPr>
              <w:t>$4,123,800</w:t>
            </w:r>
          </w:p>
        </w:tc>
        <w:tc>
          <w:tcPr>
            <w:tcW w:w="1269" w:type="dxa"/>
          </w:tcPr>
          <w:p w14:paraId="21FA4B30" w14:textId="77777777" w:rsidR="00742247" w:rsidRPr="003A285B" w:rsidRDefault="00742247" w:rsidP="005F5C94">
            <w:pPr>
              <w:pStyle w:val="Tabletext1"/>
              <w:rPr>
                <w:snapToGrid w:val="0"/>
              </w:rPr>
            </w:pPr>
            <w:r w:rsidRPr="003A285B">
              <w:rPr>
                <w:snapToGrid w:val="0"/>
              </w:rPr>
              <w:t>$4,123,800</w:t>
            </w:r>
          </w:p>
        </w:tc>
        <w:tc>
          <w:tcPr>
            <w:tcW w:w="1269" w:type="dxa"/>
          </w:tcPr>
          <w:p w14:paraId="1A232856" w14:textId="77777777" w:rsidR="00742247" w:rsidRPr="003A285B" w:rsidRDefault="00742247" w:rsidP="005F5C94">
            <w:pPr>
              <w:pStyle w:val="Tabletext1"/>
              <w:rPr>
                <w:snapToGrid w:val="0"/>
              </w:rPr>
            </w:pPr>
            <w:r w:rsidRPr="003A285B">
              <w:rPr>
                <w:snapToGrid w:val="0"/>
              </w:rPr>
              <w:t>$4,123,800</w:t>
            </w:r>
          </w:p>
        </w:tc>
        <w:tc>
          <w:tcPr>
            <w:tcW w:w="1229" w:type="dxa"/>
          </w:tcPr>
          <w:p w14:paraId="51CF320C" w14:textId="77777777" w:rsidR="00742247" w:rsidRPr="003A285B" w:rsidRDefault="00742247" w:rsidP="005F5C94">
            <w:pPr>
              <w:pStyle w:val="Tabletext1"/>
              <w:rPr>
                <w:snapToGrid w:val="0"/>
              </w:rPr>
            </w:pPr>
            <w:r w:rsidRPr="003A285B">
              <w:rPr>
                <w:snapToGrid w:val="0"/>
              </w:rPr>
              <w:t>$20,619,000</w:t>
            </w:r>
          </w:p>
        </w:tc>
      </w:tr>
      <w:tr w:rsidR="00742247" w:rsidRPr="00C61126" w14:paraId="11E9A741" w14:textId="77777777" w:rsidTr="004768B3">
        <w:trPr>
          <w:trHeight w:val="397"/>
        </w:trPr>
        <w:tc>
          <w:tcPr>
            <w:tcW w:w="1668" w:type="dxa"/>
          </w:tcPr>
          <w:p w14:paraId="21603B23" w14:textId="77777777" w:rsidR="00742247" w:rsidRPr="003A285B" w:rsidRDefault="00742247" w:rsidP="005F5C94">
            <w:pPr>
              <w:pStyle w:val="Tabletext1"/>
              <w:rPr>
                <w:snapToGrid w:val="0"/>
              </w:rPr>
            </w:pPr>
            <w:r w:rsidRPr="003A285B">
              <w:rPr>
                <w:snapToGrid w:val="0"/>
              </w:rPr>
              <w:t>Total</w:t>
            </w:r>
          </w:p>
        </w:tc>
        <w:tc>
          <w:tcPr>
            <w:tcW w:w="1268" w:type="dxa"/>
          </w:tcPr>
          <w:p w14:paraId="03C96983" w14:textId="77777777" w:rsidR="00742247" w:rsidRPr="003A285B" w:rsidRDefault="00742247" w:rsidP="005F5C94">
            <w:pPr>
              <w:pStyle w:val="Tabletext1"/>
              <w:rPr>
                <w:snapToGrid w:val="0"/>
              </w:rPr>
            </w:pPr>
            <w:r w:rsidRPr="003A285B">
              <w:rPr>
                <w:snapToGrid w:val="0"/>
              </w:rPr>
              <w:t>$12,089,400</w:t>
            </w:r>
          </w:p>
        </w:tc>
        <w:tc>
          <w:tcPr>
            <w:tcW w:w="1269" w:type="dxa"/>
          </w:tcPr>
          <w:p w14:paraId="60E1781E" w14:textId="77777777" w:rsidR="00742247" w:rsidRPr="003A285B" w:rsidRDefault="00742247" w:rsidP="005F5C94">
            <w:pPr>
              <w:pStyle w:val="Tabletext1"/>
              <w:rPr>
                <w:snapToGrid w:val="0"/>
              </w:rPr>
            </w:pPr>
            <w:r w:rsidRPr="003A285B">
              <w:rPr>
                <w:snapToGrid w:val="0"/>
              </w:rPr>
              <w:t>$12,089,400</w:t>
            </w:r>
          </w:p>
        </w:tc>
        <w:tc>
          <w:tcPr>
            <w:tcW w:w="1269" w:type="dxa"/>
          </w:tcPr>
          <w:p w14:paraId="44C9F336" w14:textId="77777777" w:rsidR="00742247" w:rsidRPr="003A285B" w:rsidRDefault="00742247" w:rsidP="005F5C94">
            <w:pPr>
              <w:pStyle w:val="Tabletext1"/>
              <w:rPr>
                <w:snapToGrid w:val="0"/>
              </w:rPr>
            </w:pPr>
            <w:r w:rsidRPr="003A285B">
              <w:rPr>
                <w:snapToGrid w:val="0"/>
              </w:rPr>
              <w:t>$12,089,400</w:t>
            </w:r>
          </w:p>
        </w:tc>
        <w:tc>
          <w:tcPr>
            <w:tcW w:w="1269" w:type="dxa"/>
          </w:tcPr>
          <w:p w14:paraId="12843011" w14:textId="77777777" w:rsidR="00742247" w:rsidRPr="003A285B" w:rsidRDefault="00742247" w:rsidP="005F5C94">
            <w:pPr>
              <w:pStyle w:val="Tabletext1"/>
              <w:rPr>
                <w:snapToGrid w:val="0"/>
              </w:rPr>
            </w:pPr>
            <w:r w:rsidRPr="003A285B">
              <w:rPr>
                <w:snapToGrid w:val="0"/>
              </w:rPr>
              <w:t>$12,089,400</w:t>
            </w:r>
          </w:p>
        </w:tc>
        <w:tc>
          <w:tcPr>
            <w:tcW w:w="1269" w:type="dxa"/>
          </w:tcPr>
          <w:p w14:paraId="7434C0A8" w14:textId="77777777" w:rsidR="00742247" w:rsidRPr="003A285B" w:rsidRDefault="00742247" w:rsidP="005F5C94">
            <w:pPr>
              <w:pStyle w:val="Tabletext1"/>
              <w:rPr>
                <w:snapToGrid w:val="0"/>
              </w:rPr>
            </w:pPr>
            <w:r w:rsidRPr="003A285B">
              <w:rPr>
                <w:snapToGrid w:val="0"/>
              </w:rPr>
              <w:t>$12,089,400</w:t>
            </w:r>
          </w:p>
        </w:tc>
        <w:tc>
          <w:tcPr>
            <w:tcW w:w="1229" w:type="dxa"/>
          </w:tcPr>
          <w:p w14:paraId="26CFEDFC" w14:textId="77777777" w:rsidR="00742247" w:rsidRPr="003A285B" w:rsidRDefault="00742247" w:rsidP="005F5C94">
            <w:pPr>
              <w:pStyle w:val="Tabletext1"/>
              <w:rPr>
                <w:snapToGrid w:val="0"/>
              </w:rPr>
            </w:pPr>
            <w:r w:rsidRPr="003A285B">
              <w:rPr>
                <w:snapToGrid w:val="0"/>
              </w:rPr>
              <w:t>$60,447,000</w:t>
            </w:r>
          </w:p>
        </w:tc>
      </w:tr>
    </w:tbl>
    <w:p w14:paraId="4BC21FC3" w14:textId="2D09429C" w:rsidR="00742247" w:rsidRDefault="00DC025B" w:rsidP="00DC025B">
      <w:pPr>
        <w:pStyle w:val="TableNotes"/>
      </w:pPr>
      <w:bookmarkStart w:id="700" w:name="_Toc379118301"/>
      <w:bookmarkStart w:id="701" w:name="_Toc381796484"/>
      <w:bookmarkStart w:id="702" w:name="_Toc445463515"/>
      <w:r w:rsidRPr="00DC025B">
        <w:rPr>
          <w:rStyle w:val="TableNotesChar"/>
        </w:rPr>
        <w:t xml:space="preserve">MBS = Medicare Benefits Schedule, mpMRI = multiparametric MRI. </w:t>
      </w:r>
      <w:r w:rsidRPr="00DC025B">
        <w:rPr>
          <w:rStyle w:val="TableNotesChar"/>
        </w:rPr>
        <w:br/>
      </w:r>
      <w:r w:rsidR="00742247">
        <w:t>Source: Section E spread</w:t>
      </w:r>
      <w:r w:rsidR="004768B3">
        <w:t xml:space="preserve"> </w:t>
      </w:r>
      <w:r w:rsidR="00742247">
        <w:t xml:space="preserve">sheet </w:t>
      </w:r>
    </w:p>
    <w:p w14:paraId="714949B0" w14:textId="77777777" w:rsidR="00742247" w:rsidRDefault="00742247" w:rsidP="00742247"/>
    <w:p w14:paraId="239CDA94" w14:textId="77777777" w:rsidR="00742247" w:rsidRPr="00183E4D" w:rsidRDefault="00742247" w:rsidP="00742247">
      <w:pPr>
        <w:pStyle w:val="Heading2"/>
        <w:numPr>
          <w:ilvl w:val="4"/>
          <w:numId w:val="8"/>
        </w:numPr>
        <w:jc w:val="left"/>
      </w:pPr>
      <w:bookmarkStart w:id="703" w:name="_Toc457223219"/>
      <w:bookmarkStart w:id="704" w:name="_Toc457383635"/>
      <w:bookmarkStart w:id="705" w:name="_Toc459987883"/>
      <w:bookmarkStart w:id="706" w:name="_Toc460514003"/>
      <w:r>
        <w:lastRenderedPageBreak/>
        <w:t>Changes in use and c</w:t>
      </w:r>
      <w:r w:rsidRPr="00183E4D">
        <w:t>ost of</w:t>
      </w:r>
      <w:bookmarkEnd w:id="700"/>
      <w:bookmarkEnd w:id="701"/>
      <w:r>
        <w:t xml:space="preserve"> other medical services</w:t>
      </w:r>
      <w:bookmarkEnd w:id="702"/>
      <w:bookmarkEnd w:id="703"/>
      <w:bookmarkEnd w:id="704"/>
      <w:bookmarkEnd w:id="705"/>
      <w:bookmarkEnd w:id="706"/>
      <w:r>
        <w:t xml:space="preserve"> </w:t>
      </w:r>
    </w:p>
    <w:p w14:paraId="537A19FC" w14:textId="50E7C587" w:rsidR="00742247" w:rsidRDefault="00072E82" w:rsidP="00742247">
      <w:bookmarkStart w:id="707" w:name="_Toc379118302"/>
      <w:r>
        <w:t>Following the</w:t>
      </w:r>
      <w:r w:rsidR="00DE6D4F">
        <w:t xml:space="preserve"> use of mpMRIs a proportion of men will avoid prostate biopsy</w:t>
      </w:r>
      <w:r>
        <w:t>, t</w:t>
      </w:r>
      <w:r w:rsidR="00DE6D4F">
        <w:t xml:space="preserve">his may result is MBS savings due to the decrease use of the respective item number (37219, prostate biopsy). </w:t>
      </w:r>
      <w:r w:rsidR="00742247">
        <w:t>The proportion of Population 1 avoiding biopsy due to mpMRI was assumed to be equal to the pr</w:t>
      </w:r>
      <w:r w:rsidR="00071D1F">
        <w:t xml:space="preserve">obability of falling under the </w:t>
      </w:r>
      <w:r w:rsidR="00742247">
        <w:t>low</w:t>
      </w:r>
      <w:r w:rsidR="00DE6D4F">
        <w:t>-</w:t>
      </w:r>
      <w:r w:rsidR="00742247">
        <w:t>concern category</w:t>
      </w:r>
      <w:r w:rsidR="00B90D00">
        <w:t>. This population</w:t>
      </w:r>
      <w:r w:rsidR="00742247">
        <w:t xml:space="preserve"> </w:t>
      </w:r>
      <w:r w:rsidR="00B90D00">
        <w:t xml:space="preserve">value </w:t>
      </w:r>
      <w:r w:rsidR="00742247">
        <w:t>(0.5)</w:t>
      </w:r>
      <w:r w:rsidR="00FD109E">
        <w:t xml:space="preserve"> </w:t>
      </w:r>
      <w:r w:rsidR="00B90D00">
        <w:t xml:space="preserve">was </w:t>
      </w:r>
      <w:r w:rsidR="00742247">
        <w:t>multiplied by the probability</w:t>
      </w:r>
      <w:r w:rsidR="00B90D00">
        <w:t xml:space="preserve"> of having a PI-RADS score of 1-</w:t>
      </w:r>
      <w:r w:rsidR="00742247">
        <w:t xml:space="preserve">3 within this category (0.594), </w:t>
      </w:r>
      <w:r w:rsidR="00B90D00">
        <w:t xml:space="preserve">(see </w:t>
      </w:r>
      <w:r w:rsidR="00742247">
        <w:t>economic model</w:t>
      </w:r>
      <w:r w:rsidR="00B90D00">
        <w:t>,</w:t>
      </w:r>
      <w:r w:rsidR="00742247">
        <w:t xml:space="preserve"> section D</w:t>
      </w:r>
      <w:r w:rsidR="00B90D00">
        <w:t>)</w:t>
      </w:r>
      <w:r w:rsidR="00742247">
        <w:t>. Similarly, the proportion of Population 2 avoiding biopsy due to mpMRI was assumed to be equal to the probab</w:t>
      </w:r>
      <w:r w:rsidR="00071D1F">
        <w:t xml:space="preserve">ility of falling under the </w:t>
      </w:r>
      <w:r w:rsidR="00B90D00">
        <w:t>low-</w:t>
      </w:r>
      <w:r w:rsidR="00742247">
        <w:t>concern category</w:t>
      </w:r>
      <w:r w:rsidR="00B90D00">
        <w:t>. Where</w:t>
      </w:r>
      <w:r w:rsidR="001A56F9">
        <w:t>as</w:t>
      </w:r>
      <w:r w:rsidR="00B90D00">
        <w:t xml:space="preserve"> this population</w:t>
      </w:r>
      <w:r w:rsidR="00742247">
        <w:t xml:space="preserve"> </w:t>
      </w:r>
      <w:r w:rsidR="00B90D00">
        <w:t xml:space="preserve">value </w:t>
      </w:r>
      <w:r w:rsidR="00742247">
        <w:t xml:space="preserve">(0.5) </w:t>
      </w:r>
      <w:r w:rsidR="00B90D00">
        <w:t xml:space="preserve">was </w:t>
      </w:r>
      <w:r w:rsidR="00742247">
        <w:t>multiplied by the probability of having a PI-RADS score of 1</w:t>
      </w:r>
      <w:r w:rsidR="00B90D00">
        <w:t>-</w:t>
      </w:r>
      <w:r w:rsidR="00742247">
        <w:t xml:space="preserve"> 3 within this category (0.499), </w:t>
      </w:r>
      <w:r w:rsidR="00B90D00">
        <w:t>(see</w:t>
      </w:r>
      <w:r w:rsidR="00742247">
        <w:t xml:space="preserve"> economic model</w:t>
      </w:r>
      <w:r w:rsidR="00B90D00">
        <w:t>,</w:t>
      </w:r>
      <w:r w:rsidR="00742247">
        <w:t xml:space="preserve"> </w:t>
      </w:r>
      <w:r w:rsidR="00742247" w:rsidRPr="00443FF2">
        <w:t>section D</w:t>
      </w:r>
      <w:r w:rsidR="00B90D00">
        <w:t>)</w:t>
      </w:r>
      <w:r w:rsidR="00742247" w:rsidRPr="00443FF2">
        <w:t>. As a result, 29.7</w:t>
      </w:r>
      <w:r w:rsidR="00B90D00">
        <w:t xml:space="preserve"> per cent</w:t>
      </w:r>
      <w:r w:rsidR="00742247" w:rsidRPr="00443FF2">
        <w:t xml:space="preserve"> of </w:t>
      </w:r>
      <w:r w:rsidR="00742247">
        <w:t>Population 1</w:t>
      </w:r>
      <w:r w:rsidR="00742247" w:rsidRPr="00443FF2">
        <w:t xml:space="preserve"> and 25.0</w:t>
      </w:r>
      <w:r w:rsidR="00B90D00">
        <w:t xml:space="preserve"> per cent</w:t>
      </w:r>
      <w:r w:rsidR="00742247" w:rsidRPr="00443FF2">
        <w:t xml:space="preserve"> of </w:t>
      </w:r>
      <w:r w:rsidR="00742247">
        <w:t>Population 2</w:t>
      </w:r>
      <w:r w:rsidR="00742247" w:rsidRPr="00443FF2">
        <w:t xml:space="preserve"> was assumed to avoid prostate biopsy due to utilisation of mpMRI.</w:t>
      </w:r>
    </w:p>
    <w:p w14:paraId="0E43B78F" w14:textId="77777777" w:rsidR="00742247" w:rsidRDefault="00742247" w:rsidP="00742247">
      <w:r>
        <w:t xml:space="preserve">With a reduction in the number of prostate biopsies, the use of the following items was reduced accordingly: prostate ultrasound (MBS item 55600, 55601, 55603 and 55604), biopsy specimen analysis (MBS item 72825) and general anaesthesia (MBS items 17615). </w:t>
      </w:r>
    </w:p>
    <w:p w14:paraId="56E5A8B6" w14:textId="385EA411" w:rsidR="00742247" w:rsidRDefault="00742247" w:rsidP="00742247">
      <w:r>
        <w:t>Other potential cost offsets may be due to a reduction in the number of cases of biopsy-associated sepsis and changes in the number or type of PCa treatments). The potential effects of these changes on the MBS are more uncertain and have therefore been excluded from the current estimates.</w:t>
      </w:r>
      <w:r w:rsidRPr="00EF0338">
        <w:t xml:space="preserve"> </w:t>
      </w:r>
    </w:p>
    <w:p w14:paraId="43863E0F" w14:textId="6E396E59" w:rsidR="00742247" w:rsidRDefault="00742247" w:rsidP="00742247">
      <w:r w:rsidRPr="00121E6A">
        <w:fldChar w:fldCharType="begin"/>
      </w:r>
      <w:r w:rsidRPr="001248B5">
        <w:instrText xml:space="preserve"> REF _Ref456623805 \h </w:instrText>
      </w:r>
      <w:r w:rsidR="00B90D00" w:rsidRPr="001248B5">
        <w:instrText xml:space="preserve"> \* MERGEFORMAT </w:instrText>
      </w:r>
      <w:r w:rsidRPr="00121E6A">
        <w:fldChar w:fldCharType="separate"/>
      </w:r>
      <w:r w:rsidR="0029649D">
        <w:t xml:space="preserve">Table </w:t>
      </w:r>
      <w:r w:rsidR="0029649D">
        <w:rPr>
          <w:noProof/>
        </w:rPr>
        <w:t>65</w:t>
      </w:r>
      <w:r w:rsidRPr="00121E6A">
        <w:fldChar w:fldCharType="end"/>
      </w:r>
      <w:r w:rsidRPr="00121E6A">
        <w:t xml:space="preserve"> provides utilisation and cost offsets </w:t>
      </w:r>
      <w:r w:rsidR="00121E6A">
        <w:t>for</w:t>
      </w:r>
      <w:r w:rsidR="00121E6A" w:rsidRPr="00121E6A">
        <w:t xml:space="preserve"> </w:t>
      </w:r>
      <w:r w:rsidRPr="00121E6A">
        <w:t xml:space="preserve">prostate biopsies and cases of general anaesthesia </w:t>
      </w:r>
      <w:r w:rsidR="00121E6A">
        <w:t>resultant from</w:t>
      </w:r>
      <w:r w:rsidRPr="00121E6A">
        <w:t xml:space="preserve"> mpMRI per population and in total, for year </w:t>
      </w:r>
      <w:r w:rsidR="00121E6A">
        <w:t>one</w:t>
      </w:r>
      <w:r w:rsidRPr="00121E6A">
        <w:t xml:space="preserve"> to </w:t>
      </w:r>
      <w:r w:rsidR="00121E6A">
        <w:t>five</w:t>
      </w:r>
      <w:r w:rsidRPr="00121E6A">
        <w:t xml:space="preserve"> after listing. Potential offsets in patient co-payments have also been quantified, based on data provided by the </w:t>
      </w:r>
      <w:r w:rsidR="00071D1F">
        <w:t>DoH on covering the 2015-16 financial year.</w:t>
      </w:r>
    </w:p>
    <w:p w14:paraId="1007AD87" w14:textId="17ABA784" w:rsidR="00742247" w:rsidRDefault="00742247" w:rsidP="00742247">
      <w:pPr>
        <w:pStyle w:val="Caption"/>
      </w:pPr>
      <w:bookmarkStart w:id="708" w:name="_Ref456623805"/>
      <w:bookmarkStart w:id="709" w:name="_Toc457223146"/>
      <w:bookmarkStart w:id="710" w:name="_Toc457383686"/>
      <w:bookmarkStart w:id="711" w:name="_Toc459987925"/>
      <w:bookmarkStart w:id="712" w:name="_Toc460514565"/>
      <w:r>
        <w:lastRenderedPageBreak/>
        <w:t xml:space="preserve">Table </w:t>
      </w:r>
      <w:fldSimple w:instr=" SEQ Table \* ARABIC ">
        <w:r w:rsidR="0029649D">
          <w:rPr>
            <w:noProof/>
          </w:rPr>
          <w:t>65</w:t>
        </w:r>
      </w:fldSimple>
      <w:bookmarkEnd w:id="708"/>
      <w:r w:rsidR="006B2901">
        <w:rPr>
          <w:noProof/>
        </w:rPr>
        <w:tab/>
      </w:r>
      <w:r>
        <w:t>Changes in use and costs of other medical services</w:t>
      </w:r>
      <w:bookmarkEnd w:id="709"/>
      <w:bookmarkEnd w:id="710"/>
      <w:bookmarkEnd w:id="711"/>
      <w:bookmarkEnd w:id="712"/>
    </w:p>
    <w:tbl>
      <w:tblPr>
        <w:tblStyle w:val="TableGrid"/>
        <w:tblW w:w="9112" w:type="dxa"/>
        <w:tblInd w:w="130" w:type="dxa"/>
        <w:tblCellMar>
          <w:left w:w="28" w:type="dxa"/>
          <w:right w:w="28" w:type="dxa"/>
        </w:tblCellMar>
        <w:tblLook w:val="04A0" w:firstRow="1" w:lastRow="0" w:firstColumn="1" w:lastColumn="0" w:noHBand="0" w:noVBand="1"/>
        <w:tblDescription w:val="Table 61 Changes in use and costs of other medical services"/>
      </w:tblPr>
      <w:tblGrid>
        <w:gridCol w:w="2680"/>
        <w:gridCol w:w="1027"/>
        <w:gridCol w:w="1028"/>
        <w:gridCol w:w="1028"/>
        <w:gridCol w:w="1028"/>
        <w:gridCol w:w="1028"/>
        <w:gridCol w:w="1293"/>
      </w:tblGrid>
      <w:tr w:rsidR="00742247" w:rsidRPr="004768B3" w14:paraId="5CE8EF8D" w14:textId="77777777" w:rsidTr="004768B3">
        <w:trPr>
          <w:trHeight w:val="397"/>
          <w:tblHeader/>
        </w:trPr>
        <w:tc>
          <w:tcPr>
            <w:tcW w:w="0" w:type="auto"/>
          </w:tcPr>
          <w:p w14:paraId="1198D2FC" w14:textId="77777777" w:rsidR="00742247" w:rsidRPr="004768B3" w:rsidRDefault="00742247" w:rsidP="006A4478">
            <w:pPr>
              <w:pStyle w:val="Tableheading1"/>
              <w:keepNext/>
              <w:rPr>
                <w:snapToGrid w:val="0"/>
              </w:rPr>
            </w:pPr>
          </w:p>
        </w:tc>
        <w:tc>
          <w:tcPr>
            <w:tcW w:w="0" w:type="auto"/>
          </w:tcPr>
          <w:p w14:paraId="2EE2D734" w14:textId="77777777" w:rsidR="00742247" w:rsidRPr="004768B3" w:rsidRDefault="00742247" w:rsidP="006A4478">
            <w:pPr>
              <w:pStyle w:val="Tableheading1"/>
              <w:keepNext/>
              <w:rPr>
                <w:snapToGrid w:val="0"/>
              </w:rPr>
            </w:pPr>
            <w:r w:rsidRPr="004768B3">
              <w:rPr>
                <w:snapToGrid w:val="0"/>
              </w:rPr>
              <w:t>Year 1</w:t>
            </w:r>
          </w:p>
        </w:tc>
        <w:tc>
          <w:tcPr>
            <w:tcW w:w="0" w:type="auto"/>
          </w:tcPr>
          <w:p w14:paraId="4F66AE92" w14:textId="77777777" w:rsidR="00742247" w:rsidRPr="004768B3" w:rsidRDefault="00742247" w:rsidP="006A4478">
            <w:pPr>
              <w:pStyle w:val="Tableheading1"/>
              <w:keepNext/>
              <w:rPr>
                <w:snapToGrid w:val="0"/>
              </w:rPr>
            </w:pPr>
            <w:r w:rsidRPr="004768B3">
              <w:rPr>
                <w:snapToGrid w:val="0"/>
              </w:rPr>
              <w:t>Year 2</w:t>
            </w:r>
          </w:p>
        </w:tc>
        <w:tc>
          <w:tcPr>
            <w:tcW w:w="0" w:type="auto"/>
          </w:tcPr>
          <w:p w14:paraId="3143F839" w14:textId="77777777" w:rsidR="00742247" w:rsidRPr="004768B3" w:rsidRDefault="00742247" w:rsidP="006A4478">
            <w:pPr>
              <w:pStyle w:val="Tableheading1"/>
              <w:keepNext/>
              <w:rPr>
                <w:snapToGrid w:val="0"/>
              </w:rPr>
            </w:pPr>
            <w:r w:rsidRPr="004768B3">
              <w:rPr>
                <w:snapToGrid w:val="0"/>
              </w:rPr>
              <w:t>Year 3</w:t>
            </w:r>
          </w:p>
        </w:tc>
        <w:tc>
          <w:tcPr>
            <w:tcW w:w="0" w:type="auto"/>
          </w:tcPr>
          <w:p w14:paraId="17966CBD" w14:textId="77777777" w:rsidR="00742247" w:rsidRPr="004768B3" w:rsidRDefault="00742247" w:rsidP="006A4478">
            <w:pPr>
              <w:pStyle w:val="Tableheading1"/>
              <w:keepNext/>
              <w:rPr>
                <w:snapToGrid w:val="0"/>
              </w:rPr>
            </w:pPr>
            <w:r w:rsidRPr="004768B3">
              <w:rPr>
                <w:snapToGrid w:val="0"/>
              </w:rPr>
              <w:t>Year 4</w:t>
            </w:r>
          </w:p>
        </w:tc>
        <w:tc>
          <w:tcPr>
            <w:tcW w:w="0" w:type="auto"/>
          </w:tcPr>
          <w:p w14:paraId="00D653D3" w14:textId="77777777" w:rsidR="00742247" w:rsidRPr="004768B3" w:rsidRDefault="00742247" w:rsidP="006A4478">
            <w:pPr>
              <w:pStyle w:val="Tableheading1"/>
              <w:keepNext/>
              <w:rPr>
                <w:snapToGrid w:val="0"/>
              </w:rPr>
            </w:pPr>
            <w:r w:rsidRPr="004768B3">
              <w:rPr>
                <w:snapToGrid w:val="0"/>
              </w:rPr>
              <w:t>Year 5</w:t>
            </w:r>
          </w:p>
        </w:tc>
        <w:tc>
          <w:tcPr>
            <w:tcW w:w="0" w:type="auto"/>
          </w:tcPr>
          <w:p w14:paraId="395A6BDE" w14:textId="77777777" w:rsidR="00742247" w:rsidRPr="004768B3" w:rsidRDefault="00742247" w:rsidP="006A4478">
            <w:pPr>
              <w:pStyle w:val="Tableheading1"/>
              <w:keepNext/>
              <w:rPr>
                <w:snapToGrid w:val="0"/>
              </w:rPr>
            </w:pPr>
            <w:r w:rsidRPr="004768B3">
              <w:rPr>
                <w:snapToGrid w:val="0"/>
              </w:rPr>
              <w:t>Total (Year 1-5)</w:t>
            </w:r>
          </w:p>
        </w:tc>
      </w:tr>
      <w:tr w:rsidR="00742247" w14:paraId="3FBAB992" w14:textId="77777777" w:rsidTr="004768B3">
        <w:trPr>
          <w:trHeight w:val="397"/>
        </w:trPr>
        <w:tc>
          <w:tcPr>
            <w:tcW w:w="0" w:type="auto"/>
            <w:gridSpan w:val="7"/>
          </w:tcPr>
          <w:p w14:paraId="6F3AD999" w14:textId="77777777" w:rsidR="00742247" w:rsidRPr="00C1169F" w:rsidRDefault="00742247" w:rsidP="006A4478">
            <w:pPr>
              <w:pStyle w:val="Tabletext1"/>
              <w:keepNext/>
              <w:rPr>
                <w:snapToGrid w:val="0"/>
              </w:rPr>
            </w:pPr>
            <w:r w:rsidRPr="00C1169F">
              <w:rPr>
                <w:snapToGrid w:val="0"/>
              </w:rPr>
              <w:t>Proportion of mpMRI patients avoiding biopsy</w:t>
            </w:r>
          </w:p>
        </w:tc>
      </w:tr>
      <w:tr w:rsidR="00742247" w14:paraId="711773B3" w14:textId="77777777" w:rsidTr="004768B3">
        <w:trPr>
          <w:trHeight w:val="397"/>
        </w:trPr>
        <w:tc>
          <w:tcPr>
            <w:tcW w:w="0" w:type="auto"/>
          </w:tcPr>
          <w:p w14:paraId="796DDA98" w14:textId="77777777" w:rsidR="00742247" w:rsidRPr="00EC6845" w:rsidRDefault="00742247" w:rsidP="006A4478">
            <w:pPr>
              <w:pStyle w:val="Tabletext1"/>
              <w:keepNext/>
              <w:rPr>
                <w:snapToGrid w:val="0"/>
              </w:rPr>
            </w:pPr>
            <w:r w:rsidRPr="00EC6845">
              <w:rPr>
                <w:snapToGrid w:val="0"/>
              </w:rPr>
              <w:t>Population 1</w:t>
            </w:r>
          </w:p>
        </w:tc>
        <w:tc>
          <w:tcPr>
            <w:tcW w:w="0" w:type="auto"/>
          </w:tcPr>
          <w:p w14:paraId="06680124" w14:textId="77777777" w:rsidR="00742247" w:rsidRPr="007777B6" w:rsidRDefault="00742247" w:rsidP="006A4478">
            <w:pPr>
              <w:pStyle w:val="Tabletext1"/>
              <w:keepNext/>
              <w:rPr>
                <w:snapToGrid w:val="0"/>
              </w:rPr>
            </w:pPr>
            <w:r w:rsidRPr="007777B6">
              <w:rPr>
                <w:snapToGrid w:val="0"/>
              </w:rPr>
              <w:t>0.297</w:t>
            </w:r>
          </w:p>
        </w:tc>
        <w:tc>
          <w:tcPr>
            <w:tcW w:w="0" w:type="auto"/>
          </w:tcPr>
          <w:p w14:paraId="5F008896" w14:textId="77777777" w:rsidR="00742247" w:rsidRPr="007777B6" w:rsidRDefault="00742247" w:rsidP="006A4478">
            <w:pPr>
              <w:pStyle w:val="Tabletext1"/>
              <w:keepNext/>
              <w:rPr>
                <w:snapToGrid w:val="0"/>
              </w:rPr>
            </w:pPr>
            <w:r w:rsidRPr="007777B6">
              <w:rPr>
                <w:snapToGrid w:val="0"/>
              </w:rPr>
              <w:t>0.297</w:t>
            </w:r>
          </w:p>
        </w:tc>
        <w:tc>
          <w:tcPr>
            <w:tcW w:w="0" w:type="auto"/>
          </w:tcPr>
          <w:p w14:paraId="3284B969" w14:textId="77777777" w:rsidR="00742247" w:rsidRPr="007777B6" w:rsidRDefault="00742247" w:rsidP="006A4478">
            <w:pPr>
              <w:pStyle w:val="Tabletext1"/>
              <w:keepNext/>
              <w:rPr>
                <w:snapToGrid w:val="0"/>
              </w:rPr>
            </w:pPr>
            <w:r w:rsidRPr="007777B6">
              <w:rPr>
                <w:snapToGrid w:val="0"/>
              </w:rPr>
              <w:t>0.297</w:t>
            </w:r>
          </w:p>
        </w:tc>
        <w:tc>
          <w:tcPr>
            <w:tcW w:w="0" w:type="auto"/>
          </w:tcPr>
          <w:p w14:paraId="28C9BF99" w14:textId="77777777" w:rsidR="00742247" w:rsidRPr="007777B6" w:rsidRDefault="00742247" w:rsidP="006A4478">
            <w:pPr>
              <w:pStyle w:val="Tabletext1"/>
              <w:keepNext/>
              <w:rPr>
                <w:snapToGrid w:val="0"/>
              </w:rPr>
            </w:pPr>
            <w:r w:rsidRPr="007777B6">
              <w:rPr>
                <w:snapToGrid w:val="0"/>
              </w:rPr>
              <w:t>0.297</w:t>
            </w:r>
          </w:p>
        </w:tc>
        <w:tc>
          <w:tcPr>
            <w:tcW w:w="0" w:type="auto"/>
          </w:tcPr>
          <w:p w14:paraId="5EC80AE0" w14:textId="77777777" w:rsidR="00742247" w:rsidRPr="007777B6" w:rsidRDefault="00742247" w:rsidP="006A4478">
            <w:pPr>
              <w:pStyle w:val="Tabletext1"/>
              <w:keepNext/>
              <w:rPr>
                <w:snapToGrid w:val="0"/>
              </w:rPr>
            </w:pPr>
            <w:r w:rsidRPr="007777B6">
              <w:rPr>
                <w:snapToGrid w:val="0"/>
              </w:rPr>
              <w:t>0.297</w:t>
            </w:r>
          </w:p>
        </w:tc>
        <w:tc>
          <w:tcPr>
            <w:tcW w:w="0" w:type="auto"/>
          </w:tcPr>
          <w:p w14:paraId="3B56195A" w14:textId="77777777" w:rsidR="00742247" w:rsidRPr="007777B6" w:rsidRDefault="00742247" w:rsidP="006A4478">
            <w:pPr>
              <w:pStyle w:val="Tabletext1"/>
              <w:keepNext/>
              <w:rPr>
                <w:snapToGrid w:val="0"/>
              </w:rPr>
            </w:pPr>
            <w:r w:rsidRPr="007777B6">
              <w:rPr>
                <w:snapToGrid w:val="0"/>
              </w:rPr>
              <w:t>0.297</w:t>
            </w:r>
          </w:p>
        </w:tc>
      </w:tr>
      <w:tr w:rsidR="00742247" w14:paraId="24C77593" w14:textId="77777777" w:rsidTr="004768B3">
        <w:trPr>
          <w:trHeight w:val="397"/>
        </w:trPr>
        <w:tc>
          <w:tcPr>
            <w:tcW w:w="0" w:type="auto"/>
          </w:tcPr>
          <w:p w14:paraId="2BBE8A59" w14:textId="77777777" w:rsidR="00742247" w:rsidRPr="00EC6845" w:rsidRDefault="00742247" w:rsidP="006A4478">
            <w:pPr>
              <w:pStyle w:val="Tabletext1"/>
              <w:keepNext/>
              <w:rPr>
                <w:snapToGrid w:val="0"/>
              </w:rPr>
            </w:pPr>
            <w:r w:rsidRPr="00EC6845">
              <w:rPr>
                <w:snapToGrid w:val="0"/>
              </w:rPr>
              <w:t>Population 2</w:t>
            </w:r>
          </w:p>
        </w:tc>
        <w:tc>
          <w:tcPr>
            <w:tcW w:w="0" w:type="auto"/>
          </w:tcPr>
          <w:p w14:paraId="47CE3699" w14:textId="77777777" w:rsidR="00742247" w:rsidRPr="007777B6" w:rsidRDefault="00742247" w:rsidP="006A4478">
            <w:pPr>
              <w:pStyle w:val="Tabletext1"/>
              <w:keepNext/>
              <w:rPr>
                <w:snapToGrid w:val="0"/>
              </w:rPr>
            </w:pPr>
            <w:r w:rsidRPr="007777B6">
              <w:rPr>
                <w:snapToGrid w:val="0"/>
              </w:rPr>
              <w:t>0.250</w:t>
            </w:r>
          </w:p>
        </w:tc>
        <w:tc>
          <w:tcPr>
            <w:tcW w:w="0" w:type="auto"/>
          </w:tcPr>
          <w:p w14:paraId="4D11633F" w14:textId="77777777" w:rsidR="00742247" w:rsidRPr="007777B6" w:rsidRDefault="00742247" w:rsidP="006A4478">
            <w:pPr>
              <w:pStyle w:val="Tabletext1"/>
              <w:keepNext/>
              <w:rPr>
                <w:snapToGrid w:val="0"/>
              </w:rPr>
            </w:pPr>
            <w:r w:rsidRPr="007777B6">
              <w:rPr>
                <w:snapToGrid w:val="0"/>
              </w:rPr>
              <w:t>0.250</w:t>
            </w:r>
          </w:p>
        </w:tc>
        <w:tc>
          <w:tcPr>
            <w:tcW w:w="0" w:type="auto"/>
          </w:tcPr>
          <w:p w14:paraId="2F1955A8" w14:textId="77777777" w:rsidR="00742247" w:rsidRPr="007777B6" w:rsidRDefault="00742247" w:rsidP="006A4478">
            <w:pPr>
              <w:pStyle w:val="Tabletext1"/>
              <w:keepNext/>
              <w:rPr>
                <w:snapToGrid w:val="0"/>
              </w:rPr>
            </w:pPr>
            <w:r w:rsidRPr="007777B6">
              <w:rPr>
                <w:snapToGrid w:val="0"/>
              </w:rPr>
              <w:t>0.250</w:t>
            </w:r>
          </w:p>
        </w:tc>
        <w:tc>
          <w:tcPr>
            <w:tcW w:w="0" w:type="auto"/>
          </w:tcPr>
          <w:p w14:paraId="79F7EBD7" w14:textId="77777777" w:rsidR="00742247" w:rsidRPr="007777B6" w:rsidRDefault="00742247" w:rsidP="006A4478">
            <w:pPr>
              <w:pStyle w:val="Tabletext1"/>
              <w:keepNext/>
              <w:rPr>
                <w:snapToGrid w:val="0"/>
              </w:rPr>
            </w:pPr>
            <w:r w:rsidRPr="007777B6">
              <w:rPr>
                <w:snapToGrid w:val="0"/>
              </w:rPr>
              <w:t>0.250</w:t>
            </w:r>
          </w:p>
        </w:tc>
        <w:tc>
          <w:tcPr>
            <w:tcW w:w="0" w:type="auto"/>
          </w:tcPr>
          <w:p w14:paraId="371F80D5" w14:textId="77777777" w:rsidR="00742247" w:rsidRPr="007777B6" w:rsidRDefault="00742247" w:rsidP="006A4478">
            <w:pPr>
              <w:pStyle w:val="Tabletext1"/>
              <w:keepNext/>
              <w:rPr>
                <w:snapToGrid w:val="0"/>
              </w:rPr>
            </w:pPr>
            <w:r w:rsidRPr="007777B6">
              <w:rPr>
                <w:snapToGrid w:val="0"/>
              </w:rPr>
              <w:t>0.250</w:t>
            </w:r>
          </w:p>
        </w:tc>
        <w:tc>
          <w:tcPr>
            <w:tcW w:w="0" w:type="auto"/>
          </w:tcPr>
          <w:p w14:paraId="4E9E2A3E" w14:textId="77777777" w:rsidR="00742247" w:rsidRPr="007777B6" w:rsidRDefault="00742247" w:rsidP="006A4478">
            <w:pPr>
              <w:pStyle w:val="Tabletext1"/>
              <w:keepNext/>
              <w:rPr>
                <w:snapToGrid w:val="0"/>
              </w:rPr>
            </w:pPr>
            <w:r w:rsidRPr="007777B6">
              <w:rPr>
                <w:snapToGrid w:val="0"/>
              </w:rPr>
              <w:t>0.250</w:t>
            </w:r>
          </w:p>
        </w:tc>
      </w:tr>
      <w:tr w:rsidR="00742247" w:rsidRPr="004768B3" w14:paraId="0F2F8CB4" w14:textId="77777777" w:rsidTr="004768B3">
        <w:trPr>
          <w:trHeight w:val="397"/>
        </w:trPr>
        <w:tc>
          <w:tcPr>
            <w:tcW w:w="0" w:type="auto"/>
            <w:gridSpan w:val="7"/>
          </w:tcPr>
          <w:p w14:paraId="12F65535" w14:textId="77777777" w:rsidR="00742247" w:rsidRPr="004768B3" w:rsidRDefault="00742247" w:rsidP="006A4478">
            <w:pPr>
              <w:pStyle w:val="Tabletext1"/>
              <w:keepNext/>
              <w:rPr>
                <w:snapToGrid w:val="0"/>
              </w:rPr>
            </w:pPr>
            <w:r w:rsidRPr="004768B3">
              <w:rPr>
                <w:snapToGrid w:val="0"/>
              </w:rPr>
              <w:t>Number of biopsies avoided</w:t>
            </w:r>
          </w:p>
        </w:tc>
      </w:tr>
      <w:tr w:rsidR="00742247" w14:paraId="1086224E" w14:textId="77777777" w:rsidTr="004768B3">
        <w:trPr>
          <w:trHeight w:val="397"/>
        </w:trPr>
        <w:tc>
          <w:tcPr>
            <w:tcW w:w="0" w:type="auto"/>
          </w:tcPr>
          <w:p w14:paraId="2E357C94" w14:textId="77777777" w:rsidR="00742247" w:rsidRPr="00EC6845" w:rsidRDefault="00742247" w:rsidP="006A4478">
            <w:pPr>
              <w:pStyle w:val="Tabletext1"/>
              <w:keepNext/>
              <w:rPr>
                <w:snapToGrid w:val="0"/>
              </w:rPr>
            </w:pPr>
            <w:r w:rsidRPr="00EC6845">
              <w:rPr>
                <w:snapToGrid w:val="0"/>
              </w:rPr>
              <w:t>Population 1</w:t>
            </w:r>
          </w:p>
        </w:tc>
        <w:tc>
          <w:tcPr>
            <w:tcW w:w="0" w:type="auto"/>
          </w:tcPr>
          <w:p w14:paraId="54F91387" w14:textId="77777777" w:rsidR="00742247" w:rsidRPr="007777B6" w:rsidRDefault="00742247" w:rsidP="006A4478">
            <w:pPr>
              <w:pStyle w:val="Tabletext1"/>
              <w:keepNext/>
              <w:rPr>
                <w:snapToGrid w:val="0"/>
              </w:rPr>
            </w:pPr>
            <w:r w:rsidRPr="007777B6">
              <w:rPr>
                <w:snapToGrid w:val="0"/>
              </w:rPr>
              <w:t>3,943</w:t>
            </w:r>
          </w:p>
        </w:tc>
        <w:tc>
          <w:tcPr>
            <w:tcW w:w="0" w:type="auto"/>
          </w:tcPr>
          <w:p w14:paraId="726F131B" w14:textId="77777777" w:rsidR="00742247" w:rsidRPr="007777B6" w:rsidRDefault="00742247" w:rsidP="006A4478">
            <w:pPr>
              <w:pStyle w:val="Tabletext1"/>
              <w:keepNext/>
              <w:rPr>
                <w:snapToGrid w:val="0"/>
              </w:rPr>
            </w:pPr>
            <w:r w:rsidRPr="007777B6">
              <w:rPr>
                <w:snapToGrid w:val="0"/>
              </w:rPr>
              <w:t>3,943</w:t>
            </w:r>
          </w:p>
        </w:tc>
        <w:tc>
          <w:tcPr>
            <w:tcW w:w="0" w:type="auto"/>
          </w:tcPr>
          <w:p w14:paraId="2A3CF6AF" w14:textId="77777777" w:rsidR="00742247" w:rsidRPr="007777B6" w:rsidRDefault="00742247" w:rsidP="006A4478">
            <w:pPr>
              <w:pStyle w:val="Tabletext1"/>
              <w:keepNext/>
              <w:rPr>
                <w:snapToGrid w:val="0"/>
              </w:rPr>
            </w:pPr>
            <w:r w:rsidRPr="007777B6">
              <w:rPr>
                <w:snapToGrid w:val="0"/>
              </w:rPr>
              <w:t>3,943</w:t>
            </w:r>
          </w:p>
        </w:tc>
        <w:tc>
          <w:tcPr>
            <w:tcW w:w="0" w:type="auto"/>
          </w:tcPr>
          <w:p w14:paraId="7FD0656C" w14:textId="77777777" w:rsidR="00742247" w:rsidRPr="007777B6" w:rsidRDefault="00742247" w:rsidP="006A4478">
            <w:pPr>
              <w:pStyle w:val="Tabletext1"/>
              <w:keepNext/>
              <w:rPr>
                <w:snapToGrid w:val="0"/>
              </w:rPr>
            </w:pPr>
            <w:r w:rsidRPr="007777B6">
              <w:rPr>
                <w:snapToGrid w:val="0"/>
              </w:rPr>
              <w:t>3,943</w:t>
            </w:r>
          </w:p>
        </w:tc>
        <w:tc>
          <w:tcPr>
            <w:tcW w:w="0" w:type="auto"/>
          </w:tcPr>
          <w:p w14:paraId="78CFD5DE" w14:textId="77777777" w:rsidR="00742247" w:rsidRPr="007777B6" w:rsidRDefault="00742247" w:rsidP="006A4478">
            <w:pPr>
              <w:pStyle w:val="Tabletext1"/>
              <w:keepNext/>
              <w:rPr>
                <w:snapToGrid w:val="0"/>
              </w:rPr>
            </w:pPr>
            <w:r w:rsidRPr="007777B6">
              <w:rPr>
                <w:snapToGrid w:val="0"/>
              </w:rPr>
              <w:t>3,943</w:t>
            </w:r>
          </w:p>
        </w:tc>
        <w:tc>
          <w:tcPr>
            <w:tcW w:w="0" w:type="auto"/>
          </w:tcPr>
          <w:p w14:paraId="584CAC98" w14:textId="77777777" w:rsidR="00742247" w:rsidRPr="007777B6" w:rsidRDefault="00742247" w:rsidP="006A4478">
            <w:pPr>
              <w:pStyle w:val="Tabletext1"/>
              <w:keepNext/>
              <w:rPr>
                <w:snapToGrid w:val="0"/>
              </w:rPr>
            </w:pPr>
            <w:r w:rsidRPr="007777B6">
              <w:rPr>
                <w:snapToGrid w:val="0"/>
              </w:rPr>
              <w:t>19,715</w:t>
            </w:r>
          </w:p>
        </w:tc>
      </w:tr>
      <w:tr w:rsidR="00742247" w14:paraId="011859BB" w14:textId="77777777" w:rsidTr="004768B3">
        <w:trPr>
          <w:trHeight w:val="397"/>
        </w:trPr>
        <w:tc>
          <w:tcPr>
            <w:tcW w:w="0" w:type="auto"/>
          </w:tcPr>
          <w:p w14:paraId="04DED112" w14:textId="77777777" w:rsidR="00742247" w:rsidRPr="00EC6845" w:rsidRDefault="00742247" w:rsidP="006A4478">
            <w:pPr>
              <w:pStyle w:val="Tabletext1"/>
              <w:keepNext/>
              <w:rPr>
                <w:snapToGrid w:val="0"/>
              </w:rPr>
            </w:pPr>
            <w:r w:rsidRPr="00EC6845">
              <w:rPr>
                <w:snapToGrid w:val="0"/>
              </w:rPr>
              <w:t>Population 2</w:t>
            </w:r>
          </w:p>
        </w:tc>
        <w:tc>
          <w:tcPr>
            <w:tcW w:w="0" w:type="auto"/>
          </w:tcPr>
          <w:p w14:paraId="730764FF" w14:textId="77777777" w:rsidR="00742247" w:rsidRPr="007777B6" w:rsidRDefault="00742247" w:rsidP="006A4478">
            <w:pPr>
              <w:pStyle w:val="Tabletext1"/>
              <w:keepNext/>
              <w:rPr>
                <w:snapToGrid w:val="0"/>
              </w:rPr>
            </w:pPr>
            <w:r w:rsidRPr="007777B6">
              <w:rPr>
                <w:snapToGrid w:val="0"/>
              </w:rPr>
              <w:t>1,718</w:t>
            </w:r>
          </w:p>
        </w:tc>
        <w:tc>
          <w:tcPr>
            <w:tcW w:w="0" w:type="auto"/>
          </w:tcPr>
          <w:p w14:paraId="7DBA7315" w14:textId="77777777" w:rsidR="00742247" w:rsidRPr="007777B6" w:rsidRDefault="00742247" w:rsidP="006A4478">
            <w:pPr>
              <w:pStyle w:val="Tabletext1"/>
              <w:keepNext/>
              <w:rPr>
                <w:snapToGrid w:val="0"/>
              </w:rPr>
            </w:pPr>
            <w:r w:rsidRPr="007777B6">
              <w:rPr>
                <w:snapToGrid w:val="0"/>
              </w:rPr>
              <w:t>1,718</w:t>
            </w:r>
          </w:p>
        </w:tc>
        <w:tc>
          <w:tcPr>
            <w:tcW w:w="0" w:type="auto"/>
          </w:tcPr>
          <w:p w14:paraId="74DDF4C5" w14:textId="77777777" w:rsidR="00742247" w:rsidRPr="007777B6" w:rsidRDefault="00742247" w:rsidP="006A4478">
            <w:pPr>
              <w:pStyle w:val="Tabletext1"/>
              <w:keepNext/>
              <w:rPr>
                <w:snapToGrid w:val="0"/>
              </w:rPr>
            </w:pPr>
            <w:r w:rsidRPr="007777B6">
              <w:rPr>
                <w:snapToGrid w:val="0"/>
              </w:rPr>
              <w:t>1,718</w:t>
            </w:r>
          </w:p>
        </w:tc>
        <w:tc>
          <w:tcPr>
            <w:tcW w:w="0" w:type="auto"/>
          </w:tcPr>
          <w:p w14:paraId="02042B6C" w14:textId="77777777" w:rsidR="00742247" w:rsidRPr="007777B6" w:rsidRDefault="00742247" w:rsidP="006A4478">
            <w:pPr>
              <w:pStyle w:val="Tabletext1"/>
              <w:keepNext/>
              <w:rPr>
                <w:snapToGrid w:val="0"/>
              </w:rPr>
            </w:pPr>
            <w:r w:rsidRPr="007777B6">
              <w:rPr>
                <w:snapToGrid w:val="0"/>
              </w:rPr>
              <w:t>1,718</w:t>
            </w:r>
          </w:p>
        </w:tc>
        <w:tc>
          <w:tcPr>
            <w:tcW w:w="0" w:type="auto"/>
          </w:tcPr>
          <w:p w14:paraId="75027977" w14:textId="77777777" w:rsidR="00742247" w:rsidRPr="007777B6" w:rsidRDefault="00742247" w:rsidP="006A4478">
            <w:pPr>
              <w:pStyle w:val="Tabletext1"/>
              <w:keepNext/>
              <w:rPr>
                <w:snapToGrid w:val="0"/>
              </w:rPr>
            </w:pPr>
            <w:r w:rsidRPr="007777B6">
              <w:rPr>
                <w:snapToGrid w:val="0"/>
              </w:rPr>
              <w:t>1,718</w:t>
            </w:r>
          </w:p>
        </w:tc>
        <w:tc>
          <w:tcPr>
            <w:tcW w:w="0" w:type="auto"/>
          </w:tcPr>
          <w:p w14:paraId="7AFAC304" w14:textId="77777777" w:rsidR="00742247" w:rsidRPr="007777B6" w:rsidRDefault="00742247" w:rsidP="006A4478">
            <w:pPr>
              <w:pStyle w:val="Tabletext1"/>
              <w:keepNext/>
              <w:rPr>
                <w:snapToGrid w:val="0"/>
              </w:rPr>
            </w:pPr>
            <w:r w:rsidRPr="007777B6">
              <w:rPr>
                <w:snapToGrid w:val="0"/>
              </w:rPr>
              <w:t>8,591</w:t>
            </w:r>
          </w:p>
        </w:tc>
      </w:tr>
      <w:tr w:rsidR="00742247" w14:paraId="4261561C" w14:textId="77777777" w:rsidTr="004768B3">
        <w:trPr>
          <w:trHeight w:val="397"/>
        </w:trPr>
        <w:tc>
          <w:tcPr>
            <w:tcW w:w="0" w:type="auto"/>
            <w:gridSpan w:val="7"/>
            <w:tcBorders>
              <w:bottom w:val="single" w:sz="4" w:space="0" w:color="auto"/>
            </w:tcBorders>
          </w:tcPr>
          <w:p w14:paraId="1E37165B" w14:textId="77777777" w:rsidR="00742247" w:rsidRPr="00C1169F" w:rsidRDefault="00742247" w:rsidP="006A4478">
            <w:pPr>
              <w:pStyle w:val="Tabletext1"/>
              <w:keepNext/>
              <w:rPr>
                <w:snapToGrid w:val="0"/>
              </w:rPr>
            </w:pPr>
            <w:r w:rsidRPr="00C1169F">
              <w:rPr>
                <w:snapToGrid w:val="0"/>
              </w:rPr>
              <w:t>Savings due to TRUSGB/TPUSGB (biopsies) avoided</w:t>
            </w:r>
          </w:p>
        </w:tc>
      </w:tr>
      <w:tr w:rsidR="00742247" w14:paraId="4644F01D" w14:textId="77777777" w:rsidTr="004768B3">
        <w:trPr>
          <w:trHeight w:val="397"/>
        </w:trPr>
        <w:tc>
          <w:tcPr>
            <w:tcW w:w="0" w:type="auto"/>
            <w:tcBorders>
              <w:right w:val="nil"/>
            </w:tcBorders>
          </w:tcPr>
          <w:p w14:paraId="2B31463B" w14:textId="77777777" w:rsidR="00742247" w:rsidRPr="00C1169F" w:rsidRDefault="00742247" w:rsidP="006A4478">
            <w:pPr>
              <w:pStyle w:val="Tabletext1"/>
              <w:keepNext/>
              <w:rPr>
                <w:snapToGrid w:val="0"/>
              </w:rPr>
            </w:pPr>
            <w:r w:rsidRPr="00C1169F">
              <w:rPr>
                <w:snapToGrid w:val="0"/>
              </w:rPr>
              <w:t>Savings to the MBS</w:t>
            </w:r>
          </w:p>
        </w:tc>
        <w:tc>
          <w:tcPr>
            <w:tcW w:w="0" w:type="auto"/>
            <w:tcBorders>
              <w:left w:val="nil"/>
              <w:right w:val="nil"/>
            </w:tcBorders>
            <w:vAlign w:val="bottom"/>
          </w:tcPr>
          <w:p w14:paraId="1C5FFD55"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29866CB0"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2504685E"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35249C1D"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5885E6B1" w14:textId="77777777" w:rsidR="00742247" w:rsidRPr="0026387C" w:rsidRDefault="00742247" w:rsidP="006A4478">
            <w:pPr>
              <w:pStyle w:val="Tabletext1"/>
              <w:keepNext/>
              <w:rPr>
                <w:snapToGrid w:val="0"/>
              </w:rPr>
            </w:pPr>
          </w:p>
        </w:tc>
        <w:tc>
          <w:tcPr>
            <w:tcW w:w="0" w:type="auto"/>
            <w:tcBorders>
              <w:left w:val="nil"/>
            </w:tcBorders>
            <w:vAlign w:val="bottom"/>
          </w:tcPr>
          <w:p w14:paraId="23EFEC32" w14:textId="77777777" w:rsidR="00742247" w:rsidRPr="0026387C" w:rsidRDefault="00742247" w:rsidP="006A4478">
            <w:pPr>
              <w:pStyle w:val="Tabletext1"/>
              <w:keepNext/>
              <w:rPr>
                <w:snapToGrid w:val="0"/>
              </w:rPr>
            </w:pPr>
          </w:p>
        </w:tc>
      </w:tr>
      <w:tr w:rsidR="00742247" w14:paraId="542AA1C8" w14:textId="77777777" w:rsidTr="004768B3">
        <w:trPr>
          <w:trHeight w:val="397"/>
        </w:trPr>
        <w:tc>
          <w:tcPr>
            <w:tcW w:w="0" w:type="auto"/>
          </w:tcPr>
          <w:p w14:paraId="5DBC59FB" w14:textId="77777777" w:rsidR="00742247" w:rsidRDefault="00742247" w:rsidP="006A4478">
            <w:pPr>
              <w:pStyle w:val="Tabletext1"/>
              <w:keepNext/>
              <w:rPr>
                <w:snapToGrid w:val="0"/>
              </w:rPr>
            </w:pPr>
            <w:r w:rsidRPr="00EC6845">
              <w:rPr>
                <w:snapToGrid w:val="0"/>
              </w:rPr>
              <w:t>Population 1</w:t>
            </w:r>
          </w:p>
        </w:tc>
        <w:tc>
          <w:tcPr>
            <w:tcW w:w="0" w:type="auto"/>
          </w:tcPr>
          <w:p w14:paraId="1DD4DD09" w14:textId="77777777" w:rsidR="00742247" w:rsidRPr="0026387C" w:rsidRDefault="00742247" w:rsidP="006A4478">
            <w:pPr>
              <w:pStyle w:val="Tabletext1"/>
              <w:keepNext/>
              <w:rPr>
                <w:snapToGrid w:val="0"/>
              </w:rPr>
            </w:pPr>
            <w:r w:rsidRPr="00B9584E">
              <w:t>$1,950,021</w:t>
            </w:r>
          </w:p>
        </w:tc>
        <w:tc>
          <w:tcPr>
            <w:tcW w:w="0" w:type="auto"/>
          </w:tcPr>
          <w:p w14:paraId="0A305680" w14:textId="77777777" w:rsidR="00742247" w:rsidRPr="0026387C" w:rsidRDefault="00742247" w:rsidP="006A4478">
            <w:pPr>
              <w:pStyle w:val="Tabletext1"/>
              <w:keepNext/>
              <w:rPr>
                <w:snapToGrid w:val="0"/>
              </w:rPr>
            </w:pPr>
            <w:r w:rsidRPr="00B9584E">
              <w:t>$1,950,021</w:t>
            </w:r>
          </w:p>
        </w:tc>
        <w:tc>
          <w:tcPr>
            <w:tcW w:w="0" w:type="auto"/>
          </w:tcPr>
          <w:p w14:paraId="7B7310C3" w14:textId="77777777" w:rsidR="00742247" w:rsidRPr="0026387C" w:rsidRDefault="00742247" w:rsidP="006A4478">
            <w:pPr>
              <w:pStyle w:val="Tabletext1"/>
              <w:keepNext/>
              <w:rPr>
                <w:snapToGrid w:val="0"/>
              </w:rPr>
            </w:pPr>
            <w:r w:rsidRPr="00B9584E">
              <w:t>$1,950,021</w:t>
            </w:r>
          </w:p>
        </w:tc>
        <w:tc>
          <w:tcPr>
            <w:tcW w:w="0" w:type="auto"/>
          </w:tcPr>
          <w:p w14:paraId="085705C0" w14:textId="77777777" w:rsidR="00742247" w:rsidRPr="0026387C" w:rsidRDefault="00742247" w:rsidP="006A4478">
            <w:pPr>
              <w:pStyle w:val="Tabletext1"/>
              <w:keepNext/>
              <w:rPr>
                <w:snapToGrid w:val="0"/>
              </w:rPr>
            </w:pPr>
            <w:r w:rsidRPr="00B9584E">
              <w:t>$1,950,021</w:t>
            </w:r>
          </w:p>
        </w:tc>
        <w:tc>
          <w:tcPr>
            <w:tcW w:w="0" w:type="auto"/>
          </w:tcPr>
          <w:p w14:paraId="0D844270" w14:textId="77777777" w:rsidR="00742247" w:rsidRPr="0026387C" w:rsidRDefault="00742247" w:rsidP="006A4478">
            <w:pPr>
              <w:pStyle w:val="Tabletext1"/>
              <w:keepNext/>
              <w:rPr>
                <w:snapToGrid w:val="0"/>
              </w:rPr>
            </w:pPr>
            <w:r w:rsidRPr="00B9584E">
              <w:t>$1,950,021</w:t>
            </w:r>
          </w:p>
        </w:tc>
        <w:tc>
          <w:tcPr>
            <w:tcW w:w="0" w:type="auto"/>
          </w:tcPr>
          <w:p w14:paraId="25F57232" w14:textId="77777777" w:rsidR="00742247" w:rsidRPr="0026387C" w:rsidRDefault="00742247" w:rsidP="006A4478">
            <w:pPr>
              <w:pStyle w:val="Tabletext1"/>
              <w:keepNext/>
              <w:rPr>
                <w:snapToGrid w:val="0"/>
              </w:rPr>
            </w:pPr>
            <w:r w:rsidRPr="00B9584E">
              <w:t>$9,750,107</w:t>
            </w:r>
          </w:p>
        </w:tc>
      </w:tr>
      <w:tr w:rsidR="00742247" w14:paraId="1FC88BC6" w14:textId="77777777" w:rsidTr="004768B3">
        <w:trPr>
          <w:trHeight w:val="397"/>
        </w:trPr>
        <w:tc>
          <w:tcPr>
            <w:tcW w:w="0" w:type="auto"/>
          </w:tcPr>
          <w:p w14:paraId="028D69A6" w14:textId="77777777" w:rsidR="00742247" w:rsidRDefault="00742247" w:rsidP="006A4478">
            <w:pPr>
              <w:pStyle w:val="Tabletext1"/>
              <w:keepNext/>
              <w:rPr>
                <w:snapToGrid w:val="0"/>
              </w:rPr>
            </w:pPr>
            <w:r w:rsidRPr="00EC6845">
              <w:rPr>
                <w:snapToGrid w:val="0"/>
              </w:rPr>
              <w:t>Population 2</w:t>
            </w:r>
          </w:p>
        </w:tc>
        <w:tc>
          <w:tcPr>
            <w:tcW w:w="0" w:type="auto"/>
          </w:tcPr>
          <w:p w14:paraId="061ABFAD" w14:textId="77777777" w:rsidR="00742247" w:rsidRPr="0026387C" w:rsidRDefault="00742247" w:rsidP="006A4478">
            <w:pPr>
              <w:pStyle w:val="Tabletext1"/>
              <w:keepNext/>
              <w:rPr>
                <w:snapToGrid w:val="0"/>
              </w:rPr>
            </w:pPr>
            <w:r w:rsidRPr="00B9584E">
              <w:t>$849,771</w:t>
            </w:r>
          </w:p>
        </w:tc>
        <w:tc>
          <w:tcPr>
            <w:tcW w:w="0" w:type="auto"/>
          </w:tcPr>
          <w:p w14:paraId="4B38166F" w14:textId="77777777" w:rsidR="00742247" w:rsidRPr="0026387C" w:rsidRDefault="00742247" w:rsidP="006A4478">
            <w:pPr>
              <w:pStyle w:val="Tabletext1"/>
              <w:keepNext/>
              <w:rPr>
                <w:snapToGrid w:val="0"/>
              </w:rPr>
            </w:pPr>
            <w:r w:rsidRPr="00B9584E">
              <w:t>$849,771</w:t>
            </w:r>
          </w:p>
        </w:tc>
        <w:tc>
          <w:tcPr>
            <w:tcW w:w="0" w:type="auto"/>
          </w:tcPr>
          <w:p w14:paraId="41C16ED8" w14:textId="77777777" w:rsidR="00742247" w:rsidRPr="0026387C" w:rsidRDefault="00742247" w:rsidP="006A4478">
            <w:pPr>
              <w:pStyle w:val="Tabletext1"/>
              <w:keepNext/>
              <w:rPr>
                <w:snapToGrid w:val="0"/>
              </w:rPr>
            </w:pPr>
            <w:r w:rsidRPr="00B9584E">
              <w:t>$849,771</w:t>
            </w:r>
          </w:p>
        </w:tc>
        <w:tc>
          <w:tcPr>
            <w:tcW w:w="0" w:type="auto"/>
          </w:tcPr>
          <w:p w14:paraId="34C63474" w14:textId="77777777" w:rsidR="00742247" w:rsidRPr="0026387C" w:rsidRDefault="00742247" w:rsidP="006A4478">
            <w:pPr>
              <w:pStyle w:val="Tabletext1"/>
              <w:keepNext/>
              <w:rPr>
                <w:snapToGrid w:val="0"/>
              </w:rPr>
            </w:pPr>
            <w:r w:rsidRPr="00B9584E">
              <w:t>$849,771</w:t>
            </w:r>
          </w:p>
        </w:tc>
        <w:tc>
          <w:tcPr>
            <w:tcW w:w="0" w:type="auto"/>
          </w:tcPr>
          <w:p w14:paraId="32D713C4" w14:textId="77777777" w:rsidR="00742247" w:rsidRPr="0026387C" w:rsidRDefault="00742247" w:rsidP="006A4478">
            <w:pPr>
              <w:pStyle w:val="Tabletext1"/>
              <w:keepNext/>
              <w:rPr>
                <w:snapToGrid w:val="0"/>
              </w:rPr>
            </w:pPr>
            <w:r w:rsidRPr="00B9584E">
              <w:t>$849,771</w:t>
            </w:r>
          </w:p>
        </w:tc>
        <w:tc>
          <w:tcPr>
            <w:tcW w:w="0" w:type="auto"/>
          </w:tcPr>
          <w:p w14:paraId="001E26F1" w14:textId="77777777" w:rsidR="00742247" w:rsidRPr="0026387C" w:rsidRDefault="00742247" w:rsidP="006A4478">
            <w:pPr>
              <w:pStyle w:val="Tabletext1"/>
              <w:keepNext/>
              <w:rPr>
                <w:snapToGrid w:val="0"/>
              </w:rPr>
            </w:pPr>
            <w:r w:rsidRPr="00B9584E">
              <w:t>$4,248,856</w:t>
            </w:r>
          </w:p>
        </w:tc>
      </w:tr>
      <w:tr w:rsidR="00742247" w14:paraId="34C1F2CF" w14:textId="77777777" w:rsidTr="004768B3">
        <w:trPr>
          <w:trHeight w:val="397"/>
        </w:trPr>
        <w:tc>
          <w:tcPr>
            <w:tcW w:w="0" w:type="auto"/>
            <w:tcBorders>
              <w:bottom w:val="single" w:sz="4" w:space="0" w:color="auto"/>
            </w:tcBorders>
          </w:tcPr>
          <w:p w14:paraId="6BA6E273" w14:textId="77777777" w:rsidR="00742247" w:rsidRDefault="00742247" w:rsidP="006A4478">
            <w:pPr>
              <w:pStyle w:val="Tabletext1"/>
              <w:keepNext/>
              <w:rPr>
                <w:snapToGrid w:val="0"/>
              </w:rPr>
            </w:pPr>
            <w:r>
              <w:rPr>
                <w:snapToGrid w:val="0"/>
              </w:rPr>
              <w:t>Total</w:t>
            </w:r>
          </w:p>
        </w:tc>
        <w:tc>
          <w:tcPr>
            <w:tcW w:w="0" w:type="auto"/>
            <w:tcBorders>
              <w:bottom w:val="single" w:sz="4" w:space="0" w:color="auto"/>
            </w:tcBorders>
          </w:tcPr>
          <w:p w14:paraId="7C4A54DA" w14:textId="77777777" w:rsidR="00742247" w:rsidRPr="0026387C" w:rsidRDefault="00742247" w:rsidP="006A4478">
            <w:pPr>
              <w:pStyle w:val="Tabletext1"/>
              <w:keepNext/>
              <w:rPr>
                <w:snapToGrid w:val="0"/>
              </w:rPr>
            </w:pPr>
            <w:r w:rsidRPr="00B9584E">
              <w:t>$2,799,793</w:t>
            </w:r>
          </w:p>
        </w:tc>
        <w:tc>
          <w:tcPr>
            <w:tcW w:w="0" w:type="auto"/>
            <w:tcBorders>
              <w:bottom w:val="single" w:sz="4" w:space="0" w:color="auto"/>
            </w:tcBorders>
          </w:tcPr>
          <w:p w14:paraId="4AA631CC" w14:textId="77777777" w:rsidR="00742247" w:rsidRPr="0026387C" w:rsidRDefault="00742247" w:rsidP="006A4478">
            <w:pPr>
              <w:pStyle w:val="Tabletext1"/>
              <w:keepNext/>
              <w:rPr>
                <w:snapToGrid w:val="0"/>
              </w:rPr>
            </w:pPr>
            <w:r w:rsidRPr="00B9584E">
              <w:t>$2,799,793</w:t>
            </w:r>
          </w:p>
        </w:tc>
        <w:tc>
          <w:tcPr>
            <w:tcW w:w="0" w:type="auto"/>
            <w:tcBorders>
              <w:bottom w:val="single" w:sz="4" w:space="0" w:color="auto"/>
            </w:tcBorders>
          </w:tcPr>
          <w:p w14:paraId="64D129A9" w14:textId="77777777" w:rsidR="00742247" w:rsidRPr="0026387C" w:rsidRDefault="00742247" w:rsidP="006A4478">
            <w:pPr>
              <w:pStyle w:val="Tabletext1"/>
              <w:keepNext/>
              <w:rPr>
                <w:snapToGrid w:val="0"/>
              </w:rPr>
            </w:pPr>
            <w:r w:rsidRPr="00B9584E">
              <w:t>$2,799,793</w:t>
            </w:r>
          </w:p>
        </w:tc>
        <w:tc>
          <w:tcPr>
            <w:tcW w:w="0" w:type="auto"/>
            <w:tcBorders>
              <w:bottom w:val="single" w:sz="4" w:space="0" w:color="auto"/>
            </w:tcBorders>
          </w:tcPr>
          <w:p w14:paraId="47382E55" w14:textId="77777777" w:rsidR="00742247" w:rsidRPr="0026387C" w:rsidRDefault="00742247" w:rsidP="006A4478">
            <w:pPr>
              <w:pStyle w:val="Tabletext1"/>
              <w:keepNext/>
              <w:rPr>
                <w:snapToGrid w:val="0"/>
              </w:rPr>
            </w:pPr>
            <w:r w:rsidRPr="00B9584E">
              <w:t>$2,799,793</w:t>
            </w:r>
          </w:p>
        </w:tc>
        <w:tc>
          <w:tcPr>
            <w:tcW w:w="0" w:type="auto"/>
            <w:tcBorders>
              <w:bottom w:val="single" w:sz="4" w:space="0" w:color="auto"/>
            </w:tcBorders>
          </w:tcPr>
          <w:p w14:paraId="515648F9" w14:textId="77777777" w:rsidR="00742247" w:rsidRPr="0026387C" w:rsidRDefault="00742247" w:rsidP="006A4478">
            <w:pPr>
              <w:pStyle w:val="Tabletext1"/>
              <w:keepNext/>
              <w:rPr>
                <w:snapToGrid w:val="0"/>
              </w:rPr>
            </w:pPr>
            <w:r w:rsidRPr="00B9584E">
              <w:t>$2,799,793</w:t>
            </w:r>
          </w:p>
        </w:tc>
        <w:tc>
          <w:tcPr>
            <w:tcW w:w="0" w:type="auto"/>
            <w:tcBorders>
              <w:bottom w:val="single" w:sz="4" w:space="0" w:color="auto"/>
            </w:tcBorders>
          </w:tcPr>
          <w:p w14:paraId="763A46FB" w14:textId="77777777" w:rsidR="00742247" w:rsidRPr="0026387C" w:rsidRDefault="00742247" w:rsidP="006A4478">
            <w:pPr>
              <w:pStyle w:val="Tabletext1"/>
              <w:keepNext/>
              <w:rPr>
                <w:snapToGrid w:val="0"/>
              </w:rPr>
            </w:pPr>
            <w:r w:rsidRPr="00B9584E">
              <w:t>$13,998,964</w:t>
            </w:r>
          </w:p>
        </w:tc>
      </w:tr>
      <w:tr w:rsidR="00742247" w14:paraId="5C23B4EB" w14:textId="77777777" w:rsidTr="004768B3">
        <w:trPr>
          <w:trHeight w:val="397"/>
        </w:trPr>
        <w:tc>
          <w:tcPr>
            <w:tcW w:w="0" w:type="auto"/>
            <w:tcBorders>
              <w:right w:val="nil"/>
            </w:tcBorders>
          </w:tcPr>
          <w:p w14:paraId="0F8CD122" w14:textId="77777777" w:rsidR="00742247" w:rsidRPr="00C1169F" w:rsidRDefault="00742247" w:rsidP="006A4478">
            <w:pPr>
              <w:pStyle w:val="Tabletext1"/>
              <w:keepNext/>
              <w:rPr>
                <w:snapToGrid w:val="0"/>
              </w:rPr>
            </w:pPr>
            <w:r w:rsidRPr="00C1169F">
              <w:rPr>
                <w:snapToGrid w:val="0"/>
              </w:rPr>
              <w:t xml:space="preserve">Savings to patients (co-payment) </w:t>
            </w:r>
          </w:p>
        </w:tc>
        <w:tc>
          <w:tcPr>
            <w:tcW w:w="0" w:type="auto"/>
            <w:tcBorders>
              <w:left w:val="nil"/>
              <w:right w:val="nil"/>
            </w:tcBorders>
            <w:vAlign w:val="bottom"/>
          </w:tcPr>
          <w:p w14:paraId="283FC857"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31F573EB"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306CCEB2"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594251B6"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6045A528" w14:textId="77777777" w:rsidR="00742247" w:rsidRPr="0026387C" w:rsidRDefault="00742247" w:rsidP="006A4478">
            <w:pPr>
              <w:pStyle w:val="Tabletext1"/>
              <w:keepNext/>
              <w:rPr>
                <w:snapToGrid w:val="0"/>
              </w:rPr>
            </w:pPr>
          </w:p>
        </w:tc>
        <w:tc>
          <w:tcPr>
            <w:tcW w:w="0" w:type="auto"/>
            <w:tcBorders>
              <w:left w:val="nil"/>
            </w:tcBorders>
            <w:vAlign w:val="bottom"/>
          </w:tcPr>
          <w:p w14:paraId="6ADDDAE7" w14:textId="77777777" w:rsidR="00742247" w:rsidRPr="0026387C" w:rsidRDefault="00742247" w:rsidP="006A4478">
            <w:pPr>
              <w:pStyle w:val="Tabletext1"/>
              <w:keepNext/>
              <w:rPr>
                <w:snapToGrid w:val="0"/>
              </w:rPr>
            </w:pPr>
          </w:p>
        </w:tc>
      </w:tr>
      <w:tr w:rsidR="00742247" w14:paraId="2837F74F" w14:textId="77777777" w:rsidTr="004768B3">
        <w:trPr>
          <w:trHeight w:val="397"/>
        </w:trPr>
        <w:tc>
          <w:tcPr>
            <w:tcW w:w="0" w:type="auto"/>
          </w:tcPr>
          <w:p w14:paraId="60E095E1" w14:textId="77777777" w:rsidR="00742247" w:rsidRDefault="00742247" w:rsidP="006A4478">
            <w:pPr>
              <w:pStyle w:val="Tabletext1"/>
              <w:keepNext/>
              <w:rPr>
                <w:snapToGrid w:val="0"/>
              </w:rPr>
            </w:pPr>
            <w:r w:rsidRPr="00EC6845">
              <w:rPr>
                <w:snapToGrid w:val="0"/>
              </w:rPr>
              <w:t>Population 1</w:t>
            </w:r>
          </w:p>
        </w:tc>
        <w:tc>
          <w:tcPr>
            <w:tcW w:w="0" w:type="auto"/>
          </w:tcPr>
          <w:p w14:paraId="22E2B1E8" w14:textId="77777777" w:rsidR="00742247" w:rsidRPr="0026387C" w:rsidRDefault="00742247" w:rsidP="006A4478">
            <w:pPr>
              <w:pStyle w:val="Tabletext1"/>
              <w:keepNext/>
              <w:rPr>
                <w:snapToGrid w:val="0"/>
              </w:rPr>
            </w:pPr>
            <w:r w:rsidRPr="00D15437">
              <w:t>$1,339,694</w:t>
            </w:r>
          </w:p>
        </w:tc>
        <w:tc>
          <w:tcPr>
            <w:tcW w:w="0" w:type="auto"/>
          </w:tcPr>
          <w:p w14:paraId="6DCFCA99" w14:textId="77777777" w:rsidR="00742247" w:rsidRPr="0026387C" w:rsidRDefault="00742247" w:rsidP="006A4478">
            <w:pPr>
              <w:pStyle w:val="Tabletext1"/>
              <w:keepNext/>
              <w:rPr>
                <w:snapToGrid w:val="0"/>
              </w:rPr>
            </w:pPr>
            <w:r w:rsidRPr="00D15437">
              <w:t>$1,339,694</w:t>
            </w:r>
          </w:p>
        </w:tc>
        <w:tc>
          <w:tcPr>
            <w:tcW w:w="0" w:type="auto"/>
          </w:tcPr>
          <w:p w14:paraId="579C4E0F" w14:textId="77777777" w:rsidR="00742247" w:rsidRPr="0026387C" w:rsidRDefault="00742247" w:rsidP="006A4478">
            <w:pPr>
              <w:pStyle w:val="Tabletext1"/>
              <w:keepNext/>
              <w:rPr>
                <w:snapToGrid w:val="0"/>
              </w:rPr>
            </w:pPr>
            <w:r w:rsidRPr="00D15437">
              <w:t>$1,339,694</w:t>
            </w:r>
          </w:p>
        </w:tc>
        <w:tc>
          <w:tcPr>
            <w:tcW w:w="0" w:type="auto"/>
          </w:tcPr>
          <w:p w14:paraId="226B86AB" w14:textId="77777777" w:rsidR="00742247" w:rsidRPr="0026387C" w:rsidRDefault="00742247" w:rsidP="006A4478">
            <w:pPr>
              <w:pStyle w:val="Tabletext1"/>
              <w:keepNext/>
              <w:rPr>
                <w:snapToGrid w:val="0"/>
              </w:rPr>
            </w:pPr>
            <w:r w:rsidRPr="00D15437">
              <w:t>$1,339,694</w:t>
            </w:r>
          </w:p>
        </w:tc>
        <w:tc>
          <w:tcPr>
            <w:tcW w:w="0" w:type="auto"/>
          </w:tcPr>
          <w:p w14:paraId="121A1335" w14:textId="77777777" w:rsidR="00742247" w:rsidRPr="0026387C" w:rsidRDefault="00742247" w:rsidP="006A4478">
            <w:pPr>
              <w:pStyle w:val="Tabletext1"/>
              <w:keepNext/>
              <w:rPr>
                <w:snapToGrid w:val="0"/>
              </w:rPr>
            </w:pPr>
            <w:r w:rsidRPr="00D15437">
              <w:t>$1,339,694</w:t>
            </w:r>
          </w:p>
        </w:tc>
        <w:tc>
          <w:tcPr>
            <w:tcW w:w="0" w:type="auto"/>
          </w:tcPr>
          <w:p w14:paraId="0D5F9DDE" w14:textId="77777777" w:rsidR="00742247" w:rsidRPr="0026387C" w:rsidRDefault="00742247" w:rsidP="006A4478">
            <w:pPr>
              <w:pStyle w:val="Tabletext1"/>
              <w:keepNext/>
              <w:rPr>
                <w:snapToGrid w:val="0"/>
              </w:rPr>
            </w:pPr>
            <w:r w:rsidRPr="00D15437">
              <w:t>$6,698,468</w:t>
            </w:r>
          </w:p>
        </w:tc>
      </w:tr>
      <w:tr w:rsidR="00742247" w14:paraId="46CCE209" w14:textId="77777777" w:rsidTr="004768B3">
        <w:trPr>
          <w:trHeight w:val="397"/>
        </w:trPr>
        <w:tc>
          <w:tcPr>
            <w:tcW w:w="0" w:type="auto"/>
          </w:tcPr>
          <w:p w14:paraId="06176B3E" w14:textId="77777777" w:rsidR="00742247" w:rsidRDefault="00742247" w:rsidP="006A4478">
            <w:pPr>
              <w:pStyle w:val="Tabletext1"/>
              <w:keepNext/>
              <w:rPr>
                <w:snapToGrid w:val="0"/>
              </w:rPr>
            </w:pPr>
            <w:r w:rsidRPr="00EC6845">
              <w:rPr>
                <w:snapToGrid w:val="0"/>
              </w:rPr>
              <w:t>Population 2</w:t>
            </w:r>
          </w:p>
        </w:tc>
        <w:tc>
          <w:tcPr>
            <w:tcW w:w="0" w:type="auto"/>
          </w:tcPr>
          <w:p w14:paraId="4B79DF52" w14:textId="77777777" w:rsidR="00742247" w:rsidRPr="0026387C" w:rsidRDefault="00742247" w:rsidP="006A4478">
            <w:pPr>
              <w:pStyle w:val="Tabletext1"/>
              <w:keepNext/>
              <w:rPr>
                <w:snapToGrid w:val="0"/>
              </w:rPr>
            </w:pPr>
            <w:r w:rsidRPr="00D15437">
              <w:t>$583,805</w:t>
            </w:r>
          </w:p>
        </w:tc>
        <w:tc>
          <w:tcPr>
            <w:tcW w:w="0" w:type="auto"/>
          </w:tcPr>
          <w:p w14:paraId="1D7936AA" w14:textId="77777777" w:rsidR="00742247" w:rsidRPr="0026387C" w:rsidRDefault="00742247" w:rsidP="006A4478">
            <w:pPr>
              <w:pStyle w:val="Tabletext1"/>
              <w:keepNext/>
              <w:rPr>
                <w:snapToGrid w:val="0"/>
              </w:rPr>
            </w:pPr>
            <w:r w:rsidRPr="00D15437">
              <w:t>$583,805</w:t>
            </w:r>
          </w:p>
        </w:tc>
        <w:tc>
          <w:tcPr>
            <w:tcW w:w="0" w:type="auto"/>
          </w:tcPr>
          <w:p w14:paraId="4E32E47C" w14:textId="77777777" w:rsidR="00742247" w:rsidRPr="0026387C" w:rsidRDefault="00742247" w:rsidP="006A4478">
            <w:pPr>
              <w:pStyle w:val="Tabletext1"/>
              <w:keepNext/>
              <w:rPr>
                <w:snapToGrid w:val="0"/>
              </w:rPr>
            </w:pPr>
            <w:r w:rsidRPr="00D15437">
              <w:t>$583,805</w:t>
            </w:r>
          </w:p>
        </w:tc>
        <w:tc>
          <w:tcPr>
            <w:tcW w:w="0" w:type="auto"/>
          </w:tcPr>
          <w:p w14:paraId="117442E4" w14:textId="77777777" w:rsidR="00742247" w:rsidRPr="0026387C" w:rsidRDefault="00742247" w:rsidP="006A4478">
            <w:pPr>
              <w:pStyle w:val="Tabletext1"/>
              <w:keepNext/>
              <w:rPr>
                <w:snapToGrid w:val="0"/>
              </w:rPr>
            </w:pPr>
            <w:r w:rsidRPr="00D15437">
              <w:t>$583,805</w:t>
            </w:r>
          </w:p>
        </w:tc>
        <w:tc>
          <w:tcPr>
            <w:tcW w:w="0" w:type="auto"/>
          </w:tcPr>
          <w:p w14:paraId="3436D023" w14:textId="77777777" w:rsidR="00742247" w:rsidRPr="0026387C" w:rsidRDefault="00742247" w:rsidP="006A4478">
            <w:pPr>
              <w:pStyle w:val="Tabletext1"/>
              <w:keepNext/>
              <w:rPr>
                <w:snapToGrid w:val="0"/>
              </w:rPr>
            </w:pPr>
            <w:r w:rsidRPr="00D15437">
              <w:t>$583,805</w:t>
            </w:r>
          </w:p>
        </w:tc>
        <w:tc>
          <w:tcPr>
            <w:tcW w:w="0" w:type="auto"/>
          </w:tcPr>
          <w:p w14:paraId="35DBA81B" w14:textId="77777777" w:rsidR="00742247" w:rsidRPr="0026387C" w:rsidRDefault="00742247" w:rsidP="006A4478">
            <w:pPr>
              <w:pStyle w:val="Tabletext1"/>
              <w:keepNext/>
              <w:rPr>
                <w:snapToGrid w:val="0"/>
              </w:rPr>
            </w:pPr>
            <w:r w:rsidRPr="00D15437">
              <w:t>$2,919,027</w:t>
            </w:r>
          </w:p>
        </w:tc>
      </w:tr>
      <w:tr w:rsidR="00742247" w14:paraId="3D69B7FB" w14:textId="77777777" w:rsidTr="004768B3">
        <w:trPr>
          <w:trHeight w:val="397"/>
        </w:trPr>
        <w:tc>
          <w:tcPr>
            <w:tcW w:w="0" w:type="auto"/>
            <w:tcBorders>
              <w:bottom w:val="single" w:sz="4" w:space="0" w:color="auto"/>
            </w:tcBorders>
          </w:tcPr>
          <w:p w14:paraId="3D083F06" w14:textId="77777777" w:rsidR="00742247" w:rsidRDefault="00742247" w:rsidP="006A4478">
            <w:pPr>
              <w:pStyle w:val="Tabletext1"/>
              <w:keepNext/>
              <w:rPr>
                <w:snapToGrid w:val="0"/>
              </w:rPr>
            </w:pPr>
            <w:r>
              <w:rPr>
                <w:snapToGrid w:val="0"/>
              </w:rPr>
              <w:t>Total</w:t>
            </w:r>
          </w:p>
        </w:tc>
        <w:tc>
          <w:tcPr>
            <w:tcW w:w="0" w:type="auto"/>
            <w:tcBorders>
              <w:bottom w:val="single" w:sz="4" w:space="0" w:color="auto"/>
            </w:tcBorders>
          </w:tcPr>
          <w:p w14:paraId="00669529" w14:textId="77777777" w:rsidR="00742247" w:rsidRPr="0026387C" w:rsidRDefault="00742247" w:rsidP="006A4478">
            <w:pPr>
              <w:pStyle w:val="Tabletext1"/>
              <w:keepNext/>
              <w:rPr>
                <w:snapToGrid w:val="0"/>
              </w:rPr>
            </w:pPr>
            <w:r w:rsidRPr="00D15437">
              <w:t>$1,923,499</w:t>
            </w:r>
          </w:p>
        </w:tc>
        <w:tc>
          <w:tcPr>
            <w:tcW w:w="0" w:type="auto"/>
            <w:tcBorders>
              <w:bottom w:val="single" w:sz="4" w:space="0" w:color="auto"/>
            </w:tcBorders>
          </w:tcPr>
          <w:p w14:paraId="7A750069" w14:textId="77777777" w:rsidR="00742247" w:rsidRPr="0026387C" w:rsidRDefault="00742247" w:rsidP="006A4478">
            <w:pPr>
              <w:pStyle w:val="Tabletext1"/>
              <w:keepNext/>
              <w:rPr>
                <w:snapToGrid w:val="0"/>
              </w:rPr>
            </w:pPr>
            <w:r w:rsidRPr="00D15437">
              <w:t>$1,923,499</w:t>
            </w:r>
          </w:p>
        </w:tc>
        <w:tc>
          <w:tcPr>
            <w:tcW w:w="0" w:type="auto"/>
            <w:tcBorders>
              <w:bottom w:val="single" w:sz="4" w:space="0" w:color="auto"/>
            </w:tcBorders>
          </w:tcPr>
          <w:p w14:paraId="759DB707" w14:textId="77777777" w:rsidR="00742247" w:rsidRPr="0026387C" w:rsidRDefault="00742247" w:rsidP="006A4478">
            <w:pPr>
              <w:pStyle w:val="Tabletext1"/>
              <w:keepNext/>
              <w:rPr>
                <w:snapToGrid w:val="0"/>
              </w:rPr>
            </w:pPr>
            <w:r w:rsidRPr="00D15437">
              <w:t>$1,923,499</w:t>
            </w:r>
          </w:p>
        </w:tc>
        <w:tc>
          <w:tcPr>
            <w:tcW w:w="0" w:type="auto"/>
            <w:tcBorders>
              <w:bottom w:val="single" w:sz="4" w:space="0" w:color="auto"/>
            </w:tcBorders>
          </w:tcPr>
          <w:p w14:paraId="3E836B93" w14:textId="77777777" w:rsidR="00742247" w:rsidRPr="0026387C" w:rsidRDefault="00742247" w:rsidP="006A4478">
            <w:pPr>
              <w:pStyle w:val="Tabletext1"/>
              <w:keepNext/>
              <w:rPr>
                <w:snapToGrid w:val="0"/>
              </w:rPr>
            </w:pPr>
            <w:r w:rsidRPr="00D15437">
              <w:t>$1,923,499</w:t>
            </w:r>
          </w:p>
        </w:tc>
        <w:tc>
          <w:tcPr>
            <w:tcW w:w="0" w:type="auto"/>
            <w:tcBorders>
              <w:bottom w:val="single" w:sz="4" w:space="0" w:color="auto"/>
            </w:tcBorders>
          </w:tcPr>
          <w:p w14:paraId="52C2ACC2" w14:textId="77777777" w:rsidR="00742247" w:rsidRPr="0026387C" w:rsidRDefault="00742247" w:rsidP="006A4478">
            <w:pPr>
              <w:pStyle w:val="Tabletext1"/>
              <w:keepNext/>
              <w:rPr>
                <w:snapToGrid w:val="0"/>
              </w:rPr>
            </w:pPr>
            <w:r w:rsidRPr="00D15437">
              <w:t>$1,923,499</w:t>
            </w:r>
          </w:p>
        </w:tc>
        <w:tc>
          <w:tcPr>
            <w:tcW w:w="0" w:type="auto"/>
            <w:tcBorders>
              <w:bottom w:val="single" w:sz="4" w:space="0" w:color="auto"/>
            </w:tcBorders>
          </w:tcPr>
          <w:p w14:paraId="116A7DD3" w14:textId="77777777" w:rsidR="00742247" w:rsidRPr="0026387C" w:rsidRDefault="00742247" w:rsidP="006A4478">
            <w:pPr>
              <w:pStyle w:val="Tabletext1"/>
              <w:keepNext/>
              <w:rPr>
                <w:snapToGrid w:val="0"/>
              </w:rPr>
            </w:pPr>
            <w:r w:rsidRPr="00D15437">
              <w:t>$9,617,495</w:t>
            </w:r>
          </w:p>
        </w:tc>
      </w:tr>
      <w:tr w:rsidR="00742247" w:rsidRPr="005754F7" w14:paraId="51A898AB" w14:textId="77777777" w:rsidTr="004768B3">
        <w:trPr>
          <w:trHeight w:val="397"/>
        </w:trPr>
        <w:tc>
          <w:tcPr>
            <w:tcW w:w="0" w:type="auto"/>
            <w:tcBorders>
              <w:right w:val="nil"/>
            </w:tcBorders>
          </w:tcPr>
          <w:p w14:paraId="1BC3F818" w14:textId="77777777" w:rsidR="00742247" w:rsidRPr="00C1169F" w:rsidRDefault="00742247" w:rsidP="006A4478">
            <w:pPr>
              <w:pStyle w:val="Tabletext1"/>
              <w:keepNext/>
              <w:rPr>
                <w:snapToGrid w:val="0"/>
              </w:rPr>
            </w:pPr>
            <w:r w:rsidRPr="00C1169F">
              <w:rPr>
                <w:snapToGrid w:val="0"/>
              </w:rPr>
              <w:t xml:space="preserve">Total </w:t>
            </w:r>
            <w:r>
              <w:rPr>
                <w:snapToGrid w:val="0"/>
              </w:rPr>
              <w:t>savings (MBS and patients)</w:t>
            </w:r>
          </w:p>
        </w:tc>
        <w:tc>
          <w:tcPr>
            <w:tcW w:w="0" w:type="auto"/>
            <w:tcBorders>
              <w:left w:val="nil"/>
              <w:right w:val="nil"/>
            </w:tcBorders>
            <w:vAlign w:val="bottom"/>
          </w:tcPr>
          <w:p w14:paraId="48117760"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611D82BA"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442D0624"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0E51747D" w14:textId="77777777" w:rsidR="00742247" w:rsidRPr="0026387C" w:rsidRDefault="00742247" w:rsidP="006A4478">
            <w:pPr>
              <w:pStyle w:val="Tabletext1"/>
              <w:keepNext/>
              <w:rPr>
                <w:snapToGrid w:val="0"/>
              </w:rPr>
            </w:pPr>
          </w:p>
        </w:tc>
        <w:tc>
          <w:tcPr>
            <w:tcW w:w="0" w:type="auto"/>
            <w:tcBorders>
              <w:left w:val="nil"/>
              <w:right w:val="nil"/>
            </w:tcBorders>
            <w:vAlign w:val="bottom"/>
          </w:tcPr>
          <w:p w14:paraId="65EE97FB" w14:textId="77777777" w:rsidR="00742247" w:rsidRPr="0026387C" w:rsidRDefault="00742247" w:rsidP="006A4478">
            <w:pPr>
              <w:pStyle w:val="Tabletext1"/>
              <w:keepNext/>
              <w:rPr>
                <w:snapToGrid w:val="0"/>
              </w:rPr>
            </w:pPr>
          </w:p>
        </w:tc>
        <w:tc>
          <w:tcPr>
            <w:tcW w:w="0" w:type="auto"/>
            <w:tcBorders>
              <w:left w:val="nil"/>
            </w:tcBorders>
            <w:vAlign w:val="bottom"/>
          </w:tcPr>
          <w:p w14:paraId="0D495759" w14:textId="77777777" w:rsidR="00742247" w:rsidRPr="0026387C" w:rsidRDefault="00742247" w:rsidP="006A4478">
            <w:pPr>
              <w:pStyle w:val="Tabletext1"/>
              <w:keepNext/>
              <w:rPr>
                <w:snapToGrid w:val="0"/>
              </w:rPr>
            </w:pPr>
          </w:p>
        </w:tc>
      </w:tr>
      <w:tr w:rsidR="00742247" w:rsidRPr="005754F7" w14:paraId="0656A75D" w14:textId="77777777" w:rsidTr="004768B3">
        <w:trPr>
          <w:trHeight w:val="397"/>
        </w:trPr>
        <w:tc>
          <w:tcPr>
            <w:tcW w:w="0" w:type="auto"/>
          </w:tcPr>
          <w:p w14:paraId="4BF5BFD2" w14:textId="77777777" w:rsidR="00742247" w:rsidRPr="00EC6845" w:rsidRDefault="00742247" w:rsidP="006A4478">
            <w:pPr>
              <w:pStyle w:val="Tabletext1"/>
              <w:keepNext/>
              <w:rPr>
                <w:snapToGrid w:val="0"/>
              </w:rPr>
            </w:pPr>
            <w:r w:rsidRPr="00EC6845">
              <w:rPr>
                <w:snapToGrid w:val="0"/>
              </w:rPr>
              <w:t>Population 1</w:t>
            </w:r>
          </w:p>
        </w:tc>
        <w:tc>
          <w:tcPr>
            <w:tcW w:w="0" w:type="auto"/>
          </w:tcPr>
          <w:p w14:paraId="2DCCC41D" w14:textId="77777777" w:rsidR="00742247" w:rsidRPr="0026387C" w:rsidRDefault="00742247" w:rsidP="006A4478">
            <w:pPr>
              <w:pStyle w:val="Tabletext1"/>
              <w:keepNext/>
              <w:rPr>
                <w:snapToGrid w:val="0"/>
              </w:rPr>
            </w:pPr>
            <w:r w:rsidRPr="00C70FF5">
              <w:t>$3,289,715</w:t>
            </w:r>
          </w:p>
        </w:tc>
        <w:tc>
          <w:tcPr>
            <w:tcW w:w="0" w:type="auto"/>
          </w:tcPr>
          <w:p w14:paraId="238C6ACC" w14:textId="77777777" w:rsidR="00742247" w:rsidRPr="0026387C" w:rsidRDefault="00742247" w:rsidP="006A4478">
            <w:pPr>
              <w:pStyle w:val="Tabletext1"/>
              <w:keepNext/>
              <w:rPr>
                <w:snapToGrid w:val="0"/>
              </w:rPr>
            </w:pPr>
            <w:r w:rsidRPr="00C70FF5">
              <w:t>$3,289,715</w:t>
            </w:r>
          </w:p>
        </w:tc>
        <w:tc>
          <w:tcPr>
            <w:tcW w:w="0" w:type="auto"/>
          </w:tcPr>
          <w:p w14:paraId="5CE9DAEA" w14:textId="77777777" w:rsidR="00742247" w:rsidRPr="0026387C" w:rsidRDefault="00742247" w:rsidP="006A4478">
            <w:pPr>
              <w:pStyle w:val="Tabletext1"/>
              <w:keepNext/>
              <w:rPr>
                <w:snapToGrid w:val="0"/>
              </w:rPr>
            </w:pPr>
            <w:r w:rsidRPr="00C70FF5">
              <w:t>$3,289,715</w:t>
            </w:r>
          </w:p>
        </w:tc>
        <w:tc>
          <w:tcPr>
            <w:tcW w:w="0" w:type="auto"/>
          </w:tcPr>
          <w:p w14:paraId="128035CD" w14:textId="77777777" w:rsidR="00742247" w:rsidRPr="0026387C" w:rsidRDefault="00742247" w:rsidP="006A4478">
            <w:pPr>
              <w:pStyle w:val="Tabletext1"/>
              <w:keepNext/>
              <w:rPr>
                <w:snapToGrid w:val="0"/>
              </w:rPr>
            </w:pPr>
            <w:r w:rsidRPr="00C70FF5">
              <w:t>$3,289,715</w:t>
            </w:r>
          </w:p>
        </w:tc>
        <w:tc>
          <w:tcPr>
            <w:tcW w:w="0" w:type="auto"/>
          </w:tcPr>
          <w:p w14:paraId="5B9CB770" w14:textId="77777777" w:rsidR="00742247" w:rsidRPr="0026387C" w:rsidRDefault="00742247" w:rsidP="006A4478">
            <w:pPr>
              <w:pStyle w:val="Tabletext1"/>
              <w:keepNext/>
              <w:rPr>
                <w:snapToGrid w:val="0"/>
              </w:rPr>
            </w:pPr>
            <w:r w:rsidRPr="00C70FF5">
              <w:t>$3,289,715</w:t>
            </w:r>
          </w:p>
        </w:tc>
        <w:tc>
          <w:tcPr>
            <w:tcW w:w="0" w:type="auto"/>
          </w:tcPr>
          <w:p w14:paraId="263625D8" w14:textId="77777777" w:rsidR="00742247" w:rsidRPr="0026387C" w:rsidRDefault="00742247" w:rsidP="006A4478">
            <w:pPr>
              <w:pStyle w:val="Tabletext1"/>
              <w:keepNext/>
              <w:rPr>
                <w:snapToGrid w:val="0"/>
              </w:rPr>
            </w:pPr>
            <w:r w:rsidRPr="00C70FF5">
              <w:t>$16,448,575</w:t>
            </w:r>
          </w:p>
        </w:tc>
      </w:tr>
      <w:tr w:rsidR="00742247" w:rsidRPr="005754F7" w14:paraId="7D6D905C" w14:textId="77777777" w:rsidTr="004768B3">
        <w:trPr>
          <w:trHeight w:val="397"/>
        </w:trPr>
        <w:tc>
          <w:tcPr>
            <w:tcW w:w="0" w:type="auto"/>
          </w:tcPr>
          <w:p w14:paraId="455F50BC" w14:textId="77777777" w:rsidR="00742247" w:rsidRPr="00EC6845" w:rsidRDefault="00742247" w:rsidP="006A4478">
            <w:pPr>
              <w:pStyle w:val="Tabletext1"/>
              <w:keepNext/>
              <w:rPr>
                <w:snapToGrid w:val="0"/>
              </w:rPr>
            </w:pPr>
            <w:r w:rsidRPr="00EC6845">
              <w:rPr>
                <w:snapToGrid w:val="0"/>
              </w:rPr>
              <w:t>Population 2</w:t>
            </w:r>
          </w:p>
        </w:tc>
        <w:tc>
          <w:tcPr>
            <w:tcW w:w="0" w:type="auto"/>
          </w:tcPr>
          <w:p w14:paraId="74A90DBE" w14:textId="77777777" w:rsidR="00742247" w:rsidRPr="0026387C" w:rsidRDefault="00742247" w:rsidP="006A4478">
            <w:pPr>
              <w:pStyle w:val="Tabletext1"/>
              <w:keepNext/>
              <w:rPr>
                <w:snapToGrid w:val="0"/>
              </w:rPr>
            </w:pPr>
            <w:r w:rsidRPr="00C70FF5">
              <w:t>$1,433,577</w:t>
            </w:r>
          </w:p>
        </w:tc>
        <w:tc>
          <w:tcPr>
            <w:tcW w:w="0" w:type="auto"/>
          </w:tcPr>
          <w:p w14:paraId="14811CE0" w14:textId="77777777" w:rsidR="00742247" w:rsidRPr="0026387C" w:rsidRDefault="00742247" w:rsidP="006A4478">
            <w:pPr>
              <w:pStyle w:val="Tabletext1"/>
              <w:keepNext/>
              <w:rPr>
                <w:snapToGrid w:val="0"/>
              </w:rPr>
            </w:pPr>
            <w:r w:rsidRPr="00C70FF5">
              <w:t>$1,433,577</w:t>
            </w:r>
          </w:p>
        </w:tc>
        <w:tc>
          <w:tcPr>
            <w:tcW w:w="0" w:type="auto"/>
          </w:tcPr>
          <w:p w14:paraId="383D719A" w14:textId="77777777" w:rsidR="00742247" w:rsidRPr="0026387C" w:rsidRDefault="00742247" w:rsidP="006A4478">
            <w:pPr>
              <w:pStyle w:val="Tabletext1"/>
              <w:keepNext/>
              <w:rPr>
                <w:snapToGrid w:val="0"/>
              </w:rPr>
            </w:pPr>
            <w:r w:rsidRPr="00C70FF5">
              <w:t>$1,433,577</w:t>
            </w:r>
          </w:p>
        </w:tc>
        <w:tc>
          <w:tcPr>
            <w:tcW w:w="0" w:type="auto"/>
          </w:tcPr>
          <w:p w14:paraId="283BEB93" w14:textId="77777777" w:rsidR="00742247" w:rsidRPr="0026387C" w:rsidRDefault="00742247" w:rsidP="006A4478">
            <w:pPr>
              <w:pStyle w:val="Tabletext1"/>
              <w:keepNext/>
              <w:rPr>
                <w:snapToGrid w:val="0"/>
              </w:rPr>
            </w:pPr>
            <w:r w:rsidRPr="00C70FF5">
              <w:t>$1,433,577</w:t>
            </w:r>
          </w:p>
        </w:tc>
        <w:tc>
          <w:tcPr>
            <w:tcW w:w="0" w:type="auto"/>
          </w:tcPr>
          <w:p w14:paraId="1DC93CF2" w14:textId="77777777" w:rsidR="00742247" w:rsidRPr="0026387C" w:rsidRDefault="00742247" w:rsidP="006A4478">
            <w:pPr>
              <w:pStyle w:val="Tabletext1"/>
              <w:keepNext/>
              <w:rPr>
                <w:snapToGrid w:val="0"/>
              </w:rPr>
            </w:pPr>
            <w:r w:rsidRPr="00C70FF5">
              <w:t>$1,433,577</w:t>
            </w:r>
          </w:p>
        </w:tc>
        <w:tc>
          <w:tcPr>
            <w:tcW w:w="0" w:type="auto"/>
          </w:tcPr>
          <w:p w14:paraId="4C33E1E3" w14:textId="77777777" w:rsidR="00742247" w:rsidRPr="0026387C" w:rsidRDefault="00742247" w:rsidP="006A4478">
            <w:pPr>
              <w:pStyle w:val="Tabletext1"/>
              <w:keepNext/>
              <w:rPr>
                <w:snapToGrid w:val="0"/>
              </w:rPr>
            </w:pPr>
            <w:r w:rsidRPr="00C70FF5">
              <w:t>$7,167,884</w:t>
            </w:r>
          </w:p>
        </w:tc>
      </w:tr>
      <w:tr w:rsidR="00742247" w:rsidRPr="005754F7" w14:paraId="1E8C74E8" w14:textId="77777777" w:rsidTr="004768B3">
        <w:trPr>
          <w:trHeight w:val="397"/>
        </w:trPr>
        <w:tc>
          <w:tcPr>
            <w:tcW w:w="0" w:type="auto"/>
          </w:tcPr>
          <w:p w14:paraId="6F4823E3" w14:textId="77777777" w:rsidR="00742247" w:rsidRPr="00EC6845" w:rsidRDefault="00742247" w:rsidP="006A4478">
            <w:pPr>
              <w:pStyle w:val="Tabletext1"/>
              <w:keepNext/>
              <w:rPr>
                <w:snapToGrid w:val="0"/>
              </w:rPr>
            </w:pPr>
            <w:r>
              <w:rPr>
                <w:snapToGrid w:val="0"/>
              </w:rPr>
              <w:t>Total</w:t>
            </w:r>
          </w:p>
        </w:tc>
        <w:tc>
          <w:tcPr>
            <w:tcW w:w="0" w:type="auto"/>
          </w:tcPr>
          <w:p w14:paraId="3D95AF14" w14:textId="77777777" w:rsidR="00742247" w:rsidRPr="0026387C" w:rsidRDefault="00742247" w:rsidP="006A4478">
            <w:pPr>
              <w:pStyle w:val="Tabletext1"/>
              <w:keepNext/>
              <w:rPr>
                <w:snapToGrid w:val="0"/>
              </w:rPr>
            </w:pPr>
            <w:r w:rsidRPr="00C70FF5">
              <w:t>$4,723,292</w:t>
            </w:r>
          </w:p>
        </w:tc>
        <w:tc>
          <w:tcPr>
            <w:tcW w:w="0" w:type="auto"/>
          </w:tcPr>
          <w:p w14:paraId="326A7699" w14:textId="77777777" w:rsidR="00742247" w:rsidRPr="0026387C" w:rsidRDefault="00742247" w:rsidP="006A4478">
            <w:pPr>
              <w:pStyle w:val="Tabletext1"/>
              <w:keepNext/>
              <w:rPr>
                <w:snapToGrid w:val="0"/>
              </w:rPr>
            </w:pPr>
            <w:r w:rsidRPr="00C70FF5">
              <w:t>$4,723,292</w:t>
            </w:r>
          </w:p>
        </w:tc>
        <w:tc>
          <w:tcPr>
            <w:tcW w:w="0" w:type="auto"/>
          </w:tcPr>
          <w:p w14:paraId="39548760" w14:textId="77777777" w:rsidR="00742247" w:rsidRPr="0026387C" w:rsidRDefault="00742247" w:rsidP="006A4478">
            <w:pPr>
              <w:pStyle w:val="Tabletext1"/>
              <w:keepNext/>
              <w:rPr>
                <w:snapToGrid w:val="0"/>
              </w:rPr>
            </w:pPr>
            <w:r w:rsidRPr="00C70FF5">
              <w:t>$4,723,292</w:t>
            </w:r>
          </w:p>
        </w:tc>
        <w:tc>
          <w:tcPr>
            <w:tcW w:w="0" w:type="auto"/>
          </w:tcPr>
          <w:p w14:paraId="7ADA45C3" w14:textId="77777777" w:rsidR="00742247" w:rsidRPr="0026387C" w:rsidRDefault="00742247" w:rsidP="006A4478">
            <w:pPr>
              <w:pStyle w:val="Tabletext1"/>
              <w:keepNext/>
              <w:rPr>
                <w:snapToGrid w:val="0"/>
              </w:rPr>
            </w:pPr>
            <w:r w:rsidRPr="00C70FF5">
              <w:t>$4,723,292</w:t>
            </w:r>
          </w:p>
        </w:tc>
        <w:tc>
          <w:tcPr>
            <w:tcW w:w="0" w:type="auto"/>
          </w:tcPr>
          <w:p w14:paraId="22B34C84" w14:textId="77777777" w:rsidR="00742247" w:rsidRPr="0026387C" w:rsidRDefault="00742247" w:rsidP="006A4478">
            <w:pPr>
              <w:pStyle w:val="Tabletext1"/>
              <w:keepNext/>
              <w:rPr>
                <w:snapToGrid w:val="0"/>
              </w:rPr>
            </w:pPr>
            <w:r w:rsidRPr="00C70FF5">
              <w:t>$4,723,292</w:t>
            </w:r>
          </w:p>
        </w:tc>
        <w:tc>
          <w:tcPr>
            <w:tcW w:w="0" w:type="auto"/>
          </w:tcPr>
          <w:p w14:paraId="538B3566" w14:textId="77777777" w:rsidR="00742247" w:rsidRPr="0026387C" w:rsidRDefault="00742247" w:rsidP="006A4478">
            <w:pPr>
              <w:pStyle w:val="Tabletext1"/>
              <w:keepNext/>
              <w:rPr>
                <w:snapToGrid w:val="0"/>
              </w:rPr>
            </w:pPr>
            <w:r w:rsidRPr="00C70FF5">
              <w:t>$23,616,459</w:t>
            </w:r>
          </w:p>
        </w:tc>
      </w:tr>
    </w:tbl>
    <w:p w14:paraId="7DF1A432" w14:textId="77777777" w:rsidR="006C5910" w:rsidRDefault="006C5910" w:rsidP="006C5910">
      <w:pPr>
        <w:pStyle w:val="TableNotes"/>
      </w:pPr>
      <w:r w:rsidRPr="00045B3F">
        <w:t>MBS</w:t>
      </w:r>
      <w:r>
        <w:t xml:space="preserve"> =</w:t>
      </w:r>
      <w:r w:rsidRPr="00045B3F">
        <w:t xml:space="preserve"> Medicare Benefits Schedule</w:t>
      </w:r>
      <w:r>
        <w:t>,</w:t>
      </w:r>
      <w:r w:rsidRPr="00045B3F">
        <w:t xml:space="preserve"> mpMRI</w:t>
      </w:r>
      <w:r>
        <w:t xml:space="preserve"> =</w:t>
      </w:r>
      <w:r w:rsidRPr="00045B3F">
        <w:t xml:space="preserve"> multiparametric MRI</w:t>
      </w:r>
      <w:r>
        <w:t>,</w:t>
      </w:r>
      <w:r w:rsidRPr="00045B3F">
        <w:t xml:space="preserve"> PBS</w:t>
      </w:r>
      <w:r>
        <w:t xml:space="preserve"> =</w:t>
      </w:r>
      <w:r w:rsidRPr="00045B3F">
        <w:t xml:space="preserve"> Pharmaceutical Benefits Scheme</w:t>
      </w:r>
      <w:r>
        <w:t>,</w:t>
      </w:r>
      <w:r w:rsidRPr="00045B3F">
        <w:t xml:space="preserve"> TPUSGB</w:t>
      </w:r>
      <w:r>
        <w:t xml:space="preserve"> =</w:t>
      </w:r>
      <w:r w:rsidRPr="00045B3F">
        <w:t xml:space="preserve"> trans</w:t>
      </w:r>
      <w:r>
        <w:t>-</w:t>
      </w:r>
      <w:r w:rsidRPr="00045B3F">
        <w:t>perineal ultrasound guided biopsy</w:t>
      </w:r>
      <w:r>
        <w:t>,</w:t>
      </w:r>
      <w:r w:rsidRPr="00045B3F">
        <w:t xml:space="preserve"> TRUSGB</w:t>
      </w:r>
      <w:r>
        <w:t xml:space="preserve"> =</w:t>
      </w:r>
      <w:r w:rsidRPr="00045B3F">
        <w:t xml:space="preserve"> trans</w:t>
      </w:r>
      <w:r>
        <w:t>-</w:t>
      </w:r>
      <w:r w:rsidRPr="00045B3F">
        <w:t>rectal ultrasound guided biopsy.</w:t>
      </w:r>
    </w:p>
    <w:p w14:paraId="0D6D9C82" w14:textId="3A351F2E" w:rsidR="00742247" w:rsidRDefault="00742247" w:rsidP="006C5910">
      <w:pPr>
        <w:pStyle w:val="TableNotes"/>
      </w:pPr>
      <w:r>
        <w:t xml:space="preserve">Source: Section E spreadsheet </w:t>
      </w:r>
    </w:p>
    <w:p w14:paraId="4119F1DB" w14:textId="77777777" w:rsidR="00742247" w:rsidRDefault="00742247" w:rsidP="00742247">
      <w:pPr>
        <w:pStyle w:val="Heading2"/>
        <w:numPr>
          <w:ilvl w:val="4"/>
          <w:numId w:val="8"/>
        </w:numPr>
        <w:jc w:val="left"/>
      </w:pPr>
      <w:bookmarkStart w:id="713" w:name="_Toc381796485"/>
      <w:bookmarkStart w:id="714" w:name="_Toc445463516"/>
      <w:bookmarkStart w:id="715" w:name="_Ref456624703"/>
      <w:bookmarkStart w:id="716" w:name="_Toc457223220"/>
      <w:bookmarkStart w:id="717" w:name="_Toc457383636"/>
      <w:bookmarkStart w:id="718" w:name="_Toc459987884"/>
      <w:bookmarkStart w:id="719" w:name="_Toc460514004"/>
      <w:r>
        <w:t>Financial i</w:t>
      </w:r>
      <w:r w:rsidRPr="00183E4D">
        <w:t>mplications</w:t>
      </w:r>
      <w:r>
        <w:t xml:space="preserve"> for</w:t>
      </w:r>
      <w:r w:rsidRPr="00183E4D">
        <w:t xml:space="preserve"> the MBS</w:t>
      </w:r>
      <w:bookmarkEnd w:id="713"/>
      <w:bookmarkEnd w:id="714"/>
      <w:bookmarkEnd w:id="715"/>
      <w:bookmarkEnd w:id="716"/>
      <w:bookmarkEnd w:id="717"/>
      <w:bookmarkEnd w:id="718"/>
      <w:bookmarkEnd w:id="719"/>
      <w:r w:rsidRPr="00183E4D">
        <w:t xml:space="preserve"> </w:t>
      </w:r>
    </w:p>
    <w:bookmarkEnd w:id="707"/>
    <w:p w14:paraId="2DB7D36C" w14:textId="621D7C91" w:rsidR="00B530EA" w:rsidRPr="004F7A0A" w:rsidRDefault="00742247" w:rsidP="00742247">
      <w:r w:rsidRPr="004F7A0A">
        <w:t xml:space="preserve">The financial implications to the MBS resulting from the proposed listing of mpMRI for </w:t>
      </w:r>
      <w:r>
        <w:t>PCa</w:t>
      </w:r>
      <w:r w:rsidRPr="004F7A0A">
        <w:t xml:space="preserve"> are summarised in </w:t>
      </w:r>
      <w:r w:rsidRPr="004F7A0A">
        <w:fldChar w:fldCharType="begin"/>
      </w:r>
      <w:r w:rsidRPr="004F7A0A">
        <w:instrText xml:space="preserve"> REF _Ref395200179 \h  \* MERGEFORMAT </w:instrText>
      </w:r>
      <w:r w:rsidRPr="004F7A0A">
        <w:fldChar w:fldCharType="separate"/>
      </w:r>
      <w:r w:rsidR="0029649D" w:rsidRPr="00EF0338">
        <w:t xml:space="preserve">Table </w:t>
      </w:r>
      <w:r w:rsidR="0029649D">
        <w:t>66</w:t>
      </w:r>
      <w:r w:rsidRPr="004F7A0A">
        <w:fldChar w:fldCharType="end"/>
      </w:r>
      <w:r w:rsidRPr="004F7A0A">
        <w:t>.</w:t>
      </w:r>
      <w:r>
        <w:t xml:space="preserve"> </w:t>
      </w:r>
      <w:r w:rsidR="00B530EA">
        <w:t>Listing mpMRI for Population 1 and 2 on the MBS would result in a reduced number of biopsies and an estimated saving of $2.8 million. The total cost of listing mpMRI for both population is $7.5 million per year ($2.7 million and $4.8 million per year for Population 1 and 2 respectively).</w:t>
      </w:r>
    </w:p>
    <w:p w14:paraId="54E1F86A" w14:textId="77777777" w:rsidR="00742247" w:rsidRDefault="00742247" w:rsidP="00742247">
      <w:pPr>
        <w:pStyle w:val="Caption"/>
        <w:tabs>
          <w:tab w:val="left" w:pos="1134"/>
        </w:tabs>
        <w:ind w:left="1134" w:hanging="1134"/>
      </w:pPr>
      <w:bookmarkStart w:id="720" w:name="_Ref395200179"/>
      <w:bookmarkStart w:id="721" w:name="_Toc432677306"/>
      <w:bookmarkStart w:id="722" w:name="_Toc457223147"/>
      <w:bookmarkStart w:id="723" w:name="_Toc457383687"/>
      <w:bookmarkStart w:id="724" w:name="_Toc459987926"/>
      <w:bookmarkStart w:id="725" w:name="_Toc460514566"/>
      <w:r w:rsidRPr="00EF0338">
        <w:lastRenderedPageBreak/>
        <w:t xml:space="preserve">Table </w:t>
      </w:r>
      <w:fldSimple w:instr=" SEQ Table \* ARABIC ">
        <w:r w:rsidR="0029649D">
          <w:rPr>
            <w:noProof/>
          </w:rPr>
          <w:t>66</w:t>
        </w:r>
      </w:fldSimple>
      <w:bookmarkEnd w:id="720"/>
      <w:r w:rsidRPr="00EF0338">
        <w:tab/>
        <w:t xml:space="preserve">Total costs to the MBS associated with </w:t>
      </w:r>
      <w:bookmarkEnd w:id="721"/>
      <w:r w:rsidRPr="00EF0338">
        <w:t>mpMRI for prostate</w:t>
      </w:r>
      <w:r>
        <w:t xml:space="preserve"> cancer.</w:t>
      </w:r>
      <w:bookmarkEnd w:id="722"/>
      <w:bookmarkEnd w:id="723"/>
      <w:bookmarkEnd w:id="724"/>
      <w:bookmarkEnd w:id="725"/>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86"/>
        <w:gridCol w:w="1221"/>
        <w:gridCol w:w="244"/>
        <w:gridCol w:w="977"/>
        <w:gridCol w:w="488"/>
        <w:gridCol w:w="733"/>
        <w:gridCol w:w="733"/>
        <w:gridCol w:w="488"/>
        <w:gridCol w:w="977"/>
        <w:gridCol w:w="244"/>
        <w:gridCol w:w="1221"/>
      </w:tblGrid>
      <w:tr w:rsidR="00742247" w:rsidRPr="004768B3" w14:paraId="72B149A2" w14:textId="77777777" w:rsidTr="004768B3">
        <w:trPr>
          <w:trHeight w:val="397"/>
          <w:tblHeader/>
        </w:trPr>
        <w:tc>
          <w:tcPr>
            <w:tcW w:w="980" w:type="pct"/>
          </w:tcPr>
          <w:p w14:paraId="7C03EFC4" w14:textId="77777777" w:rsidR="00742247" w:rsidRPr="004768B3" w:rsidRDefault="00742247" w:rsidP="006A4478">
            <w:pPr>
              <w:pStyle w:val="Tableheading1"/>
              <w:keepNext/>
              <w:rPr>
                <w:snapToGrid w:val="0"/>
              </w:rPr>
            </w:pPr>
          </w:p>
        </w:tc>
        <w:tc>
          <w:tcPr>
            <w:tcW w:w="670" w:type="pct"/>
          </w:tcPr>
          <w:p w14:paraId="3E123CAC" w14:textId="77777777" w:rsidR="00742247" w:rsidRPr="004768B3" w:rsidRDefault="00742247" w:rsidP="006A4478">
            <w:pPr>
              <w:pStyle w:val="Tableheading1"/>
              <w:keepNext/>
              <w:rPr>
                <w:snapToGrid w:val="0"/>
              </w:rPr>
            </w:pPr>
            <w:r w:rsidRPr="004768B3">
              <w:rPr>
                <w:snapToGrid w:val="0"/>
              </w:rPr>
              <w:t>Year 1</w:t>
            </w:r>
          </w:p>
        </w:tc>
        <w:tc>
          <w:tcPr>
            <w:tcW w:w="670" w:type="pct"/>
            <w:gridSpan w:val="2"/>
          </w:tcPr>
          <w:p w14:paraId="5CAE5FBC" w14:textId="77777777" w:rsidR="00742247" w:rsidRPr="004768B3" w:rsidRDefault="00742247" w:rsidP="006A4478">
            <w:pPr>
              <w:pStyle w:val="Tableheading1"/>
              <w:keepNext/>
              <w:rPr>
                <w:snapToGrid w:val="0"/>
              </w:rPr>
            </w:pPr>
            <w:r w:rsidRPr="004768B3">
              <w:rPr>
                <w:snapToGrid w:val="0"/>
              </w:rPr>
              <w:t>Year 2</w:t>
            </w:r>
          </w:p>
        </w:tc>
        <w:tc>
          <w:tcPr>
            <w:tcW w:w="670" w:type="pct"/>
            <w:gridSpan w:val="2"/>
          </w:tcPr>
          <w:p w14:paraId="289B938D" w14:textId="77777777" w:rsidR="00742247" w:rsidRPr="004768B3" w:rsidRDefault="00742247" w:rsidP="006A4478">
            <w:pPr>
              <w:pStyle w:val="Tableheading1"/>
              <w:keepNext/>
              <w:rPr>
                <w:snapToGrid w:val="0"/>
              </w:rPr>
            </w:pPr>
            <w:r w:rsidRPr="004768B3">
              <w:rPr>
                <w:snapToGrid w:val="0"/>
              </w:rPr>
              <w:t>Year 3</w:t>
            </w:r>
          </w:p>
        </w:tc>
        <w:tc>
          <w:tcPr>
            <w:tcW w:w="670" w:type="pct"/>
            <w:gridSpan w:val="2"/>
          </w:tcPr>
          <w:p w14:paraId="73786368" w14:textId="77777777" w:rsidR="00742247" w:rsidRPr="004768B3" w:rsidRDefault="00742247" w:rsidP="006A4478">
            <w:pPr>
              <w:pStyle w:val="Tableheading1"/>
              <w:keepNext/>
              <w:rPr>
                <w:snapToGrid w:val="0"/>
              </w:rPr>
            </w:pPr>
            <w:r w:rsidRPr="004768B3">
              <w:rPr>
                <w:snapToGrid w:val="0"/>
              </w:rPr>
              <w:t>Year 4</w:t>
            </w:r>
          </w:p>
        </w:tc>
        <w:tc>
          <w:tcPr>
            <w:tcW w:w="670" w:type="pct"/>
            <w:gridSpan w:val="2"/>
          </w:tcPr>
          <w:p w14:paraId="6C8A8F27" w14:textId="77777777" w:rsidR="00742247" w:rsidRPr="004768B3" w:rsidRDefault="00742247" w:rsidP="006A4478">
            <w:pPr>
              <w:pStyle w:val="Tableheading1"/>
              <w:keepNext/>
              <w:rPr>
                <w:snapToGrid w:val="0"/>
              </w:rPr>
            </w:pPr>
            <w:r w:rsidRPr="004768B3">
              <w:rPr>
                <w:snapToGrid w:val="0"/>
              </w:rPr>
              <w:t>Year 5</w:t>
            </w:r>
          </w:p>
        </w:tc>
        <w:tc>
          <w:tcPr>
            <w:tcW w:w="670" w:type="pct"/>
          </w:tcPr>
          <w:p w14:paraId="1AA2CD79" w14:textId="77777777" w:rsidR="00742247" w:rsidRPr="004768B3" w:rsidRDefault="00742247" w:rsidP="006A4478">
            <w:pPr>
              <w:pStyle w:val="Tableheading1"/>
              <w:keepNext/>
              <w:rPr>
                <w:snapToGrid w:val="0"/>
              </w:rPr>
            </w:pPr>
            <w:r w:rsidRPr="004768B3">
              <w:rPr>
                <w:snapToGrid w:val="0"/>
              </w:rPr>
              <w:t xml:space="preserve">Total </w:t>
            </w:r>
            <w:r w:rsidRPr="004768B3">
              <w:rPr>
                <w:snapToGrid w:val="0"/>
              </w:rPr>
              <w:br/>
              <w:t>(Year 1-5)</w:t>
            </w:r>
          </w:p>
        </w:tc>
      </w:tr>
      <w:tr w:rsidR="00742247" w:rsidRPr="004768B3" w14:paraId="3444A26F" w14:textId="77777777" w:rsidTr="004768B3">
        <w:trPr>
          <w:trHeight w:val="397"/>
        </w:trPr>
        <w:tc>
          <w:tcPr>
            <w:tcW w:w="980" w:type="pct"/>
            <w:tcBorders>
              <w:right w:val="nil"/>
            </w:tcBorders>
            <w:shd w:val="clear" w:color="auto" w:fill="auto"/>
          </w:tcPr>
          <w:p w14:paraId="1662D247" w14:textId="77777777" w:rsidR="00742247" w:rsidRPr="004768B3" w:rsidRDefault="00742247" w:rsidP="006A4478">
            <w:pPr>
              <w:pStyle w:val="Tabletext1"/>
              <w:keepNext/>
            </w:pPr>
            <w:r w:rsidRPr="004768B3">
              <w:t>mpMRI</w:t>
            </w:r>
          </w:p>
        </w:tc>
        <w:tc>
          <w:tcPr>
            <w:tcW w:w="804" w:type="pct"/>
            <w:gridSpan w:val="2"/>
            <w:tcBorders>
              <w:left w:val="nil"/>
              <w:right w:val="nil"/>
            </w:tcBorders>
          </w:tcPr>
          <w:p w14:paraId="68299C06" w14:textId="77777777" w:rsidR="00742247" w:rsidRPr="004768B3" w:rsidRDefault="00742247" w:rsidP="006A4478">
            <w:pPr>
              <w:pStyle w:val="Tabletext1"/>
              <w:keepNext/>
            </w:pPr>
          </w:p>
        </w:tc>
        <w:tc>
          <w:tcPr>
            <w:tcW w:w="804" w:type="pct"/>
            <w:gridSpan w:val="2"/>
            <w:tcBorders>
              <w:left w:val="nil"/>
              <w:right w:val="nil"/>
            </w:tcBorders>
          </w:tcPr>
          <w:p w14:paraId="1F536ECB" w14:textId="77777777" w:rsidR="00742247" w:rsidRPr="004768B3" w:rsidRDefault="00742247" w:rsidP="006A4478">
            <w:pPr>
              <w:pStyle w:val="Tabletext1"/>
              <w:keepNext/>
            </w:pPr>
          </w:p>
        </w:tc>
        <w:tc>
          <w:tcPr>
            <w:tcW w:w="804" w:type="pct"/>
            <w:gridSpan w:val="2"/>
            <w:tcBorders>
              <w:left w:val="nil"/>
              <w:right w:val="nil"/>
            </w:tcBorders>
          </w:tcPr>
          <w:p w14:paraId="5ECE28B4" w14:textId="77777777" w:rsidR="00742247" w:rsidRPr="004768B3" w:rsidRDefault="00742247" w:rsidP="006A4478">
            <w:pPr>
              <w:pStyle w:val="Tabletext1"/>
              <w:keepNext/>
            </w:pPr>
          </w:p>
        </w:tc>
        <w:tc>
          <w:tcPr>
            <w:tcW w:w="804" w:type="pct"/>
            <w:gridSpan w:val="2"/>
            <w:tcBorders>
              <w:left w:val="nil"/>
              <w:right w:val="nil"/>
            </w:tcBorders>
          </w:tcPr>
          <w:p w14:paraId="25FC5BC2" w14:textId="77777777" w:rsidR="00742247" w:rsidRPr="004768B3" w:rsidRDefault="00742247" w:rsidP="006A4478">
            <w:pPr>
              <w:pStyle w:val="Tabletext1"/>
              <w:keepNext/>
            </w:pPr>
          </w:p>
        </w:tc>
        <w:tc>
          <w:tcPr>
            <w:tcW w:w="804" w:type="pct"/>
            <w:gridSpan w:val="2"/>
            <w:tcBorders>
              <w:left w:val="nil"/>
              <w:right w:val="single" w:sz="4" w:space="0" w:color="auto"/>
            </w:tcBorders>
          </w:tcPr>
          <w:p w14:paraId="5D58D733" w14:textId="77777777" w:rsidR="00742247" w:rsidRPr="004768B3" w:rsidRDefault="00742247" w:rsidP="006A4478">
            <w:pPr>
              <w:pStyle w:val="Tabletext1"/>
              <w:keepNext/>
            </w:pPr>
          </w:p>
        </w:tc>
      </w:tr>
      <w:tr w:rsidR="00742247" w:rsidRPr="00531D19" w14:paraId="662D2614" w14:textId="77777777" w:rsidTr="004768B3">
        <w:trPr>
          <w:trHeight w:val="397"/>
        </w:trPr>
        <w:tc>
          <w:tcPr>
            <w:tcW w:w="980" w:type="pct"/>
            <w:tcBorders>
              <w:right w:val="single" w:sz="4" w:space="0" w:color="auto"/>
            </w:tcBorders>
          </w:tcPr>
          <w:p w14:paraId="48184D2C" w14:textId="77777777" w:rsidR="00742247" w:rsidRPr="00EC6845" w:rsidRDefault="00742247" w:rsidP="006A4478">
            <w:pPr>
              <w:pStyle w:val="Tabletext1"/>
              <w:keepNext/>
              <w:rPr>
                <w:snapToGrid w:val="0"/>
              </w:rPr>
            </w:pPr>
            <w:r w:rsidRPr="00EC6845">
              <w:rPr>
                <w:snapToGrid w:val="0"/>
              </w:rPr>
              <w:t>Number of services</w:t>
            </w:r>
          </w:p>
        </w:tc>
        <w:tc>
          <w:tcPr>
            <w:tcW w:w="670" w:type="pct"/>
            <w:tcBorders>
              <w:left w:val="single" w:sz="4" w:space="0" w:color="auto"/>
              <w:right w:val="single" w:sz="4" w:space="0" w:color="auto"/>
            </w:tcBorders>
          </w:tcPr>
          <w:p w14:paraId="67556A72" w14:textId="77777777" w:rsidR="00742247" w:rsidRPr="00CE4041" w:rsidRDefault="00742247" w:rsidP="006A4478">
            <w:pPr>
              <w:pStyle w:val="Tabletext1"/>
              <w:keepNext/>
            </w:pPr>
            <w:r w:rsidRPr="00CE4041">
              <w:t>20,149</w:t>
            </w:r>
          </w:p>
        </w:tc>
        <w:tc>
          <w:tcPr>
            <w:tcW w:w="670" w:type="pct"/>
            <w:gridSpan w:val="2"/>
            <w:tcBorders>
              <w:left w:val="single" w:sz="4" w:space="0" w:color="auto"/>
              <w:right w:val="single" w:sz="4" w:space="0" w:color="auto"/>
            </w:tcBorders>
          </w:tcPr>
          <w:p w14:paraId="52E192F8" w14:textId="77777777" w:rsidR="00742247" w:rsidRPr="00CE4041" w:rsidRDefault="00742247" w:rsidP="006A4478">
            <w:pPr>
              <w:pStyle w:val="Tabletext1"/>
              <w:keepNext/>
            </w:pPr>
            <w:r w:rsidRPr="00CE4041">
              <w:t>20,149</w:t>
            </w:r>
          </w:p>
        </w:tc>
        <w:tc>
          <w:tcPr>
            <w:tcW w:w="670" w:type="pct"/>
            <w:gridSpan w:val="2"/>
            <w:tcBorders>
              <w:left w:val="single" w:sz="4" w:space="0" w:color="auto"/>
              <w:right w:val="single" w:sz="4" w:space="0" w:color="auto"/>
            </w:tcBorders>
          </w:tcPr>
          <w:p w14:paraId="32D02217" w14:textId="77777777" w:rsidR="00742247" w:rsidRPr="00CE4041" w:rsidRDefault="00742247" w:rsidP="006A4478">
            <w:pPr>
              <w:pStyle w:val="Tabletext1"/>
              <w:keepNext/>
            </w:pPr>
            <w:r w:rsidRPr="00CE4041">
              <w:t>20,149</w:t>
            </w:r>
          </w:p>
        </w:tc>
        <w:tc>
          <w:tcPr>
            <w:tcW w:w="670" w:type="pct"/>
            <w:gridSpan w:val="2"/>
            <w:tcBorders>
              <w:left w:val="single" w:sz="4" w:space="0" w:color="auto"/>
              <w:right w:val="single" w:sz="4" w:space="0" w:color="auto"/>
            </w:tcBorders>
          </w:tcPr>
          <w:p w14:paraId="75B898B4" w14:textId="77777777" w:rsidR="00742247" w:rsidRPr="00CE4041" w:rsidRDefault="00742247" w:rsidP="006A4478">
            <w:pPr>
              <w:pStyle w:val="Tabletext1"/>
              <w:keepNext/>
            </w:pPr>
            <w:r w:rsidRPr="00CE4041">
              <w:t>20,149</w:t>
            </w:r>
          </w:p>
        </w:tc>
        <w:tc>
          <w:tcPr>
            <w:tcW w:w="670" w:type="pct"/>
            <w:gridSpan w:val="2"/>
            <w:tcBorders>
              <w:left w:val="single" w:sz="4" w:space="0" w:color="auto"/>
              <w:right w:val="single" w:sz="4" w:space="0" w:color="auto"/>
            </w:tcBorders>
          </w:tcPr>
          <w:p w14:paraId="45C7351D" w14:textId="77777777" w:rsidR="00742247" w:rsidRPr="00CE4041" w:rsidRDefault="00742247" w:rsidP="006A4478">
            <w:pPr>
              <w:pStyle w:val="Tabletext1"/>
              <w:keepNext/>
            </w:pPr>
            <w:r w:rsidRPr="00CE4041">
              <w:t>20,149</w:t>
            </w:r>
          </w:p>
        </w:tc>
        <w:tc>
          <w:tcPr>
            <w:tcW w:w="670" w:type="pct"/>
            <w:tcBorders>
              <w:left w:val="single" w:sz="4" w:space="0" w:color="auto"/>
              <w:right w:val="single" w:sz="4" w:space="0" w:color="auto"/>
            </w:tcBorders>
          </w:tcPr>
          <w:p w14:paraId="064D7FD1" w14:textId="77777777" w:rsidR="00742247" w:rsidRPr="00CE4041" w:rsidRDefault="00742247" w:rsidP="006A4478">
            <w:pPr>
              <w:pStyle w:val="Tabletext1"/>
              <w:keepNext/>
            </w:pPr>
            <w:r w:rsidRPr="00CE4041">
              <w:t>100,745</w:t>
            </w:r>
          </w:p>
        </w:tc>
      </w:tr>
      <w:tr w:rsidR="00742247" w:rsidRPr="004768B3" w14:paraId="5C174178" w14:textId="77777777" w:rsidTr="004768B3">
        <w:trPr>
          <w:trHeight w:val="397"/>
        </w:trPr>
        <w:tc>
          <w:tcPr>
            <w:tcW w:w="980" w:type="pct"/>
            <w:tcBorders>
              <w:right w:val="nil"/>
            </w:tcBorders>
          </w:tcPr>
          <w:p w14:paraId="6D1AAD19" w14:textId="77777777" w:rsidR="00742247" w:rsidRPr="004768B3" w:rsidRDefault="00742247" w:rsidP="006A4478">
            <w:pPr>
              <w:pStyle w:val="Tabletext1"/>
              <w:keepNext/>
              <w:rPr>
                <w:snapToGrid w:val="0"/>
              </w:rPr>
            </w:pPr>
            <w:r w:rsidRPr="004768B3">
              <w:rPr>
                <w:snapToGrid w:val="0"/>
              </w:rPr>
              <w:t>Cost to MBS</w:t>
            </w:r>
          </w:p>
        </w:tc>
        <w:tc>
          <w:tcPr>
            <w:tcW w:w="670" w:type="pct"/>
            <w:tcBorders>
              <w:left w:val="nil"/>
              <w:right w:val="nil"/>
            </w:tcBorders>
            <w:vAlign w:val="bottom"/>
          </w:tcPr>
          <w:p w14:paraId="336F7E23" w14:textId="77777777" w:rsidR="00742247" w:rsidRPr="004768B3" w:rsidRDefault="00742247" w:rsidP="006A4478">
            <w:pPr>
              <w:pStyle w:val="Tabletext1"/>
              <w:keepNext/>
            </w:pPr>
          </w:p>
        </w:tc>
        <w:tc>
          <w:tcPr>
            <w:tcW w:w="670" w:type="pct"/>
            <w:gridSpan w:val="2"/>
            <w:tcBorders>
              <w:left w:val="nil"/>
              <w:right w:val="nil"/>
            </w:tcBorders>
            <w:vAlign w:val="bottom"/>
          </w:tcPr>
          <w:p w14:paraId="5746C753" w14:textId="77777777" w:rsidR="00742247" w:rsidRPr="004768B3" w:rsidRDefault="00742247" w:rsidP="006A4478">
            <w:pPr>
              <w:pStyle w:val="Tabletext1"/>
              <w:keepNext/>
            </w:pPr>
          </w:p>
        </w:tc>
        <w:tc>
          <w:tcPr>
            <w:tcW w:w="670" w:type="pct"/>
            <w:gridSpan w:val="2"/>
            <w:tcBorders>
              <w:left w:val="nil"/>
              <w:right w:val="nil"/>
            </w:tcBorders>
            <w:vAlign w:val="bottom"/>
          </w:tcPr>
          <w:p w14:paraId="5159A759" w14:textId="77777777" w:rsidR="00742247" w:rsidRPr="004768B3" w:rsidRDefault="00742247" w:rsidP="006A4478">
            <w:pPr>
              <w:pStyle w:val="Tabletext1"/>
              <w:keepNext/>
            </w:pPr>
          </w:p>
        </w:tc>
        <w:tc>
          <w:tcPr>
            <w:tcW w:w="670" w:type="pct"/>
            <w:gridSpan w:val="2"/>
            <w:tcBorders>
              <w:left w:val="nil"/>
              <w:right w:val="nil"/>
            </w:tcBorders>
            <w:vAlign w:val="bottom"/>
          </w:tcPr>
          <w:p w14:paraId="7775E642" w14:textId="77777777" w:rsidR="00742247" w:rsidRPr="004768B3" w:rsidRDefault="00742247" w:rsidP="006A4478">
            <w:pPr>
              <w:pStyle w:val="Tabletext1"/>
              <w:keepNext/>
            </w:pPr>
          </w:p>
        </w:tc>
        <w:tc>
          <w:tcPr>
            <w:tcW w:w="670" w:type="pct"/>
            <w:gridSpan w:val="2"/>
            <w:tcBorders>
              <w:left w:val="nil"/>
              <w:right w:val="nil"/>
            </w:tcBorders>
            <w:vAlign w:val="bottom"/>
          </w:tcPr>
          <w:p w14:paraId="010F6585" w14:textId="77777777" w:rsidR="00742247" w:rsidRPr="004768B3" w:rsidRDefault="00742247" w:rsidP="006A4478">
            <w:pPr>
              <w:pStyle w:val="Tabletext1"/>
              <w:keepNext/>
            </w:pPr>
          </w:p>
        </w:tc>
        <w:tc>
          <w:tcPr>
            <w:tcW w:w="670" w:type="pct"/>
            <w:tcBorders>
              <w:left w:val="nil"/>
              <w:right w:val="single" w:sz="4" w:space="0" w:color="auto"/>
            </w:tcBorders>
            <w:vAlign w:val="bottom"/>
          </w:tcPr>
          <w:p w14:paraId="46B6563D" w14:textId="77777777" w:rsidR="00742247" w:rsidRPr="004768B3" w:rsidRDefault="00742247" w:rsidP="006A4478">
            <w:pPr>
              <w:pStyle w:val="Tabletext1"/>
              <w:keepNext/>
            </w:pPr>
          </w:p>
        </w:tc>
      </w:tr>
      <w:tr w:rsidR="00742247" w:rsidRPr="00531D19" w14:paraId="48D05EB7" w14:textId="77777777" w:rsidTr="004768B3">
        <w:trPr>
          <w:trHeight w:val="397"/>
        </w:trPr>
        <w:tc>
          <w:tcPr>
            <w:tcW w:w="980" w:type="pct"/>
            <w:tcBorders>
              <w:right w:val="single" w:sz="4" w:space="0" w:color="auto"/>
            </w:tcBorders>
          </w:tcPr>
          <w:p w14:paraId="03377FB3" w14:textId="77777777" w:rsidR="00742247" w:rsidRPr="005C6326" w:rsidRDefault="00742247" w:rsidP="006A4478">
            <w:pPr>
              <w:pStyle w:val="Tabletext1"/>
              <w:keepNext/>
              <w:rPr>
                <w:snapToGrid w:val="0"/>
              </w:rPr>
            </w:pPr>
            <w:r w:rsidRPr="005C6326">
              <w:rPr>
                <w:snapToGrid w:val="0"/>
              </w:rPr>
              <w:t>Population 1</w:t>
            </w:r>
          </w:p>
        </w:tc>
        <w:tc>
          <w:tcPr>
            <w:tcW w:w="670" w:type="pct"/>
            <w:tcBorders>
              <w:left w:val="single" w:sz="4" w:space="0" w:color="auto"/>
              <w:right w:val="single" w:sz="4" w:space="0" w:color="auto"/>
            </w:tcBorders>
          </w:tcPr>
          <w:p w14:paraId="032AA71C" w14:textId="77777777" w:rsidR="00742247" w:rsidRPr="005C6326" w:rsidRDefault="00742247" w:rsidP="006A4478">
            <w:pPr>
              <w:pStyle w:val="Tabletext1"/>
              <w:keepNext/>
            </w:pPr>
            <w:r w:rsidRPr="00F52588">
              <w:t>$6,770,760</w:t>
            </w:r>
          </w:p>
        </w:tc>
        <w:tc>
          <w:tcPr>
            <w:tcW w:w="670" w:type="pct"/>
            <w:gridSpan w:val="2"/>
            <w:tcBorders>
              <w:left w:val="single" w:sz="4" w:space="0" w:color="auto"/>
              <w:right w:val="single" w:sz="4" w:space="0" w:color="auto"/>
            </w:tcBorders>
          </w:tcPr>
          <w:p w14:paraId="16598FAE" w14:textId="77777777" w:rsidR="00742247" w:rsidRPr="005C6326" w:rsidRDefault="00742247" w:rsidP="006A4478">
            <w:pPr>
              <w:pStyle w:val="Tabletext1"/>
              <w:keepNext/>
            </w:pPr>
            <w:r w:rsidRPr="00F52588">
              <w:t>$6,770,760</w:t>
            </w:r>
          </w:p>
        </w:tc>
        <w:tc>
          <w:tcPr>
            <w:tcW w:w="670" w:type="pct"/>
            <w:gridSpan w:val="2"/>
            <w:tcBorders>
              <w:left w:val="single" w:sz="4" w:space="0" w:color="auto"/>
              <w:right w:val="single" w:sz="4" w:space="0" w:color="auto"/>
            </w:tcBorders>
          </w:tcPr>
          <w:p w14:paraId="04E9BAA9" w14:textId="77777777" w:rsidR="00742247" w:rsidRPr="005C6326" w:rsidRDefault="00742247" w:rsidP="006A4478">
            <w:pPr>
              <w:pStyle w:val="Tabletext1"/>
              <w:keepNext/>
            </w:pPr>
            <w:r w:rsidRPr="00F52588">
              <w:t>$6,770,760</w:t>
            </w:r>
          </w:p>
        </w:tc>
        <w:tc>
          <w:tcPr>
            <w:tcW w:w="670" w:type="pct"/>
            <w:gridSpan w:val="2"/>
            <w:tcBorders>
              <w:left w:val="single" w:sz="4" w:space="0" w:color="auto"/>
              <w:right w:val="single" w:sz="4" w:space="0" w:color="auto"/>
            </w:tcBorders>
          </w:tcPr>
          <w:p w14:paraId="15AA96F2" w14:textId="77777777" w:rsidR="00742247" w:rsidRPr="005C6326" w:rsidRDefault="00742247" w:rsidP="006A4478">
            <w:pPr>
              <w:pStyle w:val="Tabletext1"/>
              <w:keepNext/>
            </w:pPr>
            <w:r w:rsidRPr="00F52588">
              <w:t>$6,770,760</w:t>
            </w:r>
          </w:p>
        </w:tc>
        <w:tc>
          <w:tcPr>
            <w:tcW w:w="670" w:type="pct"/>
            <w:gridSpan w:val="2"/>
            <w:tcBorders>
              <w:left w:val="single" w:sz="4" w:space="0" w:color="auto"/>
              <w:right w:val="single" w:sz="4" w:space="0" w:color="auto"/>
            </w:tcBorders>
          </w:tcPr>
          <w:p w14:paraId="4C6D7003" w14:textId="77777777" w:rsidR="00742247" w:rsidRPr="005C6326" w:rsidRDefault="00742247" w:rsidP="006A4478">
            <w:pPr>
              <w:pStyle w:val="Tabletext1"/>
              <w:keepNext/>
            </w:pPr>
            <w:r w:rsidRPr="00F52588">
              <w:t>$6,770,760</w:t>
            </w:r>
          </w:p>
        </w:tc>
        <w:tc>
          <w:tcPr>
            <w:tcW w:w="670" w:type="pct"/>
            <w:tcBorders>
              <w:left w:val="single" w:sz="4" w:space="0" w:color="auto"/>
              <w:right w:val="single" w:sz="4" w:space="0" w:color="auto"/>
            </w:tcBorders>
          </w:tcPr>
          <w:p w14:paraId="1D6F1048" w14:textId="77777777" w:rsidR="00742247" w:rsidRPr="005C6326" w:rsidRDefault="00742247" w:rsidP="006A4478">
            <w:pPr>
              <w:pStyle w:val="Tabletext1"/>
              <w:keepNext/>
            </w:pPr>
            <w:r w:rsidRPr="00F52588">
              <w:t>$33,853,800</w:t>
            </w:r>
          </w:p>
        </w:tc>
      </w:tr>
      <w:tr w:rsidR="00742247" w:rsidRPr="00531D19" w14:paraId="7F479E01" w14:textId="77777777" w:rsidTr="004768B3">
        <w:trPr>
          <w:trHeight w:val="397"/>
        </w:trPr>
        <w:tc>
          <w:tcPr>
            <w:tcW w:w="980" w:type="pct"/>
            <w:tcBorders>
              <w:right w:val="single" w:sz="4" w:space="0" w:color="auto"/>
            </w:tcBorders>
          </w:tcPr>
          <w:p w14:paraId="7CCE7409" w14:textId="77777777" w:rsidR="00742247" w:rsidRPr="005C6326" w:rsidRDefault="00742247" w:rsidP="006A4478">
            <w:pPr>
              <w:pStyle w:val="Tabletext1"/>
              <w:keepNext/>
              <w:rPr>
                <w:snapToGrid w:val="0"/>
              </w:rPr>
            </w:pPr>
            <w:r w:rsidRPr="005C6326">
              <w:rPr>
                <w:snapToGrid w:val="0"/>
              </w:rPr>
              <w:t>Population 2</w:t>
            </w:r>
          </w:p>
        </w:tc>
        <w:tc>
          <w:tcPr>
            <w:tcW w:w="670" w:type="pct"/>
            <w:tcBorders>
              <w:left w:val="single" w:sz="4" w:space="0" w:color="auto"/>
              <w:right w:val="single" w:sz="4" w:space="0" w:color="auto"/>
            </w:tcBorders>
          </w:tcPr>
          <w:p w14:paraId="17466A25" w14:textId="77777777" w:rsidR="00742247" w:rsidRPr="005C6326" w:rsidRDefault="00742247" w:rsidP="006A4478">
            <w:pPr>
              <w:pStyle w:val="Tabletext1"/>
              <w:keepNext/>
            </w:pPr>
            <w:r w:rsidRPr="00F52588">
              <w:t>$3,505,230</w:t>
            </w:r>
          </w:p>
        </w:tc>
        <w:tc>
          <w:tcPr>
            <w:tcW w:w="670" w:type="pct"/>
            <w:gridSpan w:val="2"/>
            <w:tcBorders>
              <w:left w:val="single" w:sz="4" w:space="0" w:color="auto"/>
              <w:right w:val="single" w:sz="4" w:space="0" w:color="auto"/>
            </w:tcBorders>
          </w:tcPr>
          <w:p w14:paraId="0362BE13" w14:textId="77777777" w:rsidR="00742247" w:rsidRPr="005C6326" w:rsidRDefault="00742247" w:rsidP="006A4478">
            <w:pPr>
              <w:pStyle w:val="Tabletext1"/>
              <w:keepNext/>
            </w:pPr>
            <w:r w:rsidRPr="00F52588">
              <w:t>$3,505,230</w:t>
            </w:r>
          </w:p>
        </w:tc>
        <w:tc>
          <w:tcPr>
            <w:tcW w:w="670" w:type="pct"/>
            <w:gridSpan w:val="2"/>
            <w:tcBorders>
              <w:left w:val="single" w:sz="4" w:space="0" w:color="auto"/>
              <w:right w:val="single" w:sz="4" w:space="0" w:color="auto"/>
            </w:tcBorders>
          </w:tcPr>
          <w:p w14:paraId="7E228DF4" w14:textId="77777777" w:rsidR="00742247" w:rsidRPr="005C6326" w:rsidRDefault="00742247" w:rsidP="006A4478">
            <w:pPr>
              <w:pStyle w:val="Tabletext1"/>
              <w:keepNext/>
            </w:pPr>
            <w:r w:rsidRPr="00F52588">
              <w:t>$3,505,230</w:t>
            </w:r>
          </w:p>
        </w:tc>
        <w:tc>
          <w:tcPr>
            <w:tcW w:w="670" w:type="pct"/>
            <w:gridSpan w:val="2"/>
            <w:tcBorders>
              <w:left w:val="single" w:sz="4" w:space="0" w:color="auto"/>
              <w:right w:val="single" w:sz="4" w:space="0" w:color="auto"/>
            </w:tcBorders>
          </w:tcPr>
          <w:p w14:paraId="0EACCC8B" w14:textId="77777777" w:rsidR="00742247" w:rsidRPr="005C6326" w:rsidRDefault="00742247" w:rsidP="006A4478">
            <w:pPr>
              <w:pStyle w:val="Tabletext1"/>
              <w:keepNext/>
            </w:pPr>
            <w:r w:rsidRPr="00F52588">
              <w:t>$3,505,230</w:t>
            </w:r>
          </w:p>
        </w:tc>
        <w:tc>
          <w:tcPr>
            <w:tcW w:w="670" w:type="pct"/>
            <w:gridSpan w:val="2"/>
            <w:tcBorders>
              <w:left w:val="single" w:sz="4" w:space="0" w:color="auto"/>
              <w:right w:val="single" w:sz="4" w:space="0" w:color="auto"/>
            </w:tcBorders>
          </w:tcPr>
          <w:p w14:paraId="162FB090" w14:textId="77777777" w:rsidR="00742247" w:rsidRPr="005C6326" w:rsidRDefault="00742247" w:rsidP="006A4478">
            <w:pPr>
              <w:pStyle w:val="Tabletext1"/>
              <w:keepNext/>
            </w:pPr>
            <w:r w:rsidRPr="00F52588">
              <w:t>$3,505,230</w:t>
            </w:r>
          </w:p>
        </w:tc>
        <w:tc>
          <w:tcPr>
            <w:tcW w:w="670" w:type="pct"/>
            <w:tcBorders>
              <w:left w:val="single" w:sz="4" w:space="0" w:color="auto"/>
              <w:right w:val="single" w:sz="4" w:space="0" w:color="auto"/>
            </w:tcBorders>
          </w:tcPr>
          <w:p w14:paraId="3E954367" w14:textId="77777777" w:rsidR="00742247" w:rsidRPr="005C6326" w:rsidRDefault="00742247" w:rsidP="006A4478">
            <w:pPr>
              <w:pStyle w:val="Tabletext1"/>
              <w:keepNext/>
            </w:pPr>
            <w:r w:rsidRPr="00F52588">
              <w:t>$17,526,150</w:t>
            </w:r>
          </w:p>
        </w:tc>
      </w:tr>
      <w:tr w:rsidR="00742247" w:rsidRPr="00531D19" w14:paraId="7A0CDCA9" w14:textId="77777777" w:rsidTr="004768B3">
        <w:trPr>
          <w:trHeight w:val="397"/>
        </w:trPr>
        <w:tc>
          <w:tcPr>
            <w:tcW w:w="980" w:type="pct"/>
            <w:tcBorders>
              <w:right w:val="single" w:sz="4" w:space="0" w:color="auto"/>
            </w:tcBorders>
          </w:tcPr>
          <w:p w14:paraId="79859986" w14:textId="77777777" w:rsidR="00742247" w:rsidRPr="005C6326" w:rsidRDefault="00742247" w:rsidP="006A4478">
            <w:pPr>
              <w:pStyle w:val="Tabletext1"/>
              <w:keepNext/>
              <w:rPr>
                <w:snapToGrid w:val="0"/>
              </w:rPr>
            </w:pPr>
            <w:r w:rsidRPr="005C6326">
              <w:rPr>
                <w:snapToGrid w:val="0"/>
              </w:rPr>
              <w:t xml:space="preserve">Total </w:t>
            </w:r>
          </w:p>
        </w:tc>
        <w:tc>
          <w:tcPr>
            <w:tcW w:w="670" w:type="pct"/>
            <w:tcBorders>
              <w:left w:val="single" w:sz="4" w:space="0" w:color="auto"/>
              <w:right w:val="single" w:sz="4" w:space="0" w:color="auto"/>
            </w:tcBorders>
          </w:tcPr>
          <w:p w14:paraId="155FB1FA" w14:textId="77777777" w:rsidR="00742247" w:rsidRPr="005C6326" w:rsidRDefault="00742247" w:rsidP="006A4478">
            <w:pPr>
              <w:pStyle w:val="Tabletext1"/>
              <w:keepNext/>
            </w:pPr>
            <w:r w:rsidRPr="00CE4041">
              <w:t>$10,275,990</w:t>
            </w:r>
          </w:p>
        </w:tc>
        <w:tc>
          <w:tcPr>
            <w:tcW w:w="670" w:type="pct"/>
            <w:gridSpan w:val="2"/>
            <w:tcBorders>
              <w:left w:val="single" w:sz="4" w:space="0" w:color="auto"/>
              <w:right w:val="single" w:sz="4" w:space="0" w:color="auto"/>
            </w:tcBorders>
          </w:tcPr>
          <w:p w14:paraId="133B86E2" w14:textId="77777777" w:rsidR="00742247" w:rsidRPr="005C6326" w:rsidRDefault="00742247" w:rsidP="006A4478">
            <w:pPr>
              <w:pStyle w:val="Tabletext1"/>
              <w:keepNext/>
            </w:pPr>
            <w:r w:rsidRPr="00CE4041">
              <w:t>$10,275,990</w:t>
            </w:r>
          </w:p>
        </w:tc>
        <w:tc>
          <w:tcPr>
            <w:tcW w:w="670" w:type="pct"/>
            <w:gridSpan w:val="2"/>
            <w:tcBorders>
              <w:left w:val="single" w:sz="4" w:space="0" w:color="auto"/>
              <w:right w:val="single" w:sz="4" w:space="0" w:color="auto"/>
            </w:tcBorders>
          </w:tcPr>
          <w:p w14:paraId="6DB25561" w14:textId="77777777" w:rsidR="00742247" w:rsidRPr="005C6326" w:rsidRDefault="00742247" w:rsidP="006A4478">
            <w:pPr>
              <w:pStyle w:val="Tabletext1"/>
              <w:keepNext/>
            </w:pPr>
            <w:r w:rsidRPr="00CE4041">
              <w:t>$10,275,990</w:t>
            </w:r>
          </w:p>
        </w:tc>
        <w:tc>
          <w:tcPr>
            <w:tcW w:w="670" w:type="pct"/>
            <w:gridSpan w:val="2"/>
            <w:tcBorders>
              <w:left w:val="single" w:sz="4" w:space="0" w:color="auto"/>
              <w:right w:val="single" w:sz="4" w:space="0" w:color="auto"/>
            </w:tcBorders>
          </w:tcPr>
          <w:p w14:paraId="6D825CCD" w14:textId="77777777" w:rsidR="00742247" w:rsidRPr="005C6326" w:rsidRDefault="00742247" w:rsidP="006A4478">
            <w:pPr>
              <w:pStyle w:val="Tabletext1"/>
              <w:keepNext/>
            </w:pPr>
            <w:r w:rsidRPr="00CE4041">
              <w:t>$10,275,990</w:t>
            </w:r>
          </w:p>
        </w:tc>
        <w:tc>
          <w:tcPr>
            <w:tcW w:w="670" w:type="pct"/>
            <w:gridSpan w:val="2"/>
            <w:tcBorders>
              <w:left w:val="single" w:sz="4" w:space="0" w:color="auto"/>
              <w:right w:val="single" w:sz="4" w:space="0" w:color="auto"/>
            </w:tcBorders>
          </w:tcPr>
          <w:p w14:paraId="3D2F1A56" w14:textId="77777777" w:rsidR="00742247" w:rsidRPr="005C6326" w:rsidRDefault="00742247" w:rsidP="006A4478">
            <w:pPr>
              <w:pStyle w:val="Tabletext1"/>
              <w:keepNext/>
            </w:pPr>
            <w:r w:rsidRPr="00CE4041">
              <w:t>$10,275,990</w:t>
            </w:r>
          </w:p>
        </w:tc>
        <w:tc>
          <w:tcPr>
            <w:tcW w:w="670" w:type="pct"/>
            <w:tcBorders>
              <w:left w:val="single" w:sz="4" w:space="0" w:color="auto"/>
              <w:right w:val="single" w:sz="4" w:space="0" w:color="auto"/>
            </w:tcBorders>
          </w:tcPr>
          <w:p w14:paraId="53122471" w14:textId="77777777" w:rsidR="00742247" w:rsidRPr="005C6326" w:rsidRDefault="00742247" w:rsidP="006A4478">
            <w:pPr>
              <w:pStyle w:val="Tabletext1"/>
              <w:keepNext/>
            </w:pPr>
            <w:r w:rsidRPr="00CE4041">
              <w:t>$51,379,950</w:t>
            </w:r>
          </w:p>
        </w:tc>
      </w:tr>
      <w:tr w:rsidR="00742247" w:rsidRPr="004768B3" w14:paraId="204B124B" w14:textId="77777777" w:rsidTr="004768B3">
        <w:trPr>
          <w:trHeight w:val="397"/>
        </w:trPr>
        <w:tc>
          <w:tcPr>
            <w:tcW w:w="5000" w:type="pct"/>
            <w:gridSpan w:val="11"/>
            <w:tcBorders>
              <w:right w:val="single" w:sz="4" w:space="0" w:color="auto"/>
            </w:tcBorders>
          </w:tcPr>
          <w:p w14:paraId="5A7A48E3" w14:textId="77777777" w:rsidR="00742247" w:rsidRPr="004768B3" w:rsidRDefault="00742247" w:rsidP="006A4478">
            <w:pPr>
              <w:pStyle w:val="Tabletext1"/>
              <w:keepNext/>
            </w:pPr>
            <w:r w:rsidRPr="004768B3">
              <w:t>Savings due to TRUSGB/TPUSGB (biopsies) avoided</w:t>
            </w:r>
          </w:p>
        </w:tc>
      </w:tr>
      <w:tr w:rsidR="00742247" w:rsidRPr="00531D19" w14:paraId="301F6E0A" w14:textId="77777777" w:rsidTr="004768B3">
        <w:trPr>
          <w:trHeight w:val="397"/>
        </w:trPr>
        <w:tc>
          <w:tcPr>
            <w:tcW w:w="980" w:type="pct"/>
          </w:tcPr>
          <w:p w14:paraId="7B099B50" w14:textId="77777777" w:rsidR="00742247" w:rsidRPr="00146CB1" w:rsidRDefault="00742247" w:rsidP="006A4478">
            <w:pPr>
              <w:pStyle w:val="Tabletext1"/>
              <w:keepNext/>
            </w:pPr>
            <w:r w:rsidRPr="00E41A8A">
              <w:t>Number of services</w:t>
            </w:r>
          </w:p>
        </w:tc>
        <w:tc>
          <w:tcPr>
            <w:tcW w:w="670" w:type="pct"/>
          </w:tcPr>
          <w:p w14:paraId="3A98449F" w14:textId="77777777" w:rsidR="00742247" w:rsidRPr="00246D6E" w:rsidRDefault="00742247" w:rsidP="006A4478">
            <w:pPr>
              <w:pStyle w:val="Tabletext1"/>
              <w:keepNext/>
            </w:pPr>
            <w:r w:rsidRPr="00CE4041">
              <w:t>-5,661</w:t>
            </w:r>
          </w:p>
        </w:tc>
        <w:tc>
          <w:tcPr>
            <w:tcW w:w="670" w:type="pct"/>
            <w:gridSpan w:val="2"/>
          </w:tcPr>
          <w:p w14:paraId="7E8D6BA3" w14:textId="77777777" w:rsidR="00742247" w:rsidRPr="00246D6E" w:rsidRDefault="00742247" w:rsidP="006A4478">
            <w:pPr>
              <w:pStyle w:val="Tabletext1"/>
              <w:keepNext/>
            </w:pPr>
            <w:r w:rsidRPr="00CE4041">
              <w:t>-5,661</w:t>
            </w:r>
          </w:p>
        </w:tc>
        <w:tc>
          <w:tcPr>
            <w:tcW w:w="670" w:type="pct"/>
            <w:gridSpan w:val="2"/>
          </w:tcPr>
          <w:p w14:paraId="1267514A" w14:textId="77777777" w:rsidR="00742247" w:rsidRPr="00246D6E" w:rsidRDefault="00742247" w:rsidP="006A4478">
            <w:pPr>
              <w:pStyle w:val="Tabletext1"/>
              <w:keepNext/>
            </w:pPr>
            <w:r w:rsidRPr="00CE4041">
              <w:t>-5,661</w:t>
            </w:r>
          </w:p>
        </w:tc>
        <w:tc>
          <w:tcPr>
            <w:tcW w:w="670" w:type="pct"/>
            <w:gridSpan w:val="2"/>
          </w:tcPr>
          <w:p w14:paraId="20A64E24" w14:textId="77777777" w:rsidR="00742247" w:rsidRPr="00246D6E" w:rsidRDefault="00742247" w:rsidP="006A4478">
            <w:pPr>
              <w:pStyle w:val="Tabletext1"/>
              <w:keepNext/>
            </w:pPr>
            <w:r w:rsidRPr="00CE4041">
              <w:t>-5,661</w:t>
            </w:r>
          </w:p>
        </w:tc>
        <w:tc>
          <w:tcPr>
            <w:tcW w:w="670" w:type="pct"/>
            <w:gridSpan w:val="2"/>
          </w:tcPr>
          <w:p w14:paraId="27106EC8" w14:textId="77777777" w:rsidR="00742247" w:rsidRPr="00246D6E" w:rsidRDefault="00742247" w:rsidP="006A4478">
            <w:pPr>
              <w:pStyle w:val="Tabletext1"/>
              <w:keepNext/>
            </w:pPr>
            <w:r w:rsidRPr="00CE4041">
              <w:t>-5,661</w:t>
            </w:r>
          </w:p>
        </w:tc>
        <w:tc>
          <w:tcPr>
            <w:tcW w:w="670" w:type="pct"/>
          </w:tcPr>
          <w:p w14:paraId="3C76AEDF" w14:textId="77777777" w:rsidR="00742247" w:rsidRPr="00246D6E" w:rsidRDefault="00742247" w:rsidP="006A4478">
            <w:pPr>
              <w:pStyle w:val="Tabletext1"/>
              <w:keepNext/>
            </w:pPr>
            <w:r w:rsidRPr="00CE4041">
              <w:t>-28,306</w:t>
            </w:r>
          </w:p>
        </w:tc>
      </w:tr>
      <w:tr w:rsidR="00742247" w:rsidRPr="004768B3" w14:paraId="1DDC38BD" w14:textId="77777777" w:rsidTr="004768B3">
        <w:trPr>
          <w:trHeight w:val="397"/>
        </w:trPr>
        <w:tc>
          <w:tcPr>
            <w:tcW w:w="5000" w:type="pct"/>
            <w:gridSpan w:val="11"/>
          </w:tcPr>
          <w:p w14:paraId="40CD44FB" w14:textId="77777777" w:rsidR="00742247" w:rsidRPr="004768B3" w:rsidRDefault="00742247" w:rsidP="006A4478">
            <w:pPr>
              <w:pStyle w:val="Tabletext1"/>
              <w:keepNext/>
            </w:pPr>
            <w:r w:rsidRPr="004768B3">
              <w:t>Savings to the MBS</w:t>
            </w:r>
          </w:p>
        </w:tc>
      </w:tr>
      <w:tr w:rsidR="00742247" w:rsidRPr="00531D19" w14:paraId="134D2834" w14:textId="77777777" w:rsidTr="004768B3">
        <w:trPr>
          <w:trHeight w:val="397"/>
        </w:trPr>
        <w:tc>
          <w:tcPr>
            <w:tcW w:w="980" w:type="pct"/>
          </w:tcPr>
          <w:p w14:paraId="24795F30" w14:textId="77777777" w:rsidR="00742247" w:rsidRPr="00146CB1" w:rsidRDefault="00742247" w:rsidP="006A4478">
            <w:pPr>
              <w:pStyle w:val="Tabletext1"/>
              <w:keepNext/>
            </w:pPr>
            <w:r w:rsidRPr="00146CB1">
              <w:t>Population 1</w:t>
            </w:r>
          </w:p>
        </w:tc>
        <w:tc>
          <w:tcPr>
            <w:tcW w:w="670" w:type="pct"/>
          </w:tcPr>
          <w:p w14:paraId="5F457493" w14:textId="77777777" w:rsidR="00742247" w:rsidRPr="00CE4041" w:rsidRDefault="00742247" w:rsidP="006A4478">
            <w:pPr>
              <w:pStyle w:val="Tabletext1"/>
              <w:keepNext/>
            </w:pPr>
            <w:r>
              <w:t>-$</w:t>
            </w:r>
            <w:r w:rsidRPr="003129E7">
              <w:t>1,950,021</w:t>
            </w:r>
          </w:p>
        </w:tc>
        <w:tc>
          <w:tcPr>
            <w:tcW w:w="670" w:type="pct"/>
            <w:gridSpan w:val="2"/>
          </w:tcPr>
          <w:p w14:paraId="069617D4" w14:textId="77777777" w:rsidR="00742247" w:rsidRPr="00CE4041" w:rsidRDefault="00742247" w:rsidP="006A4478">
            <w:pPr>
              <w:pStyle w:val="Tabletext1"/>
              <w:keepNext/>
            </w:pPr>
            <w:r>
              <w:t>-$</w:t>
            </w:r>
            <w:r w:rsidRPr="003129E7">
              <w:t>1,950,021</w:t>
            </w:r>
          </w:p>
        </w:tc>
        <w:tc>
          <w:tcPr>
            <w:tcW w:w="670" w:type="pct"/>
            <w:gridSpan w:val="2"/>
          </w:tcPr>
          <w:p w14:paraId="471CCD1F" w14:textId="77777777" w:rsidR="00742247" w:rsidRPr="00CE4041" w:rsidRDefault="00742247" w:rsidP="006A4478">
            <w:pPr>
              <w:pStyle w:val="Tabletext1"/>
              <w:keepNext/>
            </w:pPr>
            <w:r>
              <w:t>-$</w:t>
            </w:r>
            <w:r w:rsidRPr="003129E7">
              <w:t>1,950,021</w:t>
            </w:r>
          </w:p>
        </w:tc>
        <w:tc>
          <w:tcPr>
            <w:tcW w:w="670" w:type="pct"/>
            <w:gridSpan w:val="2"/>
          </w:tcPr>
          <w:p w14:paraId="36F60570" w14:textId="77777777" w:rsidR="00742247" w:rsidRPr="00CE4041" w:rsidRDefault="00742247" w:rsidP="006A4478">
            <w:pPr>
              <w:pStyle w:val="Tabletext1"/>
              <w:keepNext/>
            </w:pPr>
            <w:r>
              <w:t>-$</w:t>
            </w:r>
            <w:r w:rsidRPr="003129E7">
              <w:t>1,950,021</w:t>
            </w:r>
          </w:p>
        </w:tc>
        <w:tc>
          <w:tcPr>
            <w:tcW w:w="670" w:type="pct"/>
            <w:gridSpan w:val="2"/>
          </w:tcPr>
          <w:p w14:paraId="173B781A" w14:textId="77777777" w:rsidR="00742247" w:rsidRPr="00CE4041" w:rsidRDefault="00742247" w:rsidP="006A4478">
            <w:pPr>
              <w:pStyle w:val="Tabletext1"/>
              <w:keepNext/>
            </w:pPr>
            <w:r>
              <w:t>-$</w:t>
            </w:r>
            <w:r w:rsidRPr="003129E7">
              <w:t>1,950,021</w:t>
            </w:r>
          </w:p>
        </w:tc>
        <w:tc>
          <w:tcPr>
            <w:tcW w:w="670" w:type="pct"/>
          </w:tcPr>
          <w:p w14:paraId="5F7B2BD3" w14:textId="77777777" w:rsidR="00742247" w:rsidRPr="00CE4041" w:rsidRDefault="00742247" w:rsidP="006A4478">
            <w:pPr>
              <w:pStyle w:val="Tabletext1"/>
              <w:keepNext/>
            </w:pPr>
            <w:r>
              <w:t>-$</w:t>
            </w:r>
            <w:r w:rsidRPr="003129E7">
              <w:t>9,750,107</w:t>
            </w:r>
          </w:p>
        </w:tc>
      </w:tr>
      <w:tr w:rsidR="00742247" w:rsidRPr="00531D19" w14:paraId="49B3DEF3" w14:textId="77777777" w:rsidTr="004768B3">
        <w:trPr>
          <w:trHeight w:val="397"/>
        </w:trPr>
        <w:tc>
          <w:tcPr>
            <w:tcW w:w="980" w:type="pct"/>
          </w:tcPr>
          <w:p w14:paraId="120C119C" w14:textId="77777777" w:rsidR="00742247" w:rsidRPr="00146CB1" w:rsidRDefault="00742247" w:rsidP="006A4478">
            <w:pPr>
              <w:pStyle w:val="Tabletext1"/>
              <w:keepNext/>
            </w:pPr>
            <w:r w:rsidRPr="00146CB1">
              <w:t>Population 2</w:t>
            </w:r>
          </w:p>
        </w:tc>
        <w:tc>
          <w:tcPr>
            <w:tcW w:w="670" w:type="pct"/>
          </w:tcPr>
          <w:p w14:paraId="740C426B" w14:textId="77777777" w:rsidR="00742247" w:rsidRPr="00CE4041" w:rsidRDefault="00742247" w:rsidP="006A4478">
            <w:pPr>
              <w:pStyle w:val="Tabletext1"/>
              <w:keepNext/>
            </w:pPr>
            <w:r>
              <w:t>-$</w:t>
            </w:r>
            <w:r w:rsidRPr="003129E7">
              <w:t>849,771</w:t>
            </w:r>
          </w:p>
        </w:tc>
        <w:tc>
          <w:tcPr>
            <w:tcW w:w="670" w:type="pct"/>
            <w:gridSpan w:val="2"/>
          </w:tcPr>
          <w:p w14:paraId="155CFE48" w14:textId="77777777" w:rsidR="00742247" w:rsidRPr="00CE4041" w:rsidRDefault="00742247" w:rsidP="006A4478">
            <w:pPr>
              <w:pStyle w:val="Tabletext1"/>
              <w:keepNext/>
            </w:pPr>
            <w:r>
              <w:t>-$</w:t>
            </w:r>
            <w:r w:rsidRPr="003129E7">
              <w:t>849,771</w:t>
            </w:r>
          </w:p>
        </w:tc>
        <w:tc>
          <w:tcPr>
            <w:tcW w:w="670" w:type="pct"/>
            <w:gridSpan w:val="2"/>
          </w:tcPr>
          <w:p w14:paraId="2B93C9ED" w14:textId="77777777" w:rsidR="00742247" w:rsidRPr="00CE4041" w:rsidRDefault="00742247" w:rsidP="006A4478">
            <w:pPr>
              <w:pStyle w:val="Tabletext1"/>
              <w:keepNext/>
            </w:pPr>
            <w:r>
              <w:t>-$</w:t>
            </w:r>
            <w:r w:rsidRPr="003129E7">
              <w:t>849,771</w:t>
            </w:r>
          </w:p>
        </w:tc>
        <w:tc>
          <w:tcPr>
            <w:tcW w:w="670" w:type="pct"/>
            <w:gridSpan w:val="2"/>
          </w:tcPr>
          <w:p w14:paraId="5FB664A9" w14:textId="77777777" w:rsidR="00742247" w:rsidRPr="00CE4041" w:rsidRDefault="00742247" w:rsidP="006A4478">
            <w:pPr>
              <w:pStyle w:val="Tabletext1"/>
              <w:keepNext/>
            </w:pPr>
            <w:r>
              <w:t>-$</w:t>
            </w:r>
            <w:r w:rsidRPr="003129E7">
              <w:t>849,771</w:t>
            </w:r>
          </w:p>
        </w:tc>
        <w:tc>
          <w:tcPr>
            <w:tcW w:w="670" w:type="pct"/>
            <w:gridSpan w:val="2"/>
          </w:tcPr>
          <w:p w14:paraId="73407FE2" w14:textId="77777777" w:rsidR="00742247" w:rsidRPr="00CE4041" w:rsidRDefault="00742247" w:rsidP="006A4478">
            <w:pPr>
              <w:pStyle w:val="Tabletext1"/>
              <w:keepNext/>
            </w:pPr>
            <w:r>
              <w:t>-$</w:t>
            </w:r>
            <w:r w:rsidRPr="003129E7">
              <w:t>849,771</w:t>
            </w:r>
          </w:p>
        </w:tc>
        <w:tc>
          <w:tcPr>
            <w:tcW w:w="670" w:type="pct"/>
          </w:tcPr>
          <w:p w14:paraId="0C76EECD" w14:textId="77777777" w:rsidR="00742247" w:rsidRPr="00CE4041" w:rsidRDefault="00742247" w:rsidP="006A4478">
            <w:pPr>
              <w:pStyle w:val="Tabletext1"/>
              <w:keepNext/>
            </w:pPr>
            <w:r>
              <w:t>-$</w:t>
            </w:r>
            <w:r w:rsidRPr="003129E7">
              <w:t>4,248,856</w:t>
            </w:r>
          </w:p>
        </w:tc>
      </w:tr>
      <w:tr w:rsidR="00742247" w:rsidRPr="00531D19" w14:paraId="3AC7FE56" w14:textId="77777777" w:rsidTr="004768B3">
        <w:trPr>
          <w:trHeight w:val="397"/>
        </w:trPr>
        <w:tc>
          <w:tcPr>
            <w:tcW w:w="980" w:type="pct"/>
          </w:tcPr>
          <w:p w14:paraId="147CFE20" w14:textId="77777777" w:rsidR="00742247" w:rsidRPr="00146CB1" w:rsidRDefault="00742247" w:rsidP="006A4478">
            <w:pPr>
              <w:pStyle w:val="Tabletext1"/>
              <w:keepNext/>
            </w:pPr>
            <w:r w:rsidRPr="00146CB1">
              <w:t xml:space="preserve">Total </w:t>
            </w:r>
          </w:p>
        </w:tc>
        <w:tc>
          <w:tcPr>
            <w:tcW w:w="670" w:type="pct"/>
          </w:tcPr>
          <w:p w14:paraId="1A2DD00B" w14:textId="77777777" w:rsidR="00742247" w:rsidRPr="00CE4041" w:rsidRDefault="00742247" w:rsidP="006A4478">
            <w:pPr>
              <w:pStyle w:val="Tabletext1"/>
              <w:keepNext/>
            </w:pPr>
            <w:r w:rsidRPr="00CE4041">
              <w:t>-$2,799,793</w:t>
            </w:r>
          </w:p>
        </w:tc>
        <w:tc>
          <w:tcPr>
            <w:tcW w:w="670" w:type="pct"/>
            <w:gridSpan w:val="2"/>
          </w:tcPr>
          <w:p w14:paraId="6A92F53C" w14:textId="77777777" w:rsidR="00742247" w:rsidRPr="00CE4041" w:rsidRDefault="00742247" w:rsidP="006A4478">
            <w:pPr>
              <w:pStyle w:val="Tabletext1"/>
              <w:keepNext/>
            </w:pPr>
            <w:r w:rsidRPr="00CE4041">
              <w:t>-$2,799,793</w:t>
            </w:r>
          </w:p>
        </w:tc>
        <w:tc>
          <w:tcPr>
            <w:tcW w:w="670" w:type="pct"/>
            <w:gridSpan w:val="2"/>
          </w:tcPr>
          <w:p w14:paraId="22D6E454" w14:textId="77777777" w:rsidR="00742247" w:rsidRPr="00CE4041" w:rsidRDefault="00742247" w:rsidP="006A4478">
            <w:pPr>
              <w:pStyle w:val="Tabletext1"/>
              <w:keepNext/>
            </w:pPr>
            <w:r w:rsidRPr="00CE4041">
              <w:t>-$2,799,793</w:t>
            </w:r>
          </w:p>
        </w:tc>
        <w:tc>
          <w:tcPr>
            <w:tcW w:w="670" w:type="pct"/>
            <w:gridSpan w:val="2"/>
          </w:tcPr>
          <w:p w14:paraId="290222B7" w14:textId="77777777" w:rsidR="00742247" w:rsidRPr="00CE4041" w:rsidRDefault="00742247" w:rsidP="006A4478">
            <w:pPr>
              <w:pStyle w:val="Tabletext1"/>
              <w:keepNext/>
            </w:pPr>
            <w:r w:rsidRPr="00CE4041">
              <w:t>-$2,799,793</w:t>
            </w:r>
          </w:p>
        </w:tc>
        <w:tc>
          <w:tcPr>
            <w:tcW w:w="670" w:type="pct"/>
            <w:gridSpan w:val="2"/>
          </w:tcPr>
          <w:p w14:paraId="51FA82CC" w14:textId="77777777" w:rsidR="00742247" w:rsidRPr="00CE4041" w:rsidRDefault="00742247" w:rsidP="006A4478">
            <w:pPr>
              <w:pStyle w:val="Tabletext1"/>
              <w:keepNext/>
            </w:pPr>
            <w:r w:rsidRPr="00CE4041">
              <w:t>-$2,799,793</w:t>
            </w:r>
          </w:p>
        </w:tc>
        <w:tc>
          <w:tcPr>
            <w:tcW w:w="670" w:type="pct"/>
          </w:tcPr>
          <w:p w14:paraId="1278AE6B" w14:textId="77777777" w:rsidR="00742247" w:rsidRPr="00CE4041" w:rsidRDefault="00742247" w:rsidP="006A4478">
            <w:pPr>
              <w:pStyle w:val="Tabletext1"/>
              <w:keepNext/>
            </w:pPr>
            <w:r w:rsidRPr="00CE4041">
              <w:t>-$13,998,964</w:t>
            </w:r>
          </w:p>
        </w:tc>
      </w:tr>
      <w:tr w:rsidR="00742247" w:rsidRPr="004768B3" w14:paraId="1426B843" w14:textId="77777777" w:rsidTr="004768B3">
        <w:trPr>
          <w:trHeight w:val="397"/>
        </w:trPr>
        <w:tc>
          <w:tcPr>
            <w:tcW w:w="5000" w:type="pct"/>
            <w:gridSpan w:val="11"/>
            <w:tcBorders>
              <w:bottom w:val="single" w:sz="4" w:space="0" w:color="auto"/>
            </w:tcBorders>
          </w:tcPr>
          <w:p w14:paraId="2574FD50" w14:textId="77777777" w:rsidR="00742247" w:rsidRPr="004768B3" w:rsidRDefault="00742247" w:rsidP="006A4478">
            <w:pPr>
              <w:pStyle w:val="Tabletext1"/>
              <w:keepNext/>
            </w:pPr>
            <w:r w:rsidRPr="004768B3">
              <w:t>Total cost to MBS of listing mpMRI</w:t>
            </w:r>
          </w:p>
        </w:tc>
      </w:tr>
      <w:tr w:rsidR="00742247" w:rsidRPr="00531D19" w14:paraId="479FCD53" w14:textId="77777777" w:rsidTr="004768B3">
        <w:trPr>
          <w:trHeight w:val="397"/>
        </w:trPr>
        <w:tc>
          <w:tcPr>
            <w:tcW w:w="980" w:type="pct"/>
          </w:tcPr>
          <w:p w14:paraId="2C779FC8" w14:textId="77777777" w:rsidR="00742247" w:rsidRPr="00EC6845" w:rsidRDefault="00742247" w:rsidP="006A4478">
            <w:pPr>
              <w:pStyle w:val="Tabletext1"/>
              <w:keepNext/>
              <w:rPr>
                <w:snapToGrid w:val="0"/>
              </w:rPr>
            </w:pPr>
            <w:r w:rsidRPr="00146CB1">
              <w:t>Population 1</w:t>
            </w:r>
          </w:p>
        </w:tc>
        <w:tc>
          <w:tcPr>
            <w:tcW w:w="670" w:type="pct"/>
          </w:tcPr>
          <w:p w14:paraId="04399367" w14:textId="77777777" w:rsidR="00742247" w:rsidRPr="00CE4041" w:rsidRDefault="00742247" w:rsidP="006A4478">
            <w:pPr>
              <w:pStyle w:val="Tabletext1"/>
              <w:keepNext/>
            </w:pPr>
            <w:r w:rsidRPr="005D4483">
              <w:t>$4,820,739</w:t>
            </w:r>
          </w:p>
        </w:tc>
        <w:tc>
          <w:tcPr>
            <w:tcW w:w="670" w:type="pct"/>
            <w:gridSpan w:val="2"/>
          </w:tcPr>
          <w:p w14:paraId="2FD87E6E" w14:textId="77777777" w:rsidR="00742247" w:rsidRPr="00CE4041" w:rsidRDefault="00742247" w:rsidP="006A4478">
            <w:pPr>
              <w:pStyle w:val="Tabletext1"/>
              <w:keepNext/>
            </w:pPr>
            <w:r w:rsidRPr="005D4483">
              <w:t>$4,820,739</w:t>
            </w:r>
          </w:p>
        </w:tc>
        <w:tc>
          <w:tcPr>
            <w:tcW w:w="670" w:type="pct"/>
            <w:gridSpan w:val="2"/>
          </w:tcPr>
          <w:p w14:paraId="1F771BA7" w14:textId="77777777" w:rsidR="00742247" w:rsidRPr="00CE4041" w:rsidRDefault="00742247" w:rsidP="006A4478">
            <w:pPr>
              <w:pStyle w:val="Tabletext1"/>
              <w:keepNext/>
            </w:pPr>
            <w:r w:rsidRPr="005D4483">
              <w:t>$4,820,739</w:t>
            </w:r>
          </w:p>
        </w:tc>
        <w:tc>
          <w:tcPr>
            <w:tcW w:w="670" w:type="pct"/>
            <w:gridSpan w:val="2"/>
          </w:tcPr>
          <w:p w14:paraId="376C9967" w14:textId="77777777" w:rsidR="00742247" w:rsidRPr="00CE4041" w:rsidRDefault="00742247" w:rsidP="006A4478">
            <w:pPr>
              <w:pStyle w:val="Tabletext1"/>
              <w:keepNext/>
            </w:pPr>
            <w:r w:rsidRPr="005D4483">
              <w:t>$4,820,739</w:t>
            </w:r>
          </w:p>
        </w:tc>
        <w:tc>
          <w:tcPr>
            <w:tcW w:w="670" w:type="pct"/>
            <w:gridSpan w:val="2"/>
          </w:tcPr>
          <w:p w14:paraId="5C45E60C" w14:textId="77777777" w:rsidR="00742247" w:rsidRPr="00CE4041" w:rsidRDefault="00742247" w:rsidP="006A4478">
            <w:pPr>
              <w:pStyle w:val="Tabletext1"/>
              <w:keepNext/>
            </w:pPr>
            <w:r w:rsidRPr="005D4483">
              <w:t>$4,820,739</w:t>
            </w:r>
          </w:p>
        </w:tc>
        <w:tc>
          <w:tcPr>
            <w:tcW w:w="670" w:type="pct"/>
          </w:tcPr>
          <w:p w14:paraId="00974E34" w14:textId="77777777" w:rsidR="00742247" w:rsidRPr="00CE4041" w:rsidRDefault="00742247" w:rsidP="006A4478">
            <w:pPr>
              <w:pStyle w:val="Tabletext1"/>
              <w:keepNext/>
            </w:pPr>
            <w:r w:rsidRPr="005D4483">
              <w:t>$24,103,693</w:t>
            </w:r>
          </w:p>
        </w:tc>
      </w:tr>
      <w:tr w:rsidR="00742247" w:rsidRPr="00531D19" w14:paraId="16FD8412" w14:textId="77777777" w:rsidTr="004768B3">
        <w:trPr>
          <w:trHeight w:val="397"/>
        </w:trPr>
        <w:tc>
          <w:tcPr>
            <w:tcW w:w="980" w:type="pct"/>
          </w:tcPr>
          <w:p w14:paraId="5894B7FA" w14:textId="77777777" w:rsidR="00742247" w:rsidRPr="00EC6845" w:rsidRDefault="00742247" w:rsidP="006A4478">
            <w:pPr>
              <w:pStyle w:val="Tabletext1"/>
              <w:keepNext/>
              <w:rPr>
                <w:snapToGrid w:val="0"/>
              </w:rPr>
            </w:pPr>
            <w:r w:rsidRPr="00146CB1">
              <w:t>Population 2</w:t>
            </w:r>
          </w:p>
        </w:tc>
        <w:tc>
          <w:tcPr>
            <w:tcW w:w="670" w:type="pct"/>
          </w:tcPr>
          <w:p w14:paraId="5C62DA6B" w14:textId="77777777" w:rsidR="00742247" w:rsidRPr="00CE4041" w:rsidRDefault="00742247" w:rsidP="006A4478">
            <w:pPr>
              <w:pStyle w:val="Tabletext1"/>
              <w:keepNext/>
            </w:pPr>
            <w:r w:rsidRPr="005D4483">
              <w:t>$2,655,459</w:t>
            </w:r>
          </w:p>
        </w:tc>
        <w:tc>
          <w:tcPr>
            <w:tcW w:w="670" w:type="pct"/>
            <w:gridSpan w:val="2"/>
          </w:tcPr>
          <w:p w14:paraId="57622A97" w14:textId="77777777" w:rsidR="00742247" w:rsidRPr="00CE4041" w:rsidRDefault="00742247" w:rsidP="006A4478">
            <w:pPr>
              <w:pStyle w:val="Tabletext1"/>
              <w:keepNext/>
            </w:pPr>
            <w:r w:rsidRPr="005D4483">
              <w:t>$2,655,459</w:t>
            </w:r>
          </w:p>
        </w:tc>
        <w:tc>
          <w:tcPr>
            <w:tcW w:w="670" w:type="pct"/>
            <w:gridSpan w:val="2"/>
          </w:tcPr>
          <w:p w14:paraId="6C08B606" w14:textId="77777777" w:rsidR="00742247" w:rsidRPr="00CE4041" w:rsidRDefault="00742247" w:rsidP="006A4478">
            <w:pPr>
              <w:pStyle w:val="Tabletext1"/>
              <w:keepNext/>
            </w:pPr>
            <w:r w:rsidRPr="005D4483">
              <w:t>$2,655,459</w:t>
            </w:r>
          </w:p>
        </w:tc>
        <w:tc>
          <w:tcPr>
            <w:tcW w:w="670" w:type="pct"/>
            <w:gridSpan w:val="2"/>
          </w:tcPr>
          <w:p w14:paraId="253BF5D9" w14:textId="77777777" w:rsidR="00742247" w:rsidRPr="00CE4041" w:rsidRDefault="00742247" w:rsidP="006A4478">
            <w:pPr>
              <w:pStyle w:val="Tabletext1"/>
              <w:keepNext/>
            </w:pPr>
            <w:r w:rsidRPr="005D4483">
              <w:t>$2,655,459</w:t>
            </w:r>
          </w:p>
        </w:tc>
        <w:tc>
          <w:tcPr>
            <w:tcW w:w="670" w:type="pct"/>
            <w:gridSpan w:val="2"/>
          </w:tcPr>
          <w:p w14:paraId="08534E71" w14:textId="77777777" w:rsidR="00742247" w:rsidRPr="00CE4041" w:rsidRDefault="00742247" w:rsidP="006A4478">
            <w:pPr>
              <w:pStyle w:val="Tabletext1"/>
              <w:keepNext/>
            </w:pPr>
            <w:r w:rsidRPr="005D4483">
              <w:t>$2,655,459</w:t>
            </w:r>
          </w:p>
        </w:tc>
        <w:tc>
          <w:tcPr>
            <w:tcW w:w="670" w:type="pct"/>
          </w:tcPr>
          <w:p w14:paraId="7EF4F8E6" w14:textId="77777777" w:rsidR="00742247" w:rsidRPr="00CE4041" w:rsidRDefault="00742247" w:rsidP="006A4478">
            <w:pPr>
              <w:pStyle w:val="Tabletext1"/>
              <w:keepNext/>
            </w:pPr>
            <w:r w:rsidRPr="005D4483">
              <w:t>$13,277,294</w:t>
            </w:r>
          </w:p>
        </w:tc>
      </w:tr>
      <w:tr w:rsidR="00742247" w:rsidRPr="00531D19" w14:paraId="46545943" w14:textId="77777777" w:rsidTr="004768B3">
        <w:trPr>
          <w:trHeight w:val="397"/>
        </w:trPr>
        <w:tc>
          <w:tcPr>
            <w:tcW w:w="980" w:type="pct"/>
          </w:tcPr>
          <w:p w14:paraId="16C06B67" w14:textId="77777777" w:rsidR="00742247" w:rsidRPr="00EC6845" w:rsidRDefault="00742247" w:rsidP="006A4478">
            <w:pPr>
              <w:pStyle w:val="Tabletext1"/>
              <w:keepNext/>
              <w:rPr>
                <w:snapToGrid w:val="0"/>
              </w:rPr>
            </w:pPr>
            <w:r w:rsidRPr="00146CB1">
              <w:t xml:space="preserve">Total </w:t>
            </w:r>
          </w:p>
        </w:tc>
        <w:tc>
          <w:tcPr>
            <w:tcW w:w="670" w:type="pct"/>
          </w:tcPr>
          <w:p w14:paraId="6EE4FF1E" w14:textId="77777777" w:rsidR="00742247" w:rsidRPr="00CE4041" w:rsidRDefault="00742247" w:rsidP="006A4478">
            <w:pPr>
              <w:pStyle w:val="Tabletext1"/>
              <w:keepNext/>
            </w:pPr>
            <w:r w:rsidRPr="005D4483">
              <w:t>$7,476,197</w:t>
            </w:r>
          </w:p>
        </w:tc>
        <w:tc>
          <w:tcPr>
            <w:tcW w:w="670" w:type="pct"/>
            <w:gridSpan w:val="2"/>
          </w:tcPr>
          <w:p w14:paraId="621C24A6" w14:textId="77777777" w:rsidR="00742247" w:rsidRPr="00CE4041" w:rsidRDefault="00742247" w:rsidP="006A4478">
            <w:pPr>
              <w:pStyle w:val="Tabletext1"/>
              <w:keepNext/>
            </w:pPr>
            <w:r w:rsidRPr="005D4483">
              <w:t>$7,476,197</w:t>
            </w:r>
          </w:p>
        </w:tc>
        <w:tc>
          <w:tcPr>
            <w:tcW w:w="670" w:type="pct"/>
            <w:gridSpan w:val="2"/>
          </w:tcPr>
          <w:p w14:paraId="6CB6CCCB" w14:textId="77777777" w:rsidR="00742247" w:rsidRPr="00CE4041" w:rsidRDefault="00742247" w:rsidP="006A4478">
            <w:pPr>
              <w:pStyle w:val="Tabletext1"/>
              <w:keepNext/>
            </w:pPr>
            <w:r w:rsidRPr="005D4483">
              <w:t>$7,476,197</w:t>
            </w:r>
          </w:p>
        </w:tc>
        <w:tc>
          <w:tcPr>
            <w:tcW w:w="670" w:type="pct"/>
            <w:gridSpan w:val="2"/>
          </w:tcPr>
          <w:p w14:paraId="3BDB7571" w14:textId="77777777" w:rsidR="00742247" w:rsidRPr="00CE4041" w:rsidRDefault="00742247" w:rsidP="006A4478">
            <w:pPr>
              <w:pStyle w:val="Tabletext1"/>
              <w:keepNext/>
            </w:pPr>
            <w:r w:rsidRPr="005D4483">
              <w:t>$7,476,197</w:t>
            </w:r>
          </w:p>
        </w:tc>
        <w:tc>
          <w:tcPr>
            <w:tcW w:w="670" w:type="pct"/>
            <w:gridSpan w:val="2"/>
          </w:tcPr>
          <w:p w14:paraId="6D3546E4" w14:textId="77777777" w:rsidR="00742247" w:rsidRPr="00CE4041" w:rsidRDefault="00742247" w:rsidP="006A4478">
            <w:pPr>
              <w:pStyle w:val="Tabletext1"/>
              <w:keepNext/>
            </w:pPr>
            <w:r w:rsidRPr="005D4483">
              <w:t>$7,476,197</w:t>
            </w:r>
          </w:p>
        </w:tc>
        <w:tc>
          <w:tcPr>
            <w:tcW w:w="670" w:type="pct"/>
          </w:tcPr>
          <w:p w14:paraId="2FED86AD" w14:textId="77777777" w:rsidR="00742247" w:rsidRPr="00CE4041" w:rsidRDefault="00742247" w:rsidP="006A4478">
            <w:pPr>
              <w:pStyle w:val="Tabletext1"/>
              <w:keepNext/>
            </w:pPr>
            <w:r w:rsidRPr="005D4483">
              <w:t>$37,380,986</w:t>
            </w:r>
          </w:p>
        </w:tc>
      </w:tr>
    </w:tbl>
    <w:p w14:paraId="383BFB9D" w14:textId="77777777" w:rsidR="006C5910" w:rsidRDefault="006C5910" w:rsidP="006C5910">
      <w:pPr>
        <w:pStyle w:val="TableNotes"/>
      </w:pPr>
      <w:r w:rsidRPr="00045B3F">
        <w:t>MBS</w:t>
      </w:r>
      <w:r>
        <w:t xml:space="preserve"> =</w:t>
      </w:r>
      <w:r w:rsidRPr="00045B3F">
        <w:t xml:space="preserve"> Medicare Benefits Schedule</w:t>
      </w:r>
      <w:r>
        <w:t>,</w:t>
      </w:r>
      <w:r w:rsidRPr="00045B3F">
        <w:t xml:space="preserve"> mpMRI</w:t>
      </w:r>
      <w:r>
        <w:t xml:space="preserve"> =</w:t>
      </w:r>
      <w:r w:rsidRPr="00045B3F">
        <w:t xml:space="preserve"> multiparametric MRI</w:t>
      </w:r>
      <w:r>
        <w:t>,</w:t>
      </w:r>
      <w:r w:rsidRPr="00045B3F">
        <w:t xml:space="preserve"> PBS</w:t>
      </w:r>
      <w:r>
        <w:t xml:space="preserve"> =</w:t>
      </w:r>
      <w:r w:rsidRPr="00045B3F">
        <w:t xml:space="preserve"> Pharmaceutical Benefits Scheme</w:t>
      </w:r>
      <w:r>
        <w:t>,</w:t>
      </w:r>
      <w:r w:rsidRPr="00045B3F">
        <w:t xml:space="preserve"> TPUSGB</w:t>
      </w:r>
      <w:r>
        <w:t xml:space="preserve"> =</w:t>
      </w:r>
      <w:r w:rsidRPr="00045B3F">
        <w:t xml:space="preserve"> trans</w:t>
      </w:r>
      <w:r>
        <w:t>-</w:t>
      </w:r>
      <w:r w:rsidRPr="00045B3F">
        <w:t>perineal ultrasound guided biopsy</w:t>
      </w:r>
      <w:r>
        <w:t>,</w:t>
      </w:r>
      <w:r w:rsidRPr="00045B3F">
        <w:t xml:space="preserve"> TRUSGB</w:t>
      </w:r>
      <w:r>
        <w:t xml:space="preserve"> =</w:t>
      </w:r>
      <w:r w:rsidRPr="00045B3F">
        <w:t xml:space="preserve"> trans</w:t>
      </w:r>
      <w:r>
        <w:t>-</w:t>
      </w:r>
      <w:r w:rsidRPr="00045B3F">
        <w:t>rectal ultrasound guided biopsy.</w:t>
      </w:r>
    </w:p>
    <w:p w14:paraId="2CF144F2" w14:textId="70308EE6" w:rsidR="00742247" w:rsidRDefault="00742247" w:rsidP="006C5910">
      <w:pPr>
        <w:pStyle w:val="TableNotes"/>
      </w:pPr>
      <w:r>
        <w:t xml:space="preserve">Source: Section E spreadsheet </w:t>
      </w:r>
    </w:p>
    <w:p w14:paraId="66F258D3" w14:textId="77777777" w:rsidR="00742247" w:rsidRDefault="00742247" w:rsidP="00742247">
      <w:pPr>
        <w:pStyle w:val="Heading2"/>
        <w:numPr>
          <w:ilvl w:val="4"/>
          <w:numId w:val="8"/>
        </w:numPr>
        <w:jc w:val="left"/>
      </w:pPr>
      <w:bookmarkStart w:id="726" w:name="_Toc445463518"/>
      <w:bookmarkStart w:id="727" w:name="_Toc457223221"/>
      <w:bookmarkStart w:id="728" w:name="_Toc457383637"/>
      <w:bookmarkStart w:id="729" w:name="_Toc459987885"/>
      <w:bookmarkStart w:id="730" w:name="_Toc460514005"/>
      <w:r>
        <w:t>Identification, estimation and reduction of uncertainty</w:t>
      </w:r>
      <w:bookmarkEnd w:id="726"/>
      <w:bookmarkEnd w:id="727"/>
      <w:bookmarkEnd w:id="728"/>
      <w:bookmarkEnd w:id="729"/>
      <w:bookmarkEnd w:id="730"/>
    </w:p>
    <w:p w14:paraId="7A467954" w14:textId="154CEF39" w:rsidR="00742247" w:rsidRDefault="00742247" w:rsidP="00742247">
      <w:r w:rsidRPr="004F7A0A">
        <w:t>As discussed in section D.4, the assumed fee for mpMRI of the prostate (</w:t>
      </w:r>
      <w:r>
        <w:t xml:space="preserve">100% fee is </w:t>
      </w:r>
      <w:r w:rsidRPr="004F7A0A">
        <w:t>$</w:t>
      </w:r>
      <w:r>
        <w:t>600</w:t>
      </w:r>
      <w:r w:rsidRPr="004F7A0A">
        <w:t xml:space="preserve"> including contrast), is higher than the current MBS fees for similar procedures </w:t>
      </w:r>
      <w:r w:rsidR="004459C1">
        <w:t xml:space="preserve">(e.g. </w:t>
      </w:r>
      <w:r w:rsidRPr="004F7A0A">
        <w:t>MBS item 63476 (MRI for the initial staging of rectal cancer) is $403.20</w:t>
      </w:r>
      <w:r w:rsidR="004459C1">
        <w:t>)</w:t>
      </w:r>
      <w:r w:rsidRPr="004F7A0A">
        <w:t>. A sensitivity analysis was performed to evaluate the impact of reducing the mpMRI fee from $600 to $448 (</w:t>
      </w:r>
      <w:r>
        <w:t xml:space="preserve">100% MBS fee is </w:t>
      </w:r>
      <w:r w:rsidRPr="004F7A0A">
        <w:t>$403.20 for mpMRI plus $44.80 for contrast</w:t>
      </w:r>
      <w:r w:rsidR="00773C3B">
        <w:t>)</w:t>
      </w:r>
      <w:r>
        <w:t>, resulting in 85% MBS fee of $380.80</w:t>
      </w:r>
      <w:r w:rsidRPr="004F7A0A">
        <w:t xml:space="preserve">). </w:t>
      </w:r>
      <w:r w:rsidRPr="004F7A0A">
        <w:fldChar w:fldCharType="begin"/>
      </w:r>
      <w:r w:rsidRPr="004F7A0A">
        <w:instrText xml:space="preserve"> REF _Ref456625604 \h </w:instrText>
      </w:r>
      <w:r w:rsidRPr="004F7A0A">
        <w:fldChar w:fldCharType="separate"/>
      </w:r>
      <w:r w:rsidR="0029649D" w:rsidRPr="00EF0338">
        <w:t xml:space="preserve">Table </w:t>
      </w:r>
      <w:r w:rsidR="0029649D">
        <w:rPr>
          <w:noProof/>
        </w:rPr>
        <w:t>67</w:t>
      </w:r>
      <w:r w:rsidRPr="004F7A0A">
        <w:fldChar w:fldCharType="end"/>
      </w:r>
      <w:r w:rsidRPr="004F7A0A">
        <w:t xml:space="preserve"> shows the resulting impact on the MBS.</w:t>
      </w:r>
    </w:p>
    <w:p w14:paraId="77FEFCF9" w14:textId="77777777" w:rsidR="00742247" w:rsidRDefault="00742247" w:rsidP="00742247">
      <w:pPr>
        <w:pStyle w:val="Caption"/>
        <w:tabs>
          <w:tab w:val="left" w:pos="1134"/>
        </w:tabs>
        <w:ind w:left="1134" w:hanging="1134"/>
      </w:pPr>
      <w:bookmarkStart w:id="731" w:name="_Ref456625604"/>
      <w:bookmarkStart w:id="732" w:name="_Toc457383688"/>
      <w:bookmarkStart w:id="733" w:name="_Toc459987927"/>
      <w:bookmarkStart w:id="734" w:name="_Toc460514567"/>
      <w:bookmarkStart w:id="735" w:name="_Toc457223148"/>
      <w:r w:rsidRPr="00EF0338">
        <w:lastRenderedPageBreak/>
        <w:t xml:space="preserve">Table </w:t>
      </w:r>
      <w:fldSimple w:instr=" SEQ Table \* ARABIC ">
        <w:r w:rsidR="0029649D">
          <w:rPr>
            <w:noProof/>
          </w:rPr>
          <w:t>67</w:t>
        </w:r>
      </w:fldSimple>
      <w:bookmarkEnd w:id="731"/>
      <w:r w:rsidRPr="00EF0338">
        <w:tab/>
      </w:r>
      <w:r>
        <w:t xml:space="preserve">Sensitivity analyses: </w:t>
      </w:r>
      <w:r w:rsidRPr="00EF0338">
        <w:t>Total costs to the MBS associated with mpMRI for prostate</w:t>
      </w:r>
      <w:r>
        <w:t xml:space="preserve"> cancer</w:t>
      </w:r>
      <w:bookmarkEnd w:id="732"/>
      <w:bookmarkEnd w:id="733"/>
      <w:bookmarkEnd w:id="734"/>
      <w:r>
        <w:t xml:space="preserve"> </w:t>
      </w:r>
      <w:bookmarkEnd w:id="735"/>
    </w:p>
    <w:tbl>
      <w:tblPr>
        <w:tblW w:w="9112"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99"/>
        <w:gridCol w:w="1208"/>
        <w:gridCol w:w="1199"/>
        <w:gridCol w:w="1199"/>
        <w:gridCol w:w="1199"/>
        <w:gridCol w:w="1203"/>
        <w:gridCol w:w="1305"/>
      </w:tblGrid>
      <w:tr w:rsidR="00742247" w:rsidRPr="004768B3" w14:paraId="134FBE4D" w14:textId="77777777" w:rsidTr="004768B3">
        <w:trPr>
          <w:trHeight w:val="397"/>
          <w:tblHeader/>
        </w:trPr>
        <w:tc>
          <w:tcPr>
            <w:tcW w:w="987" w:type="pct"/>
          </w:tcPr>
          <w:p w14:paraId="0C3BE282" w14:textId="77777777" w:rsidR="00742247" w:rsidRPr="004768B3" w:rsidRDefault="00742247" w:rsidP="006A4478">
            <w:pPr>
              <w:pStyle w:val="Tableheading1"/>
              <w:keepNext/>
              <w:rPr>
                <w:snapToGrid w:val="0"/>
              </w:rPr>
            </w:pPr>
          </w:p>
        </w:tc>
        <w:tc>
          <w:tcPr>
            <w:tcW w:w="663" w:type="pct"/>
          </w:tcPr>
          <w:p w14:paraId="706D470D" w14:textId="77777777" w:rsidR="00742247" w:rsidRPr="004768B3" w:rsidRDefault="00742247" w:rsidP="006A4478">
            <w:pPr>
              <w:pStyle w:val="Tableheading1"/>
              <w:keepNext/>
              <w:rPr>
                <w:snapToGrid w:val="0"/>
              </w:rPr>
            </w:pPr>
            <w:r w:rsidRPr="004768B3">
              <w:rPr>
                <w:snapToGrid w:val="0"/>
              </w:rPr>
              <w:t>Year 1</w:t>
            </w:r>
          </w:p>
        </w:tc>
        <w:tc>
          <w:tcPr>
            <w:tcW w:w="658" w:type="pct"/>
          </w:tcPr>
          <w:p w14:paraId="2B4BB5E9" w14:textId="77777777" w:rsidR="00742247" w:rsidRPr="004768B3" w:rsidRDefault="00742247" w:rsidP="006A4478">
            <w:pPr>
              <w:pStyle w:val="Tableheading1"/>
              <w:keepNext/>
              <w:rPr>
                <w:snapToGrid w:val="0"/>
              </w:rPr>
            </w:pPr>
            <w:r w:rsidRPr="004768B3">
              <w:rPr>
                <w:snapToGrid w:val="0"/>
              </w:rPr>
              <w:t>Year 2</w:t>
            </w:r>
          </w:p>
        </w:tc>
        <w:tc>
          <w:tcPr>
            <w:tcW w:w="658" w:type="pct"/>
          </w:tcPr>
          <w:p w14:paraId="128E6C9C" w14:textId="77777777" w:rsidR="00742247" w:rsidRPr="004768B3" w:rsidRDefault="00742247" w:rsidP="006A4478">
            <w:pPr>
              <w:pStyle w:val="Tableheading1"/>
              <w:keepNext/>
              <w:rPr>
                <w:snapToGrid w:val="0"/>
              </w:rPr>
            </w:pPr>
            <w:r w:rsidRPr="004768B3">
              <w:rPr>
                <w:snapToGrid w:val="0"/>
              </w:rPr>
              <w:t>Year 3</w:t>
            </w:r>
          </w:p>
        </w:tc>
        <w:tc>
          <w:tcPr>
            <w:tcW w:w="658" w:type="pct"/>
          </w:tcPr>
          <w:p w14:paraId="7CE962A7" w14:textId="77777777" w:rsidR="00742247" w:rsidRPr="004768B3" w:rsidRDefault="00742247" w:rsidP="006A4478">
            <w:pPr>
              <w:pStyle w:val="Tableheading1"/>
              <w:keepNext/>
              <w:rPr>
                <w:snapToGrid w:val="0"/>
              </w:rPr>
            </w:pPr>
            <w:r w:rsidRPr="004768B3">
              <w:rPr>
                <w:snapToGrid w:val="0"/>
              </w:rPr>
              <w:t>Year 4</w:t>
            </w:r>
          </w:p>
        </w:tc>
        <w:tc>
          <w:tcPr>
            <w:tcW w:w="660" w:type="pct"/>
          </w:tcPr>
          <w:p w14:paraId="207A9389" w14:textId="77777777" w:rsidR="00742247" w:rsidRPr="004768B3" w:rsidRDefault="00742247" w:rsidP="006A4478">
            <w:pPr>
              <w:pStyle w:val="Tableheading1"/>
              <w:keepNext/>
              <w:rPr>
                <w:snapToGrid w:val="0"/>
              </w:rPr>
            </w:pPr>
            <w:r w:rsidRPr="004768B3">
              <w:rPr>
                <w:snapToGrid w:val="0"/>
              </w:rPr>
              <w:t>Year 5</w:t>
            </w:r>
          </w:p>
        </w:tc>
        <w:tc>
          <w:tcPr>
            <w:tcW w:w="716" w:type="pct"/>
          </w:tcPr>
          <w:p w14:paraId="197AB3C8" w14:textId="77777777" w:rsidR="00742247" w:rsidRPr="004768B3" w:rsidRDefault="00742247" w:rsidP="006A4478">
            <w:pPr>
              <w:pStyle w:val="Tableheading1"/>
              <w:keepNext/>
              <w:rPr>
                <w:rFonts w:eastAsia="MS Mincho"/>
                <w:snapToGrid w:val="0"/>
                <w:szCs w:val="20"/>
              </w:rPr>
            </w:pPr>
            <w:r w:rsidRPr="004768B3">
              <w:rPr>
                <w:rFonts w:eastAsia="MS Mincho"/>
                <w:snapToGrid w:val="0"/>
                <w:szCs w:val="20"/>
              </w:rPr>
              <w:t xml:space="preserve">Total </w:t>
            </w:r>
            <w:r w:rsidRPr="004768B3">
              <w:rPr>
                <w:rFonts w:eastAsia="MS Mincho"/>
                <w:snapToGrid w:val="0"/>
                <w:szCs w:val="20"/>
              </w:rPr>
              <w:br/>
              <w:t>(Year 1-5)</w:t>
            </w:r>
          </w:p>
        </w:tc>
      </w:tr>
      <w:tr w:rsidR="00742247" w:rsidRPr="004768B3" w14:paraId="5601EE47" w14:textId="77777777" w:rsidTr="004768B3">
        <w:trPr>
          <w:trHeight w:val="397"/>
          <w:tblHeader/>
        </w:trPr>
        <w:tc>
          <w:tcPr>
            <w:tcW w:w="5000" w:type="pct"/>
            <w:gridSpan w:val="7"/>
            <w:vAlign w:val="center"/>
          </w:tcPr>
          <w:p w14:paraId="75443DC0" w14:textId="5B7A4B2D" w:rsidR="00742247" w:rsidRPr="004768B3" w:rsidRDefault="00742247" w:rsidP="006A4478">
            <w:pPr>
              <w:pStyle w:val="Tabletext1"/>
              <w:keepNext/>
              <w:rPr>
                <w:rFonts w:eastAsia="MS Mincho"/>
              </w:rPr>
            </w:pPr>
            <w:r w:rsidRPr="004768B3">
              <w:rPr>
                <w:rFonts w:eastAsia="MS Mincho"/>
              </w:rPr>
              <w:t>Sensitivity analysis:</w:t>
            </w:r>
            <w:r w:rsidR="00FD109E">
              <w:rPr>
                <w:rFonts w:eastAsia="MS Mincho"/>
              </w:rPr>
              <w:t xml:space="preserve"> </w:t>
            </w:r>
            <w:r w:rsidRPr="004768B3">
              <w:rPr>
                <w:rFonts w:eastAsia="MS Mincho"/>
              </w:rPr>
              <w:t>Reduced MBS fee ($403.20 for mpMRI + $44.80 for contrast).</w:t>
            </w:r>
          </w:p>
        </w:tc>
      </w:tr>
      <w:tr w:rsidR="00742247" w:rsidRPr="004768B3" w14:paraId="7655956F" w14:textId="77777777" w:rsidTr="004768B3">
        <w:trPr>
          <w:trHeight w:val="397"/>
        </w:trPr>
        <w:tc>
          <w:tcPr>
            <w:tcW w:w="5000" w:type="pct"/>
            <w:gridSpan w:val="7"/>
            <w:tcBorders>
              <w:right w:val="single" w:sz="4" w:space="0" w:color="auto"/>
            </w:tcBorders>
            <w:shd w:val="clear" w:color="auto" w:fill="auto"/>
            <w:vAlign w:val="center"/>
          </w:tcPr>
          <w:p w14:paraId="231EF97A" w14:textId="77777777" w:rsidR="00742247" w:rsidRPr="004768B3" w:rsidRDefault="00742247" w:rsidP="006A4478">
            <w:pPr>
              <w:pStyle w:val="Tabletext1"/>
              <w:keepNext/>
              <w:rPr>
                <w:iCs/>
              </w:rPr>
            </w:pPr>
            <w:r w:rsidRPr="004768B3">
              <w:rPr>
                <w:rFonts w:cs="Arial"/>
                <w:iCs/>
                <w:szCs w:val="18"/>
              </w:rPr>
              <w:t>mpMRI</w:t>
            </w:r>
          </w:p>
        </w:tc>
      </w:tr>
      <w:tr w:rsidR="00742247" w:rsidRPr="005754F7" w14:paraId="606967F5" w14:textId="77777777" w:rsidTr="004768B3">
        <w:trPr>
          <w:trHeight w:val="397"/>
        </w:trPr>
        <w:tc>
          <w:tcPr>
            <w:tcW w:w="987" w:type="pct"/>
            <w:tcBorders>
              <w:bottom w:val="single" w:sz="4" w:space="0" w:color="auto"/>
              <w:right w:val="single" w:sz="4" w:space="0" w:color="auto"/>
            </w:tcBorders>
            <w:vAlign w:val="center"/>
          </w:tcPr>
          <w:p w14:paraId="4C52B48A" w14:textId="77777777" w:rsidR="00742247" w:rsidRPr="00EC6845" w:rsidRDefault="00742247" w:rsidP="006A4478">
            <w:pPr>
              <w:pStyle w:val="Tabletext1"/>
              <w:keepNext/>
              <w:rPr>
                <w:snapToGrid w:val="0"/>
              </w:rPr>
            </w:pPr>
            <w:r w:rsidRPr="00EC6845">
              <w:rPr>
                <w:snapToGrid w:val="0"/>
              </w:rPr>
              <w:t>Number of services</w:t>
            </w:r>
          </w:p>
        </w:tc>
        <w:tc>
          <w:tcPr>
            <w:tcW w:w="663" w:type="pct"/>
            <w:tcBorders>
              <w:left w:val="single" w:sz="4" w:space="0" w:color="auto"/>
              <w:bottom w:val="single" w:sz="4" w:space="0" w:color="auto"/>
              <w:right w:val="single" w:sz="4" w:space="0" w:color="auto"/>
            </w:tcBorders>
            <w:vAlign w:val="center"/>
          </w:tcPr>
          <w:p w14:paraId="1BE4FDA8" w14:textId="77777777" w:rsidR="00742247" w:rsidRPr="00195C6E" w:rsidRDefault="00742247" w:rsidP="006A4478">
            <w:pPr>
              <w:pStyle w:val="Tabletext1"/>
              <w:keepNext/>
            </w:pPr>
            <w:r w:rsidRPr="00195C6E">
              <w:t>20,149</w:t>
            </w:r>
          </w:p>
        </w:tc>
        <w:tc>
          <w:tcPr>
            <w:tcW w:w="658" w:type="pct"/>
            <w:tcBorders>
              <w:left w:val="single" w:sz="4" w:space="0" w:color="auto"/>
              <w:bottom w:val="single" w:sz="4" w:space="0" w:color="auto"/>
              <w:right w:val="single" w:sz="4" w:space="0" w:color="auto"/>
            </w:tcBorders>
            <w:vAlign w:val="center"/>
          </w:tcPr>
          <w:p w14:paraId="3AE3E29C" w14:textId="77777777" w:rsidR="00742247" w:rsidRPr="00195C6E" w:rsidRDefault="00742247" w:rsidP="006A4478">
            <w:pPr>
              <w:pStyle w:val="Tabletext1"/>
              <w:keepNext/>
            </w:pPr>
            <w:r w:rsidRPr="00195C6E">
              <w:t>20,149</w:t>
            </w:r>
          </w:p>
        </w:tc>
        <w:tc>
          <w:tcPr>
            <w:tcW w:w="658" w:type="pct"/>
            <w:tcBorders>
              <w:left w:val="single" w:sz="4" w:space="0" w:color="auto"/>
              <w:bottom w:val="single" w:sz="4" w:space="0" w:color="auto"/>
              <w:right w:val="single" w:sz="4" w:space="0" w:color="auto"/>
            </w:tcBorders>
            <w:vAlign w:val="center"/>
          </w:tcPr>
          <w:p w14:paraId="53794693" w14:textId="77777777" w:rsidR="00742247" w:rsidRPr="00195C6E" w:rsidRDefault="00742247" w:rsidP="006A4478">
            <w:pPr>
              <w:pStyle w:val="Tabletext1"/>
              <w:keepNext/>
            </w:pPr>
            <w:r w:rsidRPr="00195C6E">
              <w:t>20,149</w:t>
            </w:r>
          </w:p>
        </w:tc>
        <w:tc>
          <w:tcPr>
            <w:tcW w:w="658" w:type="pct"/>
            <w:tcBorders>
              <w:left w:val="single" w:sz="4" w:space="0" w:color="auto"/>
              <w:bottom w:val="single" w:sz="4" w:space="0" w:color="auto"/>
              <w:right w:val="single" w:sz="4" w:space="0" w:color="auto"/>
            </w:tcBorders>
            <w:vAlign w:val="center"/>
          </w:tcPr>
          <w:p w14:paraId="6E954F50" w14:textId="77777777" w:rsidR="00742247" w:rsidRPr="00195C6E" w:rsidRDefault="00742247" w:rsidP="006A4478">
            <w:pPr>
              <w:pStyle w:val="Tabletext1"/>
              <w:keepNext/>
            </w:pPr>
            <w:r w:rsidRPr="00195C6E">
              <w:t>20,149</w:t>
            </w:r>
          </w:p>
        </w:tc>
        <w:tc>
          <w:tcPr>
            <w:tcW w:w="660" w:type="pct"/>
            <w:tcBorders>
              <w:left w:val="single" w:sz="4" w:space="0" w:color="auto"/>
              <w:bottom w:val="single" w:sz="4" w:space="0" w:color="auto"/>
              <w:right w:val="single" w:sz="4" w:space="0" w:color="auto"/>
            </w:tcBorders>
            <w:vAlign w:val="center"/>
          </w:tcPr>
          <w:p w14:paraId="7110AF10" w14:textId="77777777" w:rsidR="00742247" w:rsidRPr="00195C6E" w:rsidRDefault="00742247" w:rsidP="006A4478">
            <w:pPr>
              <w:pStyle w:val="Tabletext1"/>
              <w:keepNext/>
            </w:pPr>
            <w:r w:rsidRPr="00195C6E">
              <w:t>20,149</w:t>
            </w:r>
          </w:p>
        </w:tc>
        <w:tc>
          <w:tcPr>
            <w:tcW w:w="716" w:type="pct"/>
            <w:tcBorders>
              <w:left w:val="single" w:sz="4" w:space="0" w:color="auto"/>
              <w:bottom w:val="single" w:sz="4" w:space="0" w:color="auto"/>
              <w:right w:val="single" w:sz="4" w:space="0" w:color="auto"/>
            </w:tcBorders>
            <w:vAlign w:val="center"/>
          </w:tcPr>
          <w:p w14:paraId="2818F485" w14:textId="77777777" w:rsidR="00742247" w:rsidRPr="00195C6E" w:rsidRDefault="00742247" w:rsidP="006A4478">
            <w:pPr>
              <w:pStyle w:val="Tabletext1"/>
              <w:keepNext/>
            </w:pPr>
            <w:r w:rsidRPr="00195C6E">
              <w:t>100,745</w:t>
            </w:r>
          </w:p>
        </w:tc>
      </w:tr>
      <w:tr w:rsidR="00742247" w:rsidRPr="004768B3" w14:paraId="212F44E8" w14:textId="77777777" w:rsidTr="004768B3">
        <w:trPr>
          <w:trHeight w:val="397"/>
        </w:trPr>
        <w:tc>
          <w:tcPr>
            <w:tcW w:w="987" w:type="pct"/>
            <w:tcBorders>
              <w:right w:val="nil"/>
            </w:tcBorders>
            <w:vAlign w:val="center"/>
          </w:tcPr>
          <w:p w14:paraId="46C61372" w14:textId="77777777" w:rsidR="00742247" w:rsidRPr="004768B3" w:rsidRDefault="00742247" w:rsidP="006A4478">
            <w:pPr>
              <w:pStyle w:val="Tabletext1"/>
              <w:keepNext/>
              <w:rPr>
                <w:snapToGrid w:val="0"/>
              </w:rPr>
            </w:pPr>
            <w:r w:rsidRPr="004768B3">
              <w:rPr>
                <w:snapToGrid w:val="0"/>
              </w:rPr>
              <w:t>Cost to the MBS</w:t>
            </w:r>
          </w:p>
        </w:tc>
        <w:tc>
          <w:tcPr>
            <w:tcW w:w="663" w:type="pct"/>
            <w:tcBorders>
              <w:left w:val="nil"/>
              <w:right w:val="nil"/>
            </w:tcBorders>
            <w:vAlign w:val="center"/>
          </w:tcPr>
          <w:p w14:paraId="37E4D667" w14:textId="77777777" w:rsidR="00742247" w:rsidRPr="004768B3" w:rsidRDefault="00742247" w:rsidP="006A4478">
            <w:pPr>
              <w:pStyle w:val="Tabletext1"/>
              <w:keepNext/>
            </w:pPr>
          </w:p>
        </w:tc>
        <w:tc>
          <w:tcPr>
            <w:tcW w:w="658" w:type="pct"/>
            <w:tcBorders>
              <w:left w:val="nil"/>
              <w:right w:val="nil"/>
            </w:tcBorders>
            <w:vAlign w:val="center"/>
          </w:tcPr>
          <w:p w14:paraId="61020D06" w14:textId="77777777" w:rsidR="00742247" w:rsidRPr="004768B3" w:rsidRDefault="00742247" w:rsidP="006A4478">
            <w:pPr>
              <w:pStyle w:val="Tabletext1"/>
              <w:keepNext/>
            </w:pPr>
          </w:p>
        </w:tc>
        <w:tc>
          <w:tcPr>
            <w:tcW w:w="658" w:type="pct"/>
            <w:tcBorders>
              <w:left w:val="nil"/>
              <w:right w:val="nil"/>
            </w:tcBorders>
            <w:vAlign w:val="center"/>
          </w:tcPr>
          <w:p w14:paraId="26BA96B1" w14:textId="77777777" w:rsidR="00742247" w:rsidRPr="004768B3" w:rsidRDefault="00742247" w:rsidP="006A4478">
            <w:pPr>
              <w:pStyle w:val="Tabletext1"/>
              <w:keepNext/>
            </w:pPr>
          </w:p>
        </w:tc>
        <w:tc>
          <w:tcPr>
            <w:tcW w:w="658" w:type="pct"/>
            <w:tcBorders>
              <w:left w:val="nil"/>
              <w:right w:val="nil"/>
            </w:tcBorders>
            <w:vAlign w:val="center"/>
          </w:tcPr>
          <w:p w14:paraId="5F33D346" w14:textId="77777777" w:rsidR="00742247" w:rsidRPr="004768B3" w:rsidRDefault="00742247" w:rsidP="006A4478">
            <w:pPr>
              <w:pStyle w:val="Tabletext1"/>
              <w:keepNext/>
            </w:pPr>
          </w:p>
        </w:tc>
        <w:tc>
          <w:tcPr>
            <w:tcW w:w="660" w:type="pct"/>
            <w:tcBorders>
              <w:left w:val="nil"/>
              <w:right w:val="nil"/>
            </w:tcBorders>
            <w:vAlign w:val="center"/>
          </w:tcPr>
          <w:p w14:paraId="623D0F80" w14:textId="77777777" w:rsidR="00742247" w:rsidRPr="004768B3" w:rsidRDefault="00742247" w:rsidP="006A4478">
            <w:pPr>
              <w:pStyle w:val="Tabletext1"/>
              <w:keepNext/>
            </w:pPr>
          </w:p>
        </w:tc>
        <w:tc>
          <w:tcPr>
            <w:tcW w:w="716" w:type="pct"/>
            <w:tcBorders>
              <w:left w:val="nil"/>
              <w:right w:val="single" w:sz="4" w:space="0" w:color="auto"/>
            </w:tcBorders>
            <w:vAlign w:val="center"/>
          </w:tcPr>
          <w:p w14:paraId="5B8890FE" w14:textId="77777777" w:rsidR="00742247" w:rsidRPr="004768B3" w:rsidRDefault="00742247" w:rsidP="006A4478">
            <w:pPr>
              <w:pStyle w:val="Tabletext1"/>
              <w:keepNext/>
            </w:pPr>
          </w:p>
        </w:tc>
      </w:tr>
      <w:tr w:rsidR="00742247" w:rsidRPr="005754F7" w14:paraId="02AFC5A6" w14:textId="77777777" w:rsidTr="004768B3">
        <w:trPr>
          <w:trHeight w:val="397"/>
        </w:trPr>
        <w:tc>
          <w:tcPr>
            <w:tcW w:w="987" w:type="pct"/>
            <w:tcBorders>
              <w:right w:val="single" w:sz="4" w:space="0" w:color="auto"/>
            </w:tcBorders>
          </w:tcPr>
          <w:p w14:paraId="2D732996" w14:textId="77777777" w:rsidR="00742247" w:rsidRPr="00EC6845" w:rsidRDefault="00742247" w:rsidP="006A4478">
            <w:pPr>
              <w:pStyle w:val="Tabletext1"/>
              <w:keepNext/>
              <w:rPr>
                <w:snapToGrid w:val="0"/>
              </w:rPr>
            </w:pPr>
            <w:r w:rsidRPr="00516098">
              <w:rPr>
                <w:snapToGrid w:val="0"/>
              </w:rPr>
              <w:t>Population 1</w:t>
            </w:r>
          </w:p>
        </w:tc>
        <w:tc>
          <w:tcPr>
            <w:tcW w:w="663" w:type="pct"/>
            <w:tcBorders>
              <w:left w:val="single" w:sz="4" w:space="0" w:color="auto"/>
              <w:right w:val="single" w:sz="4" w:space="0" w:color="auto"/>
            </w:tcBorders>
            <w:vAlign w:val="bottom"/>
          </w:tcPr>
          <w:p w14:paraId="360F26E6" w14:textId="77777777" w:rsidR="00742247" w:rsidRPr="00195C6E" w:rsidRDefault="00742247" w:rsidP="006A4478">
            <w:pPr>
              <w:pStyle w:val="Tabletext1"/>
              <w:keepNext/>
            </w:pPr>
            <w:r w:rsidRPr="00094D04">
              <w:t>$5,055,501</w:t>
            </w:r>
          </w:p>
        </w:tc>
        <w:tc>
          <w:tcPr>
            <w:tcW w:w="658" w:type="pct"/>
            <w:tcBorders>
              <w:left w:val="single" w:sz="4" w:space="0" w:color="auto"/>
              <w:right w:val="single" w:sz="4" w:space="0" w:color="auto"/>
            </w:tcBorders>
            <w:vAlign w:val="bottom"/>
          </w:tcPr>
          <w:p w14:paraId="7E54235D" w14:textId="77777777" w:rsidR="00742247" w:rsidRPr="00195C6E" w:rsidRDefault="00742247" w:rsidP="006A4478">
            <w:pPr>
              <w:pStyle w:val="Tabletext1"/>
              <w:keepNext/>
            </w:pPr>
            <w:r w:rsidRPr="00094D04">
              <w:t>$5,055,501</w:t>
            </w:r>
          </w:p>
        </w:tc>
        <w:tc>
          <w:tcPr>
            <w:tcW w:w="658" w:type="pct"/>
            <w:tcBorders>
              <w:left w:val="single" w:sz="4" w:space="0" w:color="auto"/>
              <w:right w:val="single" w:sz="4" w:space="0" w:color="auto"/>
            </w:tcBorders>
            <w:vAlign w:val="bottom"/>
          </w:tcPr>
          <w:p w14:paraId="7CDD9081" w14:textId="77777777" w:rsidR="00742247" w:rsidRPr="00195C6E" w:rsidRDefault="00742247" w:rsidP="006A4478">
            <w:pPr>
              <w:pStyle w:val="Tabletext1"/>
              <w:keepNext/>
            </w:pPr>
            <w:r w:rsidRPr="00094D04">
              <w:t>$5,055,501</w:t>
            </w:r>
          </w:p>
        </w:tc>
        <w:tc>
          <w:tcPr>
            <w:tcW w:w="658" w:type="pct"/>
            <w:tcBorders>
              <w:left w:val="single" w:sz="4" w:space="0" w:color="auto"/>
              <w:right w:val="single" w:sz="4" w:space="0" w:color="auto"/>
            </w:tcBorders>
            <w:vAlign w:val="bottom"/>
          </w:tcPr>
          <w:p w14:paraId="5AFDB074" w14:textId="77777777" w:rsidR="00742247" w:rsidRPr="00195C6E" w:rsidRDefault="00742247" w:rsidP="006A4478">
            <w:pPr>
              <w:pStyle w:val="Tabletext1"/>
              <w:keepNext/>
            </w:pPr>
            <w:r w:rsidRPr="00094D04">
              <w:t>$5,055,501</w:t>
            </w:r>
          </w:p>
        </w:tc>
        <w:tc>
          <w:tcPr>
            <w:tcW w:w="660" w:type="pct"/>
            <w:tcBorders>
              <w:left w:val="single" w:sz="4" w:space="0" w:color="auto"/>
              <w:right w:val="single" w:sz="4" w:space="0" w:color="auto"/>
            </w:tcBorders>
            <w:vAlign w:val="bottom"/>
          </w:tcPr>
          <w:p w14:paraId="51673B44" w14:textId="77777777" w:rsidR="00742247" w:rsidRPr="00195C6E" w:rsidRDefault="00742247" w:rsidP="006A4478">
            <w:pPr>
              <w:pStyle w:val="Tabletext1"/>
              <w:keepNext/>
            </w:pPr>
            <w:r w:rsidRPr="00094D04">
              <w:t>$5,055,501</w:t>
            </w:r>
          </w:p>
        </w:tc>
        <w:tc>
          <w:tcPr>
            <w:tcW w:w="716" w:type="pct"/>
            <w:tcBorders>
              <w:left w:val="single" w:sz="4" w:space="0" w:color="auto"/>
              <w:right w:val="single" w:sz="4" w:space="0" w:color="auto"/>
            </w:tcBorders>
            <w:vAlign w:val="bottom"/>
          </w:tcPr>
          <w:p w14:paraId="0059737A" w14:textId="77777777" w:rsidR="00742247" w:rsidRPr="00195C6E" w:rsidRDefault="00742247" w:rsidP="006A4478">
            <w:pPr>
              <w:pStyle w:val="Tabletext1"/>
              <w:keepNext/>
            </w:pPr>
            <w:r w:rsidRPr="00094D04">
              <w:t>$25,277,504</w:t>
            </w:r>
          </w:p>
        </w:tc>
      </w:tr>
      <w:tr w:rsidR="00742247" w:rsidRPr="005754F7" w14:paraId="4F8F0072" w14:textId="77777777" w:rsidTr="004768B3">
        <w:trPr>
          <w:trHeight w:val="397"/>
        </w:trPr>
        <w:tc>
          <w:tcPr>
            <w:tcW w:w="987" w:type="pct"/>
            <w:tcBorders>
              <w:right w:val="single" w:sz="4" w:space="0" w:color="auto"/>
            </w:tcBorders>
          </w:tcPr>
          <w:p w14:paraId="2C3E18DF" w14:textId="77777777" w:rsidR="00742247" w:rsidRPr="00EC6845" w:rsidRDefault="00742247" w:rsidP="006A4478">
            <w:pPr>
              <w:pStyle w:val="Tabletext1"/>
              <w:keepNext/>
              <w:rPr>
                <w:snapToGrid w:val="0"/>
              </w:rPr>
            </w:pPr>
            <w:r w:rsidRPr="00516098">
              <w:rPr>
                <w:snapToGrid w:val="0"/>
              </w:rPr>
              <w:t>Population 2</w:t>
            </w:r>
          </w:p>
        </w:tc>
        <w:tc>
          <w:tcPr>
            <w:tcW w:w="663" w:type="pct"/>
            <w:tcBorders>
              <w:left w:val="single" w:sz="4" w:space="0" w:color="auto"/>
              <w:right w:val="single" w:sz="4" w:space="0" w:color="auto"/>
            </w:tcBorders>
            <w:vAlign w:val="bottom"/>
          </w:tcPr>
          <w:p w14:paraId="654CE143" w14:textId="77777777" w:rsidR="00742247" w:rsidRPr="00195C6E" w:rsidRDefault="00742247" w:rsidP="006A4478">
            <w:pPr>
              <w:pStyle w:val="Tabletext1"/>
              <w:keepNext/>
            </w:pPr>
            <w:r w:rsidRPr="00094D04">
              <w:t>$2,617,238</w:t>
            </w:r>
          </w:p>
        </w:tc>
        <w:tc>
          <w:tcPr>
            <w:tcW w:w="658" w:type="pct"/>
            <w:tcBorders>
              <w:left w:val="single" w:sz="4" w:space="0" w:color="auto"/>
              <w:right w:val="single" w:sz="4" w:space="0" w:color="auto"/>
            </w:tcBorders>
            <w:vAlign w:val="bottom"/>
          </w:tcPr>
          <w:p w14:paraId="516AC57B" w14:textId="77777777" w:rsidR="00742247" w:rsidRPr="00195C6E" w:rsidRDefault="00742247" w:rsidP="006A4478">
            <w:pPr>
              <w:pStyle w:val="Tabletext1"/>
              <w:keepNext/>
            </w:pPr>
            <w:r w:rsidRPr="00094D04">
              <w:t>$2,617,238</w:t>
            </w:r>
          </w:p>
        </w:tc>
        <w:tc>
          <w:tcPr>
            <w:tcW w:w="658" w:type="pct"/>
            <w:tcBorders>
              <w:left w:val="single" w:sz="4" w:space="0" w:color="auto"/>
              <w:right w:val="single" w:sz="4" w:space="0" w:color="auto"/>
            </w:tcBorders>
            <w:vAlign w:val="bottom"/>
          </w:tcPr>
          <w:p w14:paraId="0826E4C4" w14:textId="77777777" w:rsidR="00742247" w:rsidRPr="00195C6E" w:rsidRDefault="00742247" w:rsidP="006A4478">
            <w:pPr>
              <w:pStyle w:val="Tabletext1"/>
              <w:keepNext/>
            </w:pPr>
            <w:r w:rsidRPr="00094D04">
              <w:t>$2,617,238</w:t>
            </w:r>
          </w:p>
        </w:tc>
        <w:tc>
          <w:tcPr>
            <w:tcW w:w="658" w:type="pct"/>
            <w:tcBorders>
              <w:left w:val="single" w:sz="4" w:space="0" w:color="auto"/>
              <w:right w:val="single" w:sz="4" w:space="0" w:color="auto"/>
            </w:tcBorders>
            <w:vAlign w:val="bottom"/>
          </w:tcPr>
          <w:p w14:paraId="5722E7F4" w14:textId="77777777" w:rsidR="00742247" w:rsidRPr="00195C6E" w:rsidRDefault="00742247" w:rsidP="006A4478">
            <w:pPr>
              <w:pStyle w:val="Tabletext1"/>
              <w:keepNext/>
            </w:pPr>
            <w:r w:rsidRPr="00094D04">
              <w:t>$2,617,238</w:t>
            </w:r>
          </w:p>
        </w:tc>
        <w:tc>
          <w:tcPr>
            <w:tcW w:w="660" w:type="pct"/>
            <w:tcBorders>
              <w:left w:val="single" w:sz="4" w:space="0" w:color="auto"/>
              <w:right w:val="single" w:sz="4" w:space="0" w:color="auto"/>
            </w:tcBorders>
            <w:vAlign w:val="bottom"/>
          </w:tcPr>
          <w:p w14:paraId="712950AE" w14:textId="77777777" w:rsidR="00742247" w:rsidRPr="00195C6E" w:rsidRDefault="00742247" w:rsidP="006A4478">
            <w:pPr>
              <w:pStyle w:val="Tabletext1"/>
              <w:keepNext/>
            </w:pPr>
            <w:r w:rsidRPr="00094D04">
              <w:t>$2,617,238</w:t>
            </w:r>
          </w:p>
        </w:tc>
        <w:tc>
          <w:tcPr>
            <w:tcW w:w="716" w:type="pct"/>
            <w:tcBorders>
              <w:left w:val="single" w:sz="4" w:space="0" w:color="auto"/>
              <w:right w:val="single" w:sz="4" w:space="0" w:color="auto"/>
            </w:tcBorders>
            <w:vAlign w:val="bottom"/>
          </w:tcPr>
          <w:p w14:paraId="590929A2" w14:textId="77777777" w:rsidR="00742247" w:rsidRPr="00195C6E" w:rsidRDefault="00742247" w:rsidP="006A4478">
            <w:pPr>
              <w:pStyle w:val="Tabletext1"/>
              <w:keepNext/>
            </w:pPr>
            <w:r w:rsidRPr="00094D04">
              <w:t>$13,086,192</w:t>
            </w:r>
          </w:p>
        </w:tc>
      </w:tr>
      <w:tr w:rsidR="00742247" w:rsidRPr="005754F7" w14:paraId="63ECDAE4" w14:textId="77777777" w:rsidTr="004768B3">
        <w:trPr>
          <w:trHeight w:val="397"/>
        </w:trPr>
        <w:tc>
          <w:tcPr>
            <w:tcW w:w="987" w:type="pct"/>
            <w:tcBorders>
              <w:right w:val="single" w:sz="4" w:space="0" w:color="auto"/>
            </w:tcBorders>
            <w:vAlign w:val="center"/>
          </w:tcPr>
          <w:p w14:paraId="3C10F207" w14:textId="77777777" w:rsidR="00742247" w:rsidRPr="00EC6845" w:rsidRDefault="00742247" w:rsidP="006A4478">
            <w:pPr>
              <w:pStyle w:val="Tabletext1"/>
              <w:keepNext/>
              <w:rPr>
                <w:snapToGrid w:val="0"/>
              </w:rPr>
            </w:pPr>
            <w:r>
              <w:rPr>
                <w:snapToGrid w:val="0"/>
              </w:rPr>
              <w:t>Total</w:t>
            </w:r>
          </w:p>
        </w:tc>
        <w:tc>
          <w:tcPr>
            <w:tcW w:w="663" w:type="pct"/>
            <w:tcBorders>
              <w:left w:val="single" w:sz="4" w:space="0" w:color="auto"/>
              <w:right w:val="single" w:sz="4" w:space="0" w:color="auto"/>
            </w:tcBorders>
            <w:vAlign w:val="center"/>
          </w:tcPr>
          <w:p w14:paraId="7121BD7F" w14:textId="77777777" w:rsidR="00742247" w:rsidRPr="00195C6E" w:rsidRDefault="00742247" w:rsidP="006A4478">
            <w:pPr>
              <w:pStyle w:val="Tabletext1"/>
              <w:keepNext/>
            </w:pPr>
            <w:r w:rsidRPr="00195C6E">
              <w:t>$7,672,739</w:t>
            </w:r>
          </w:p>
        </w:tc>
        <w:tc>
          <w:tcPr>
            <w:tcW w:w="658" w:type="pct"/>
            <w:tcBorders>
              <w:left w:val="single" w:sz="4" w:space="0" w:color="auto"/>
              <w:right w:val="single" w:sz="4" w:space="0" w:color="auto"/>
            </w:tcBorders>
            <w:vAlign w:val="center"/>
          </w:tcPr>
          <w:p w14:paraId="366FB1DD" w14:textId="77777777" w:rsidR="00742247" w:rsidRPr="00195C6E" w:rsidRDefault="00742247" w:rsidP="006A4478">
            <w:pPr>
              <w:pStyle w:val="Tabletext1"/>
              <w:keepNext/>
            </w:pPr>
            <w:r w:rsidRPr="00195C6E">
              <w:t>$7,672,739</w:t>
            </w:r>
          </w:p>
        </w:tc>
        <w:tc>
          <w:tcPr>
            <w:tcW w:w="658" w:type="pct"/>
            <w:tcBorders>
              <w:left w:val="single" w:sz="4" w:space="0" w:color="auto"/>
              <w:right w:val="single" w:sz="4" w:space="0" w:color="auto"/>
            </w:tcBorders>
            <w:vAlign w:val="center"/>
          </w:tcPr>
          <w:p w14:paraId="7607475E" w14:textId="77777777" w:rsidR="00742247" w:rsidRPr="00195C6E" w:rsidRDefault="00742247" w:rsidP="006A4478">
            <w:pPr>
              <w:pStyle w:val="Tabletext1"/>
              <w:keepNext/>
            </w:pPr>
            <w:r w:rsidRPr="00195C6E">
              <w:t>$7,672,739</w:t>
            </w:r>
          </w:p>
        </w:tc>
        <w:tc>
          <w:tcPr>
            <w:tcW w:w="658" w:type="pct"/>
            <w:tcBorders>
              <w:left w:val="single" w:sz="4" w:space="0" w:color="auto"/>
              <w:right w:val="single" w:sz="4" w:space="0" w:color="auto"/>
            </w:tcBorders>
            <w:vAlign w:val="center"/>
          </w:tcPr>
          <w:p w14:paraId="1049EA6C" w14:textId="77777777" w:rsidR="00742247" w:rsidRPr="00195C6E" w:rsidRDefault="00742247" w:rsidP="006A4478">
            <w:pPr>
              <w:pStyle w:val="Tabletext1"/>
              <w:keepNext/>
            </w:pPr>
            <w:r w:rsidRPr="00195C6E">
              <w:t>$7,672,739</w:t>
            </w:r>
          </w:p>
        </w:tc>
        <w:tc>
          <w:tcPr>
            <w:tcW w:w="660" w:type="pct"/>
            <w:tcBorders>
              <w:left w:val="single" w:sz="4" w:space="0" w:color="auto"/>
              <w:right w:val="single" w:sz="4" w:space="0" w:color="auto"/>
            </w:tcBorders>
            <w:vAlign w:val="center"/>
          </w:tcPr>
          <w:p w14:paraId="7EB2DBB7" w14:textId="77777777" w:rsidR="00742247" w:rsidRPr="00195C6E" w:rsidRDefault="00742247" w:rsidP="006A4478">
            <w:pPr>
              <w:pStyle w:val="Tabletext1"/>
              <w:keepNext/>
            </w:pPr>
            <w:r w:rsidRPr="00195C6E">
              <w:t>$7,672,739</w:t>
            </w:r>
          </w:p>
        </w:tc>
        <w:tc>
          <w:tcPr>
            <w:tcW w:w="716" w:type="pct"/>
            <w:tcBorders>
              <w:left w:val="single" w:sz="4" w:space="0" w:color="auto"/>
              <w:right w:val="single" w:sz="4" w:space="0" w:color="auto"/>
            </w:tcBorders>
            <w:vAlign w:val="center"/>
          </w:tcPr>
          <w:p w14:paraId="2EA3FB4F" w14:textId="77777777" w:rsidR="00742247" w:rsidRPr="00195C6E" w:rsidRDefault="00742247" w:rsidP="006A4478">
            <w:pPr>
              <w:pStyle w:val="Tabletext1"/>
              <w:keepNext/>
            </w:pPr>
            <w:r w:rsidRPr="00195C6E">
              <w:t>$38,363,696</w:t>
            </w:r>
          </w:p>
        </w:tc>
      </w:tr>
      <w:tr w:rsidR="00742247" w:rsidRPr="004768B3" w14:paraId="70C14D00" w14:textId="77777777" w:rsidTr="004768B3">
        <w:trPr>
          <w:trHeight w:val="397"/>
        </w:trPr>
        <w:tc>
          <w:tcPr>
            <w:tcW w:w="5000" w:type="pct"/>
            <w:gridSpan w:val="7"/>
            <w:tcBorders>
              <w:right w:val="single" w:sz="4" w:space="0" w:color="auto"/>
            </w:tcBorders>
            <w:vAlign w:val="center"/>
          </w:tcPr>
          <w:p w14:paraId="10964AD3" w14:textId="77777777" w:rsidR="00742247" w:rsidRPr="004768B3" w:rsidRDefault="00742247" w:rsidP="006A4478">
            <w:pPr>
              <w:pStyle w:val="Tabletext1"/>
              <w:keepNext/>
              <w:rPr>
                <w:rFonts w:cs="Arial"/>
                <w:iCs/>
                <w:szCs w:val="18"/>
              </w:rPr>
            </w:pPr>
            <w:r w:rsidRPr="004768B3">
              <w:rPr>
                <w:rFonts w:cs="Arial"/>
                <w:iCs/>
                <w:szCs w:val="18"/>
              </w:rPr>
              <w:t>Prostate biopsies avoided</w:t>
            </w:r>
          </w:p>
        </w:tc>
      </w:tr>
      <w:tr w:rsidR="00742247" w:rsidRPr="005754F7" w14:paraId="127B6A0F" w14:textId="77777777" w:rsidTr="004768B3">
        <w:trPr>
          <w:trHeight w:val="397"/>
        </w:trPr>
        <w:tc>
          <w:tcPr>
            <w:tcW w:w="987" w:type="pct"/>
            <w:tcBorders>
              <w:bottom w:val="single" w:sz="4" w:space="0" w:color="auto"/>
            </w:tcBorders>
            <w:vAlign w:val="center"/>
          </w:tcPr>
          <w:p w14:paraId="42B3FCB9" w14:textId="77777777" w:rsidR="00742247" w:rsidRPr="00EC6845" w:rsidRDefault="00742247" w:rsidP="006A4478">
            <w:pPr>
              <w:pStyle w:val="Tabletext1"/>
              <w:keepNext/>
              <w:rPr>
                <w:snapToGrid w:val="0"/>
              </w:rPr>
            </w:pPr>
            <w:r w:rsidRPr="00EC6845">
              <w:rPr>
                <w:snapToGrid w:val="0"/>
              </w:rPr>
              <w:t>Number of services</w:t>
            </w:r>
          </w:p>
        </w:tc>
        <w:tc>
          <w:tcPr>
            <w:tcW w:w="663" w:type="pct"/>
            <w:tcBorders>
              <w:bottom w:val="single" w:sz="4" w:space="0" w:color="auto"/>
            </w:tcBorders>
            <w:vAlign w:val="center"/>
          </w:tcPr>
          <w:p w14:paraId="0DF32B7D" w14:textId="77777777" w:rsidR="00742247" w:rsidRPr="00195C6E" w:rsidRDefault="00742247" w:rsidP="006A4478">
            <w:pPr>
              <w:pStyle w:val="Tabletext1"/>
              <w:keepNext/>
            </w:pPr>
            <w:r w:rsidRPr="00195C6E">
              <w:t>-5,661</w:t>
            </w:r>
          </w:p>
        </w:tc>
        <w:tc>
          <w:tcPr>
            <w:tcW w:w="658" w:type="pct"/>
            <w:tcBorders>
              <w:bottom w:val="single" w:sz="4" w:space="0" w:color="auto"/>
            </w:tcBorders>
            <w:vAlign w:val="center"/>
          </w:tcPr>
          <w:p w14:paraId="44D80B90" w14:textId="77777777" w:rsidR="00742247" w:rsidRPr="00195C6E" w:rsidRDefault="00742247" w:rsidP="006A4478">
            <w:pPr>
              <w:pStyle w:val="Tabletext1"/>
              <w:keepNext/>
            </w:pPr>
            <w:r w:rsidRPr="00195C6E">
              <w:t>-5,661</w:t>
            </w:r>
          </w:p>
        </w:tc>
        <w:tc>
          <w:tcPr>
            <w:tcW w:w="658" w:type="pct"/>
            <w:tcBorders>
              <w:bottom w:val="single" w:sz="4" w:space="0" w:color="auto"/>
            </w:tcBorders>
            <w:vAlign w:val="center"/>
          </w:tcPr>
          <w:p w14:paraId="2F407326" w14:textId="77777777" w:rsidR="00742247" w:rsidRPr="00195C6E" w:rsidRDefault="00742247" w:rsidP="006A4478">
            <w:pPr>
              <w:pStyle w:val="Tabletext1"/>
              <w:keepNext/>
            </w:pPr>
            <w:r w:rsidRPr="00195C6E">
              <w:t>-5,661</w:t>
            </w:r>
          </w:p>
        </w:tc>
        <w:tc>
          <w:tcPr>
            <w:tcW w:w="658" w:type="pct"/>
            <w:tcBorders>
              <w:bottom w:val="single" w:sz="4" w:space="0" w:color="auto"/>
            </w:tcBorders>
            <w:vAlign w:val="center"/>
          </w:tcPr>
          <w:p w14:paraId="568E387E" w14:textId="77777777" w:rsidR="00742247" w:rsidRPr="00195C6E" w:rsidRDefault="00742247" w:rsidP="006A4478">
            <w:pPr>
              <w:pStyle w:val="Tabletext1"/>
              <w:keepNext/>
            </w:pPr>
            <w:r w:rsidRPr="00195C6E">
              <w:t>-5,661</w:t>
            </w:r>
          </w:p>
        </w:tc>
        <w:tc>
          <w:tcPr>
            <w:tcW w:w="660" w:type="pct"/>
            <w:tcBorders>
              <w:bottom w:val="single" w:sz="4" w:space="0" w:color="auto"/>
            </w:tcBorders>
            <w:vAlign w:val="center"/>
          </w:tcPr>
          <w:p w14:paraId="291A22C0" w14:textId="77777777" w:rsidR="00742247" w:rsidRPr="00195C6E" w:rsidRDefault="00742247" w:rsidP="006A4478">
            <w:pPr>
              <w:pStyle w:val="Tabletext1"/>
              <w:keepNext/>
            </w:pPr>
            <w:r w:rsidRPr="00195C6E">
              <w:t>-5,661</w:t>
            </w:r>
          </w:p>
        </w:tc>
        <w:tc>
          <w:tcPr>
            <w:tcW w:w="716" w:type="pct"/>
            <w:tcBorders>
              <w:bottom w:val="single" w:sz="4" w:space="0" w:color="auto"/>
            </w:tcBorders>
            <w:vAlign w:val="center"/>
          </w:tcPr>
          <w:p w14:paraId="6AB3E595" w14:textId="77777777" w:rsidR="00742247" w:rsidRPr="00195C6E" w:rsidRDefault="00742247" w:rsidP="006A4478">
            <w:pPr>
              <w:pStyle w:val="Tabletext1"/>
              <w:keepNext/>
            </w:pPr>
            <w:r w:rsidRPr="00195C6E">
              <w:t>-28,306</w:t>
            </w:r>
          </w:p>
        </w:tc>
      </w:tr>
      <w:tr w:rsidR="00742247" w:rsidRPr="004768B3" w14:paraId="47B27858" w14:textId="77777777" w:rsidTr="004768B3">
        <w:trPr>
          <w:trHeight w:val="397"/>
        </w:trPr>
        <w:tc>
          <w:tcPr>
            <w:tcW w:w="987" w:type="pct"/>
            <w:tcBorders>
              <w:right w:val="nil"/>
            </w:tcBorders>
            <w:vAlign w:val="center"/>
          </w:tcPr>
          <w:p w14:paraId="23A08EA1" w14:textId="77777777" w:rsidR="00742247" w:rsidRPr="004768B3" w:rsidRDefault="00742247" w:rsidP="006A4478">
            <w:pPr>
              <w:pStyle w:val="Tabletext1"/>
              <w:keepNext/>
              <w:rPr>
                <w:snapToGrid w:val="0"/>
              </w:rPr>
            </w:pPr>
            <w:r w:rsidRPr="004768B3">
              <w:rPr>
                <w:snapToGrid w:val="0"/>
              </w:rPr>
              <w:t>Savings to the MBS</w:t>
            </w:r>
          </w:p>
        </w:tc>
        <w:tc>
          <w:tcPr>
            <w:tcW w:w="663" w:type="pct"/>
            <w:tcBorders>
              <w:left w:val="nil"/>
              <w:right w:val="nil"/>
            </w:tcBorders>
            <w:vAlign w:val="center"/>
          </w:tcPr>
          <w:p w14:paraId="618C6D69" w14:textId="77777777" w:rsidR="00742247" w:rsidRPr="004768B3" w:rsidRDefault="00742247" w:rsidP="006A4478">
            <w:pPr>
              <w:pStyle w:val="Tabletext1"/>
              <w:keepNext/>
            </w:pPr>
          </w:p>
        </w:tc>
        <w:tc>
          <w:tcPr>
            <w:tcW w:w="658" w:type="pct"/>
            <w:tcBorders>
              <w:left w:val="nil"/>
              <w:right w:val="nil"/>
            </w:tcBorders>
            <w:vAlign w:val="center"/>
          </w:tcPr>
          <w:p w14:paraId="634E3474" w14:textId="77777777" w:rsidR="00742247" w:rsidRPr="004768B3" w:rsidRDefault="00742247" w:rsidP="006A4478">
            <w:pPr>
              <w:pStyle w:val="Tabletext1"/>
              <w:keepNext/>
            </w:pPr>
          </w:p>
        </w:tc>
        <w:tc>
          <w:tcPr>
            <w:tcW w:w="658" w:type="pct"/>
            <w:tcBorders>
              <w:left w:val="nil"/>
              <w:right w:val="nil"/>
            </w:tcBorders>
            <w:vAlign w:val="center"/>
          </w:tcPr>
          <w:p w14:paraId="4A3F21C7" w14:textId="77777777" w:rsidR="00742247" w:rsidRPr="004768B3" w:rsidRDefault="00742247" w:rsidP="006A4478">
            <w:pPr>
              <w:pStyle w:val="Tabletext1"/>
              <w:keepNext/>
            </w:pPr>
          </w:p>
        </w:tc>
        <w:tc>
          <w:tcPr>
            <w:tcW w:w="658" w:type="pct"/>
            <w:tcBorders>
              <w:left w:val="nil"/>
              <w:right w:val="nil"/>
            </w:tcBorders>
            <w:vAlign w:val="center"/>
          </w:tcPr>
          <w:p w14:paraId="72FFAEC0" w14:textId="77777777" w:rsidR="00742247" w:rsidRPr="004768B3" w:rsidRDefault="00742247" w:rsidP="006A4478">
            <w:pPr>
              <w:pStyle w:val="Tabletext1"/>
              <w:keepNext/>
            </w:pPr>
          </w:p>
        </w:tc>
        <w:tc>
          <w:tcPr>
            <w:tcW w:w="660" w:type="pct"/>
            <w:tcBorders>
              <w:left w:val="nil"/>
              <w:right w:val="nil"/>
            </w:tcBorders>
            <w:vAlign w:val="center"/>
          </w:tcPr>
          <w:p w14:paraId="55DFE553" w14:textId="77777777" w:rsidR="00742247" w:rsidRPr="004768B3" w:rsidRDefault="00742247" w:rsidP="006A4478">
            <w:pPr>
              <w:pStyle w:val="Tabletext1"/>
              <w:keepNext/>
            </w:pPr>
          </w:p>
        </w:tc>
        <w:tc>
          <w:tcPr>
            <w:tcW w:w="716" w:type="pct"/>
            <w:tcBorders>
              <w:left w:val="nil"/>
            </w:tcBorders>
            <w:vAlign w:val="center"/>
          </w:tcPr>
          <w:p w14:paraId="096D7873" w14:textId="77777777" w:rsidR="00742247" w:rsidRPr="004768B3" w:rsidRDefault="00742247" w:rsidP="006A4478">
            <w:pPr>
              <w:pStyle w:val="Tabletext1"/>
              <w:keepNext/>
            </w:pPr>
          </w:p>
        </w:tc>
      </w:tr>
      <w:tr w:rsidR="00742247" w:rsidRPr="005754F7" w14:paraId="0A197FEE" w14:textId="77777777" w:rsidTr="004768B3">
        <w:trPr>
          <w:trHeight w:val="397"/>
        </w:trPr>
        <w:tc>
          <w:tcPr>
            <w:tcW w:w="987" w:type="pct"/>
          </w:tcPr>
          <w:p w14:paraId="24BF9406" w14:textId="77777777" w:rsidR="00742247" w:rsidRPr="00EC6845" w:rsidRDefault="00742247" w:rsidP="006A4478">
            <w:pPr>
              <w:pStyle w:val="Tabletext1"/>
              <w:keepNext/>
              <w:rPr>
                <w:snapToGrid w:val="0"/>
              </w:rPr>
            </w:pPr>
            <w:r w:rsidRPr="00516098">
              <w:rPr>
                <w:snapToGrid w:val="0"/>
              </w:rPr>
              <w:t>Population 1</w:t>
            </w:r>
          </w:p>
        </w:tc>
        <w:tc>
          <w:tcPr>
            <w:tcW w:w="663" w:type="pct"/>
            <w:vAlign w:val="center"/>
          </w:tcPr>
          <w:p w14:paraId="649E6BAA" w14:textId="77777777" w:rsidR="00742247" w:rsidRPr="00195C6E" w:rsidRDefault="00742247" w:rsidP="006A4478">
            <w:pPr>
              <w:pStyle w:val="Tabletext1"/>
              <w:keepNext/>
            </w:pPr>
            <w:r>
              <w:t>-</w:t>
            </w:r>
            <w:r w:rsidRPr="00BF42CD">
              <w:t>$1,950,021</w:t>
            </w:r>
          </w:p>
        </w:tc>
        <w:tc>
          <w:tcPr>
            <w:tcW w:w="658" w:type="pct"/>
            <w:vAlign w:val="center"/>
          </w:tcPr>
          <w:p w14:paraId="2C954F85" w14:textId="77777777" w:rsidR="00742247" w:rsidRPr="00195C6E" w:rsidRDefault="00742247" w:rsidP="006A4478">
            <w:pPr>
              <w:pStyle w:val="Tabletext1"/>
              <w:keepNext/>
            </w:pPr>
            <w:r>
              <w:t>-</w:t>
            </w:r>
            <w:r w:rsidRPr="00BF42CD">
              <w:t>$1,950,021</w:t>
            </w:r>
          </w:p>
        </w:tc>
        <w:tc>
          <w:tcPr>
            <w:tcW w:w="658" w:type="pct"/>
            <w:vAlign w:val="center"/>
          </w:tcPr>
          <w:p w14:paraId="77187755" w14:textId="77777777" w:rsidR="00742247" w:rsidRPr="00195C6E" w:rsidRDefault="00742247" w:rsidP="006A4478">
            <w:pPr>
              <w:pStyle w:val="Tabletext1"/>
              <w:keepNext/>
            </w:pPr>
            <w:r>
              <w:t>-</w:t>
            </w:r>
            <w:r w:rsidRPr="00BF42CD">
              <w:t>$1,950,021</w:t>
            </w:r>
          </w:p>
        </w:tc>
        <w:tc>
          <w:tcPr>
            <w:tcW w:w="658" w:type="pct"/>
            <w:vAlign w:val="center"/>
          </w:tcPr>
          <w:p w14:paraId="00A6E5CE" w14:textId="77777777" w:rsidR="00742247" w:rsidRPr="00195C6E" w:rsidRDefault="00742247" w:rsidP="006A4478">
            <w:pPr>
              <w:pStyle w:val="Tabletext1"/>
              <w:keepNext/>
            </w:pPr>
            <w:r>
              <w:t>-</w:t>
            </w:r>
            <w:r w:rsidRPr="00BF42CD">
              <w:t>$1,950,021</w:t>
            </w:r>
          </w:p>
        </w:tc>
        <w:tc>
          <w:tcPr>
            <w:tcW w:w="660" w:type="pct"/>
          </w:tcPr>
          <w:p w14:paraId="1DCAAEEF" w14:textId="77777777" w:rsidR="00742247" w:rsidRPr="00195C6E" w:rsidRDefault="00742247" w:rsidP="006A4478">
            <w:pPr>
              <w:pStyle w:val="Tabletext1"/>
              <w:keepNext/>
            </w:pPr>
            <w:r>
              <w:t>-</w:t>
            </w:r>
            <w:r w:rsidRPr="00BF42CD">
              <w:t>$1,950,021</w:t>
            </w:r>
          </w:p>
        </w:tc>
        <w:tc>
          <w:tcPr>
            <w:tcW w:w="716" w:type="pct"/>
          </w:tcPr>
          <w:p w14:paraId="03A5C8EB" w14:textId="77777777" w:rsidR="00742247" w:rsidRPr="00195C6E" w:rsidRDefault="00742247" w:rsidP="006A4478">
            <w:pPr>
              <w:pStyle w:val="Tabletext1"/>
              <w:keepNext/>
            </w:pPr>
            <w:r>
              <w:t>-</w:t>
            </w:r>
            <w:r w:rsidRPr="00BF42CD">
              <w:t>$9,750,107</w:t>
            </w:r>
          </w:p>
        </w:tc>
      </w:tr>
      <w:tr w:rsidR="00742247" w:rsidRPr="005754F7" w14:paraId="6A8096EA" w14:textId="77777777" w:rsidTr="004768B3">
        <w:trPr>
          <w:trHeight w:val="397"/>
        </w:trPr>
        <w:tc>
          <w:tcPr>
            <w:tcW w:w="987" w:type="pct"/>
          </w:tcPr>
          <w:p w14:paraId="0F4D9129" w14:textId="77777777" w:rsidR="00742247" w:rsidRPr="00EC6845" w:rsidRDefault="00742247" w:rsidP="006A4478">
            <w:pPr>
              <w:pStyle w:val="Tabletext1"/>
              <w:keepNext/>
              <w:rPr>
                <w:snapToGrid w:val="0"/>
              </w:rPr>
            </w:pPr>
            <w:r w:rsidRPr="00516098">
              <w:rPr>
                <w:snapToGrid w:val="0"/>
              </w:rPr>
              <w:t>Population 2</w:t>
            </w:r>
          </w:p>
        </w:tc>
        <w:tc>
          <w:tcPr>
            <w:tcW w:w="663" w:type="pct"/>
            <w:vAlign w:val="center"/>
          </w:tcPr>
          <w:p w14:paraId="2DC69CDD" w14:textId="77777777" w:rsidR="00742247" w:rsidRPr="00195C6E" w:rsidRDefault="00742247" w:rsidP="006A4478">
            <w:pPr>
              <w:pStyle w:val="Tabletext1"/>
              <w:keepNext/>
            </w:pPr>
            <w:r>
              <w:t>-</w:t>
            </w:r>
            <w:r w:rsidRPr="00BF42CD">
              <w:t>$849,771</w:t>
            </w:r>
          </w:p>
        </w:tc>
        <w:tc>
          <w:tcPr>
            <w:tcW w:w="658" w:type="pct"/>
            <w:vAlign w:val="center"/>
          </w:tcPr>
          <w:p w14:paraId="377C86A4" w14:textId="77777777" w:rsidR="00742247" w:rsidRPr="00195C6E" w:rsidRDefault="00742247" w:rsidP="006A4478">
            <w:pPr>
              <w:pStyle w:val="Tabletext1"/>
              <w:keepNext/>
            </w:pPr>
            <w:r>
              <w:t>-</w:t>
            </w:r>
            <w:r w:rsidRPr="00BF42CD">
              <w:t>$849,771</w:t>
            </w:r>
          </w:p>
        </w:tc>
        <w:tc>
          <w:tcPr>
            <w:tcW w:w="658" w:type="pct"/>
            <w:vAlign w:val="center"/>
          </w:tcPr>
          <w:p w14:paraId="3F461430" w14:textId="77777777" w:rsidR="00742247" w:rsidRPr="00195C6E" w:rsidRDefault="00742247" w:rsidP="006A4478">
            <w:pPr>
              <w:pStyle w:val="Tabletext1"/>
              <w:keepNext/>
            </w:pPr>
            <w:r>
              <w:t>-</w:t>
            </w:r>
            <w:r w:rsidRPr="00BF42CD">
              <w:t>$849,771</w:t>
            </w:r>
          </w:p>
        </w:tc>
        <w:tc>
          <w:tcPr>
            <w:tcW w:w="658" w:type="pct"/>
            <w:vAlign w:val="center"/>
          </w:tcPr>
          <w:p w14:paraId="7E81460F" w14:textId="77777777" w:rsidR="00742247" w:rsidRPr="00195C6E" w:rsidRDefault="00742247" w:rsidP="006A4478">
            <w:pPr>
              <w:pStyle w:val="Tabletext1"/>
              <w:keepNext/>
            </w:pPr>
            <w:r>
              <w:t>-</w:t>
            </w:r>
            <w:r w:rsidRPr="00BF42CD">
              <w:t>$849,771</w:t>
            </w:r>
          </w:p>
        </w:tc>
        <w:tc>
          <w:tcPr>
            <w:tcW w:w="660" w:type="pct"/>
          </w:tcPr>
          <w:p w14:paraId="4069985F" w14:textId="77777777" w:rsidR="00742247" w:rsidRPr="00195C6E" w:rsidRDefault="00742247" w:rsidP="006A4478">
            <w:pPr>
              <w:pStyle w:val="Tabletext1"/>
              <w:keepNext/>
            </w:pPr>
            <w:r>
              <w:t>-</w:t>
            </w:r>
            <w:r w:rsidRPr="00BF42CD">
              <w:t>$849,771</w:t>
            </w:r>
          </w:p>
        </w:tc>
        <w:tc>
          <w:tcPr>
            <w:tcW w:w="716" w:type="pct"/>
          </w:tcPr>
          <w:p w14:paraId="2E075625" w14:textId="77777777" w:rsidR="00742247" w:rsidRPr="00195C6E" w:rsidRDefault="00742247" w:rsidP="006A4478">
            <w:pPr>
              <w:pStyle w:val="Tabletext1"/>
              <w:keepNext/>
            </w:pPr>
            <w:r>
              <w:t>-</w:t>
            </w:r>
            <w:r w:rsidRPr="00BF42CD">
              <w:t>$4,248,856</w:t>
            </w:r>
          </w:p>
        </w:tc>
      </w:tr>
      <w:tr w:rsidR="00742247" w:rsidRPr="005754F7" w14:paraId="3ADE1824" w14:textId="77777777" w:rsidTr="004768B3">
        <w:trPr>
          <w:trHeight w:val="397"/>
        </w:trPr>
        <w:tc>
          <w:tcPr>
            <w:tcW w:w="987" w:type="pct"/>
            <w:vAlign w:val="center"/>
          </w:tcPr>
          <w:p w14:paraId="622A882A" w14:textId="77777777" w:rsidR="00742247" w:rsidRPr="00EC6845" w:rsidRDefault="00742247" w:rsidP="006A4478">
            <w:pPr>
              <w:pStyle w:val="Tabletext1"/>
              <w:keepNext/>
              <w:rPr>
                <w:snapToGrid w:val="0"/>
              </w:rPr>
            </w:pPr>
            <w:r>
              <w:rPr>
                <w:snapToGrid w:val="0"/>
              </w:rPr>
              <w:t>Total</w:t>
            </w:r>
          </w:p>
        </w:tc>
        <w:tc>
          <w:tcPr>
            <w:tcW w:w="663" w:type="pct"/>
            <w:vAlign w:val="bottom"/>
          </w:tcPr>
          <w:p w14:paraId="14B6A873" w14:textId="77777777" w:rsidR="00742247" w:rsidRPr="00195C6E" w:rsidRDefault="00742247" w:rsidP="006A4478">
            <w:pPr>
              <w:pStyle w:val="Tabletext1"/>
              <w:keepNext/>
            </w:pPr>
            <w:r w:rsidRPr="00195C6E">
              <w:t>-$2,799,793</w:t>
            </w:r>
          </w:p>
        </w:tc>
        <w:tc>
          <w:tcPr>
            <w:tcW w:w="658" w:type="pct"/>
            <w:vAlign w:val="bottom"/>
          </w:tcPr>
          <w:p w14:paraId="3E68FA8D" w14:textId="77777777" w:rsidR="00742247" w:rsidRPr="00195C6E" w:rsidRDefault="00742247" w:rsidP="006A4478">
            <w:pPr>
              <w:pStyle w:val="Tabletext1"/>
              <w:keepNext/>
            </w:pPr>
            <w:r w:rsidRPr="00195C6E">
              <w:t>-$2,799,793</w:t>
            </w:r>
          </w:p>
        </w:tc>
        <w:tc>
          <w:tcPr>
            <w:tcW w:w="658" w:type="pct"/>
            <w:vAlign w:val="bottom"/>
          </w:tcPr>
          <w:p w14:paraId="5C60C498" w14:textId="77777777" w:rsidR="00742247" w:rsidRPr="00195C6E" w:rsidRDefault="00742247" w:rsidP="006A4478">
            <w:pPr>
              <w:pStyle w:val="Tabletext1"/>
              <w:keepNext/>
            </w:pPr>
            <w:r w:rsidRPr="00195C6E">
              <w:t>-$2,799,793</w:t>
            </w:r>
          </w:p>
        </w:tc>
        <w:tc>
          <w:tcPr>
            <w:tcW w:w="658" w:type="pct"/>
            <w:vAlign w:val="bottom"/>
          </w:tcPr>
          <w:p w14:paraId="0762DF1A" w14:textId="77777777" w:rsidR="00742247" w:rsidRPr="00195C6E" w:rsidRDefault="00742247" w:rsidP="006A4478">
            <w:pPr>
              <w:pStyle w:val="Tabletext1"/>
              <w:keepNext/>
            </w:pPr>
            <w:r w:rsidRPr="00195C6E">
              <w:t>-$2,799,793</w:t>
            </w:r>
          </w:p>
        </w:tc>
        <w:tc>
          <w:tcPr>
            <w:tcW w:w="660" w:type="pct"/>
            <w:vAlign w:val="bottom"/>
          </w:tcPr>
          <w:p w14:paraId="7715A0CA" w14:textId="77777777" w:rsidR="00742247" w:rsidRPr="00195C6E" w:rsidRDefault="00742247" w:rsidP="006A4478">
            <w:pPr>
              <w:pStyle w:val="Tabletext1"/>
              <w:keepNext/>
            </w:pPr>
            <w:r w:rsidRPr="00195C6E">
              <w:t>-$2,799,793</w:t>
            </w:r>
          </w:p>
        </w:tc>
        <w:tc>
          <w:tcPr>
            <w:tcW w:w="716" w:type="pct"/>
            <w:vAlign w:val="bottom"/>
          </w:tcPr>
          <w:p w14:paraId="13C65601" w14:textId="77777777" w:rsidR="00742247" w:rsidRPr="00195C6E" w:rsidRDefault="00742247" w:rsidP="006A4478">
            <w:pPr>
              <w:pStyle w:val="Tabletext1"/>
              <w:keepNext/>
            </w:pPr>
            <w:r w:rsidRPr="00195C6E">
              <w:t>-$13,998,964</w:t>
            </w:r>
          </w:p>
        </w:tc>
      </w:tr>
      <w:tr w:rsidR="00742247" w:rsidRPr="004768B3" w14:paraId="3B51A73F" w14:textId="77777777" w:rsidTr="004768B3">
        <w:trPr>
          <w:trHeight w:val="397"/>
        </w:trPr>
        <w:tc>
          <w:tcPr>
            <w:tcW w:w="5000" w:type="pct"/>
            <w:gridSpan w:val="7"/>
            <w:vAlign w:val="center"/>
          </w:tcPr>
          <w:p w14:paraId="7550E442" w14:textId="77777777" w:rsidR="00742247" w:rsidRPr="004768B3" w:rsidRDefault="00742247" w:rsidP="006A4478">
            <w:pPr>
              <w:pStyle w:val="Tabletext1"/>
              <w:keepNext/>
              <w:rPr>
                <w:rFonts w:cs="Arial"/>
                <w:iCs/>
                <w:szCs w:val="18"/>
              </w:rPr>
            </w:pPr>
            <w:r w:rsidRPr="004768B3">
              <w:rPr>
                <w:rFonts w:cs="Arial"/>
                <w:iCs/>
                <w:szCs w:val="18"/>
              </w:rPr>
              <w:t>Total cost to MBS of listing mpMRI</w:t>
            </w:r>
          </w:p>
        </w:tc>
      </w:tr>
      <w:tr w:rsidR="00742247" w:rsidRPr="005754F7" w14:paraId="12E137F9" w14:textId="77777777" w:rsidTr="004768B3">
        <w:trPr>
          <w:trHeight w:val="397"/>
        </w:trPr>
        <w:tc>
          <w:tcPr>
            <w:tcW w:w="987" w:type="pct"/>
          </w:tcPr>
          <w:p w14:paraId="4689EBAF" w14:textId="77777777" w:rsidR="00742247" w:rsidRPr="00EC6845" w:rsidRDefault="00742247" w:rsidP="006A4478">
            <w:pPr>
              <w:pStyle w:val="Tabletext1"/>
              <w:keepNext/>
              <w:rPr>
                <w:snapToGrid w:val="0"/>
              </w:rPr>
            </w:pPr>
            <w:r w:rsidRPr="00516098">
              <w:rPr>
                <w:snapToGrid w:val="0"/>
              </w:rPr>
              <w:t>Population 1</w:t>
            </w:r>
          </w:p>
        </w:tc>
        <w:tc>
          <w:tcPr>
            <w:tcW w:w="663" w:type="pct"/>
          </w:tcPr>
          <w:p w14:paraId="34238393" w14:textId="77777777" w:rsidR="00742247" w:rsidRPr="00195C6E" w:rsidRDefault="00742247" w:rsidP="006A4478">
            <w:pPr>
              <w:pStyle w:val="Tabletext1"/>
              <w:keepNext/>
            </w:pPr>
            <w:r w:rsidRPr="00C10B70">
              <w:t>$3,105,479</w:t>
            </w:r>
          </w:p>
        </w:tc>
        <w:tc>
          <w:tcPr>
            <w:tcW w:w="658" w:type="pct"/>
          </w:tcPr>
          <w:p w14:paraId="517B6090" w14:textId="77777777" w:rsidR="00742247" w:rsidRPr="00195C6E" w:rsidRDefault="00742247" w:rsidP="006A4478">
            <w:pPr>
              <w:pStyle w:val="Tabletext1"/>
              <w:keepNext/>
            </w:pPr>
            <w:r w:rsidRPr="00C10B70">
              <w:t>$3,105,479</w:t>
            </w:r>
          </w:p>
        </w:tc>
        <w:tc>
          <w:tcPr>
            <w:tcW w:w="658" w:type="pct"/>
          </w:tcPr>
          <w:p w14:paraId="05345D11" w14:textId="77777777" w:rsidR="00742247" w:rsidRPr="00195C6E" w:rsidRDefault="00742247" w:rsidP="006A4478">
            <w:pPr>
              <w:pStyle w:val="Tabletext1"/>
              <w:keepNext/>
            </w:pPr>
            <w:r w:rsidRPr="00C10B70">
              <w:t>$3,105,479</w:t>
            </w:r>
          </w:p>
        </w:tc>
        <w:tc>
          <w:tcPr>
            <w:tcW w:w="658" w:type="pct"/>
          </w:tcPr>
          <w:p w14:paraId="44E3061B" w14:textId="77777777" w:rsidR="00742247" w:rsidRPr="00195C6E" w:rsidRDefault="00742247" w:rsidP="006A4478">
            <w:pPr>
              <w:pStyle w:val="Tabletext1"/>
              <w:keepNext/>
            </w:pPr>
            <w:r w:rsidRPr="00C10B70">
              <w:t>$3,105,479</w:t>
            </w:r>
          </w:p>
        </w:tc>
        <w:tc>
          <w:tcPr>
            <w:tcW w:w="660" w:type="pct"/>
          </w:tcPr>
          <w:p w14:paraId="546E04BC" w14:textId="77777777" w:rsidR="00742247" w:rsidRPr="00195C6E" w:rsidRDefault="00742247" w:rsidP="006A4478">
            <w:pPr>
              <w:pStyle w:val="Tabletext1"/>
              <w:keepNext/>
            </w:pPr>
            <w:r w:rsidRPr="00C10B70">
              <w:t>$3,105,479</w:t>
            </w:r>
          </w:p>
        </w:tc>
        <w:tc>
          <w:tcPr>
            <w:tcW w:w="716" w:type="pct"/>
          </w:tcPr>
          <w:p w14:paraId="1BB892B7" w14:textId="77777777" w:rsidR="00742247" w:rsidRPr="00195C6E" w:rsidRDefault="00742247" w:rsidP="006A4478">
            <w:pPr>
              <w:pStyle w:val="Tabletext1"/>
              <w:keepNext/>
            </w:pPr>
            <w:r w:rsidRPr="00C10B70">
              <w:t>$15,527,397</w:t>
            </w:r>
          </w:p>
        </w:tc>
      </w:tr>
      <w:tr w:rsidR="00742247" w:rsidRPr="005754F7" w14:paraId="5615BBB3" w14:textId="77777777" w:rsidTr="004768B3">
        <w:trPr>
          <w:trHeight w:val="397"/>
        </w:trPr>
        <w:tc>
          <w:tcPr>
            <w:tcW w:w="987" w:type="pct"/>
          </w:tcPr>
          <w:p w14:paraId="652CF57D" w14:textId="77777777" w:rsidR="00742247" w:rsidRPr="00EC6845" w:rsidRDefault="00742247" w:rsidP="006A4478">
            <w:pPr>
              <w:pStyle w:val="Tabletext1"/>
              <w:keepNext/>
              <w:rPr>
                <w:snapToGrid w:val="0"/>
              </w:rPr>
            </w:pPr>
            <w:r w:rsidRPr="00516098">
              <w:rPr>
                <w:snapToGrid w:val="0"/>
              </w:rPr>
              <w:t>Population 2</w:t>
            </w:r>
          </w:p>
        </w:tc>
        <w:tc>
          <w:tcPr>
            <w:tcW w:w="663" w:type="pct"/>
          </w:tcPr>
          <w:p w14:paraId="08D2B8CB" w14:textId="77777777" w:rsidR="00742247" w:rsidRPr="00195C6E" w:rsidRDefault="00742247" w:rsidP="006A4478">
            <w:pPr>
              <w:pStyle w:val="Tabletext1"/>
              <w:keepNext/>
            </w:pPr>
            <w:r w:rsidRPr="00C10B70">
              <w:t>$1,767,467</w:t>
            </w:r>
          </w:p>
        </w:tc>
        <w:tc>
          <w:tcPr>
            <w:tcW w:w="658" w:type="pct"/>
          </w:tcPr>
          <w:p w14:paraId="17080B4E" w14:textId="77777777" w:rsidR="00742247" w:rsidRPr="00195C6E" w:rsidRDefault="00742247" w:rsidP="006A4478">
            <w:pPr>
              <w:pStyle w:val="Tabletext1"/>
              <w:keepNext/>
            </w:pPr>
            <w:r w:rsidRPr="00C10B70">
              <w:t>$1,767,467</w:t>
            </w:r>
          </w:p>
        </w:tc>
        <w:tc>
          <w:tcPr>
            <w:tcW w:w="658" w:type="pct"/>
          </w:tcPr>
          <w:p w14:paraId="2AA674B9" w14:textId="77777777" w:rsidR="00742247" w:rsidRPr="00195C6E" w:rsidRDefault="00742247" w:rsidP="006A4478">
            <w:pPr>
              <w:pStyle w:val="Tabletext1"/>
              <w:keepNext/>
            </w:pPr>
            <w:r w:rsidRPr="00C10B70">
              <w:t>$1,767,467</w:t>
            </w:r>
          </w:p>
        </w:tc>
        <w:tc>
          <w:tcPr>
            <w:tcW w:w="658" w:type="pct"/>
          </w:tcPr>
          <w:p w14:paraId="4ED89853" w14:textId="77777777" w:rsidR="00742247" w:rsidRPr="00195C6E" w:rsidRDefault="00742247" w:rsidP="006A4478">
            <w:pPr>
              <w:pStyle w:val="Tabletext1"/>
              <w:keepNext/>
            </w:pPr>
            <w:r w:rsidRPr="00C10B70">
              <w:t>$1,767,467</w:t>
            </w:r>
          </w:p>
        </w:tc>
        <w:tc>
          <w:tcPr>
            <w:tcW w:w="660" w:type="pct"/>
          </w:tcPr>
          <w:p w14:paraId="66588E0E" w14:textId="77777777" w:rsidR="00742247" w:rsidRPr="00195C6E" w:rsidRDefault="00742247" w:rsidP="006A4478">
            <w:pPr>
              <w:pStyle w:val="Tabletext1"/>
              <w:keepNext/>
            </w:pPr>
            <w:r w:rsidRPr="00C10B70">
              <w:t>$1,767,467</w:t>
            </w:r>
          </w:p>
        </w:tc>
        <w:tc>
          <w:tcPr>
            <w:tcW w:w="716" w:type="pct"/>
          </w:tcPr>
          <w:p w14:paraId="6E4E8A1F" w14:textId="77777777" w:rsidR="00742247" w:rsidRPr="00195C6E" w:rsidRDefault="00742247" w:rsidP="006A4478">
            <w:pPr>
              <w:pStyle w:val="Tabletext1"/>
              <w:keepNext/>
            </w:pPr>
            <w:r w:rsidRPr="00C10B70">
              <w:t>$8,837,336</w:t>
            </w:r>
          </w:p>
        </w:tc>
      </w:tr>
      <w:tr w:rsidR="00742247" w:rsidRPr="005754F7" w14:paraId="30B8F9C5" w14:textId="77777777" w:rsidTr="004768B3">
        <w:trPr>
          <w:trHeight w:val="397"/>
        </w:trPr>
        <w:tc>
          <w:tcPr>
            <w:tcW w:w="987" w:type="pct"/>
          </w:tcPr>
          <w:p w14:paraId="1ACEA636" w14:textId="77777777" w:rsidR="00742247" w:rsidRPr="00EC6845" w:rsidRDefault="00742247" w:rsidP="006A4478">
            <w:pPr>
              <w:pStyle w:val="Tabletext1"/>
              <w:keepNext/>
              <w:rPr>
                <w:snapToGrid w:val="0"/>
              </w:rPr>
            </w:pPr>
            <w:r w:rsidRPr="00516098">
              <w:rPr>
                <w:snapToGrid w:val="0"/>
              </w:rPr>
              <w:t xml:space="preserve">Total </w:t>
            </w:r>
          </w:p>
        </w:tc>
        <w:tc>
          <w:tcPr>
            <w:tcW w:w="663" w:type="pct"/>
          </w:tcPr>
          <w:p w14:paraId="04CB137A" w14:textId="77777777" w:rsidR="00742247" w:rsidRPr="00195C6E" w:rsidRDefault="00742247" w:rsidP="006A4478">
            <w:pPr>
              <w:pStyle w:val="Tabletext1"/>
              <w:keepNext/>
            </w:pPr>
            <w:r w:rsidRPr="00195C6E">
              <w:t>$4,872,946</w:t>
            </w:r>
          </w:p>
        </w:tc>
        <w:tc>
          <w:tcPr>
            <w:tcW w:w="658" w:type="pct"/>
          </w:tcPr>
          <w:p w14:paraId="7DB6E916" w14:textId="77777777" w:rsidR="00742247" w:rsidRPr="00195C6E" w:rsidRDefault="00742247" w:rsidP="006A4478">
            <w:pPr>
              <w:pStyle w:val="Tabletext1"/>
              <w:keepNext/>
            </w:pPr>
            <w:r w:rsidRPr="00195C6E">
              <w:t>$4,872,946</w:t>
            </w:r>
          </w:p>
        </w:tc>
        <w:tc>
          <w:tcPr>
            <w:tcW w:w="658" w:type="pct"/>
          </w:tcPr>
          <w:p w14:paraId="6D18F2EA" w14:textId="77777777" w:rsidR="00742247" w:rsidRPr="00195C6E" w:rsidRDefault="00742247" w:rsidP="006A4478">
            <w:pPr>
              <w:pStyle w:val="Tabletext1"/>
              <w:keepNext/>
            </w:pPr>
            <w:r w:rsidRPr="00195C6E">
              <w:t>$4,872,946</w:t>
            </w:r>
          </w:p>
        </w:tc>
        <w:tc>
          <w:tcPr>
            <w:tcW w:w="658" w:type="pct"/>
          </w:tcPr>
          <w:p w14:paraId="712BF9DC" w14:textId="77777777" w:rsidR="00742247" w:rsidRPr="00195C6E" w:rsidRDefault="00742247" w:rsidP="006A4478">
            <w:pPr>
              <w:pStyle w:val="Tabletext1"/>
              <w:keepNext/>
            </w:pPr>
            <w:r w:rsidRPr="00195C6E">
              <w:t>$4,872,946</w:t>
            </w:r>
          </w:p>
        </w:tc>
        <w:tc>
          <w:tcPr>
            <w:tcW w:w="660" w:type="pct"/>
          </w:tcPr>
          <w:p w14:paraId="3F1D5AB1" w14:textId="77777777" w:rsidR="00742247" w:rsidRPr="00195C6E" w:rsidRDefault="00742247" w:rsidP="006A4478">
            <w:pPr>
              <w:pStyle w:val="Tabletext1"/>
              <w:keepNext/>
            </w:pPr>
            <w:r w:rsidRPr="00195C6E">
              <w:t>$4,872,946</w:t>
            </w:r>
          </w:p>
        </w:tc>
        <w:tc>
          <w:tcPr>
            <w:tcW w:w="716" w:type="pct"/>
          </w:tcPr>
          <w:p w14:paraId="642D162F" w14:textId="77777777" w:rsidR="00742247" w:rsidRPr="00195C6E" w:rsidRDefault="00742247" w:rsidP="006A4478">
            <w:pPr>
              <w:pStyle w:val="Tabletext1"/>
              <w:keepNext/>
            </w:pPr>
            <w:r w:rsidRPr="00195C6E">
              <w:t>$24,364,732</w:t>
            </w:r>
          </w:p>
        </w:tc>
      </w:tr>
    </w:tbl>
    <w:p w14:paraId="1B6A2A7C" w14:textId="77777777" w:rsidR="006C5910" w:rsidRDefault="006C5910" w:rsidP="006C5910">
      <w:pPr>
        <w:pStyle w:val="TableNotes"/>
      </w:pPr>
      <w:r w:rsidRPr="00045B3F">
        <w:t>MBS</w:t>
      </w:r>
      <w:r>
        <w:t xml:space="preserve"> =</w:t>
      </w:r>
      <w:r w:rsidRPr="00045B3F">
        <w:t xml:space="preserve"> Medicare Benefits Schedule</w:t>
      </w:r>
      <w:r>
        <w:t>,</w:t>
      </w:r>
      <w:r w:rsidRPr="00045B3F">
        <w:t xml:space="preserve"> mpMRI</w:t>
      </w:r>
      <w:r>
        <w:t xml:space="preserve"> =</w:t>
      </w:r>
      <w:r w:rsidRPr="00045B3F">
        <w:t xml:space="preserve"> multiparametric MRI</w:t>
      </w:r>
      <w:r>
        <w:t>,</w:t>
      </w:r>
      <w:r w:rsidRPr="00045B3F">
        <w:t xml:space="preserve"> PBS</w:t>
      </w:r>
      <w:r>
        <w:t xml:space="preserve"> =</w:t>
      </w:r>
      <w:r w:rsidRPr="00045B3F">
        <w:t xml:space="preserve"> Pharmaceutical Benefits Scheme</w:t>
      </w:r>
      <w:r>
        <w:t>.</w:t>
      </w:r>
    </w:p>
    <w:p w14:paraId="76211EAF" w14:textId="4A238CAF" w:rsidR="00742247" w:rsidRDefault="00270782" w:rsidP="00270782">
      <w:pPr>
        <w:pStyle w:val="TableNotes"/>
      </w:pPr>
      <w:r>
        <w:t xml:space="preserve">Source: Section E spread sheet </w:t>
      </w:r>
    </w:p>
    <w:p w14:paraId="106E6377" w14:textId="369E37F3" w:rsidR="004E45C4" w:rsidRPr="00183E4D" w:rsidRDefault="004E45C4" w:rsidP="00DF343F">
      <w:pPr>
        <w:keepNext/>
        <w:pageBreakBefore/>
        <w:pBdr>
          <w:bottom w:val="single" w:sz="4" w:space="1" w:color="auto"/>
        </w:pBdr>
        <w:spacing w:after="360" w:line="240" w:lineRule="auto"/>
        <w:ind w:left="2835" w:hanging="2835"/>
        <w:outlineLvl w:val="0"/>
        <w:rPr>
          <w:b/>
          <w:sz w:val="44"/>
        </w:rPr>
      </w:pPr>
      <w:bookmarkStart w:id="736" w:name="_Ref352745383"/>
      <w:bookmarkStart w:id="737" w:name="_Toc352254677"/>
      <w:bookmarkStart w:id="738" w:name="_Toc352672949"/>
      <w:bookmarkStart w:id="739" w:name="_Toc355274740"/>
      <w:bookmarkStart w:id="740" w:name="_Toc379118097"/>
      <w:bookmarkStart w:id="741" w:name="_Toc381796496"/>
      <w:bookmarkStart w:id="742" w:name="_Toc460514006"/>
      <w:bookmarkStart w:id="743" w:name="_Ref237760111"/>
      <w:bookmarkEnd w:id="404"/>
      <w:bookmarkEnd w:id="405"/>
      <w:bookmarkEnd w:id="406"/>
      <w:bookmarkEnd w:id="407"/>
      <w:r w:rsidRPr="00183E4D">
        <w:rPr>
          <w:b/>
          <w:sz w:val="44"/>
        </w:rPr>
        <w:lastRenderedPageBreak/>
        <w:t xml:space="preserve">Appendix </w:t>
      </w:r>
      <w:r w:rsidR="0086593E" w:rsidRPr="00183E4D">
        <w:rPr>
          <w:b/>
          <w:sz w:val="44"/>
        </w:rPr>
        <w:fldChar w:fldCharType="begin"/>
      </w:r>
      <w:r w:rsidR="00A63A5D" w:rsidRPr="00183E4D">
        <w:rPr>
          <w:b/>
          <w:sz w:val="44"/>
        </w:rPr>
        <w:instrText xml:space="preserve"> SEQ Appendix \* ALPHABETIC </w:instrText>
      </w:r>
      <w:r w:rsidR="0086593E" w:rsidRPr="00183E4D">
        <w:rPr>
          <w:b/>
          <w:sz w:val="44"/>
        </w:rPr>
        <w:fldChar w:fldCharType="separate"/>
      </w:r>
      <w:r w:rsidR="0029649D">
        <w:rPr>
          <w:b/>
          <w:noProof/>
          <w:sz w:val="44"/>
        </w:rPr>
        <w:t>A</w:t>
      </w:r>
      <w:r w:rsidR="0086593E" w:rsidRPr="00183E4D">
        <w:rPr>
          <w:b/>
          <w:sz w:val="44"/>
        </w:rPr>
        <w:fldChar w:fldCharType="end"/>
      </w:r>
      <w:bookmarkEnd w:id="736"/>
      <w:bookmarkEnd w:id="737"/>
      <w:bookmarkEnd w:id="738"/>
      <w:r w:rsidR="00745565" w:rsidRPr="00183E4D">
        <w:rPr>
          <w:b/>
          <w:sz w:val="44"/>
        </w:rPr>
        <w:tab/>
      </w:r>
      <w:r w:rsidR="003E626D">
        <w:rPr>
          <w:b/>
          <w:sz w:val="44"/>
        </w:rPr>
        <w:t>Clinical Experts</w:t>
      </w:r>
      <w:r w:rsidR="00745565" w:rsidRPr="00183E4D">
        <w:rPr>
          <w:b/>
          <w:sz w:val="44"/>
        </w:rPr>
        <w:t xml:space="preserve"> </w:t>
      </w:r>
      <w:r w:rsidRPr="00183E4D">
        <w:rPr>
          <w:b/>
          <w:sz w:val="44"/>
        </w:rPr>
        <w:t>and Assessment Group</w:t>
      </w:r>
      <w:bookmarkEnd w:id="739"/>
      <w:bookmarkEnd w:id="740"/>
      <w:bookmarkEnd w:id="741"/>
      <w:bookmarkEnd w:id="742"/>
    </w:p>
    <w:p w14:paraId="72A0EDD1" w14:textId="77777777" w:rsidR="004E45C4" w:rsidRPr="00183E4D" w:rsidRDefault="004E45C4" w:rsidP="00DF343F">
      <w:pPr>
        <w:pStyle w:val="Heading2"/>
      </w:pPr>
      <w:bookmarkStart w:id="744" w:name="_Toc379118099"/>
      <w:bookmarkStart w:id="745" w:name="_Toc381796498"/>
      <w:bookmarkStart w:id="746" w:name="_Toc460514007"/>
      <w:r w:rsidRPr="00183E4D">
        <w:t>Assessment group</w:t>
      </w:r>
      <w:bookmarkEnd w:id="744"/>
      <w:bookmarkEnd w:id="745"/>
      <w:bookmarkEnd w:id="746"/>
      <w:r w:rsidR="003E626D">
        <w:t xml:space="preserve"> </w:t>
      </w:r>
    </w:p>
    <w:p w14:paraId="41BF3DBC" w14:textId="61860977" w:rsidR="000C0CCE" w:rsidRDefault="000C0CCE" w:rsidP="00DF343F">
      <w:pPr>
        <w:tabs>
          <w:tab w:val="left" w:pos="4111"/>
        </w:tabs>
        <w:spacing w:after="40"/>
        <w:rPr>
          <w:rFonts w:ascii="Arial" w:hAnsi="Arial" w:cs="Arial"/>
          <w:sz w:val="20"/>
          <w:szCs w:val="20"/>
          <w:lang w:val="en-CA"/>
        </w:rPr>
      </w:pPr>
      <w:r>
        <w:rPr>
          <w:rFonts w:ascii="Arial" w:hAnsi="Arial" w:cs="Arial"/>
          <w:sz w:val="20"/>
          <w:szCs w:val="20"/>
          <w:lang w:val="en-CA"/>
        </w:rPr>
        <w:t xml:space="preserve">Australian Safety and Efficacy Register of New Interventional Procedures – Surgical (ASERNIP-S) </w:t>
      </w:r>
    </w:p>
    <w:p w14:paraId="319C17DF" w14:textId="60B02B9D" w:rsidR="004E45C4" w:rsidRPr="00183E4D" w:rsidRDefault="004E45C4" w:rsidP="00401B0D">
      <w:pPr>
        <w:tabs>
          <w:tab w:val="left" w:pos="3119"/>
        </w:tabs>
        <w:spacing w:after="40"/>
        <w:rPr>
          <w:u w:val="single"/>
        </w:rPr>
      </w:pPr>
      <w:r w:rsidRPr="00183E4D">
        <w:rPr>
          <w:u w:val="single"/>
        </w:rPr>
        <w:t>Name</w:t>
      </w:r>
      <w:r w:rsidRPr="00183E4D">
        <w:tab/>
      </w:r>
      <w:r w:rsidRPr="00183E4D">
        <w:rPr>
          <w:u w:val="single"/>
        </w:rPr>
        <w:t>Position</w:t>
      </w:r>
    </w:p>
    <w:p w14:paraId="1757FFCC" w14:textId="77777777" w:rsidR="00DD1733" w:rsidRPr="00183E4D" w:rsidRDefault="00DD1733" w:rsidP="00401B0D">
      <w:pPr>
        <w:tabs>
          <w:tab w:val="left" w:pos="4111"/>
        </w:tabs>
        <w:ind w:left="3119" w:hanging="3119"/>
      </w:pPr>
      <w:r>
        <w:t>Dr. Alun Cameron</w:t>
      </w:r>
      <w:r>
        <w:tab/>
        <w:t xml:space="preserve">Research Manager, </w:t>
      </w:r>
      <w:r w:rsidRPr="00EB32D0">
        <w:t>Australian Safety and Efficacy Register of New Interventional Procedures – Surgical (ASERNIP-S), Royal Australasian College of Surgeons, Adelaide, South Australia, Australia</w:t>
      </w:r>
    </w:p>
    <w:p w14:paraId="71DE1AE3" w14:textId="3B5E846F" w:rsidR="00DD1733" w:rsidRPr="00183E4D" w:rsidRDefault="00DD1733" w:rsidP="00401B0D">
      <w:pPr>
        <w:tabs>
          <w:tab w:val="left" w:pos="4111"/>
        </w:tabs>
        <w:ind w:left="3119" w:hanging="3119"/>
      </w:pPr>
      <w:r>
        <w:t>Dr. David Tivey</w:t>
      </w:r>
      <w:r>
        <w:tab/>
        <w:t xml:space="preserve">Team Leader, </w:t>
      </w:r>
      <w:r w:rsidR="00401B0D">
        <w:t>ASERNIP-S</w:t>
      </w:r>
      <w:r w:rsidRPr="00EB32D0">
        <w:t>, Royal Australasian College of Surgeons, Adelaide, South Australia, Australia</w:t>
      </w:r>
    </w:p>
    <w:p w14:paraId="4C4CA578" w14:textId="143B09BE" w:rsidR="007B1DC8" w:rsidRDefault="000C0CCE" w:rsidP="00401B0D">
      <w:pPr>
        <w:tabs>
          <w:tab w:val="left" w:pos="4111"/>
        </w:tabs>
        <w:ind w:left="3119" w:hanging="3119"/>
      </w:pPr>
      <w:r>
        <w:t>Dr. Joanna Duncan</w:t>
      </w:r>
      <w:r>
        <w:tab/>
        <w:t>Senior Research Officer</w:t>
      </w:r>
      <w:r w:rsidR="00DD1733">
        <w:t xml:space="preserve">, </w:t>
      </w:r>
      <w:r w:rsidR="00401B0D">
        <w:t>ASERNIP-S</w:t>
      </w:r>
      <w:r w:rsidR="00DD1733" w:rsidRPr="00EB32D0">
        <w:t>, Royal Australasian College of Surgeons, Adelaide, South Australia, Australia</w:t>
      </w:r>
    </w:p>
    <w:p w14:paraId="4147C5C1" w14:textId="2143E6CC" w:rsidR="000C0CCE" w:rsidRDefault="000C0CCE" w:rsidP="00401B0D">
      <w:pPr>
        <w:tabs>
          <w:tab w:val="left" w:pos="4111"/>
        </w:tabs>
        <w:ind w:left="3119" w:hanging="3119"/>
      </w:pPr>
      <w:r>
        <w:t>Anje Scarfe</w:t>
      </w:r>
      <w:r>
        <w:tab/>
        <w:t>Research Officer</w:t>
      </w:r>
      <w:r w:rsidR="00DD1733">
        <w:t xml:space="preserve">, </w:t>
      </w:r>
      <w:r w:rsidR="00DD1733" w:rsidRPr="00EB32D0">
        <w:t>ASERNIP-S, Royal Australasian College of Surgeons, Adelaide, South Australia, Australia</w:t>
      </w:r>
    </w:p>
    <w:p w14:paraId="6DB28819" w14:textId="43D0E605" w:rsidR="003E2992" w:rsidRDefault="00742247" w:rsidP="00401B0D">
      <w:pPr>
        <w:tabs>
          <w:tab w:val="left" w:pos="4111"/>
        </w:tabs>
        <w:ind w:left="3119" w:hanging="3119"/>
      </w:pPr>
      <w:r>
        <w:t>A/Prof</w:t>
      </w:r>
      <w:r w:rsidR="00401B0D">
        <w:t xml:space="preserve">. </w:t>
      </w:r>
      <w:r w:rsidR="003E2992">
        <w:t>Stephen Goodall</w:t>
      </w:r>
      <w:r w:rsidR="003E2992">
        <w:tab/>
      </w:r>
      <w:r w:rsidR="003E2992" w:rsidRPr="003E2992">
        <w:t>Associate Professor</w:t>
      </w:r>
      <w:r w:rsidR="003E2992">
        <w:t>, Centre for Health Economics Research and Evaluation</w:t>
      </w:r>
      <w:r w:rsidR="00401B0D">
        <w:t xml:space="preserve"> (CHERE)</w:t>
      </w:r>
      <w:r w:rsidR="003E2992">
        <w:t xml:space="preserve">, </w:t>
      </w:r>
      <w:r w:rsidR="003E2992" w:rsidRPr="003E2992">
        <w:t>University of Technology Sydney</w:t>
      </w:r>
      <w:r w:rsidR="003E2992">
        <w:t>, Sydney, Australia</w:t>
      </w:r>
    </w:p>
    <w:p w14:paraId="751C0890" w14:textId="40151BD1" w:rsidR="003E2992" w:rsidRDefault="00742247" w:rsidP="00401B0D">
      <w:pPr>
        <w:tabs>
          <w:tab w:val="left" w:pos="4111"/>
        </w:tabs>
        <w:ind w:left="3119" w:hanging="3119"/>
      </w:pPr>
      <w:r>
        <w:t xml:space="preserve">Dr. </w:t>
      </w:r>
      <w:r w:rsidR="003E2992">
        <w:t>Naomi van der Linden</w:t>
      </w:r>
      <w:r w:rsidR="003E2992">
        <w:tab/>
        <w:t xml:space="preserve">Research Fellow, </w:t>
      </w:r>
      <w:r w:rsidR="00401B0D">
        <w:t>CHERE</w:t>
      </w:r>
      <w:r w:rsidR="003E2992">
        <w:t xml:space="preserve">, </w:t>
      </w:r>
      <w:r w:rsidR="003E2992" w:rsidRPr="003E2992">
        <w:t>University of Technology Sydney</w:t>
      </w:r>
      <w:r w:rsidR="003E2992">
        <w:t>, Sydney, Australia</w:t>
      </w:r>
    </w:p>
    <w:p w14:paraId="4809EF84" w14:textId="534F84C3" w:rsidR="003E2992" w:rsidRDefault="003E2992" w:rsidP="00401B0D">
      <w:pPr>
        <w:tabs>
          <w:tab w:val="left" w:pos="4111"/>
        </w:tabs>
        <w:ind w:left="3119" w:hanging="3119"/>
      </w:pPr>
      <w:r>
        <w:t>Kathleen Manipis</w:t>
      </w:r>
      <w:r>
        <w:tab/>
        <w:t xml:space="preserve">Research Fellow, </w:t>
      </w:r>
      <w:r w:rsidR="00401B0D">
        <w:t>CHERE</w:t>
      </w:r>
      <w:r>
        <w:t xml:space="preserve">, </w:t>
      </w:r>
      <w:r w:rsidRPr="003E2992">
        <w:t>University of Technology Sydney</w:t>
      </w:r>
      <w:r>
        <w:t>, Sydney, Australia</w:t>
      </w:r>
    </w:p>
    <w:p w14:paraId="244906D7" w14:textId="77777777" w:rsidR="004E45C4" w:rsidRPr="00183E4D" w:rsidRDefault="004E45C4" w:rsidP="00DF343F">
      <w:pPr>
        <w:spacing w:line="240" w:lineRule="auto"/>
        <w:rPr>
          <w:b/>
          <w:sz w:val="28"/>
          <w:szCs w:val="28"/>
        </w:rPr>
      </w:pPr>
      <w:bookmarkStart w:id="747" w:name="_Toc352254679"/>
      <w:bookmarkStart w:id="748" w:name="_Toc352672951"/>
      <w:bookmarkStart w:id="749" w:name="_Toc352761736"/>
      <w:r w:rsidRPr="00183E4D">
        <w:rPr>
          <w:b/>
          <w:sz w:val="28"/>
          <w:szCs w:val="28"/>
        </w:rPr>
        <w:t>Noted conflicts of interest</w:t>
      </w:r>
      <w:bookmarkEnd w:id="747"/>
      <w:bookmarkEnd w:id="748"/>
      <w:bookmarkEnd w:id="749"/>
    </w:p>
    <w:p w14:paraId="288A3B23" w14:textId="231494FA" w:rsidR="00071D1F" w:rsidRDefault="004E45C4" w:rsidP="00071D1F">
      <w:pPr>
        <w:spacing w:line="240" w:lineRule="auto"/>
      </w:pPr>
      <w:r w:rsidRPr="00183E4D">
        <w:t>There were no conflicts of interest.</w:t>
      </w:r>
    </w:p>
    <w:p w14:paraId="5A0B6430" w14:textId="77777777" w:rsidR="00071D1F" w:rsidRPr="00E37D28" w:rsidRDefault="00071D1F" w:rsidP="00071D1F">
      <w:pPr>
        <w:keepNext/>
        <w:spacing w:before="500"/>
        <w:outlineLvl w:val="1"/>
        <w:rPr>
          <w:rFonts w:cs="Times New Roman"/>
          <w:b/>
          <w:bCs/>
          <w:smallCaps/>
          <w:sz w:val="28"/>
          <w:szCs w:val="28"/>
        </w:rPr>
      </w:pPr>
      <w:bookmarkStart w:id="750" w:name="_Toc460514008"/>
      <w:r>
        <w:rPr>
          <w:rFonts w:cs="Times New Roman"/>
          <w:b/>
          <w:bCs/>
          <w:smallCaps/>
          <w:sz w:val="28"/>
          <w:szCs w:val="28"/>
        </w:rPr>
        <w:t>Clinical Expert</w:t>
      </w:r>
      <w:bookmarkEnd w:id="750"/>
    </w:p>
    <w:p w14:paraId="020F614E" w14:textId="77777777" w:rsidR="00071D1F" w:rsidRPr="00E37D28" w:rsidRDefault="00071D1F" w:rsidP="00071D1F">
      <w:pPr>
        <w:spacing w:after="0" w:line="240" w:lineRule="auto"/>
        <w:jc w:val="left"/>
        <w:rPr>
          <w:rFonts w:eastAsia="Calibri" w:cs="Times New Roman"/>
          <w:lang w:eastAsia="en-US"/>
        </w:rPr>
      </w:pPr>
      <w:r w:rsidRPr="00E37D28">
        <w:rPr>
          <w:rFonts w:eastAsia="Calibri" w:cs="Times New Roman"/>
          <w:lang w:eastAsia="en-US"/>
        </w:rPr>
        <w:t>During the course of the assessment clinical input was obtained from a local expe</w:t>
      </w:r>
      <w:r>
        <w:rPr>
          <w:rFonts w:eastAsia="Calibri" w:cs="Times New Roman"/>
          <w:lang w:eastAsia="en-US"/>
        </w:rPr>
        <w:t>rt</w:t>
      </w:r>
      <w:r w:rsidRPr="00E37D28">
        <w:rPr>
          <w:rFonts w:eastAsia="Calibri" w:cs="Times New Roman"/>
          <w:lang w:eastAsia="en-US"/>
        </w:rPr>
        <w:t xml:space="preserve"> in the field</w:t>
      </w:r>
      <w:r>
        <w:rPr>
          <w:rFonts w:eastAsia="Calibri" w:cs="Times New Roman"/>
          <w:lang w:eastAsia="en-US"/>
        </w:rPr>
        <w:t xml:space="preserve"> urology</w:t>
      </w:r>
      <w:r w:rsidRPr="00E37D28">
        <w:rPr>
          <w:rFonts w:eastAsia="Calibri" w:cs="Times New Roman"/>
          <w:lang w:eastAsia="en-US"/>
        </w:rPr>
        <w:t>.</w:t>
      </w:r>
    </w:p>
    <w:p w14:paraId="3360556D" w14:textId="77777777" w:rsidR="00071D1F" w:rsidRPr="00183E4D" w:rsidRDefault="00071D1F" w:rsidP="00DF343F">
      <w:pPr>
        <w:spacing w:line="240" w:lineRule="auto"/>
      </w:pPr>
    </w:p>
    <w:p w14:paraId="08929E5A" w14:textId="77777777" w:rsidR="007A7960" w:rsidRPr="00183E4D" w:rsidRDefault="00193B87" w:rsidP="00DF343F">
      <w:pPr>
        <w:pStyle w:val="Heading1"/>
      </w:pPr>
      <w:bookmarkStart w:id="751" w:name="_Toc379118100"/>
      <w:bookmarkStart w:id="752" w:name="_Toc381796499"/>
      <w:bookmarkStart w:id="753" w:name="_Toc460514009"/>
      <w:bookmarkEnd w:id="743"/>
      <w:r w:rsidRPr="00183E4D">
        <w:lastRenderedPageBreak/>
        <w:t xml:space="preserve">Appendix </w:t>
      </w:r>
      <w:fldSimple w:instr=" SEQ Appendix \* ALPHABETIC ">
        <w:r w:rsidR="0029649D">
          <w:rPr>
            <w:noProof/>
          </w:rPr>
          <w:t>B</w:t>
        </w:r>
      </w:fldSimple>
      <w:r w:rsidR="00871F61" w:rsidRPr="00183E4D">
        <w:tab/>
        <w:t>Search strategies</w:t>
      </w:r>
      <w:bookmarkEnd w:id="751"/>
      <w:bookmarkEnd w:id="752"/>
      <w:bookmarkEnd w:id="753"/>
    </w:p>
    <w:p w14:paraId="40C7BD13" w14:textId="77777777" w:rsidR="004B32E9" w:rsidRDefault="004B32E9" w:rsidP="004B32E9">
      <w:pPr>
        <w:pStyle w:val="Heading3"/>
      </w:pPr>
      <w:bookmarkStart w:id="754" w:name="_Toc294256148"/>
      <w:bookmarkStart w:id="755" w:name="_Toc301358577"/>
      <w:bookmarkStart w:id="756" w:name="_Toc303677590"/>
      <w:bookmarkStart w:id="757" w:name="_Toc303677762"/>
      <w:bookmarkStart w:id="758" w:name="_Toc381796500"/>
      <w:bookmarkStart w:id="759" w:name="_Toc460514010"/>
      <w:r w:rsidRPr="00183E4D">
        <w:t>Bibliographic databases</w:t>
      </w:r>
      <w:bookmarkEnd w:id="754"/>
      <w:bookmarkEnd w:id="755"/>
      <w:bookmarkEnd w:id="756"/>
      <w:bookmarkEnd w:id="757"/>
      <w:bookmarkEnd w:id="758"/>
      <w:bookmarkEnd w:id="759"/>
    </w:p>
    <w:p w14:paraId="5DE3A7DB" w14:textId="070340CE" w:rsidR="00AB247C" w:rsidRPr="00AB247C" w:rsidRDefault="000B1DB4" w:rsidP="009A220C">
      <w:pPr>
        <w:pStyle w:val="Caption"/>
      </w:pPr>
      <w:bookmarkStart w:id="760" w:name="_Toc460514568"/>
      <w:r>
        <w:t xml:space="preserve">Table </w:t>
      </w:r>
      <w:fldSimple w:instr=" SEQ Table \* ARABIC ">
        <w:r w:rsidR="0029649D">
          <w:rPr>
            <w:noProof/>
          </w:rPr>
          <w:t>68</w:t>
        </w:r>
      </w:fldSimple>
      <w:r w:rsidR="00D03D2D">
        <w:rPr>
          <w:noProof/>
        </w:rPr>
        <w:tab/>
        <w:t>Electronic databases searched</w:t>
      </w:r>
      <w:bookmarkEnd w:id="760"/>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ibliographic databases"/>
        <w:tblDescription w:val="List of electronic databases searched for the systematic review."/>
      </w:tblPr>
      <w:tblGrid>
        <w:gridCol w:w="5670"/>
        <w:gridCol w:w="3261"/>
      </w:tblGrid>
      <w:tr w:rsidR="004B32E9" w:rsidRPr="00183E4D" w14:paraId="22D1A6A4" w14:textId="77777777" w:rsidTr="004B32E9">
        <w:trPr>
          <w:trHeight w:val="303"/>
        </w:trPr>
        <w:tc>
          <w:tcPr>
            <w:tcW w:w="5670" w:type="dxa"/>
          </w:tcPr>
          <w:p w14:paraId="49AD6B1A" w14:textId="77777777" w:rsidR="004B32E9" w:rsidRPr="00183E4D" w:rsidRDefault="004B32E9" w:rsidP="004B32E9">
            <w:pPr>
              <w:pStyle w:val="TableHeading"/>
            </w:pPr>
            <w:r w:rsidRPr="00183E4D">
              <w:t>Electronic database</w:t>
            </w:r>
          </w:p>
        </w:tc>
        <w:tc>
          <w:tcPr>
            <w:tcW w:w="3261" w:type="dxa"/>
          </w:tcPr>
          <w:p w14:paraId="1CF29F30" w14:textId="77777777" w:rsidR="004B32E9" w:rsidRPr="00183E4D" w:rsidRDefault="004B32E9" w:rsidP="004B32E9">
            <w:pPr>
              <w:pStyle w:val="TableHeading"/>
            </w:pPr>
            <w:r w:rsidRPr="00183E4D">
              <w:t>Time period searched</w:t>
            </w:r>
          </w:p>
        </w:tc>
      </w:tr>
      <w:tr w:rsidR="004B32E9" w:rsidRPr="00F43D6A" w14:paraId="7540FFB8" w14:textId="77777777" w:rsidTr="004B32E9">
        <w:tc>
          <w:tcPr>
            <w:tcW w:w="5670" w:type="dxa"/>
          </w:tcPr>
          <w:p w14:paraId="5FF2AFE0" w14:textId="77777777" w:rsidR="004B32E9" w:rsidRPr="00F43D6A" w:rsidRDefault="004B32E9" w:rsidP="00F43D6A">
            <w:pPr>
              <w:pStyle w:val="Tabletext1"/>
            </w:pPr>
            <w:r w:rsidRPr="00F43D6A">
              <w:t>Embase</w:t>
            </w:r>
          </w:p>
        </w:tc>
        <w:tc>
          <w:tcPr>
            <w:tcW w:w="3261" w:type="dxa"/>
          </w:tcPr>
          <w:p w14:paraId="7C521D75" w14:textId="77777777" w:rsidR="004B32E9" w:rsidRPr="00F43D6A" w:rsidRDefault="004B32E9" w:rsidP="00F43D6A">
            <w:pPr>
              <w:pStyle w:val="Tabletext1"/>
            </w:pPr>
            <w:r w:rsidRPr="00F43D6A">
              <w:t>Inception to 20th May 2016</w:t>
            </w:r>
          </w:p>
        </w:tc>
      </w:tr>
      <w:tr w:rsidR="004B32E9" w:rsidRPr="00F43D6A" w14:paraId="6135153B" w14:textId="77777777" w:rsidTr="004B32E9">
        <w:tc>
          <w:tcPr>
            <w:tcW w:w="5670" w:type="dxa"/>
            <w:tcBorders>
              <w:top w:val="single" w:sz="4" w:space="0" w:color="auto"/>
              <w:left w:val="single" w:sz="4" w:space="0" w:color="auto"/>
              <w:bottom w:val="single" w:sz="4" w:space="0" w:color="auto"/>
              <w:right w:val="single" w:sz="4" w:space="0" w:color="auto"/>
            </w:tcBorders>
          </w:tcPr>
          <w:p w14:paraId="599F3D8A" w14:textId="77777777" w:rsidR="004B32E9" w:rsidRPr="00F43D6A" w:rsidRDefault="004B32E9" w:rsidP="00F43D6A">
            <w:pPr>
              <w:pStyle w:val="Tabletext1"/>
            </w:pPr>
            <w:r w:rsidRPr="00F43D6A">
              <w:t>PubMED</w:t>
            </w:r>
          </w:p>
        </w:tc>
        <w:tc>
          <w:tcPr>
            <w:tcW w:w="3261" w:type="dxa"/>
            <w:tcBorders>
              <w:top w:val="single" w:sz="4" w:space="0" w:color="auto"/>
              <w:left w:val="single" w:sz="4" w:space="0" w:color="auto"/>
              <w:bottom w:val="single" w:sz="4" w:space="0" w:color="auto"/>
              <w:right w:val="single" w:sz="4" w:space="0" w:color="auto"/>
            </w:tcBorders>
          </w:tcPr>
          <w:p w14:paraId="4D08AF2C" w14:textId="77777777" w:rsidR="004B32E9" w:rsidRPr="00F43D6A" w:rsidRDefault="004B32E9" w:rsidP="00F43D6A">
            <w:pPr>
              <w:pStyle w:val="Tabletext1"/>
            </w:pPr>
            <w:r w:rsidRPr="00F43D6A">
              <w:t>Inception to 20th May 2016</w:t>
            </w:r>
          </w:p>
        </w:tc>
      </w:tr>
      <w:tr w:rsidR="004B32E9" w:rsidRPr="00F43D6A" w14:paraId="582CC820" w14:textId="77777777" w:rsidTr="004B32E9">
        <w:tc>
          <w:tcPr>
            <w:tcW w:w="5670" w:type="dxa"/>
          </w:tcPr>
          <w:p w14:paraId="4C7C6800" w14:textId="77777777" w:rsidR="004B32E9" w:rsidRPr="00F43D6A" w:rsidRDefault="004B32E9" w:rsidP="00F43D6A">
            <w:pPr>
              <w:pStyle w:val="Tabletext1"/>
            </w:pPr>
            <w:r w:rsidRPr="00F43D6A">
              <w:t>The Cochrane Library (CDSR, Central, DARE, HTA, HEED)</w:t>
            </w:r>
          </w:p>
        </w:tc>
        <w:tc>
          <w:tcPr>
            <w:tcW w:w="3261" w:type="dxa"/>
          </w:tcPr>
          <w:p w14:paraId="5BAEB398" w14:textId="77777777" w:rsidR="004B32E9" w:rsidRPr="00F43D6A" w:rsidRDefault="004B32E9" w:rsidP="00F43D6A">
            <w:pPr>
              <w:pStyle w:val="Tabletext1"/>
            </w:pPr>
            <w:r w:rsidRPr="00F43D6A">
              <w:t>Inception to 25th May 2016</w:t>
            </w:r>
          </w:p>
        </w:tc>
      </w:tr>
      <w:tr w:rsidR="004B32E9" w:rsidRPr="00F43D6A" w14:paraId="2E4B52AE" w14:textId="77777777" w:rsidTr="004B32E9">
        <w:tc>
          <w:tcPr>
            <w:tcW w:w="5670" w:type="dxa"/>
          </w:tcPr>
          <w:p w14:paraId="490661C5" w14:textId="77777777" w:rsidR="004B32E9" w:rsidRPr="00F43D6A" w:rsidRDefault="004B32E9" w:rsidP="00F43D6A">
            <w:pPr>
              <w:pStyle w:val="Tabletext1"/>
            </w:pPr>
            <w:r w:rsidRPr="00F43D6A">
              <w:t>York Centre for Reviews and Dissemination</w:t>
            </w:r>
          </w:p>
        </w:tc>
        <w:tc>
          <w:tcPr>
            <w:tcW w:w="3261" w:type="dxa"/>
          </w:tcPr>
          <w:p w14:paraId="14E19CDC" w14:textId="77777777" w:rsidR="004B32E9" w:rsidRPr="00F43D6A" w:rsidRDefault="004B32E9" w:rsidP="00F43D6A">
            <w:pPr>
              <w:pStyle w:val="Tabletext1"/>
            </w:pPr>
            <w:r w:rsidRPr="00F43D6A">
              <w:t>Inception to 25th May 2016</w:t>
            </w:r>
          </w:p>
        </w:tc>
      </w:tr>
    </w:tbl>
    <w:p w14:paraId="1AAF9DE0" w14:textId="77777777" w:rsidR="004B32E9" w:rsidRDefault="004B32E9" w:rsidP="004B32E9">
      <w:pPr>
        <w:pStyle w:val="Heading3"/>
      </w:pPr>
      <w:bookmarkStart w:id="761" w:name="_Toc294256149"/>
      <w:bookmarkStart w:id="762" w:name="_Toc301358578"/>
      <w:bookmarkStart w:id="763" w:name="_Toc303677591"/>
      <w:bookmarkStart w:id="764" w:name="_Toc303677763"/>
      <w:bookmarkStart w:id="765" w:name="_Toc381796501"/>
      <w:bookmarkStart w:id="766" w:name="_Toc460514011"/>
      <w:r w:rsidRPr="00183E4D">
        <w:t>Additional sources of literature</w:t>
      </w:r>
      <w:bookmarkEnd w:id="761"/>
      <w:bookmarkEnd w:id="762"/>
      <w:bookmarkEnd w:id="763"/>
      <w:bookmarkEnd w:id="764"/>
      <w:bookmarkEnd w:id="765"/>
      <w:r w:rsidRPr="00183E4D">
        <w:t xml:space="preserve"> (including websites)</w:t>
      </w:r>
      <w:bookmarkEnd w:id="766"/>
    </w:p>
    <w:p w14:paraId="3D107812" w14:textId="19B6951E" w:rsidR="000B1DB4" w:rsidRPr="000B1DB4" w:rsidRDefault="000B1DB4" w:rsidP="009A220C">
      <w:pPr>
        <w:pStyle w:val="Caption"/>
      </w:pPr>
      <w:bookmarkStart w:id="767" w:name="_Toc460514569"/>
      <w:r>
        <w:t xml:space="preserve">Table </w:t>
      </w:r>
      <w:fldSimple w:instr=" SEQ Table \* ARABIC ">
        <w:r w:rsidR="0029649D">
          <w:rPr>
            <w:noProof/>
          </w:rPr>
          <w:t>69</w:t>
        </w:r>
      </w:fldSimple>
      <w:r w:rsidR="00D03D2D">
        <w:rPr>
          <w:noProof/>
        </w:rPr>
        <w:tab/>
        <w:t>Website searched for this assessment</w:t>
      </w:r>
      <w:bookmarkEnd w:id="7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4950"/>
        <w:gridCol w:w="3981"/>
      </w:tblGrid>
      <w:tr w:rsidR="004B32E9" w:rsidRPr="00183E4D" w14:paraId="4A2BB2B9" w14:textId="77777777" w:rsidTr="004B32E9">
        <w:trPr>
          <w:tblHeader/>
        </w:trPr>
        <w:tc>
          <w:tcPr>
            <w:tcW w:w="4950" w:type="dxa"/>
            <w:tcBorders>
              <w:bottom w:val="single" w:sz="4" w:space="0" w:color="auto"/>
            </w:tcBorders>
          </w:tcPr>
          <w:p w14:paraId="5E486AD9" w14:textId="77777777" w:rsidR="004B32E9" w:rsidRPr="0005426D" w:rsidRDefault="004B32E9" w:rsidP="0005426D">
            <w:pPr>
              <w:pStyle w:val="TableHeading"/>
            </w:pPr>
            <w:r w:rsidRPr="0005426D">
              <w:t>Source</w:t>
            </w:r>
          </w:p>
        </w:tc>
        <w:tc>
          <w:tcPr>
            <w:tcW w:w="3981" w:type="dxa"/>
            <w:tcBorders>
              <w:bottom w:val="single" w:sz="4" w:space="0" w:color="auto"/>
            </w:tcBorders>
          </w:tcPr>
          <w:p w14:paraId="1B37E3D2" w14:textId="77777777" w:rsidR="004B32E9" w:rsidRPr="0005426D" w:rsidRDefault="004B32E9" w:rsidP="0005426D">
            <w:pPr>
              <w:pStyle w:val="TableHeading"/>
            </w:pPr>
            <w:r w:rsidRPr="0005426D">
              <w:t>Location</w:t>
            </w:r>
          </w:p>
        </w:tc>
      </w:tr>
      <w:tr w:rsidR="004B32E9" w:rsidRPr="00183E4D" w14:paraId="066D0E4A" w14:textId="77777777" w:rsidTr="004B32E9">
        <w:trPr>
          <w:tblHeader/>
        </w:trPr>
        <w:tc>
          <w:tcPr>
            <w:tcW w:w="4950" w:type="dxa"/>
            <w:tcBorders>
              <w:top w:val="single" w:sz="4" w:space="0" w:color="auto"/>
              <w:left w:val="single" w:sz="4" w:space="0" w:color="auto"/>
              <w:bottom w:val="single" w:sz="4" w:space="0" w:color="auto"/>
              <w:right w:val="nil"/>
            </w:tcBorders>
          </w:tcPr>
          <w:p w14:paraId="5AC43E4F" w14:textId="77777777" w:rsidR="004B32E9" w:rsidRPr="0005426D" w:rsidRDefault="004B32E9" w:rsidP="0005426D">
            <w:pPr>
              <w:pStyle w:val="Tabletext1"/>
            </w:pPr>
            <w:r w:rsidRPr="0005426D">
              <w:t>Australian New Zealand Clinical Trials Registry</w:t>
            </w:r>
          </w:p>
        </w:tc>
        <w:tc>
          <w:tcPr>
            <w:tcW w:w="3981" w:type="dxa"/>
            <w:tcBorders>
              <w:top w:val="single" w:sz="4" w:space="0" w:color="auto"/>
              <w:left w:val="nil"/>
              <w:bottom w:val="single" w:sz="4" w:space="0" w:color="auto"/>
              <w:right w:val="single" w:sz="4" w:space="0" w:color="auto"/>
            </w:tcBorders>
          </w:tcPr>
          <w:p w14:paraId="35973F88" w14:textId="77777777" w:rsidR="004B32E9" w:rsidRPr="0005426D" w:rsidRDefault="004B32E9" w:rsidP="0005426D">
            <w:pPr>
              <w:pStyle w:val="Tabletext1"/>
            </w:pPr>
            <w:r w:rsidRPr="0005426D">
              <w:t>http://www.anzctr.org.au/Default.aspx</w:t>
            </w:r>
          </w:p>
        </w:tc>
      </w:tr>
      <w:tr w:rsidR="004B32E9" w:rsidRPr="00183E4D" w14:paraId="595E4FA4" w14:textId="77777777" w:rsidTr="004B32E9">
        <w:trPr>
          <w:tblHeader/>
        </w:trPr>
        <w:tc>
          <w:tcPr>
            <w:tcW w:w="4950" w:type="dxa"/>
            <w:tcBorders>
              <w:top w:val="single" w:sz="4" w:space="0" w:color="auto"/>
              <w:left w:val="single" w:sz="4" w:space="0" w:color="auto"/>
              <w:bottom w:val="single" w:sz="4" w:space="0" w:color="auto"/>
              <w:right w:val="nil"/>
            </w:tcBorders>
          </w:tcPr>
          <w:p w14:paraId="20C9E41B" w14:textId="77777777" w:rsidR="004B32E9" w:rsidRPr="0005426D" w:rsidRDefault="004B32E9" w:rsidP="0005426D">
            <w:pPr>
              <w:pStyle w:val="Tabletext1"/>
            </w:pPr>
            <w:r w:rsidRPr="0005426D">
              <w:t>ClinicalTrials.gov</w:t>
            </w:r>
          </w:p>
        </w:tc>
        <w:tc>
          <w:tcPr>
            <w:tcW w:w="3981" w:type="dxa"/>
            <w:tcBorders>
              <w:top w:val="single" w:sz="4" w:space="0" w:color="auto"/>
              <w:left w:val="nil"/>
              <w:bottom w:val="single" w:sz="4" w:space="0" w:color="auto"/>
              <w:right w:val="single" w:sz="4" w:space="0" w:color="auto"/>
            </w:tcBorders>
          </w:tcPr>
          <w:p w14:paraId="7C40B4A0" w14:textId="77777777" w:rsidR="004B32E9" w:rsidRPr="0005426D" w:rsidRDefault="004B32E9" w:rsidP="0005426D">
            <w:pPr>
              <w:pStyle w:val="Tabletext1"/>
            </w:pPr>
            <w:r w:rsidRPr="0005426D">
              <w:t>https://clinicaltrials.gov/</w:t>
            </w:r>
          </w:p>
        </w:tc>
      </w:tr>
      <w:tr w:rsidR="004B32E9" w:rsidRPr="00183E4D" w14:paraId="65CBB563" w14:textId="77777777" w:rsidTr="004B32E9">
        <w:tc>
          <w:tcPr>
            <w:tcW w:w="4950" w:type="dxa"/>
          </w:tcPr>
          <w:p w14:paraId="1222279D" w14:textId="77777777" w:rsidR="004B32E9" w:rsidRPr="0005426D" w:rsidRDefault="00DD0356" w:rsidP="0005426D">
            <w:pPr>
              <w:pStyle w:val="Tabletext1"/>
            </w:pPr>
            <w:hyperlink r:id="rId54" w:history="1">
              <w:r w:rsidR="004B32E9" w:rsidRPr="0005426D">
                <w:t>Royal Australasian College of Radiologists</w:t>
              </w:r>
            </w:hyperlink>
          </w:p>
        </w:tc>
        <w:tc>
          <w:tcPr>
            <w:tcW w:w="3981" w:type="dxa"/>
          </w:tcPr>
          <w:p w14:paraId="43566E21" w14:textId="77777777" w:rsidR="004B32E9" w:rsidRPr="0005426D" w:rsidRDefault="004B32E9" w:rsidP="0005426D">
            <w:pPr>
              <w:pStyle w:val="Tabletext1"/>
            </w:pPr>
            <w:r w:rsidRPr="0005426D">
              <w:t>http://www.ranzcr.edu.au/</w:t>
            </w:r>
          </w:p>
        </w:tc>
      </w:tr>
      <w:tr w:rsidR="004B32E9" w:rsidRPr="00183E4D" w14:paraId="10D5A316" w14:textId="77777777" w:rsidTr="004B32E9">
        <w:tc>
          <w:tcPr>
            <w:tcW w:w="4950" w:type="dxa"/>
          </w:tcPr>
          <w:p w14:paraId="52FA8928" w14:textId="77777777" w:rsidR="004B32E9" w:rsidRPr="0005426D" w:rsidRDefault="00DD0356" w:rsidP="0005426D">
            <w:pPr>
              <w:pStyle w:val="Tabletext1"/>
            </w:pPr>
            <w:hyperlink r:id="rId55" w:history="1">
              <w:r w:rsidR="004B32E9" w:rsidRPr="0005426D">
                <w:t>American College of Radiology</w:t>
              </w:r>
            </w:hyperlink>
          </w:p>
        </w:tc>
        <w:tc>
          <w:tcPr>
            <w:tcW w:w="3981" w:type="dxa"/>
          </w:tcPr>
          <w:p w14:paraId="706C9679" w14:textId="77777777" w:rsidR="004B32E9" w:rsidRPr="0005426D" w:rsidRDefault="004B32E9" w:rsidP="0005426D">
            <w:pPr>
              <w:pStyle w:val="Tabletext1"/>
            </w:pPr>
            <w:r w:rsidRPr="0005426D">
              <w:t>http://www.acr.org/</w:t>
            </w:r>
          </w:p>
        </w:tc>
      </w:tr>
      <w:tr w:rsidR="004B32E9" w:rsidRPr="00183E4D" w14:paraId="7DE49C4E" w14:textId="77777777" w:rsidTr="004B32E9">
        <w:tc>
          <w:tcPr>
            <w:tcW w:w="4950" w:type="dxa"/>
          </w:tcPr>
          <w:p w14:paraId="6EDE3185" w14:textId="77777777" w:rsidR="004B32E9" w:rsidRPr="0005426D" w:rsidRDefault="00DD0356" w:rsidP="0005426D">
            <w:pPr>
              <w:pStyle w:val="Tabletext1"/>
            </w:pPr>
            <w:hyperlink r:id="rId56" w:history="1">
              <w:r w:rsidR="004B32E9" w:rsidRPr="0005426D">
                <w:t>Radiological Society of North America</w:t>
              </w:r>
            </w:hyperlink>
          </w:p>
        </w:tc>
        <w:tc>
          <w:tcPr>
            <w:tcW w:w="3981" w:type="dxa"/>
          </w:tcPr>
          <w:p w14:paraId="5D1EB3CD" w14:textId="77777777" w:rsidR="004B32E9" w:rsidRPr="0005426D" w:rsidRDefault="004B32E9" w:rsidP="0005426D">
            <w:pPr>
              <w:pStyle w:val="Tabletext1"/>
            </w:pPr>
            <w:r w:rsidRPr="0005426D">
              <w:t>http://www.rsna.org/</w:t>
            </w:r>
          </w:p>
        </w:tc>
      </w:tr>
      <w:tr w:rsidR="004B32E9" w:rsidRPr="00183E4D" w14:paraId="5585073C" w14:textId="77777777" w:rsidTr="004B32E9">
        <w:tc>
          <w:tcPr>
            <w:tcW w:w="4950" w:type="dxa"/>
          </w:tcPr>
          <w:p w14:paraId="3CC64FC5" w14:textId="77777777" w:rsidR="004B32E9" w:rsidRPr="0005426D" w:rsidRDefault="004B32E9" w:rsidP="0005426D">
            <w:pPr>
              <w:pStyle w:val="Tabletext1"/>
            </w:pPr>
            <w:r w:rsidRPr="0005426D">
              <w:t>Australian Institute of Health and Welfare</w:t>
            </w:r>
          </w:p>
        </w:tc>
        <w:tc>
          <w:tcPr>
            <w:tcW w:w="3981" w:type="dxa"/>
          </w:tcPr>
          <w:p w14:paraId="1EEF1854" w14:textId="77777777" w:rsidR="004B32E9" w:rsidRPr="0005426D" w:rsidRDefault="004B32E9" w:rsidP="0005426D">
            <w:pPr>
              <w:pStyle w:val="Tabletext1"/>
            </w:pPr>
            <w:r w:rsidRPr="0005426D">
              <w:t>http://aihw.gov.au/</w:t>
            </w:r>
          </w:p>
        </w:tc>
      </w:tr>
      <w:tr w:rsidR="004B32E9" w:rsidRPr="00183E4D" w14:paraId="5E8CA3D4" w14:textId="77777777" w:rsidTr="004B32E9">
        <w:tc>
          <w:tcPr>
            <w:tcW w:w="4950" w:type="dxa"/>
          </w:tcPr>
          <w:p w14:paraId="6B7375E4" w14:textId="77777777" w:rsidR="004B32E9" w:rsidRPr="0005426D" w:rsidRDefault="004B32E9" w:rsidP="0005426D">
            <w:pPr>
              <w:pStyle w:val="Tabletext1"/>
            </w:pPr>
            <w:r w:rsidRPr="0005426D">
              <w:t>Medicare Benefits Schedule</w:t>
            </w:r>
          </w:p>
        </w:tc>
        <w:tc>
          <w:tcPr>
            <w:tcW w:w="3981" w:type="dxa"/>
          </w:tcPr>
          <w:p w14:paraId="477E97A6" w14:textId="77777777" w:rsidR="004B32E9" w:rsidRPr="0005426D" w:rsidRDefault="004B32E9" w:rsidP="0005426D">
            <w:pPr>
              <w:pStyle w:val="Tabletext1"/>
            </w:pPr>
            <w:r w:rsidRPr="0005426D">
              <w:t>http://www.mbsonline.gov.au</w:t>
            </w:r>
          </w:p>
        </w:tc>
      </w:tr>
      <w:tr w:rsidR="004B32E9" w:rsidRPr="00183E4D" w14:paraId="335D7511" w14:textId="77777777" w:rsidTr="004B32E9">
        <w:tc>
          <w:tcPr>
            <w:tcW w:w="4950" w:type="dxa"/>
          </w:tcPr>
          <w:p w14:paraId="5475E4C4" w14:textId="77777777" w:rsidR="004B32E9" w:rsidRPr="0005426D" w:rsidRDefault="004B32E9" w:rsidP="0005426D">
            <w:pPr>
              <w:pStyle w:val="Tabletext1"/>
            </w:pPr>
            <w:r w:rsidRPr="0005426D">
              <w:t>Cancer Council Victoria</w:t>
            </w:r>
          </w:p>
        </w:tc>
        <w:tc>
          <w:tcPr>
            <w:tcW w:w="3981" w:type="dxa"/>
          </w:tcPr>
          <w:p w14:paraId="49D60A7F" w14:textId="77777777" w:rsidR="004B32E9" w:rsidRPr="0005426D" w:rsidRDefault="004B32E9" w:rsidP="0005426D">
            <w:pPr>
              <w:pStyle w:val="Tabletext1"/>
            </w:pPr>
            <w:r w:rsidRPr="0005426D">
              <w:t>http://www.cancervic.org.au/</w:t>
            </w:r>
          </w:p>
        </w:tc>
      </w:tr>
      <w:tr w:rsidR="004B32E9" w:rsidRPr="00183E4D" w14:paraId="54D7C722" w14:textId="77777777" w:rsidTr="004B32E9">
        <w:tc>
          <w:tcPr>
            <w:tcW w:w="4950" w:type="dxa"/>
          </w:tcPr>
          <w:p w14:paraId="2360D93B" w14:textId="77777777" w:rsidR="004B32E9" w:rsidRPr="0005426D" w:rsidRDefault="004B32E9" w:rsidP="0005426D">
            <w:pPr>
              <w:pStyle w:val="Tabletext1"/>
            </w:pPr>
            <w:r w:rsidRPr="0005426D">
              <w:t>National Guideline Clearinghouse</w:t>
            </w:r>
          </w:p>
        </w:tc>
        <w:tc>
          <w:tcPr>
            <w:tcW w:w="3981" w:type="dxa"/>
          </w:tcPr>
          <w:p w14:paraId="557A6DEC" w14:textId="77777777" w:rsidR="004B32E9" w:rsidRPr="0005426D" w:rsidRDefault="004B32E9" w:rsidP="0005426D">
            <w:pPr>
              <w:pStyle w:val="Tabletext1"/>
            </w:pPr>
            <w:r w:rsidRPr="0005426D">
              <w:t>http://www.ahrq.gov/</w:t>
            </w:r>
          </w:p>
        </w:tc>
      </w:tr>
      <w:tr w:rsidR="004B32E9" w:rsidRPr="00183E4D" w14:paraId="46F0ACFF" w14:textId="77777777" w:rsidTr="004B32E9">
        <w:tc>
          <w:tcPr>
            <w:tcW w:w="4950" w:type="dxa"/>
          </w:tcPr>
          <w:p w14:paraId="74FF395E" w14:textId="77777777" w:rsidR="004B32E9" w:rsidRPr="0005426D" w:rsidRDefault="004B32E9" w:rsidP="0005426D">
            <w:pPr>
              <w:pStyle w:val="Tabletext1"/>
            </w:pPr>
            <w:r w:rsidRPr="0005426D">
              <w:t>Cancer Council Australia</w:t>
            </w:r>
          </w:p>
        </w:tc>
        <w:tc>
          <w:tcPr>
            <w:tcW w:w="3981" w:type="dxa"/>
          </w:tcPr>
          <w:p w14:paraId="7E48B911" w14:textId="77777777" w:rsidR="004B32E9" w:rsidRPr="0005426D" w:rsidRDefault="004B32E9" w:rsidP="0005426D">
            <w:pPr>
              <w:pStyle w:val="Tabletext1"/>
            </w:pPr>
            <w:r w:rsidRPr="0005426D">
              <w:t>http://www.cancer.org.au/</w:t>
            </w:r>
          </w:p>
        </w:tc>
      </w:tr>
      <w:tr w:rsidR="004B32E9" w:rsidRPr="00183E4D" w14:paraId="6A9D7B97" w14:textId="77777777" w:rsidTr="004B32E9">
        <w:tc>
          <w:tcPr>
            <w:tcW w:w="4950" w:type="dxa"/>
          </w:tcPr>
          <w:p w14:paraId="690D6368" w14:textId="4987B12E" w:rsidR="004B32E9" w:rsidRPr="0005426D" w:rsidRDefault="004B32E9" w:rsidP="0005426D">
            <w:pPr>
              <w:pStyle w:val="Tabletext1"/>
            </w:pPr>
            <w:r w:rsidRPr="0005426D">
              <w:t>Australian Clinical Practice Guidelines Portal</w:t>
            </w:r>
          </w:p>
        </w:tc>
        <w:tc>
          <w:tcPr>
            <w:tcW w:w="3981" w:type="dxa"/>
          </w:tcPr>
          <w:p w14:paraId="41AB7B14" w14:textId="7C364554" w:rsidR="004B32E9" w:rsidRPr="0005426D" w:rsidRDefault="004B32E9" w:rsidP="0005426D">
            <w:pPr>
              <w:pStyle w:val="Tabletext1"/>
            </w:pPr>
            <w:r w:rsidRPr="0005426D">
              <w:t>https://www.clinicalguidelines.gov.au/</w:t>
            </w:r>
          </w:p>
        </w:tc>
      </w:tr>
      <w:tr w:rsidR="004B32E9" w:rsidRPr="00183E4D" w14:paraId="6FCFE8C2" w14:textId="77777777" w:rsidTr="004B32E9">
        <w:tc>
          <w:tcPr>
            <w:tcW w:w="4950" w:type="dxa"/>
          </w:tcPr>
          <w:p w14:paraId="3D4AFE05" w14:textId="63FE41E2" w:rsidR="004B32E9" w:rsidRPr="0005426D" w:rsidRDefault="004B32E9" w:rsidP="0005426D">
            <w:pPr>
              <w:pStyle w:val="Tabletext1"/>
            </w:pPr>
            <w:r w:rsidRPr="0005426D">
              <w:t>National Institute for Health and Care Excellence</w:t>
            </w:r>
          </w:p>
        </w:tc>
        <w:tc>
          <w:tcPr>
            <w:tcW w:w="3981" w:type="dxa"/>
          </w:tcPr>
          <w:p w14:paraId="00FFC908" w14:textId="03BDC84B" w:rsidR="004B32E9" w:rsidRPr="0005426D" w:rsidRDefault="004B32E9" w:rsidP="0005426D">
            <w:pPr>
              <w:pStyle w:val="Tabletext1"/>
            </w:pPr>
            <w:r w:rsidRPr="0005426D">
              <w:t>https://www.nice.org.uk/</w:t>
            </w:r>
          </w:p>
        </w:tc>
      </w:tr>
      <w:tr w:rsidR="004B32E9" w:rsidRPr="00183E4D" w14:paraId="1D3039A2" w14:textId="77777777" w:rsidTr="004B32E9">
        <w:tc>
          <w:tcPr>
            <w:tcW w:w="4950" w:type="dxa"/>
          </w:tcPr>
          <w:p w14:paraId="162144CE" w14:textId="350577E2" w:rsidR="004B32E9" w:rsidRPr="0005426D" w:rsidRDefault="004B32E9" w:rsidP="0005426D">
            <w:pPr>
              <w:pStyle w:val="Tabletext1"/>
            </w:pPr>
            <w:r w:rsidRPr="0005426D">
              <w:t>Scottish Intercollegiate Guidelines Network</w:t>
            </w:r>
          </w:p>
        </w:tc>
        <w:tc>
          <w:tcPr>
            <w:tcW w:w="3981" w:type="dxa"/>
          </w:tcPr>
          <w:p w14:paraId="1559481D" w14:textId="1DF878BE" w:rsidR="004B32E9" w:rsidRPr="0005426D" w:rsidRDefault="0021216A" w:rsidP="0005426D">
            <w:pPr>
              <w:pStyle w:val="Tabletext1"/>
            </w:pPr>
            <w:r w:rsidRPr="0005426D">
              <w:t>http://www.sign.ac.uk/</w:t>
            </w:r>
          </w:p>
        </w:tc>
      </w:tr>
      <w:tr w:rsidR="004B32E9" w:rsidRPr="00183E4D" w14:paraId="0A9516DF" w14:textId="77777777" w:rsidTr="004B32E9">
        <w:tc>
          <w:tcPr>
            <w:tcW w:w="4950" w:type="dxa"/>
          </w:tcPr>
          <w:p w14:paraId="5E1FBF10" w14:textId="5580D3F1" w:rsidR="004B32E9" w:rsidRPr="0005426D" w:rsidRDefault="004B32E9" w:rsidP="0005426D">
            <w:pPr>
              <w:pStyle w:val="Tabletext1"/>
            </w:pPr>
            <w:r w:rsidRPr="0005426D">
              <w:t>EuroScan International Network</w:t>
            </w:r>
          </w:p>
        </w:tc>
        <w:tc>
          <w:tcPr>
            <w:tcW w:w="3981" w:type="dxa"/>
          </w:tcPr>
          <w:p w14:paraId="02F1A008" w14:textId="4EFE5C97" w:rsidR="004B32E9" w:rsidRPr="0005426D" w:rsidRDefault="0021216A" w:rsidP="0005426D">
            <w:pPr>
              <w:pStyle w:val="Tabletext1"/>
            </w:pPr>
            <w:r w:rsidRPr="0005426D">
              <w:t>https://www.euroscan.org/</w:t>
            </w:r>
          </w:p>
        </w:tc>
      </w:tr>
      <w:tr w:rsidR="004B32E9" w:rsidRPr="00183E4D" w14:paraId="2BDFF472" w14:textId="77777777" w:rsidTr="004B32E9">
        <w:tc>
          <w:tcPr>
            <w:tcW w:w="4950" w:type="dxa"/>
          </w:tcPr>
          <w:p w14:paraId="149B12D4" w14:textId="563A801C" w:rsidR="004B32E9" w:rsidRPr="0005426D" w:rsidRDefault="0021216A" w:rsidP="0005426D">
            <w:pPr>
              <w:pStyle w:val="Tabletext1"/>
            </w:pPr>
            <w:r w:rsidRPr="0005426D">
              <w:t>Trip database</w:t>
            </w:r>
          </w:p>
        </w:tc>
        <w:tc>
          <w:tcPr>
            <w:tcW w:w="3981" w:type="dxa"/>
          </w:tcPr>
          <w:p w14:paraId="1C2E00C3" w14:textId="3A00CA9F" w:rsidR="004B32E9" w:rsidRPr="0005426D" w:rsidRDefault="0021216A" w:rsidP="0005426D">
            <w:pPr>
              <w:pStyle w:val="Tabletext1"/>
            </w:pPr>
            <w:r w:rsidRPr="0005426D">
              <w:t>https://www.tripdatabase.com/</w:t>
            </w:r>
          </w:p>
        </w:tc>
      </w:tr>
      <w:tr w:rsidR="004B32E9" w:rsidRPr="00183E4D" w14:paraId="3DB65EFC" w14:textId="77777777" w:rsidTr="004B32E9">
        <w:tc>
          <w:tcPr>
            <w:tcW w:w="4950" w:type="dxa"/>
          </w:tcPr>
          <w:p w14:paraId="6EB7CE03" w14:textId="010534A1" w:rsidR="004B32E9" w:rsidRPr="0005426D" w:rsidRDefault="0021216A" w:rsidP="0005426D">
            <w:pPr>
              <w:pStyle w:val="Tabletext1"/>
            </w:pPr>
            <w:r w:rsidRPr="0005426D">
              <w:t>American College of Radiology</w:t>
            </w:r>
          </w:p>
        </w:tc>
        <w:tc>
          <w:tcPr>
            <w:tcW w:w="3981" w:type="dxa"/>
          </w:tcPr>
          <w:p w14:paraId="1C673058" w14:textId="76794140" w:rsidR="004B32E9" w:rsidRPr="0005426D" w:rsidRDefault="00DD1733" w:rsidP="0005426D">
            <w:pPr>
              <w:pStyle w:val="Tabletext1"/>
            </w:pPr>
            <w:r w:rsidRPr="0005426D">
              <w:t>https://</w:t>
            </w:r>
            <w:r w:rsidR="0021216A" w:rsidRPr="0005426D">
              <w:t>www.acr.org</w:t>
            </w:r>
          </w:p>
        </w:tc>
      </w:tr>
      <w:tr w:rsidR="004B32E9" w:rsidRPr="00183E4D" w14:paraId="16CC2C0E" w14:textId="77777777" w:rsidTr="004B32E9">
        <w:tc>
          <w:tcPr>
            <w:tcW w:w="4950" w:type="dxa"/>
          </w:tcPr>
          <w:p w14:paraId="1866BA2C" w14:textId="6BD06324" w:rsidR="004B32E9" w:rsidRPr="0005426D" w:rsidRDefault="0021216A" w:rsidP="0005426D">
            <w:pPr>
              <w:pStyle w:val="Tabletext1"/>
            </w:pPr>
            <w:r w:rsidRPr="0005426D">
              <w:t>SA Prostate Cancer Clinical Outcomes Collaborative</w:t>
            </w:r>
          </w:p>
        </w:tc>
        <w:tc>
          <w:tcPr>
            <w:tcW w:w="3981" w:type="dxa"/>
          </w:tcPr>
          <w:p w14:paraId="3800EE8B" w14:textId="24C92EE9" w:rsidR="004B32E9" w:rsidRPr="0005426D" w:rsidRDefault="00DD1733" w:rsidP="0005426D">
            <w:pPr>
              <w:pStyle w:val="Tabletext1"/>
            </w:pPr>
            <w:r w:rsidRPr="0005426D">
              <w:t>https://</w:t>
            </w:r>
            <w:hyperlink r:id="rId57" w:history="1">
              <w:r w:rsidR="0021216A" w:rsidRPr="0005426D">
                <w:rPr>
                  <w:rStyle w:val="Hyperlink"/>
                  <w:color w:val="auto"/>
                  <w:u w:val="none"/>
                </w:rPr>
                <w:t>www.sa-pccoc.com</w:t>
              </w:r>
            </w:hyperlink>
          </w:p>
        </w:tc>
      </w:tr>
      <w:tr w:rsidR="00770531" w:rsidRPr="00183E4D" w14:paraId="1323662B" w14:textId="77777777" w:rsidTr="004B32E9">
        <w:tc>
          <w:tcPr>
            <w:tcW w:w="4950" w:type="dxa"/>
          </w:tcPr>
          <w:p w14:paraId="31C2DB98" w14:textId="6BCC2AB6" w:rsidR="00770531" w:rsidRPr="0005426D" w:rsidRDefault="00DD0356" w:rsidP="0005426D">
            <w:pPr>
              <w:pStyle w:val="Tabletext1"/>
            </w:pPr>
            <w:hyperlink r:id="rId58" w:history="1">
              <w:r w:rsidR="00770531" w:rsidRPr="0005426D">
                <w:t>Prostate Cancer Registry</w:t>
              </w:r>
            </w:hyperlink>
          </w:p>
        </w:tc>
        <w:tc>
          <w:tcPr>
            <w:tcW w:w="3981" w:type="dxa"/>
          </w:tcPr>
          <w:p w14:paraId="1B6F2D23" w14:textId="128F73DE" w:rsidR="00770531" w:rsidRPr="0005426D" w:rsidRDefault="00770531" w:rsidP="0005426D">
            <w:pPr>
              <w:pStyle w:val="Tabletext1"/>
            </w:pPr>
            <w:r w:rsidRPr="0005426D">
              <w:t>http://pcr.registry.org.au/Home.aspx</w:t>
            </w:r>
          </w:p>
        </w:tc>
      </w:tr>
    </w:tbl>
    <w:p w14:paraId="55B7B1B9" w14:textId="77777777" w:rsidR="004B32E9" w:rsidRDefault="004B32E9" w:rsidP="004B32E9"/>
    <w:p w14:paraId="3233A210" w14:textId="77777777" w:rsidR="0039322D" w:rsidRPr="00183E4D" w:rsidRDefault="0039322D" w:rsidP="00DF343F"/>
    <w:p w14:paraId="01DD0E1E" w14:textId="77777777" w:rsidR="00214C6A" w:rsidRPr="00183E4D" w:rsidRDefault="00214C6A" w:rsidP="00DF343F"/>
    <w:p w14:paraId="18734142" w14:textId="77777777" w:rsidR="009A3655" w:rsidRPr="00183E4D" w:rsidRDefault="009A3655" w:rsidP="00DF343F">
      <w:pPr>
        <w:pStyle w:val="Heading1"/>
        <w:sectPr w:rsidR="009A3655" w:rsidRPr="00183E4D" w:rsidSect="0080059D">
          <w:footerReference w:type="even" r:id="rId59"/>
          <w:type w:val="oddPage"/>
          <w:pgSz w:w="11906" w:h="16838"/>
          <w:pgMar w:top="1440" w:right="1440" w:bottom="1440" w:left="1440" w:header="720" w:footer="720" w:gutter="0"/>
          <w:paperSrc w:first="7" w:other="7"/>
          <w:cols w:space="720"/>
        </w:sectPr>
      </w:pPr>
      <w:bookmarkStart w:id="768" w:name="_Ref170808567"/>
      <w:bookmarkStart w:id="769" w:name="_Toc460813781"/>
      <w:bookmarkStart w:id="770" w:name="_Ref170792604"/>
    </w:p>
    <w:p w14:paraId="189B48D6" w14:textId="77777777" w:rsidR="007A7960" w:rsidRPr="00183E4D" w:rsidRDefault="00193B87" w:rsidP="00DF343F">
      <w:pPr>
        <w:pStyle w:val="Heading1"/>
      </w:pPr>
      <w:bookmarkStart w:id="771" w:name="_Ref364237249"/>
      <w:bookmarkStart w:id="772" w:name="_Ref190841600"/>
      <w:bookmarkStart w:id="773" w:name="_Toc379118101"/>
      <w:bookmarkStart w:id="774" w:name="_Toc381796504"/>
      <w:bookmarkStart w:id="775" w:name="_Toc460514012"/>
      <w:bookmarkEnd w:id="768"/>
      <w:r w:rsidRPr="00183E4D">
        <w:lastRenderedPageBreak/>
        <w:t xml:space="preserve">Appendix </w:t>
      </w:r>
      <w:fldSimple w:instr=" SEQ Appendix \* ALPHABETIC ">
        <w:r w:rsidR="0029649D">
          <w:rPr>
            <w:noProof/>
          </w:rPr>
          <w:t>C</w:t>
        </w:r>
      </w:fldSimple>
      <w:bookmarkEnd w:id="771"/>
      <w:r w:rsidR="008F59A8" w:rsidRPr="00183E4D">
        <w:tab/>
        <w:t>S</w:t>
      </w:r>
      <w:r w:rsidR="00591A6D" w:rsidRPr="00183E4D">
        <w:t>tudies included in the Systematic R</w:t>
      </w:r>
      <w:r w:rsidR="008F59A8" w:rsidRPr="00183E4D">
        <w:t>eview</w:t>
      </w:r>
      <w:bookmarkEnd w:id="769"/>
      <w:bookmarkEnd w:id="770"/>
      <w:bookmarkEnd w:id="772"/>
      <w:bookmarkEnd w:id="773"/>
      <w:bookmarkEnd w:id="774"/>
      <w:bookmarkEnd w:id="775"/>
      <w:r w:rsidR="008F59A8" w:rsidRPr="00183E4D">
        <w:t xml:space="preserve"> </w:t>
      </w:r>
    </w:p>
    <w:p w14:paraId="33582625" w14:textId="34493350" w:rsidR="00433806" w:rsidRDefault="0077418B" w:rsidP="0054069C">
      <w:pPr>
        <w:pStyle w:val="Heading2"/>
      </w:pPr>
      <w:bookmarkStart w:id="776" w:name="_Toc381796505"/>
      <w:bookmarkStart w:id="777" w:name="_Toc460514013"/>
      <w:r w:rsidRPr="00183E4D">
        <w:t>P</w:t>
      </w:r>
      <w:r w:rsidR="004D6547" w:rsidRPr="00183E4D">
        <w:t xml:space="preserve">rofiles of studies </w:t>
      </w:r>
      <w:bookmarkEnd w:id="776"/>
      <w:r w:rsidR="007F5EC8">
        <w:t>for patients in Population 1</w:t>
      </w:r>
      <w:r w:rsidRPr="00183E4D">
        <w:t xml:space="preserve"> included in the literature review</w:t>
      </w:r>
      <w:bookmarkEnd w:id="777"/>
    </w:p>
    <w:p w14:paraId="556D7B31" w14:textId="25059CD8" w:rsidR="000B1DB4" w:rsidRPr="000B1DB4" w:rsidRDefault="000B1DB4" w:rsidP="009A220C">
      <w:pPr>
        <w:pStyle w:val="Caption"/>
      </w:pPr>
      <w:bookmarkStart w:id="778" w:name="_Toc460514570"/>
      <w:r>
        <w:t xml:space="preserve">Table </w:t>
      </w:r>
      <w:fldSimple w:instr=" SEQ Table \* ARABIC ">
        <w:r w:rsidR="0029649D">
          <w:rPr>
            <w:noProof/>
          </w:rPr>
          <w:t>70</w:t>
        </w:r>
      </w:fldSimple>
      <w:r w:rsidR="00D03D2D">
        <w:rPr>
          <w:noProof/>
        </w:rPr>
        <w:tab/>
        <w:t>Studies reporting diagnostc accuracy data on the use of mpMRI in Population 1</w:t>
      </w:r>
      <w:bookmarkEnd w:id="778"/>
    </w:p>
    <w:tbl>
      <w:tblPr>
        <w:tblW w:w="5106" w:type="pct"/>
        <w:tblLayout w:type="fixed"/>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298"/>
        <w:gridCol w:w="928"/>
        <w:gridCol w:w="1427"/>
        <w:gridCol w:w="1025"/>
        <w:gridCol w:w="1110"/>
        <w:gridCol w:w="2975"/>
        <w:gridCol w:w="1496"/>
        <w:gridCol w:w="1621"/>
        <w:gridCol w:w="1235"/>
        <w:gridCol w:w="1126"/>
        <w:gridCol w:w="1436"/>
      </w:tblGrid>
      <w:tr w:rsidR="00E05133" w:rsidRPr="004A77EB" w14:paraId="156C9BEE" w14:textId="77777777" w:rsidTr="00F43D6A">
        <w:trPr>
          <w:cantSplit/>
          <w:trHeight w:val="624"/>
          <w:tblHeader/>
        </w:trPr>
        <w:tc>
          <w:tcPr>
            <w:tcW w:w="414" w:type="pct"/>
            <w:tcBorders>
              <w:top w:val="single" w:sz="4" w:space="0" w:color="auto"/>
              <w:left w:val="single" w:sz="4" w:space="0" w:color="auto"/>
              <w:bottom w:val="single" w:sz="4" w:space="0" w:color="auto"/>
              <w:right w:val="single" w:sz="4" w:space="0" w:color="auto"/>
            </w:tcBorders>
          </w:tcPr>
          <w:p w14:paraId="19F21162" w14:textId="7C8E9EA5" w:rsidR="0015301D" w:rsidRPr="004A77EB" w:rsidRDefault="0015301D" w:rsidP="008F6BB3">
            <w:pPr>
              <w:pStyle w:val="TableHeading"/>
            </w:pPr>
            <w:r w:rsidRPr="004A77EB">
              <w:t>Study ID</w:t>
            </w:r>
          </w:p>
        </w:tc>
        <w:tc>
          <w:tcPr>
            <w:tcW w:w="296" w:type="pct"/>
            <w:tcBorders>
              <w:top w:val="single" w:sz="4" w:space="0" w:color="auto"/>
              <w:left w:val="single" w:sz="4" w:space="0" w:color="auto"/>
              <w:bottom w:val="single" w:sz="4" w:space="0" w:color="auto"/>
              <w:right w:val="single" w:sz="4" w:space="0" w:color="auto"/>
            </w:tcBorders>
          </w:tcPr>
          <w:p w14:paraId="33D300D3" w14:textId="06690925" w:rsidR="0015301D" w:rsidRPr="004A77EB" w:rsidRDefault="0015301D" w:rsidP="008F6BB3">
            <w:pPr>
              <w:pStyle w:val="TableHeading"/>
            </w:pPr>
            <w:r w:rsidRPr="004A77EB">
              <w:t>Used in meta-analysis</w:t>
            </w:r>
          </w:p>
        </w:tc>
        <w:tc>
          <w:tcPr>
            <w:tcW w:w="455" w:type="pct"/>
            <w:tcBorders>
              <w:top w:val="single" w:sz="4" w:space="0" w:color="auto"/>
              <w:left w:val="single" w:sz="4" w:space="0" w:color="auto"/>
              <w:bottom w:val="single" w:sz="4" w:space="0" w:color="auto"/>
              <w:right w:val="single" w:sz="4" w:space="0" w:color="auto"/>
            </w:tcBorders>
          </w:tcPr>
          <w:p w14:paraId="76918D9A" w14:textId="0656A8D2" w:rsidR="0015301D" w:rsidRPr="004A77EB" w:rsidRDefault="00303F5C" w:rsidP="008F6BB3">
            <w:pPr>
              <w:pStyle w:val="TableHeading"/>
            </w:pPr>
            <w:r w:rsidRPr="004A77EB">
              <w:t>Study type</w:t>
            </w:r>
          </w:p>
          <w:p w14:paraId="0E6F6169" w14:textId="48B8A240" w:rsidR="00B83FA3" w:rsidRPr="004A77EB" w:rsidRDefault="000C0CCE" w:rsidP="008F6BB3">
            <w:pPr>
              <w:pStyle w:val="TableHeading"/>
            </w:pPr>
            <w:r w:rsidRPr="004A77EB">
              <w:t>Enrolment</w:t>
            </w:r>
            <w:r w:rsidRPr="000C0CCE">
              <w:rPr>
                <w:vertAlign w:val="superscript"/>
              </w:rPr>
              <w:t>a</w:t>
            </w:r>
          </w:p>
          <w:p w14:paraId="59C6134B" w14:textId="4B7F6C47" w:rsidR="00B83FA3" w:rsidRPr="004A77EB" w:rsidRDefault="00B83FA3" w:rsidP="008F6BB3">
            <w:pPr>
              <w:pStyle w:val="TableHeading"/>
            </w:pPr>
            <w:r w:rsidRPr="004A77EB">
              <w:t>Design</w:t>
            </w:r>
            <w:r w:rsidRPr="004A77EB">
              <w:rPr>
                <w:vertAlign w:val="superscript"/>
              </w:rPr>
              <w:t>b</w:t>
            </w:r>
          </w:p>
          <w:p w14:paraId="48F24534" w14:textId="77777777" w:rsidR="0015301D" w:rsidRPr="004A77EB" w:rsidRDefault="0015301D" w:rsidP="008F6BB3">
            <w:pPr>
              <w:pStyle w:val="TableHeading"/>
            </w:pPr>
          </w:p>
        </w:tc>
        <w:tc>
          <w:tcPr>
            <w:tcW w:w="327" w:type="pct"/>
            <w:tcBorders>
              <w:top w:val="single" w:sz="4" w:space="0" w:color="auto"/>
              <w:left w:val="single" w:sz="4" w:space="0" w:color="auto"/>
              <w:bottom w:val="single" w:sz="4" w:space="0" w:color="auto"/>
              <w:right w:val="single" w:sz="4" w:space="0" w:color="auto"/>
            </w:tcBorders>
          </w:tcPr>
          <w:p w14:paraId="1155CA43" w14:textId="5BA4A8C4" w:rsidR="0015301D" w:rsidRPr="004A77EB" w:rsidRDefault="0015301D" w:rsidP="008F6BB3">
            <w:pPr>
              <w:pStyle w:val="TableHeading"/>
            </w:pPr>
            <w:r w:rsidRPr="004A77EB">
              <w:t>Level of evidence</w:t>
            </w:r>
            <w:r w:rsidR="00B83FA3" w:rsidRPr="004A77EB">
              <w:rPr>
                <w:vertAlign w:val="superscript"/>
              </w:rPr>
              <w:t>c</w:t>
            </w:r>
          </w:p>
        </w:tc>
        <w:tc>
          <w:tcPr>
            <w:tcW w:w="354" w:type="pct"/>
            <w:tcBorders>
              <w:top w:val="single" w:sz="4" w:space="0" w:color="auto"/>
              <w:left w:val="single" w:sz="4" w:space="0" w:color="auto"/>
              <w:bottom w:val="single" w:sz="4" w:space="0" w:color="auto"/>
              <w:right w:val="single" w:sz="4" w:space="0" w:color="auto"/>
            </w:tcBorders>
          </w:tcPr>
          <w:p w14:paraId="233D352C" w14:textId="77777777" w:rsidR="0015301D" w:rsidRPr="004A77EB" w:rsidRDefault="0015301D" w:rsidP="008F6BB3">
            <w:pPr>
              <w:pStyle w:val="TableHeading"/>
            </w:pPr>
            <w:r w:rsidRPr="004A77EB">
              <w:t>Location</w:t>
            </w:r>
          </w:p>
          <w:p w14:paraId="7E2DA1BC" w14:textId="77777777" w:rsidR="0015301D" w:rsidRPr="004A77EB" w:rsidRDefault="0015301D" w:rsidP="008F6BB3">
            <w:pPr>
              <w:pStyle w:val="TableHeading"/>
            </w:pPr>
            <w:r w:rsidRPr="004A77EB">
              <w:t>Setting</w:t>
            </w:r>
          </w:p>
          <w:p w14:paraId="37A2B7D0" w14:textId="05641C4A" w:rsidR="0015301D" w:rsidRPr="004A77EB" w:rsidRDefault="0015301D" w:rsidP="008F6BB3">
            <w:pPr>
              <w:pStyle w:val="TableHeading"/>
            </w:pPr>
          </w:p>
        </w:tc>
        <w:tc>
          <w:tcPr>
            <w:tcW w:w="949" w:type="pct"/>
            <w:tcBorders>
              <w:top w:val="single" w:sz="4" w:space="0" w:color="auto"/>
              <w:left w:val="single" w:sz="4" w:space="0" w:color="auto"/>
              <w:bottom w:val="single" w:sz="4" w:space="0" w:color="auto"/>
              <w:right w:val="single" w:sz="4" w:space="0" w:color="auto"/>
            </w:tcBorders>
          </w:tcPr>
          <w:p w14:paraId="78726C9E" w14:textId="684EFC8E" w:rsidR="0015301D" w:rsidRPr="004A77EB" w:rsidRDefault="0015301D" w:rsidP="008F6BB3">
            <w:pPr>
              <w:pStyle w:val="TableHeading"/>
            </w:pPr>
            <w:r w:rsidRPr="004A77EB">
              <w:t>Study population characteristics</w:t>
            </w:r>
            <w:r w:rsidR="00282782">
              <w:t>:</w:t>
            </w:r>
          </w:p>
          <w:p w14:paraId="52AD737E" w14:textId="46CBBA3D" w:rsidR="004B0DF4" w:rsidRPr="004A77EB" w:rsidRDefault="00AB582A" w:rsidP="008F6BB3">
            <w:pPr>
              <w:pStyle w:val="TableHeading"/>
            </w:pPr>
            <w:r>
              <w:t>n</w:t>
            </w:r>
          </w:p>
          <w:p w14:paraId="736091BA" w14:textId="4D4FFB69" w:rsidR="004B0DF4" w:rsidRPr="004A77EB" w:rsidRDefault="004B0DF4" w:rsidP="008F6BB3">
            <w:pPr>
              <w:pStyle w:val="TableHeading"/>
            </w:pPr>
            <w:r w:rsidRPr="004A77EB">
              <w:t>Age</w:t>
            </w:r>
            <w:r w:rsidR="000558D1" w:rsidRPr="004A77EB">
              <w:t xml:space="preserve"> years</w:t>
            </w:r>
          </w:p>
          <w:p w14:paraId="18A95460" w14:textId="402C87B6" w:rsidR="004B0DF4" w:rsidRPr="004A77EB" w:rsidRDefault="004B0DF4" w:rsidP="008F6BB3">
            <w:pPr>
              <w:pStyle w:val="TableHeading"/>
            </w:pPr>
            <w:r w:rsidRPr="004A77EB">
              <w:t>PSA</w:t>
            </w:r>
            <w:r w:rsidR="00A8538C" w:rsidRPr="004A77EB">
              <w:t xml:space="preserve"> ng/ml</w:t>
            </w:r>
          </w:p>
          <w:p w14:paraId="58BDE33B" w14:textId="46882E73" w:rsidR="004B0DF4" w:rsidRPr="004A77EB" w:rsidRDefault="004B0DF4" w:rsidP="008F6BB3">
            <w:pPr>
              <w:pStyle w:val="TableHeading"/>
            </w:pPr>
            <w:r w:rsidRPr="004A77EB">
              <w:t>P</w:t>
            </w:r>
            <w:r w:rsidR="00503ECE" w:rsidRPr="004A77EB">
              <w:t xml:space="preserve">rior biopsy </w:t>
            </w:r>
          </w:p>
        </w:tc>
        <w:tc>
          <w:tcPr>
            <w:tcW w:w="477" w:type="pct"/>
            <w:tcBorders>
              <w:top w:val="single" w:sz="4" w:space="0" w:color="auto"/>
              <w:left w:val="single" w:sz="4" w:space="0" w:color="auto"/>
              <w:bottom w:val="single" w:sz="4" w:space="0" w:color="auto"/>
              <w:right w:val="single" w:sz="4" w:space="0" w:color="auto"/>
            </w:tcBorders>
          </w:tcPr>
          <w:p w14:paraId="07C335C3" w14:textId="393BBDAF" w:rsidR="0015301D" w:rsidRPr="004A77EB" w:rsidRDefault="0015301D" w:rsidP="008F6BB3">
            <w:pPr>
              <w:pStyle w:val="TableHeading"/>
            </w:pPr>
            <w:r w:rsidRPr="004A77EB">
              <w:t>Description of Intervention</w:t>
            </w:r>
            <w:r w:rsidR="00282782">
              <w:t>:</w:t>
            </w:r>
          </w:p>
          <w:p w14:paraId="53774AF2" w14:textId="77777777" w:rsidR="0015301D" w:rsidRPr="004A77EB" w:rsidRDefault="004B0DF4" w:rsidP="008F6BB3">
            <w:pPr>
              <w:pStyle w:val="TableHeading"/>
            </w:pPr>
            <w:r w:rsidRPr="004A77EB">
              <w:t>T</w:t>
            </w:r>
          </w:p>
          <w:p w14:paraId="16E7FD4C" w14:textId="77777777" w:rsidR="004B0DF4" w:rsidRPr="004A77EB" w:rsidRDefault="004B0DF4" w:rsidP="008F6BB3">
            <w:pPr>
              <w:pStyle w:val="TableHeading"/>
            </w:pPr>
            <w:r w:rsidRPr="004A77EB">
              <w:t>Coil</w:t>
            </w:r>
          </w:p>
          <w:p w14:paraId="66F23FD2" w14:textId="77004A24" w:rsidR="004B0DF4" w:rsidRPr="004A77EB" w:rsidRDefault="004B0DF4" w:rsidP="008F6BB3">
            <w:pPr>
              <w:pStyle w:val="TableHeading"/>
            </w:pPr>
            <w:r w:rsidRPr="004A77EB">
              <w:t>Contrast</w:t>
            </w:r>
          </w:p>
        </w:tc>
        <w:tc>
          <w:tcPr>
            <w:tcW w:w="517" w:type="pct"/>
            <w:tcBorders>
              <w:top w:val="single" w:sz="4" w:space="0" w:color="auto"/>
              <w:left w:val="single" w:sz="4" w:space="0" w:color="auto"/>
              <w:bottom w:val="single" w:sz="4" w:space="0" w:color="auto"/>
              <w:right w:val="single" w:sz="4" w:space="0" w:color="auto"/>
            </w:tcBorders>
          </w:tcPr>
          <w:p w14:paraId="5349F2B5" w14:textId="43E8C435" w:rsidR="004B0DF4" w:rsidRPr="004A77EB" w:rsidRDefault="004B0DF4" w:rsidP="008F6BB3">
            <w:pPr>
              <w:pStyle w:val="TableHeading"/>
            </w:pPr>
            <w:r w:rsidRPr="004A77EB">
              <w:t>Description of Intervention</w:t>
            </w:r>
            <w:r w:rsidR="00282782">
              <w:t>:</w:t>
            </w:r>
          </w:p>
          <w:p w14:paraId="3FCE1977" w14:textId="61293D63" w:rsidR="0015301D" w:rsidRPr="004A77EB" w:rsidRDefault="004B0DF4" w:rsidP="008F6BB3">
            <w:pPr>
              <w:pStyle w:val="TableHeading"/>
            </w:pPr>
            <w:r w:rsidRPr="004A77EB">
              <w:t>mpMRI Reader experience</w:t>
            </w:r>
          </w:p>
        </w:tc>
        <w:tc>
          <w:tcPr>
            <w:tcW w:w="394" w:type="pct"/>
            <w:tcBorders>
              <w:top w:val="single" w:sz="4" w:space="0" w:color="auto"/>
              <w:left w:val="single" w:sz="4" w:space="0" w:color="auto"/>
              <w:bottom w:val="single" w:sz="4" w:space="0" w:color="auto"/>
              <w:right w:val="single" w:sz="4" w:space="0" w:color="auto"/>
            </w:tcBorders>
          </w:tcPr>
          <w:p w14:paraId="56F0EF21" w14:textId="53BBF2BB" w:rsidR="0015301D" w:rsidRPr="004A77EB" w:rsidRDefault="0015301D" w:rsidP="008F6BB3">
            <w:pPr>
              <w:pStyle w:val="TableHeading"/>
            </w:pPr>
            <w:r w:rsidRPr="004A77EB">
              <w:t>Description of Reference standard</w:t>
            </w:r>
            <w:r w:rsidR="00282782">
              <w:t>:</w:t>
            </w:r>
          </w:p>
          <w:p w14:paraId="60B3C844" w14:textId="7412BBF9" w:rsidR="004B0DF4" w:rsidRPr="004A77EB" w:rsidRDefault="004B0DF4" w:rsidP="008F6BB3">
            <w:pPr>
              <w:pStyle w:val="TableHeading"/>
            </w:pPr>
            <w:r w:rsidRPr="004A77EB">
              <w:t>Biopsy type</w:t>
            </w:r>
          </w:p>
        </w:tc>
        <w:tc>
          <w:tcPr>
            <w:tcW w:w="359" w:type="pct"/>
            <w:tcBorders>
              <w:top w:val="single" w:sz="4" w:space="0" w:color="auto"/>
              <w:left w:val="single" w:sz="4" w:space="0" w:color="auto"/>
              <w:bottom w:val="single" w:sz="4" w:space="0" w:color="auto"/>
              <w:right w:val="single" w:sz="4" w:space="0" w:color="auto"/>
            </w:tcBorders>
          </w:tcPr>
          <w:p w14:paraId="3D8FF2E2" w14:textId="5E939914" w:rsidR="0015301D" w:rsidRPr="004A77EB" w:rsidRDefault="00927B2E" w:rsidP="00927B2E">
            <w:pPr>
              <w:pStyle w:val="TableHeading"/>
            </w:pPr>
            <w:r>
              <w:t xml:space="preserve">Relevant outcomes assessed </w:t>
            </w:r>
          </w:p>
        </w:tc>
        <w:tc>
          <w:tcPr>
            <w:tcW w:w="458" w:type="pct"/>
            <w:tcBorders>
              <w:top w:val="single" w:sz="4" w:space="0" w:color="auto"/>
              <w:left w:val="single" w:sz="4" w:space="0" w:color="auto"/>
              <w:bottom w:val="single" w:sz="4" w:space="0" w:color="auto"/>
              <w:right w:val="single" w:sz="4" w:space="0" w:color="auto"/>
            </w:tcBorders>
          </w:tcPr>
          <w:p w14:paraId="4E04AA15" w14:textId="5FACA551" w:rsidR="0015301D" w:rsidRPr="004A77EB" w:rsidRDefault="006532FE" w:rsidP="008F6BB3">
            <w:pPr>
              <w:pStyle w:val="TableHeading"/>
            </w:pPr>
            <w:r>
              <w:t xml:space="preserve">Measurement of outcomes: </w:t>
            </w:r>
          </w:p>
          <w:p w14:paraId="5665AB61" w14:textId="5724F114" w:rsidR="0054069C" w:rsidRPr="004A77EB" w:rsidRDefault="0054069C" w:rsidP="008F6BB3">
            <w:pPr>
              <w:pStyle w:val="TableHeading"/>
            </w:pPr>
            <w:r w:rsidRPr="004A77EB">
              <w:t>PI-RADS cutoff</w:t>
            </w:r>
            <w:r w:rsidRPr="004A77EB">
              <w:rPr>
                <w:vertAlign w:val="superscript"/>
              </w:rPr>
              <w:t>d</w:t>
            </w:r>
          </w:p>
        </w:tc>
      </w:tr>
      <w:tr w:rsidR="00E05133" w:rsidRPr="004A77EB" w14:paraId="5D122A7C"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02A6BE53" w14:textId="25C4793B" w:rsidR="00050B32" w:rsidRPr="004A77EB" w:rsidRDefault="00050B32" w:rsidP="00F43D6A">
            <w:pPr>
              <w:pStyle w:val="Tabletext1"/>
            </w:pPr>
            <w:r w:rsidRPr="004A77EB">
              <w:t>Baldisserotto et al. (2016) - key study</w:t>
            </w:r>
          </w:p>
        </w:tc>
        <w:tc>
          <w:tcPr>
            <w:tcW w:w="296" w:type="pct"/>
            <w:tcBorders>
              <w:top w:val="single" w:sz="4" w:space="0" w:color="auto"/>
              <w:left w:val="single" w:sz="4" w:space="0" w:color="auto"/>
              <w:bottom w:val="single" w:sz="4" w:space="0" w:color="auto"/>
              <w:right w:val="single" w:sz="4" w:space="0" w:color="auto"/>
            </w:tcBorders>
          </w:tcPr>
          <w:p w14:paraId="087AF136" w14:textId="40630D27"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54EC40C1" w14:textId="77777777" w:rsidR="00050B32" w:rsidRPr="004A77EB" w:rsidRDefault="00050B32" w:rsidP="00F43D6A">
            <w:pPr>
              <w:pStyle w:val="Tabletext1"/>
            </w:pPr>
            <w:r w:rsidRPr="004A77EB">
              <w:t>Case series</w:t>
            </w:r>
          </w:p>
          <w:p w14:paraId="067D1FE2" w14:textId="70855F85" w:rsidR="00050B32" w:rsidRPr="004A77EB" w:rsidRDefault="00050B32" w:rsidP="00F43D6A">
            <w:pPr>
              <w:pStyle w:val="Tabletext1"/>
            </w:pPr>
            <w:r w:rsidRPr="004A77EB">
              <w:t>Consecutive</w:t>
            </w:r>
          </w:p>
          <w:p w14:paraId="1F3F7BF3" w14:textId="47AE6C93"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6182E255" w14:textId="4CA77163"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4EC7290A" w14:textId="77777777" w:rsidR="00050B32" w:rsidRDefault="00050B32" w:rsidP="00F43D6A">
            <w:pPr>
              <w:pStyle w:val="Tabletext1"/>
            </w:pPr>
            <w:r w:rsidRPr="004A77EB">
              <w:t>Brazil</w:t>
            </w:r>
          </w:p>
          <w:p w14:paraId="7531B489" w14:textId="497E455D" w:rsidR="00F3186D" w:rsidRPr="004A77EB" w:rsidRDefault="00F3186D"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23828D92" w14:textId="17F960CF" w:rsidR="00050B32" w:rsidRPr="004A77EB" w:rsidRDefault="00AB582A" w:rsidP="00F43D6A">
            <w:pPr>
              <w:pStyle w:val="Tabletext1"/>
            </w:pPr>
            <w:r>
              <w:t>n</w:t>
            </w:r>
            <w:r w:rsidR="00050B32" w:rsidRPr="004A77EB">
              <w:t>: 54</w:t>
            </w:r>
          </w:p>
          <w:p w14:paraId="599DEBE6" w14:textId="77777777" w:rsidR="00050B32" w:rsidRPr="004A77EB" w:rsidRDefault="00050B32" w:rsidP="00F43D6A">
            <w:pPr>
              <w:pStyle w:val="Tabletext1"/>
            </w:pPr>
            <w:r w:rsidRPr="004A77EB">
              <w:t>Age: mean 65.9 (range 53-81)</w:t>
            </w:r>
          </w:p>
          <w:p w14:paraId="2987DB51" w14:textId="77777777" w:rsidR="00050B32" w:rsidRPr="004A77EB" w:rsidRDefault="00050B32" w:rsidP="00F43D6A">
            <w:pPr>
              <w:pStyle w:val="Tabletext1"/>
            </w:pPr>
            <w:r w:rsidRPr="004A77EB">
              <w:t>PSA: mean 8.4 (SD 6.5)</w:t>
            </w:r>
          </w:p>
          <w:p w14:paraId="0EE7EDEC" w14:textId="716AD415"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1D101AC4" w14:textId="77777777" w:rsidR="00050B32" w:rsidRPr="004A77EB" w:rsidRDefault="00050B32" w:rsidP="00F43D6A">
            <w:pPr>
              <w:pStyle w:val="Tabletext1"/>
            </w:pPr>
            <w:r w:rsidRPr="004A77EB">
              <w:t>3.0T</w:t>
            </w:r>
          </w:p>
          <w:p w14:paraId="438CFD0E" w14:textId="77777777" w:rsidR="00050B32" w:rsidRPr="004A77EB" w:rsidRDefault="00050B32" w:rsidP="00F43D6A">
            <w:pPr>
              <w:pStyle w:val="Tabletext1"/>
            </w:pPr>
            <w:r w:rsidRPr="004A77EB">
              <w:t>Coil: PPAC</w:t>
            </w:r>
          </w:p>
          <w:p w14:paraId="729F3DD7" w14:textId="21544E5B"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62144967" w14:textId="559A1583" w:rsidR="00050B32" w:rsidRPr="004A77EB" w:rsidRDefault="008F6BB3" w:rsidP="00F43D6A">
            <w:pPr>
              <w:pStyle w:val="Tabletext1"/>
            </w:pPr>
            <w:r w:rsidRPr="004A77EB">
              <w:t>2</w:t>
            </w:r>
            <w:r w:rsidR="00050B32" w:rsidRPr="004A77EB">
              <w:t xml:space="preserve"> uroradiologists</w:t>
            </w:r>
            <w:r w:rsidRPr="004A77EB">
              <w:t>: with 1 or 10 years’ experience</w:t>
            </w:r>
            <w:r w:rsidR="00050B32" w:rsidRPr="004A77EB">
              <w:t xml:space="preserve"> </w:t>
            </w:r>
          </w:p>
        </w:tc>
        <w:tc>
          <w:tcPr>
            <w:tcW w:w="394" w:type="pct"/>
            <w:tcBorders>
              <w:top w:val="single" w:sz="4" w:space="0" w:color="auto"/>
              <w:left w:val="single" w:sz="4" w:space="0" w:color="auto"/>
              <w:bottom w:val="single" w:sz="4" w:space="0" w:color="auto"/>
              <w:right w:val="single" w:sz="4" w:space="0" w:color="auto"/>
            </w:tcBorders>
          </w:tcPr>
          <w:p w14:paraId="3F50EEA0" w14:textId="16C92345"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1EDF53C8" w14:textId="0CC67398"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789DE975" w14:textId="55334AD2" w:rsidR="00050B32" w:rsidRPr="004A77EB" w:rsidRDefault="00050B32" w:rsidP="00F43D6A">
            <w:pPr>
              <w:pStyle w:val="Tabletext1"/>
            </w:pPr>
            <w:r w:rsidRPr="004A77EB">
              <w:t>≥4</w:t>
            </w:r>
          </w:p>
        </w:tc>
      </w:tr>
      <w:tr w:rsidR="00E05133" w:rsidRPr="004A77EB" w14:paraId="3C6B91F2"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1CF4AFFD" w14:textId="093CC692" w:rsidR="00050B32" w:rsidRPr="004A77EB" w:rsidRDefault="00050B32" w:rsidP="00F43D6A">
            <w:pPr>
              <w:pStyle w:val="Tabletext1"/>
            </w:pPr>
            <w:r w:rsidRPr="004A77EB">
              <w:t>Baur et al. (2016) - key study</w:t>
            </w:r>
          </w:p>
        </w:tc>
        <w:tc>
          <w:tcPr>
            <w:tcW w:w="296" w:type="pct"/>
            <w:tcBorders>
              <w:top w:val="single" w:sz="4" w:space="0" w:color="auto"/>
              <w:left w:val="single" w:sz="4" w:space="0" w:color="auto"/>
              <w:bottom w:val="single" w:sz="4" w:space="0" w:color="auto"/>
              <w:right w:val="single" w:sz="4" w:space="0" w:color="auto"/>
            </w:tcBorders>
          </w:tcPr>
          <w:p w14:paraId="453F8ADA" w14:textId="1790E9B0"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667E17B4" w14:textId="77777777" w:rsidR="00050B32" w:rsidRPr="004A77EB" w:rsidRDefault="00050B32" w:rsidP="00F43D6A">
            <w:pPr>
              <w:pStyle w:val="Tabletext1"/>
            </w:pPr>
            <w:r w:rsidRPr="004A77EB">
              <w:t>Case series</w:t>
            </w:r>
          </w:p>
          <w:p w14:paraId="0E604922" w14:textId="77777777" w:rsidR="00050B32" w:rsidRPr="004A77EB" w:rsidRDefault="00050B32" w:rsidP="00F43D6A">
            <w:pPr>
              <w:pStyle w:val="Tabletext1"/>
            </w:pPr>
            <w:r w:rsidRPr="004A77EB">
              <w:t>Consecutive</w:t>
            </w:r>
          </w:p>
          <w:p w14:paraId="721047B0" w14:textId="3789FC3E"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759B0F6A" w14:textId="4EB5B982"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3F9ACE9E" w14:textId="77777777" w:rsidR="00050B32" w:rsidRDefault="00050B32" w:rsidP="00F43D6A">
            <w:pPr>
              <w:pStyle w:val="Tabletext1"/>
            </w:pPr>
            <w:r w:rsidRPr="004A77EB">
              <w:t>Germany</w:t>
            </w:r>
          </w:p>
          <w:p w14:paraId="58AB45AD" w14:textId="30F5646F" w:rsidR="00F3186D" w:rsidRPr="004A77EB" w:rsidRDefault="00F3186D"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49ADD8F" w14:textId="0732C8F2" w:rsidR="00050B32" w:rsidRPr="004A77EB" w:rsidRDefault="00AB582A" w:rsidP="00F43D6A">
            <w:pPr>
              <w:pStyle w:val="Tabletext1"/>
            </w:pPr>
            <w:r>
              <w:t>n</w:t>
            </w:r>
            <w:r w:rsidR="00050B32" w:rsidRPr="004A77EB">
              <w:t>:45</w:t>
            </w:r>
          </w:p>
          <w:p w14:paraId="3239A1C0" w14:textId="77777777" w:rsidR="00050B32" w:rsidRPr="004A77EB" w:rsidRDefault="00050B32" w:rsidP="00F43D6A">
            <w:pPr>
              <w:pStyle w:val="Tabletext1"/>
            </w:pPr>
            <w:r w:rsidRPr="004A77EB">
              <w:t>Age: Mean 66 (range 46-81)</w:t>
            </w:r>
          </w:p>
          <w:p w14:paraId="68F8CFA5" w14:textId="77777777" w:rsidR="00050B32" w:rsidRPr="004A77EB" w:rsidRDefault="00050B32" w:rsidP="00F43D6A">
            <w:pPr>
              <w:pStyle w:val="Tabletext1"/>
            </w:pPr>
            <w:r w:rsidRPr="004A77EB">
              <w:t>PSA: mean 12.3 (range 5.2-70)</w:t>
            </w:r>
          </w:p>
          <w:p w14:paraId="3D9CD48A" w14:textId="23DA3A96" w:rsidR="00050B32" w:rsidRPr="004A77EB" w:rsidRDefault="00050B32" w:rsidP="00F43D6A">
            <w:pPr>
              <w:pStyle w:val="Tabletext1"/>
            </w:pPr>
            <w:r w:rsidRPr="004A77EB">
              <w:t>Prior biopsy: 100%</w:t>
            </w:r>
          </w:p>
        </w:tc>
        <w:tc>
          <w:tcPr>
            <w:tcW w:w="477" w:type="pct"/>
            <w:tcBorders>
              <w:top w:val="single" w:sz="4" w:space="0" w:color="auto"/>
              <w:left w:val="single" w:sz="4" w:space="0" w:color="auto"/>
              <w:bottom w:val="single" w:sz="4" w:space="0" w:color="auto"/>
              <w:right w:val="single" w:sz="4" w:space="0" w:color="auto"/>
            </w:tcBorders>
          </w:tcPr>
          <w:p w14:paraId="5541FE3E" w14:textId="77777777" w:rsidR="00050B32" w:rsidRPr="004A77EB" w:rsidRDefault="00050B32" w:rsidP="00F43D6A">
            <w:pPr>
              <w:pStyle w:val="Tabletext1"/>
            </w:pPr>
            <w:r w:rsidRPr="004A77EB">
              <w:t>3.0T</w:t>
            </w:r>
          </w:p>
          <w:p w14:paraId="05ED6C86" w14:textId="77777777" w:rsidR="00050B32" w:rsidRPr="004A77EB" w:rsidRDefault="00050B32" w:rsidP="00F43D6A">
            <w:pPr>
              <w:pStyle w:val="Tabletext1"/>
            </w:pPr>
            <w:r w:rsidRPr="004A77EB">
              <w:t>Coil: PPAC</w:t>
            </w:r>
          </w:p>
          <w:p w14:paraId="4492920B" w14:textId="2B021DB2" w:rsidR="00050B32" w:rsidRPr="004A77EB" w:rsidRDefault="00050B32" w:rsidP="00F43D6A">
            <w:pPr>
              <w:pStyle w:val="Tabletext1"/>
            </w:pPr>
            <w:r w:rsidRPr="004A77EB">
              <w:t>Contrast: gadobutrol</w:t>
            </w:r>
          </w:p>
        </w:tc>
        <w:tc>
          <w:tcPr>
            <w:tcW w:w="517" w:type="pct"/>
            <w:tcBorders>
              <w:top w:val="single" w:sz="4" w:space="0" w:color="auto"/>
              <w:left w:val="single" w:sz="4" w:space="0" w:color="auto"/>
              <w:bottom w:val="single" w:sz="4" w:space="0" w:color="auto"/>
              <w:right w:val="single" w:sz="4" w:space="0" w:color="auto"/>
            </w:tcBorders>
          </w:tcPr>
          <w:p w14:paraId="45F976A7" w14:textId="7CDAC33D" w:rsidR="00050B32" w:rsidRPr="004A77EB" w:rsidRDefault="008F6BB3" w:rsidP="00F43D6A">
            <w:pPr>
              <w:pStyle w:val="Tabletext1"/>
            </w:pPr>
            <w:r w:rsidRPr="004A77EB">
              <w:t>2</w:t>
            </w:r>
            <w:r w:rsidR="00050B32" w:rsidRPr="004A77EB">
              <w:t xml:space="preserve"> readers with 3 </w:t>
            </w:r>
            <w:r w:rsidRPr="004A77EB">
              <w:t>or</w:t>
            </w:r>
            <w:r w:rsidR="00050B32" w:rsidRPr="004A77EB">
              <w:t xml:space="preserve"> 5 </w:t>
            </w:r>
            <w:r w:rsidRPr="004A77EB">
              <w:t>years’ experience</w:t>
            </w:r>
            <w:r w:rsidR="00050B32" w:rsidRPr="004A77EB">
              <w:t xml:space="preserve"> in prostate imaging</w:t>
            </w:r>
          </w:p>
        </w:tc>
        <w:tc>
          <w:tcPr>
            <w:tcW w:w="394" w:type="pct"/>
            <w:tcBorders>
              <w:top w:val="single" w:sz="4" w:space="0" w:color="auto"/>
              <w:left w:val="single" w:sz="4" w:space="0" w:color="auto"/>
              <w:bottom w:val="single" w:sz="4" w:space="0" w:color="auto"/>
              <w:right w:val="single" w:sz="4" w:space="0" w:color="auto"/>
            </w:tcBorders>
          </w:tcPr>
          <w:p w14:paraId="0E49C986" w14:textId="6925E22E" w:rsidR="00050B32" w:rsidRPr="004A77EB" w:rsidRDefault="00050B32" w:rsidP="00F43D6A">
            <w:pPr>
              <w:pStyle w:val="Tabletext1"/>
            </w:pPr>
            <w:r w:rsidRPr="004A77EB">
              <w:t>US/MRI FGB</w:t>
            </w:r>
          </w:p>
        </w:tc>
        <w:tc>
          <w:tcPr>
            <w:tcW w:w="359" w:type="pct"/>
            <w:tcBorders>
              <w:top w:val="single" w:sz="4" w:space="0" w:color="auto"/>
              <w:left w:val="single" w:sz="4" w:space="0" w:color="auto"/>
              <w:bottom w:val="single" w:sz="4" w:space="0" w:color="auto"/>
              <w:right w:val="single" w:sz="4" w:space="0" w:color="auto"/>
            </w:tcBorders>
          </w:tcPr>
          <w:p w14:paraId="3FC4DFE3" w14:textId="344D4E5C"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7ECDE8DE" w14:textId="2BCA3960" w:rsidR="00050B32" w:rsidRPr="004A77EB" w:rsidRDefault="00050B32" w:rsidP="00F43D6A">
            <w:pPr>
              <w:pStyle w:val="Tabletext1"/>
            </w:pPr>
            <w:r w:rsidRPr="004A77EB">
              <w:t>≥4</w:t>
            </w:r>
          </w:p>
        </w:tc>
      </w:tr>
      <w:tr w:rsidR="00E05133" w:rsidRPr="004A77EB" w14:paraId="63B4F258"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05CAD027" w14:textId="5F1542BF" w:rsidR="00050B32" w:rsidRPr="004A77EB" w:rsidRDefault="00050B32" w:rsidP="00F43D6A">
            <w:pPr>
              <w:pStyle w:val="Tabletext1"/>
            </w:pPr>
            <w:r w:rsidRPr="004A77EB">
              <w:t>Dikaios et al. (2015) - key study</w:t>
            </w:r>
          </w:p>
        </w:tc>
        <w:tc>
          <w:tcPr>
            <w:tcW w:w="296" w:type="pct"/>
            <w:tcBorders>
              <w:top w:val="single" w:sz="4" w:space="0" w:color="auto"/>
              <w:left w:val="single" w:sz="4" w:space="0" w:color="auto"/>
              <w:bottom w:val="single" w:sz="4" w:space="0" w:color="auto"/>
              <w:right w:val="single" w:sz="4" w:space="0" w:color="auto"/>
            </w:tcBorders>
          </w:tcPr>
          <w:p w14:paraId="7C9EB8F8" w14:textId="2D61BFD5"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1EE250AE" w14:textId="77777777" w:rsidR="00050B32" w:rsidRPr="004A77EB" w:rsidRDefault="00050B32" w:rsidP="00F43D6A">
            <w:pPr>
              <w:pStyle w:val="Tabletext1"/>
            </w:pPr>
            <w:r w:rsidRPr="004A77EB">
              <w:t>Case series</w:t>
            </w:r>
          </w:p>
          <w:p w14:paraId="439E9D2E" w14:textId="77777777" w:rsidR="00050B32" w:rsidRPr="004A77EB" w:rsidRDefault="00050B32" w:rsidP="00F43D6A">
            <w:pPr>
              <w:pStyle w:val="Tabletext1"/>
            </w:pPr>
            <w:r w:rsidRPr="004A77EB">
              <w:t>NR</w:t>
            </w:r>
          </w:p>
          <w:p w14:paraId="50A01679" w14:textId="3700D291"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288B038A" w14:textId="2C9A8233"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511AB26A" w14:textId="77777777" w:rsidR="00050B32" w:rsidRDefault="00050B32" w:rsidP="00F43D6A">
            <w:pPr>
              <w:pStyle w:val="Tabletext1"/>
            </w:pPr>
            <w:r w:rsidRPr="004A77EB">
              <w:t>UK</w:t>
            </w:r>
          </w:p>
          <w:p w14:paraId="781387F7" w14:textId="083B8047" w:rsidR="00F3186D" w:rsidRPr="004A77EB" w:rsidRDefault="00F3186D"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61ACACD1" w14:textId="1B6A4446" w:rsidR="00050B32" w:rsidRPr="004A77EB" w:rsidRDefault="00AB582A" w:rsidP="00F43D6A">
            <w:pPr>
              <w:pStyle w:val="Tabletext1"/>
            </w:pPr>
            <w:r>
              <w:t>n</w:t>
            </w:r>
            <w:r w:rsidR="00050B32" w:rsidRPr="004A77EB">
              <w:t>: 85</w:t>
            </w:r>
          </w:p>
          <w:p w14:paraId="075F1C33" w14:textId="77777777" w:rsidR="00050B32" w:rsidRPr="004A77EB" w:rsidRDefault="00050B32" w:rsidP="00F43D6A">
            <w:pPr>
              <w:pStyle w:val="Tabletext1"/>
            </w:pPr>
            <w:r w:rsidRPr="004A77EB">
              <w:t>Age: 63 (range 45-77)</w:t>
            </w:r>
          </w:p>
          <w:p w14:paraId="0606521B" w14:textId="77777777" w:rsidR="00050B32" w:rsidRPr="004A77EB" w:rsidRDefault="00050B32" w:rsidP="00F43D6A">
            <w:pPr>
              <w:pStyle w:val="Tabletext1"/>
            </w:pPr>
            <w:r w:rsidRPr="004A77EB">
              <w:t>PSA: mean 8.66 (range 0.2-39)</w:t>
            </w:r>
          </w:p>
          <w:p w14:paraId="20540FD6" w14:textId="3B887F78"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66054CC4" w14:textId="77777777" w:rsidR="00050B32" w:rsidRPr="004A77EB" w:rsidRDefault="00050B32" w:rsidP="00F43D6A">
            <w:pPr>
              <w:pStyle w:val="Tabletext1"/>
            </w:pPr>
            <w:r w:rsidRPr="004A77EB">
              <w:t>1.5T</w:t>
            </w:r>
          </w:p>
          <w:p w14:paraId="33806639" w14:textId="77777777" w:rsidR="00050B32" w:rsidRPr="004A77EB" w:rsidRDefault="00050B32" w:rsidP="00F43D6A">
            <w:pPr>
              <w:pStyle w:val="Tabletext1"/>
            </w:pPr>
            <w:r w:rsidRPr="004A77EB">
              <w:t>Coil: PPAC</w:t>
            </w:r>
          </w:p>
          <w:p w14:paraId="53F03705" w14:textId="546F46EA" w:rsidR="00050B32" w:rsidRPr="004A77EB" w:rsidRDefault="00050B32" w:rsidP="00F43D6A">
            <w:pPr>
              <w:pStyle w:val="Tabletext1"/>
            </w:pPr>
            <w:r w:rsidRPr="004A77EB">
              <w:t>Contrast: gadolinium-based</w:t>
            </w:r>
          </w:p>
        </w:tc>
        <w:tc>
          <w:tcPr>
            <w:tcW w:w="517" w:type="pct"/>
            <w:tcBorders>
              <w:top w:val="single" w:sz="4" w:space="0" w:color="auto"/>
              <w:left w:val="single" w:sz="4" w:space="0" w:color="auto"/>
              <w:bottom w:val="single" w:sz="4" w:space="0" w:color="auto"/>
              <w:right w:val="single" w:sz="4" w:space="0" w:color="auto"/>
            </w:tcBorders>
          </w:tcPr>
          <w:p w14:paraId="417B9016" w14:textId="1DC1EBFA" w:rsidR="00050B32" w:rsidRPr="004A77EB" w:rsidRDefault="00050B32" w:rsidP="00F43D6A">
            <w:pPr>
              <w:pStyle w:val="Tabletext1"/>
            </w:pPr>
            <w:r w:rsidRPr="004A77EB">
              <w:t xml:space="preserve">2 radiologists with 5 </w:t>
            </w:r>
            <w:r w:rsidR="008F6BB3" w:rsidRPr="004A77EB">
              <w:t>or 7 years mp</w:t>
            </w:r>
            <w:r w:rsidRPr="004A77EB">
              <w:t xml:space="preserve">MRI </w:t>
            </w:r>
            <w:r w:rsidR="008F6BB3" w:rsidRPr="004A77EB">
              <w:t xml:space="preserve">experience. </w:t>
            </w:r>
            <w:r w:rsidR="00C12CD8" w:rsidRPr="004A77EB">
              <w:t>D</w:t>
            </w:r>
            <w:r w:rsidRPr="004A77EB">
              <w:t>edicated training of readers</w:t>
            </w:r>
            <w:r w:rsidR="008F6BB3" w:rsidRPr="004A77EB">
              <w:t xml:space="preserve"> was undertaken</w:t>
            </w:r>
          </w:p>
        </w:tc>
        <w:tc>
          <w:tcPr>
            <w:tcW w:w="394" w:type="pct"/>
            <w:tcBorders>
              <w:top w:val="single" w:sz="4" w:space="0" w:color="auto"/>
              <w:left w:val="single" w:sz="4" w:space="0" w:color="auto"/>
              <w:bottom w:val="single" w:sz="4" w:space="0" w:color="auto"/>
              <w:right w:val="single" w:sz="4" w:space="0" w:color="auto"/>
            </w:tcBorders>
          </w:tcPr>
          <w:p w14:paraId="3C536A98" w14:textId="4D795D1A"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672D1173" w14:textId="14C3E57C"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47034683" w14:textId="0807DE9C" w:rsidR="00050B32" w:rsidRPr="004A77EB" w:rsidRDefault="00050B32" w:rsidP="00F43D6A">
            <w:pPr>
              <w:pStyle w:val="Tabletext1"/>
            </w:pPr>
            <w:r w:rsidRPr="004A77EB">
              <w:t>≥ 4</w:t>
            </w:r>
          </w:p>
        </w:tc>
      </w:tr>
      <w:tr w:rsidR="00E05133" w:rsidRPr="004A77EB" w14:paraId="3A79CC67"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05179C70" w14:textId="4DAE9372" w:rsidR="00050B32" w:rsidRPr="004A77EB" w:rsidRDefault="00050B32" w:rsidP="00F43D6A">
            <w:pPr>
              <w:pStyle w:val="Tabletext1"/>
            </w:pPr>
            <w:r w:rsidRPr="004A77EB">
              <w:lastRenderedPageBreak/>
              <w:t>Jambor et al. (2014) - key study</w:t>
            </w:r>
          </w:p>
        </w:tc>
        <w:tc>
          <w:tcPr>
            <w:tcW w:w="296" w:type="pct"/>
            <w:tcBorders>
              <w:top w:val="single" w:sz="4" w:space="0" w:color="auto"/>
              <w:left w:val="single" w:sz="4" w:space="0" w:color="auto"/>
              <w:bottom w:val="single" w:sz="4" w:space="0" w:color="auto"/>
              <w:right w:val="single" w:sz="4" w:space="0" w:color="auto"/>
            </w:tcBorders>
          </w:tcPr>
          <w:p w14:paraId="75D93AF8" w14:textId="1A091F61"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40D1B38C" w14:textId="77777777" w:rsidR="00050B32" w:rsidRPr="004A77EB" w:rsidRDefault="00050B32" w:rsidP="00F43D6A">
            <w:pPr>
              <w:pStyle w:val="Tabletext1"/>
            </w:pPr>
            <w:r w:rsidRPr="004A77EB">
              <w:t>Case series</w:t>
            </w:r>
          </w:p>
          <w:p w14:paraId="359ACAE2" w14:textId="77777777" w:rsidR="00050B32" w:rsidRPr="004A77EB" w:rsidRDefault="00050B32" w:rsidP="00F43D6A">
            <w:pPr>
              <w:pStyle w:val="Tabletext1"/>
            </w:pPr>
            <w:r w:rsidRPr="004A77EB">
              <w:t>NR</w:t>
            </w:r>
          </w:p>
          <w:p w14:paraId="29B82478" w14:textId="0E662183"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185BEA7C" w14:textId="3E81AD6D"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6DB4C941" w14:textId="77777777" w:rsidR="00050B32" w:rsidRDefault="00050B32" w:rsidP="00F43D6A">
            <w:pPr>
              <w:pStyle w:val="Tabletext1"/>
            </w:pPr>
            <w:r w:rsidRPr="004A77EB">
              <w:t>Finland</w:t>
            </w:r>
          </w:p>
          <w:p w14:paraId="193F5730" w14:textId="4B99BBEC" w:rsidR="00F3186D" w:rsidRPr="004A77EB" w:rsidRDefault="00F3186D"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480148E4" w14:textId="1A56CA58" w:rsidR="00050B32" w:rsidRPr="004A77EB" w:rsidRDefault="00AB582A" w:rsidP="00F43D6A">
            <w:pPr>
              <w:pStyle w:val="Tabletext1"/>
            </w:pPr>
            <w:r>
              <w:t>n</w:t>
            </w:r>
            <w:r w:rsidR="00050B32" w:rsidRPr="004A77EB">
              <w:t>: 55</w:t>
            </w:r>
          </w:p>
          <w:p w14:paraId="5BDFABC6" w14:textId="77777777" w:rsidR="00050B32" w:rsidRPr="004A77EB" w:rsidRDefault="00050B32" w:rsidP="00F43D6A">
            <w:pPr>
              <w:pStyle w:val="Tabletext1"/>
            </w:pPr>
            <w:r w:rsidRPr="004A77EB">
              <w:t>Age: median 66 (range 47-76)</w:t>
            </w:r>
          </w:p>
          <w:p w14:paraId="7E8EF821" w14:textId="77777777" w:rsidR="00050B32" w:rsidRPr="004A77EB" w:rsidRDefault="00050B32" w:rsidP="00F43D6A">
            <w:pPr>
              <w:pStyle w:val="Tabletext1"/>
            </w:pPr>
            <w:r w:rsidRPr="004A77EB">
              <w:t>PSA: median 7.4 (range 4-14)</w:t>
            </w:r>
          </w:p>
          <w:p w14:paraId="2E00927F" w14:textId="6F026C37" w:rsidR="00050B32" w:rsidRPr="004A77EB" w:rsidRDefault="00050B32" w:rsidP="00F43D6A">
            <w:pPr>
              <w:pStyle w:val="Tabletext1"/>
            </w:pPr>
            <w:r w:rsidRPr="004A77EB">
              <w:t>Prior biopsy: 0%</w:t>
            </w:r>
          </w:p>
        </w:tc>
        <w:tc>
          <w:tcPr>
            <w:tcW w:w="477" w:type="pct"/>
            <w:tcBorders>
              <w:top w:val="single" w:sz="4" w:space="0" w:color="auto"/>
              <w:left w:val="single" w:sz="4" w:space="0" w:color="auto"/>
              <w:bottom w:val="single" w:sz="4" w:space="0" w:color="auto"/>
              <w:right w:val="single" w:sz="4" w:space="0" w:color="auto"/>
            </w:tcBorders>
          </w:tcPr>
          <w:p w14:paraId="73B21878" w14:textId="77777777" w:rsidR="00050B32" w:rsidRPr="004A77EB" w:rsidRDefault="00050B32" w:rsidP="00F43D6A">
            <w:pPr>
              <w:pStyle w:val="Tabletext1"/>
            </w:pPr>
            <w:r w:rsidRPr="004A77EB">
              <w:t>3.0T</w:t>
            </w:r>
          </w:p>
          <w:p w14:paraId="1261A470" w14:textId="71D20098" w:rsidR="00050B32" w:rsidRPr="004A77EB" w:rsidRDefault="00050B32" w:rsidP="00F43D6A">
            <w:pPr>
              <w:pStyle w:val="Tabletext1"/>
            </w:pPr>
            <w:r w:rsidRPr="004A77EB">
              <w:t>Coil: body coil</w:t>
            </w:r>
          </w:p>
          <w:p w14:paraId="6700E59B" w14:textId="6E3AEEE7" w:rsidR="00050B32" w:rsidRPr="004A77EB" w:rsidRDefault="00050B32" w:rsidP="00F43D6A">
            <w:pPr>
              <w:pStyle w:val="Tabletext1"/>
            </w:pPr>
            <w:r w:rsidRPr="004A77EB">
              <w:t>Contrast: Dotaren or Gadovist</w:t>
            </w:r>
          </w:p>
        </w:tc>
        <w:tc>
          <w:tcPr>
            <w:tcW w:w="517" w:type="pct"/>
            <w:tcBorders>
              <w:top w:val="single" w:sz="4" w:space="0" w:color="auto"/>
              <w:left w:val="single" w:sz="4" w:space="0" w:color="auto"/>
              <w:bottom w:val="single" w:sz="4" w:space="0" w:color="auto"/>
              <w:right w:val="single" w:sz="4" w:space="0" w:color="auto"/>
            </w:tcBorders>
          </w:tcPr>
          <w:p w14:paraId="2875527D" w14:textId="6634588E" w:rsidR="00050B32" w:rsidRPr="004A77EB" w:rsidRDefault="00050B32" w:rsidP="00F43D6A">
            <w:pPr>
              <w:pStyle w:val="Tabletext1"/>
            </w:pPr>
            <w:r w:rsidRPr="004A77EB">
              <w:t>NR</w:t>
            </w:r>
          </w:p>
        </w:tc>
        <w:tc>
          <w:tcPr>
            <w:tcW w:w="394" w:type="pct"/>
            <w:tcBorders>
              <w:top w:val="single" w:sz="4" w:space="0" w:color="auto"/>
              <w:left w:val="single" w:sz="4" w:space="0" w:color="auto"/>
              <w:bottom w:val="single" w:sz="4" w:space="0" w:color="auto"/>
              <w:right w:val="single" w:sz="4" w:space="0" w:color="auto"/>
            </w:tcBorders>
          </w:tcPr>
          <w:p w14:paraId="37EA3D75" w14:textId="14D69179"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30448640" w14:textId="3A477328"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4FDF096F" w14:textId="30F3CC22" w:rsidR="00050B32" w:rsidRPr="004A77EB" w:rsidRDefault="00050B32" w:rsidP="00F43D6A">
            <w:pPr>
              <w:pStyle w:val="Tabletext1"/>
            </w:pPr>
            <w:r w:rsidRPr="004A77EB">
              <w:t>≥ 4</w:t>
            </w:r>
          </w:p>
        </w:tc>
      </w:tr>
      <w:tr w:rsidR="00E05133" w:rsidRPr="004A77EB" w14:paraId="3C8247C9"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44BEAEC2" w14:textId="3D5B5222" w:rsidR="00050B32" w:rsidRPr="004A77EB" w:rsidRDefault="00050B32" w:rsidP="00F43D6A">
            <w:pPr>
              <w:pStyle w:val="Tabletext1"/>
            </w:pPr>
            <w:r w:rsidRPr="004A77EB">
              <w:t>Lista et al. 2015 - key study</w:t>
            </w:r>
          </w:p>
        </w:tc>
        <w:tc>
          <w:tcPr>
            <w:tcW w:w="296" w:type="pct"/>
            <w:tcBorders>
              <w:top w:val="single" w:sz="4" w:space="0" w:color="auto"/>
              <w:left w:val="single" w:sz="4" w:space="0" w:color="auto"/>
              <w:bottom w:val="single" w:sz="4" w:space="0" w:color="auto"/>
              <w:right w:val="single" w:sz="4" w:space="0" w:color="auto"/>
            </w:tcBorders>
          </w:tcPr>
          <w:p w14:paraId="62432B28" w14:textId="6B058D46"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3CDEC8E9" w14:textId="77777777" w:rsidR="00050B32" w:rsidRPr="004A77EB" w:rsidRDefault="00050B32" w:rsidP="00F43D6A">
            <w:pPr>
              <w:pStyle w:val="Tabletext1"/>
            </w:pPr>
            <w:r w:rsidRPr="004A77EB">
              <w:t>Case series</w:t>
            </w:r>
          </w:p>
          <w:p w14:paraId="10155AAC" w14:textId="77777777" w:rsidR="00050B32" w:rsidRPr="004A77EB" w:rsidRDefault="00050B32" w:rsidP="00F43D6A">
            <w:pPr>
              <w:pStyle w:val="Tabletext1"/>
            </w:pPr>
            <w:r w:rsidRPr="004A77EB">
              <w:t>NR</w:t>
            </w:r>
          </w:p>
          <w:p w14:paraId="45DB7FD6" w14:textId="1E443062"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10C41A93" w14:textId="0FE712B5" w:rsidR="00050B32" w:rsidRPr="004A77EB" w:rsidRDefault="00050B32" w:rsidP="00F43D6A">
            <w:pPr>
              <w:pStyle w:val="Tabletext1"/>
            </w:pPr>
            <w:r w:rsidRPr="004A77EB">
              <w:t xml:space="preserve">III-2 </w:t>
            </w:r>
          </w:p>
        </w:tc>
        <w:tc>
          <w:tcPr>
            <w:tcW w:w="354" w:type="pct"/>
            <w:tcBorders>
              <w:top w:val="single" w:sz="4" w:space="0" w:color="auto"/>
              <w:left w:val="single" w:sz="4" w:space="0" w:color="auto"/>
              <w:bottom w:val="single" w:sz="4" w:space="0" w:color="auto"/>
              <w:right w:val="single" w:sz="4" w:space="0" w:color="auto"/>
            </w:tcBorders>
          </w:tcPr>
          <w:p w14:paraId="63CB2992" w14:textId="77777777" w:rsidR="00050B32" w:rsidRDefault="00050B32" w:rsidP="00F43D6A">
            <w:pPr>
              <w:pStyle w:val="Tabletext1"/>
            </w:pPr>
            <w:r w:rsidRPr="004A77EB">
              <w:t>Spain</w:t>
            </w:r>
          </w:p>
          <w:p w14:paraId="4E3C271C" w14:textId="0406A1E8" w:rsidR="00F3186D" w:rsidRPr="004A77EB" w:rsidRDefault="00F3186D"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6D6B4CC8" w14:textId="44470386" w:rsidR="00050B32" w:rsidRPr="004A77EB" w:rsidRDefault="00AB582A" w:rsidP="00F43D6A">
            <w:pPr>
              <w:pStyle w:val="Tabletext1"/>
            </w:pPr>
            <w:r>
              <w:t>n</w:t>
            </w:r>
            <w:r w:rsidR="00050B32" w:rsidRPr="004A77EB">
              <w:t>: 150</w:t>
            </w:r>
          </w:p>
          <w:p w14:paraId="26A93807" w14:textId="77777777" w:rsidR="00050B32" w:rsidRPr="004A77EB" w:rsidRDefault="00050B32" w:rsidP="00F43D6A">
            <w:pPr>
              <w:pStyle w:val="Tabletext1"/>
            </w:pPr>
            <w:r w:rsidRPr="004A77EB">
              <w:t>Age: mean 66.2 (SD 5)</w:t>
            </w:r>
          </w:p>
          <w:p w14:paraId="4AFE5A57" w14:textId="77777777" w:rsidR="00050B32" w:rsidRPr="004A77EB" w:rsidRDefault="00050B32" w:rsidP="00F43D6A">
            <w:pPr>
              <w:pStyle w:val="Tabletext1"/>
            </w:pPr>
            <w:r w:rsidRPr="004A77EB">
              <w:t>PSA mean 11.3 (SD 9.6)</w:t>
            </w:r>
          </w:p>
          <w:p w14:paraId="74B52F5E" w14:textId="75DA8347" w:rsidR="00050B32" w:rsidRPr="004A77EB" w:rsidRDefault="00050B32" w:rsidP="00F43D6A">
            <w:pPr>
              <w:pStyle w:val="Tabletext1"/>
            </w:pPr>
            <w:r w:rsidRPr="004A77EB">
              <w:t>Prior biopsy: 100%</w:t>
            </w:r>
          </w:p>
        </w:tc>
        <w:tc>
          <w:tcPr>
            <w:tcW w:w="477" w:type="pct"/>
            <w:tcBorders>
              <w:top w:val="single" w:sz="4" w:space="0" w:color="auto"/>
              <w:left w:val="single" w:sz="4" w:space="0" w:color="auto"/>
              <w:bottom w:val="single" w:sz="4" w:space="0" w:color="auto"/>
              <w:right w:val="single" w:sz="4" w:space="0" w:color="auto"/>
            </w:tcBorders>
          </w:tcPr>
          <w:p w14:paraId="289DA50C" w14:textId="77777777" w:rsidR="00050B32" w:rsidRPr="004A77EB" w:rsidRDefault="00050B32" w:rsidP="00F43D6A">
            <w:pPr>
              <w:pStyle w:val="Tabletext1"/>
            </w:pPr>
            <w:r w:rsidRPr="004A77EB">
              <w:t>1.5T</w:t>
            </w:r>
          </w:p>
          <w:p w14:paraId="42D17781" w14:textId="20B8F32B" w:rsidR="00050B32" w:rsidRPr="004A77EB" w:rsidRDefault="00050B32" w:rsidP="00F43D6A">
            <w:pPr>
              <w:pStyle w:val="Tabletext1"/>
            </w:pPr>
            <w:r w:rsidRPr="004A77EB">
              <w:t>Coil: PPAC+ERC</w:t>
            </w:r>
          </w:p>
          <w:p w14:paraId="65E70CF3" w14:textId="65EC140B"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6BE8C461" w14:textId="01362A96" w:rsidR="00050B32" w:rsidRPr="004A77EB" w:rsidRDefault="00050B32" w:rsidP="00F43D6A">
            <w:pPr>
              <w:pStyle w:val="Tabletext1"/>
            </w:pPr>
            <w:r w:rsidRPr="004A77EB">
              <w:t>NR</w:t>
            </w:r>
          </w:p>
        </w:tc>
        <w:tc>
          <w:tcPr>
            <w:tcW w:w="394" w:type="pct"/>
            <w:tcBorders>
              <w:top w:val="single" w:sz="4" w:space="0" w:color="auto"/>
              <w:left w:val="single" w:sz="4" w:space="0" w:color="auto"/>
              <w:bottom w:val="single" w:sz="4" w:space="0" w:color="auto"/>
              <w:right w:val="single" w:sz="4" w:space="0" w:color="auto"/>
            </w:tcBorders>
          </w:tcPr>
          <w:p w14:paraId="5BC2B1FA" w14:textId="15D718DC"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57329D82" w14:textId="62198658"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4BD16E53" w14:textId="13EAF671" w:rsidR="00050B32" w:rsidRPr="004A77EB" w:rsidRDefault="00050B32" w:rsidP="00F43D6A">
            <w:pPr>
              <w:pStyle w:val="Tabletext1"/>
            </w:pPr>
            <w:r w:rsidRPr="004A77EB">
              <w:t>≥ 4</w:t>
            </w:r>
          </w:p>
        </w:tc>
      </w:tr>
      <w:tr w:rsidR="00E05133" w:rsidRPr="004A77EB" w14:paraId="2195A5F5"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032888F3" w14:textId="736AB465" w:rsidR="00050B32" w:rsidRPr="004A77EB" w:rsidRDefault="00050B32" w:rsidP="00F43D6A">
            <w:pPr>
              <w:pStyle w:val="Tabletext1"/>
            </w:pPr>
            <w:r w:rsidRPr="004A77EB">
              <w:t>Pokorny et al. (2014) - key study</w:t>
            </w:r>
          </w:p>
        </w:tc>
        <w:tc>
          <w:tcPr>
            <w:tcW w:w="296" w:type="pct"/>
            <w:tcBorders>
              <w:top w:val="single" w:sz="4" w:space="0" w:color="auto"/>
              <w:left w:val="single" w:sz="4" w:space="0" w:color="auto"/>
              <w:bottom w:val="single" w:sz="4" w:space="0" w:color="auto"/>
              <w:right w:val="single" w:sz="4" w:space="0" w:color="auto"/>
            </w:tcBorders>
          </w:tcPr>
          <w:p w14:paraId="451A79D7" w14:textId="4F09A9BE"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0CDFFCD9" w14:textId="77777777" w:rsidR="00050B32" w:rsidRPr="004A77EB" w:rsidRDefault="00050B32" w:rsidP="00F43D6A">
            <w:pPr>
              <w:pStyle w:val="Tabletext1"/>
            </w:pPr>
            <w:r w:rsidRPr="004A77EB">
              <w:t>Case series</w:t>
            </w:r>
          </w:p>
          <w:p w14:paraId="07F3B853" w14:textId="77777777" w:rsidR="00050B32" w:rsidRPr="004A77EB" w:rsidRDefault="00050B32" w:rsidP="00F43D6A">
            <w:pPr>
              <w:pStyle w:val="Tabletext1"/>
            </w:pPr>
            <w:r w:rsidRPr="004A77EB">
              <w:t>Consecutive</w:t>
            </w:r>
          </w:p>
          <w:p w14:paraId="23C1035A" w14:textId="3900E669"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3EAA60CC" w14:textId="2EC550A5" w:rsidR="00050B32" w:rsidRPr="004A77EB" w:rsidRDefault="00050B32" w:rsidP="00F43D6A">
            <w:pPr>
              <w:pStyle w:val="Tabletext1"/>
            </w:pPr>
            <w:r w:rsidRPr="004A77EB">
              <w:t>II</w:t>
            </w:r>
          </w:p>
        </w:tc>
        <w:tc>
          <w:tcPr>
            <w:tcW w:w="354" w:type="pct"/>
            <w:tcBorders>
              <w:top w:val="single" w:sz="4" w:space="0" w:color="auto"/>
              <w:left w:val="single" w:sz="4" w:space="0" w:color="auto"/>
              <w:bottom w:val="single" w:sz="4" w:space="0" w:color="auto"/>
              <w:right w:val="single" w:sz="4" w:space="0" w:color="auto"/>
            </w:tcBorders>
          </w:tcPr>
          <w:p w14:paraId="0D7DE8EC" w14:textId="77777777" w:rsidR="00050B32" w:rsidRDefault="00050B32" w:rsidP="00F43D6A">
            <w:pPr>
              <w:pStyle w:val="Tabletext1"/>
            </w:pPr>
            <w:r w:rsidRPr="004A77EB">
              <w:t>Australia</w:t>
            </w:r>
          </w:p>
          <w:p w14:paraId="2950486E" w14:textId="12737112" w:rsidR="00F3186D" w:rsidRPr="004A77EB" w:rsidRDefault="00F3186D" w:rsidP="00F43D6A">
            <w:pPr>
              <w:pStyle w:val="Tabletext1"/>
            </w:pPr>
            <w:r>
              <w:t>Non-tertiary Hospital</w:t>
            </w:r>
          </w:p>
        </w:tc>
        <w:tc>
          <w:tcPr>
            <w:tcW w:w="949" w:type="pct"/>
            <w:tcBorders>
              <w:top w:val="single" w:sz="4" w:space="0" w:color="auto"/>
              <w:left w:val="single" w:sz="4" w:space="0" w:color="auto"/>
              <w:bottom w:val="single" w:sz="4" w:space="0" w:color="auto"/>
              <w:right w:val="single" w:sz="4" w:space="0" w:color="auto"/>
            </w:tcBorders>
          </w:tcPr>
          <w:p w14:paraId="2D8D3DC3" w14:textId="1EDC7712" w:rsidR="00050B32" w:rsidRPr="004A77EB" w:rsidRDefault="00AB582A" w:rsidP="00F43D6A">
            <w:pPr>
              <w:pStyle w:val="Tabletext1"/>
            </w:pPr>
            <w:r>
              <w:t>n</w:t>
            </w:r>
            <w:r w:rsidR="00050B32" w:rsidRPr="004A77EB">
              <w:t>: 226</w:t>
            </w:r>
          </w:p>
          <w:p w14:paraId="0D566BBF" w14:textId="77777777" w:rsidR="00050B32" w:rsidRPr="004A77EB" w:rsidRDefault="00050B32" w:rsidP="00F43D6A">
            <w:pPr>
              <w:pStyle w:val="Tabletext1"/>
            </w:pPr>
            <w:r w:rsidRPr="004A77EB">
              <w:t>Age: Median 63 (IQR 57-68)</w:t>
            </w:r>
          </w:p>
          <w:p w14:paraId="5AEB2531" w14:textId="77777777" w:rsidR="00050B32" w:rsidRPr="004A77EB" w:rsidRDefault="00050B32" w:rsidP="00F43D6A">
            <w:pPr>
              <w:pStyle w:val="Tabletext1"/>
            </w:pPr>
            <w:r w:rsidRPr="004A77EB">
              <w:t>PSA: median 5.3 (IQR 4.1-6.6)</w:t>
            </w:r>
          </w:p>
          <w:p w14:paraId="07F76108" w14:textId="09FEAB7C"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725581D3" w14:textId="77777777" w:rsidR="00050B32" w:rsidRPr="004A77EB" w:rsidRDefault="00050B32" w:rsidP="00F43D6A">
            <w:pPr>
              <w:pStyle w:val="Tabletext1"/>
            </w:pPr>
            <w:r w:rsidRPr="004A77EB">
              <w:t>3.0T</w:t>
            </w:r>
          </w:p>
          <w:p w14:paraId="55626740" w14:textId="4D4B2FDF" w:rsidR="00050B32" w:rsidRPr="004A77EB" w:rsidRDefault="00050B32" w:rsidP="00F43D6A">
            <w:pPr>
              <w:pStyle w:val="Tabletext1"/>
            </w:pPr>
            <w:r w:rsidRPr="004A77EB">
              <w:t>Coil: NR – no ERC</w:t>
            </w:r>
          </w:p>
          <w:p w14:paraId="385224CE" w14:textId="2CC9DB10"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425AD5D1" w14:textId="42D12DC9" w:rsidR="00050B32" w:rsidRPr="004A77EB" w:rsidRDefault="00050B32" w:rsidP="00F43D6A">
            <w:pPr>
              <w:pStyle w:val="Tabletext1"/>
            </w:pPr>
            <w:r w:rsidRPr="004A77EB">
              <w:t xml:space="preserve">3 radiologists with: 1 year, 1 year </w:t>
            </w:r>
            <w:r w:rsidR="00C12CD8" w:rsidRPr="004A77EB">
              <w:t>or</w:t>
            </w:r>
            <w:r w:rsidRPr="004A77EB">
              <w:t xml:space="preserve"> 19 </w:t>
            </w:r>
            <w:r w:rsidR="00C12CD8" w:rsidRPr="004A77EB">
              <w:t>years’ experience. D</w:t>
            </w:r>
            <w:r w:rsidRPr="004A77EB">
              <w:t>edicated training of readers</w:t>
            </w:r>
          </w:p>
        </w:tc>
        <w:tc>
          <w:tcPr>
            <w:tcW w:w="394" w:type="pct"/>
            <w:tcBorders>
              <w:top w:val="single" w:sz="4" w:space="0" w:color="auto"/>
              <w:left w:val="single" w:sz="4" w:space="0" w:color="auto"/>
              <w:bottom w:val="single" w:sz="4" w:space="0" w:color="auto"/>
              <w:right w:val="single" w:sz="4" w:space="0" w:color="auto"/>
            </w:tcBorders>
          </w:tcPr>
          <w:p w14:paraId="31C98ABE" w14:textId="0235AD13"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1BDC705F" w14:textId="0843BC62"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72CF9BB7" w14:textId="37FD0878" w:rsidR="00050B32" w:rsidRPr="004A77EB" w:rsidRDefault="00050B32" w:rsidP="00F43D6A">
            <w:pPr>
              <w:pStyle w:val="Tabletext1"/>
            </w:pPr>
            <w:r w:rsidRPr="004A77EB">
              <w:t>≥ 4</w:t>
            </w:r>
          </w:p>
        </w:tc>
      </w:tr>
      <w:tr w:rsidR="00E05133" w:rsidRPr="004A77EB" w14:paraId="73CA42BA"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1B34807E" w14:textId="2A095440" w:rsidR="00050B32" w:rsidRPr="004A77EB" w:rsidRDefault="00050B32" w:rsidP="00F43D6A">
            <w:pPr>
              <w:pStyle w:val="Tabletext1"/>
            </w:pPr>
            <w:r w:rsidRPr="004A77EB">
              <w:t>Thompson et al. (2014) - key study</w:t>
            </w:r>
          </w:p>
        </w:tc>
        <w:tc>
          <w:tcPr>
            <w:tcW w:w="296" w:type="pct"/>
            <w:tcBorders>
              <w:top w:val="single" w:sz="4" w:space="0" w:color="auto"/>
              <w:left w:val="single" w:sz="4" w:space="0" w:color="auto"/>
              <w:bottom w:val="single" w:sz="4" w:space="0" w:color="auto"/>
              <w:right w:val="single" w:sz="4" w:space="0" w:color="auto"/>
            </w:tcBorders>
          </w:tcPr>
          <w:p w14:paraId="48322A9B" w14:textId="40C1CCD8"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2BF2F111" w14:textId="77777777" w:rsidR="00050B32" w:rsidRPr="004A77EB" w:rsidRDefault="00050B32" w:rsidP="00F43D6A">
            <w:pPr>
              <w:pStyle w:val="Tabletext1"/>
            </w:pPr>
            <w:r w:rsidRPr="004A77EB">
              <w:t>Case series</w:t>
            </w:r>
          </w:p>
          <w:p w14:paraId="2216D366" w14:textId="77777777" w:rsidR="00050B32" w:rsidRPr="004A77EB" w:rsidRDefault="00050B32" w:rsidP="00F43D6A">
            <w:pPr>
              <w:pStyle w:val="Tabletext1"/>
            </w:pPr>
            <w:r w:rsidRPr="004A77EB">
              <w:t>Consecutive</w:t>
            </w:r>
          </w:p>
          <w:p w14:paraId="47994510" w14:textId="72941692"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5DFB5EF6" w14:textId="62B387D5"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42B59878" w14:textId="77777777" w:rsidR="00050B32" w:rsidRDefault="00050B32" w:rsidP="00F43D6A">
            <w:pPr>
              <w:pStyle w:val="Tabletext1"/>
            </w:pPr>
            <w:r w:rsidRPr="004A77EB">
              <w:t>Australia</w:t>
            </w:r>
          </w:p>
          <w:p w14:paraId="0F76EFA4" w14:textId="341FD45D" w:rsidR="00F3186D" w:rsidRPr="004A77EB" w:rsidRDefault="00F3186D" w:rsidP="00F43D6A">
            <w:pPr>
              <w:pStyle w:val="Tabletext1"/>
            </w:pPr>
            <w:r>
              <w:t>Secondary clinic</w:t>
            </w:r>
          </w:p>
        </w:tc>
        <w:tc>
          <w:tcPr>
            <w:tcW w:w="949" w:type="pct"/>
            <w:tcBorders>
              <w:top w:val="single" w:sz="4" w:space="0" w:color="auto"/>
              <w:left w:val="single" w:sz="4" w:space="0" w:color="auto"/>
              <w:bottom w:val="single" w:sz="4" w:space="0" w:color="auto"/>
              <w:right w:val="single" w:sz="4" w:space="0" w:color="auto"/>
            </w:tcBorders>
          </w:tcPr>
          <w:p w14:paraId="41ADDA8D" w14:textId="00F7658B" w:rsidR="00050B32" w:rsidRPr="004A77EB" w:rsidRDefault="00AB582A" w:rsidP="00F43D6A">
            <w:pPr>
              <w:pStyle w:val="Tabletext1"/>
            </w:pPr>
            <w:r>
              <w:t>n</w:t>
            </w:r>
            <w:r w:rsidR="00050B32" w:rsidRPr="004A77EB">
              <w:t>: 150</w:t>
            </w:r>
          </w:p>
          <w:p w14:paraId="37D3AA56" w14:textId="77777777" w:rsidR="00050B32" w:rsidRPr="004A77EB" w:rsidRDefault="00050B32" w:rsidP="00F43D6A">
            <w:pPr>
              <w:pStyle w:val="Tabletext1"/>
            </w:pPr>
            <w:r w:rsidRPr="004A77EB">
              <w:t>Age: Median 62.4 (IQR 55-66.4)</w:t>
            </w:r>
          </w:p>
          <w:p w14:paraId="0A056FFE" w14:textId="77777777" w:rsidR="00050B32" w:rsidRPr="004A77EB" w:rsidRDefault="00050B32" w:rsidP="00F43D6A">
            <w:pPr>
              <w:pStyle w:val="Tabletext1"/>
            </w:pPr>
            <w:r w:rsidRPr="004A77EB">
              <w:t>PSA: median 5.6 (IQR 4.5-7.5)</w:t>
            </w:r>
          </w:p>
          <w:p w14:paraId="60D42C1C" w14:textId="0DA622BE"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6B3C7E02" w14:textId="77777777" w:rsidR="00050B32" w:rsidRPr="004A77EB" w:rsidRDefault="00050B32" w:rsidP="00F43D6A">
            <w:pPr>
              <w:pStyle w:val="Tabletext1"/>
            </w:pPr>
            <w:r w:rsidRPr="004A77EB">
              <w:t>1.5T or 3.0T</w:t>
            </w:r>
          </w:p>
          <w:p w14:paraId="0ABB02F9" w14:textId="77777777" w:rsidR="00050B32" w:rsidRPr="004A77EB" w:rsidRDefault="00050B32" w:rsidP="00F43D6A">
            <w:pPr>
              <w:pStyle w:val="Tabletext1"/>
            </w:pPr>
            <w:r w:rsidRPr="004A77EB">
              <w:t>Coil: NR – no ERC</w:t>
            </w:r>
          </w:p>
          <w:p w14:paraId="46AD1D97" w14:textId="5B5D16CC" w:rsidR="00050B32" w:rsidRPr="004A77EB" w:rsidRDefault="00050B32" w:rsidP="00F43D6A">
            <w:pPr>
              <w:pStyle w:val="Tabletext1"/>
            </w:pPr>
            <w:r w:rsidRPr="004A77EB">
              <w:t>Contrast: gadolinum diethylenetriaminepentaacetice acid</w:t>
            </w:r>
          </w:p>
        </w:tc>
        <w:tc>
          <w:tcPr>
            <w:tcW w:w="517" w:type="pct"/>
            <w:tcBorders>
              <w:top w:val="single" w:sz="4" w:space="0" w:color="auto"/>
              <w:left w:val="single" w:sz="4" w:space="0" w:color="auto"/>
              <w:bottom w:val="single" w:sz="4" w:space="0" w:color="auto"/>
              <w:right w:val="single" w:sz="4" w:space="0" w:color="auto"/>
            </w:tcBorders>
          </w:tcPr>
          <w:p w14:paraId="7A550783" w14:textId="71505BBC" w:rsidR="00050B32" w:rsidRPr="004A77EB" w:rsidRDefault="00C12CD8" w:rsidP="00F43D6A">
            <w:pPr>
              <w:pStyle w:val="Tabletext1"/>
            </w:pPr>
            <w:r w:rsidRPr="004A77EB">
              <w:t>2</w:t>
            </w:r>
            <w:r w:rsidR="00050B32" w:rsidRPr="004A77EB">
              <w:t xml:space="preserve"> radiologists</w:t>
            </w:r>
            <w:r w:rsidRPr="004A77EB">
              <w:t xml:space="preserve"> each</w:t>
            </w:r>
            <w:r w:rsidR="00050B32" w:rsidRPr="004A77EB">
              <w:t xml:space="preserve"> with &gt;1000 prior prostate mpMRIs</w:t>
            </w:r>
          </w:p>
        </w:tc>
        <w:tc>
          <w:tcPr>
            <w:tcW w:w="394" w:type="pct"/>
            <w:tcBorders>
              <w:top w:val="single" w:sz="4" w:space="0" w:color="auto"/>
              <w:left w:val="single" w:sz="4" w:space="0" w:color="auto"/>
              <w:bottom w:val="single" w:sz="4" w:space="0" w:color="auto"/>
              <w:right w:val="single" w:sz="4" w:space="0" w:color="auto"/>
            </w:tcBorders>
          </w:tcPr>
          <w:p w14:paraId="2B0E2EBE" w14:textId="2FD6FB5C"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5A23F621" w14:textId="299EA9FC"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30A6384A" w14:textId="013ABF03" w:rsidR="00050B32" w:rsidRPr="004A77EB" w:rsidRDefault="00050B32" w:rsidP="00F43D6A">
            <w:pPr>
              <w:pStyle w:val="Tabletext1"/>
            </w:pPr>
            <w:r w:rsidRPr="004A77EB">
              <w:t>≥ 4</w:t>
            </w:r>
          </w:p>
        </w:tc>
      </w:tr>
      <w:tr w:rsidR="00E05133" w:rsidRPr="004A77EB" w14:paraId="0657D01A"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56BCEA32" w14:textId="42F1EFB2" w:rsidR="00050B32" w:rsidRPr="004A77EB" w:rsidRDefault="00050B32" w:rsidP="00F43D6A">
            <w:pPr>
              <w:pStyle w:val="Tabletext1"/>
            </w:pPr>
            <w:r w:rsidRPr="004A77EB">
              <w:lastRenderedPageBreak/>
              <w:t>Thompson et al. 2016 - key study</w:t>
            </w:r>
          </w:p>
        </w:tc>
        <w:tc>
          <w:tcPr>
            <w:tcW w:w="296" w:type="pct"/>
            <w:tcBorders>
              <w:top w:val="single" w:sz="4" w:space="0" w:color="auto"/>
              <w:left w:val="single" w:sz="4" w:space="0" w:color="auto"/>
              <w:bottom w:val="single" w:sz="4" w:space="0" w:color="auto"/>
              <w:right w:val="single" w:sz="4" w:space="0" w:color="auto"/>
            </w:tcBorders>
          </w:tcPr>
          <w:p w14:paraId="28715835" w14:textId="65DC46BE"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60B8A8B3" w14:textId="77777777" w:rsidR="00050B32" w:rsidRPr="004A77EB" w:rsidRDefault="00050B32" w:rsidP="00F43D6A">
            <w:pPr>
              <w:pStyle w:val="Tabletext1"/>
            </w:pPr>
            <w:r w:rsidRPr="004A77EB">
              <w:t>Case series</w:t>
            </w:r>
          </w:p>
          <w:p w14:paraId="3632C35E" w14:textId="77777777" w:rsidR="00050B32" w:rsidRPr="004A77EB" w:rsidRDefault="00050B32" w:rsidP="00F43D6A">
            <w:pPr>
              <w:pStyle w:val="Tabletext1"/>
            </w:pPr>
            <w:r w:rsidRPr="004A77EB">
              <w:t>NR</w:t>
            </w:r>
          </w:p>
          <w:p w14:paraId="1F51AD24" w14:textId="547DCF61"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1B6C0749" w14:textId="1C6ED192"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40CF35A3" w14:textId="77777777" w:rsidR="00050B32" w:rsidRDefault="00050B32" w:rsidP="00F43D6A">
            <w:pPr>
              <w:pStyle w:val="Tabletext1"/>
            </w:pPr>
            <w:r w:rsidRPr="004A77EB">
              <w:t>Australia</w:t>
            </w:r>
          </w:p>
          <w:p w14:paraId="1A6040C2" w14:textId="68497937" w:rsidR="00F3186D" w:rsidRPr="004A77EB" w:rsidRDefault="00F3186D" w:rsidP="00F43D6A">
            <w:pPr>
              <w:pStyle w:val="Tabletext1"/>
            </w:pPr>
            <w:r>
              <w:t>Secondary clinic</w:t>
            </w:r>
          </w:p>
        </w:tc>
        <w:tc>
          <w:tcPr>
            <w:tcW w:w="949" w:type="pct"/>
            <w:tcBorders>
              <w:top w:val="single" w:sz="4" w:space="0" w:color="auto"/>
              <w:left w:val="single" w:sz="4" w:space="0" w:color="auto"/>
              <w:bottom w:val="single" w:sz="4" w:space="0" w:color="auto"/>
              <w:right w:val="single" w:sz="4" w:space="0" w:color="auto"/>
            </w:tcBorders>
          </w:tcPr>
          <w:p w14:paraId="10DAD65D" w14:textId="324DC4BC" w:rsidR="00050B32" w:rsidRPr="004A77EB" w:rsidRDefault="00AB582A" w:rsidP="00F43D6A">
            <w:pPr>
              <w:pStyle w:val="Tabletext1"/>
            </w:pPr>
            <w:r>
              <w:t>n</w:t>
            </w:r>
            <w:r w:rsidR="00050B32" w:rsidRPr="004A77EB">
              <w:t xml:space="preserve">: 344 </w:t>
            </w:r>
          </w:p>
          <w:p w14:paraId="3266FA1E" w14:textId="77777777" w:rsidR="00050B32" w:rsidRPr="004A77EB" w:rsidRDefault="00050B32" w:rsidP="00F43D6A">
            <w:pPr>
              <w:pStyle w:val="Tabletext1"/>
            </w:pPr>
            <w:r w:rsidRPr="004A77EB">
              <w:t>Age: Median 62.9 (IQR 55.9-67.1)</w:t>
            </w:r>
          </w:p>
          <w:p w14:paraId="398F80BB" w14:textId="77777777" w:rsidR="00050B32" w:rsidRPr="004A77EB" w:rsidRDefault="00050B32" w:rsidP="00F43D6A">
            <w:pPr>
              <w:pStyle w:val="Tabletext1"/>
            </w:pPr>
            <w:r w:rsidRPr="004A77EB">
              <w:t>PSA: median 5.2 (IQR 3.7-7.1)</w:t>
            </w:r>
          </w:p>
          <w:p w14:paraId="79A0FFA8" w14:textId="514A5821"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64AC0507" w14:textId="77777777" w:rsidR="00050B32" w:rsidRPr="004A77EB" w:rsidRDefault="00050B32" w:rsidP="00F43D6A">
            <w:pPr>
              <w:pStyle w:val="Tabletext1"/>
            </w:pPr>
            <w:r w:rsidRPr="004A77EB">
              <w:t>1.5T or 3.0T</w:t>
            </w:r>
          </w:p>
          <w:p w14:paraId="3649CF0F" w14:textId="77777777" w:rsidR="00050B32" w:rsidRPr="004A77EB" w:rsidRDefault="00050B32" w:rsidP="00F43D6A">
            <w:pPr>
              <w:pStyle w:val="Tabletext1"/>
            </w:pPr>
            <w:r w:rsidRPr="004A77EB">
              <w:t>Coil: NR – no ERC</w:t>
            </w:r>
          </w:p>
          <w:p w14:paraId="307CBE2D" w14:textId="560FC356" w:rsidR="00050B32" w:rsidRPr="004A77EB" w:rsidRDefault="00050B32" w:rsidP="00F43D6A">
            <w:pPr>
              <w:pStyle w:val="Tabletext1"/>
            </w:pPr>
            <w:r w:rsidRPr="004A77EB">
              <w:t>Contrast: gadolinum diethylenetriaminepentaacetice acid</w:t>
            </w:r>
          </w:p>
        </w:tc>
        <w:tc>
          <w:tcPr>
            <w:tcW w:w="517" w:type="pct"/>
            <w:tcBorders>
              <w:top w:val="single" w:sz="4" w:space="0" w:color="auto"/>
              <w:left w:val="single" w:sz="4" w:space="0" w:color="auto"/>
              <w:bottom w:val="single" w:sz="4" w:space="0" w:color="auto"/>
              <w:right w:val="single" w:sz="4" w:space="0" w:color="auto"/>
            </w:tcBorders>
          </w:tcPr>
          <w:p w14:paraId="3C989EA3" w14:textId="49A22061" w:rsidR="00050B32" w:rsidRPr="004A77EB" w:rsidRDefault="00C12CD8" w:rsidP="00F43D6A">
            <w:pPr>
              <w:pStyle w:val="Tabletext1"/>
            </w:pPr>
            <w:r w:rsidRPr="004A77EB">
              <w:t>2</w:t>
            </w:r>
            <w:r w:rsidR="00050B32" w:rsidRPr="004A77EB">
              <w:t xml:space="preserve"> radiologists </w:t>
            </w:r>
            <w:r w:rsidRPr="004A77EB">
              <w:t xml:space="preserve">each </w:t>
            </w:r>
            <w:r w:rsidR="00050B32" w:rsidRPr="004A77EB">
              <w:t>with &gt;1000 prior prostate mpMRIs</w:t>
            </w:r>
          </w:p>
        </w:tc>
        <w:tc>
          <w:tcPr>
            <w:tcW w:w="394" w:type="pct"/>
            <w:tcBorders>
              <w:top w:val="single" w:sz="4" w:space="0" w:color="auto"/>
              <w:left w:val="single" w:sz="4" w:space="0" w:color="auto"/>
              <w:bottom w:val="single" w:sz="4" w:space="0" w:color="auto"/>
              <w:right w:val="single" w:sz="4" w:space="0" w:color="auto"/>
            </w:tcBorders>
          </w:tcPr>
          <w:p w14:paraId="460AA855" w14:textId="69BAC58D" w:rsidR="00050B32" w:rsidRPr="004A77EB" w:rsidRDefault="00050B32" w:rsidP="00F43D6A">
            <w:pPr>
              <w:pStyle w:val="Tabletext1"/>
            </w:pPr>
            <w:r w:rsidRPr="004A77EB">
              <w:t>TRUSGB + cog-MRI or TRUS/MRI FGB</w:t>
            </w:r>
          </w:p>
        </w:tc>
        <w:tc>
          <w:tcPr>
            <w:tcW w:w="359" w:type="pct"/>
            <w:tcBorders>
              <w:top w:val="single" w:sz="4" w:space="0" w:color="auto"/>
              <w:left w:val="single" w:sz="4" w:space="0" w:color="auto"/>
              <w:bottom w:val="single" w:sz="4" w:space="0" w:color="auto"/>
              <w:right w:val="single" w:sz="4" w:space="0" w:color="auto"/>
            </w:tcBorders>
          </w:tcPr>
          <w:p w14:paraId="21E8ABE8" w14:textId="46EBECBB"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7617B3C0" w14:textId="45BE7A48" w:rsidR="00050B32" w:rsidRPr="004A77EB" w:rsidRDefault="00050B32" w:rsidP="00F43D6A">
            <w:pPr>
              <w:pStyle w:val="Tabletext1"/>
            </w:pPr>
            <w:r w:rsidRPr="004A77EB">
              <w:t>≥ 4</w:t>
            </w:r>
          </w:p>
        </w:tc>
      </w:tr>
      <w:tr w:rsidR="00E05133" w:rsidRPr="004A77EB" w14:paraId="337E21A8"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165DFB6F" w14:textId="56854E56" w:rsidR="00050B32" w:rsidRPr="004A77EB" w:rsidRDefault="00050B32" w:rsidP="00F43D6A">
            <w:pPr>
              <w:pStyle w:val="Tabletext1"/>
            </w:pPr>
            <w:r w:rsidRPr="004A77EB">
              <w:t>Wang et al. (2015) - key study</w:t>
            </w:r>
          </w:p>
        </w:tc>
        <w:tc>
          <w:tcPr>
            <w:tcW w:w="296" w:type="pct"/>
            <w:tcBorders>
              <w:top w:val="single" w:sz="4" w:space="0" w:color="auto"/>
              <w:left w:val="single" w:sz="4" w:space="0" w:color="auto"/>
              <w:bottom w:val="single" w:sz="4" w:space="0" w:color="auto"/>
              <w:right w:val="single" w:sz="4" w:space="0" w:color="auto"/>
            </w:tcBorders>
          </w:tcPr>
          <w:p w14:paraId="2E838BEB" w14:textId="4E92E3C7"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7AFAE51C" w14:textId="77777777" w:rsidR="00050B32" w:rsidRPr="004A77EB" w:rsidRDefault="00050B32" w:rsidP="00F43D6A">
            <w:pPr>
              <w:pStyle w:val="Tabletext1"/>
            </w:pPr>
            <w:r w:rsidRPr="004A77EB">
              <w:t>Case series</w:t>
            </w:r>
          </w:p>
          <w:p w14:paraId="06344B40" w14:textId="77777777" w:rsidR="00050B32" w:rsidRPr="004A77EB" w:rsidRDefault="00050B32" w:rsidP="00F43D6A">
            <w:pPr>
              <w:pStyle w:val="Tabletext1"/>
            </w:pPr>
            <w:r w:rsidRPr="004A77EB">
              <w:t>Consecutive</w:t>
            </w:r>
          </w:p>
          <w:p w14:paraId="079B91DD" w14:textId="79899B18" w:rsidR="00050B32" w:rsidRPr="004A77EB" w:rsidRDefault="00050B32" w:rsidP="00F43D6A">
            <w:pPr>
              <w:pStyle w:val="Tabletext1"/>
            </w:pPr>
            <w:r w:rsidRPr="004A77EB">
              <w:t>NR</w:t>
            </w:r>
          </w:p>
        </w:tc>
        <w:tc>
          <w:tcPr>
            <w:tcW w:w="327" w:type="pct"/>
            <w:tcBorders>
              <w:top w:val="single" w:sz="4" w:space="0" w:color="auto"/>
              <w:left w:val="single" w:sz="4" w:space="0" w:color="auto"/>
              <w:bottom w:val="single" w:sz="4" w:space="0" w:color="auto"/>
              <w:right w:val="single" w:sz="4" w:space="0" w:color="auto"/>
            </w:tcBorders>
          </w:tcPr>
          <w:p w14:paraId="76377671" w14:textId="626A83B0"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762E5745" w14:textId="77777777" w:rsidR="00050B32" w:rsidRDefault="00050B32" w:rsidP="00F43D6A">
            <w:pPr>
              <w:pStyle w:val="Tabletext1"/>
            </w:pPr>
            <w:r w:rsidRPr="004A77EB">
              <w:t>China</w:t>
            </w:r>
          </w:p>
          <w:p w14:paraId="48C7BEDE" w14:textId="5D34D161" w:rsidR="00D4361B" w:rsidRPr="004A77EB" w:rsidRDefault="00D4361B"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A6A8622" w14:textId="352E6BFC" w:rsidR="00050B32" w:rsidRPr="004A77EB" w:rsidRDefault="00AB582A" w:rsidP="00F43D6A">
            <w:pPr>
              <w:pStyle w:val="Tabletext1"/>
            </w:pPr>
            <w:r>
              <w:t>n</w:t>
            </w:r>
            <w:r w:rsidR="00050B32" w:rsidRPr="004A77EB">
              <w:t>: 586</w:t>
            </w:r>
          </w:p>
          <w:p w14:paraId="1F940D22" w14:textId="77777777" w:rsidR="00050B32" w:rsidRPr="004A77EB" w:rsidRDefault="00050B32" w:rsidP="00F43D6A">
            <w:pPr>
              <w:pStyle w:val="Tabletext1"/>
            </w:pPr>
            <w:r w:rsidRPr="004A77EB">
              <w:t>Age: mean 70.0 (SD 8.3)</w:t>
            </w:r>
          </w:p>
          <w:p w14:paraId="2C23CDCB" w14:textId="77777777" w:rsidR="00050B32" w:rsidRPr="004A77EB" w:rsidRDefault="00050B32" w:rsidP="00F43D6A">
            <w:pPr>
              <w:pStyle w:val="Tabletext1"/>
            </w:pPr>
            <w:r w:rsidRPr="004A77EB">
              <w:t>PSA: NR</w:t>
            </w:r>
          </w:p>
          <w:p w14:paraId="31F22131" w14:textId="749ABC7C"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3D219845" w14:textId="77777777" w:rsidR="00050B32" w:rsidRPr="004A77EB" w:rsidRDefault="00050B32" w:rsidP="00F43D6A">
            <w:pPr>
              <w:pStyle w:val="Tabletext1"/>
            </w:pPr>
            <w:r w:rsidRPr="004A77EB">
              <w:t>1.5T</w:t>
            </w:r>
          </w:p>
          <w:p w14:paraId="4CDB6097" w14:textId="76DF712B" w:rsidR="00050B32" w:rsidRPr="004A77EB" w:rsidRDefault="00050B32" w:rsidP="00F43D6A">
            <w:pPr>
              <w:pStyle w:val="Tabletext1"/>
            </w:pPr>
            <w:r w:rsidRPr="004A77EB">
              <w:t>Coil: PPAC + ERC</w:t>
            </w:r>
          </w:p>
          <w:p w14:paraId="30F026C6" w14:textId="7FB632E6" w:rsidR="00050B32" w:rsidRPr="004A77EB" w:rsidRDefault="00050B32" w:rsidP="00F43D6A">
            <w:pPr>
              <w:pStyle w:val="Tabletext1"/>
            </w:pPr>
            <w:r w:rsidRPr="004A77EB">
              <w:t>Contrast: Gadopenteic dimeglumine</w:t>
            </w:r>
          </w:p>
        </w:tc>
        <w:tc>
          <w:tcPr>
            <w:tcW w:w="517" w:type="pct"/>
            <w:tcBorders>
              <w:top w:val="single" w:sz="4" w:space="0" w:color="auto"/>
              <w:left w:val="single" w:sz="4" w:space="0" w:color="auto"/>
              <w:bottom w:val="single" w:sz="4" w:space="0" w:color="auto"/>
              <w:right w:val="single" w:sz="4" w:space="0" w:color="auto"/>
            </w:tcBorders>
          </w:tcPr>
          <w:p w14:paraId="080C48D5" w14:textId="536504E0" w:rsidR="00050B32" w:rsidRPr="004A77EB" w:rsidRDefault="00050B32" w:rsidP="00F43D6A">
            <w:pPr>
              <w:pStyle w:val="Tabletext1"/>
            </w:pPr>
            <w:r w:rsidRPr="004A77EB">
              <w:t xml:space="preserve">2 radiologists with 10 </w:t>
            </w:r>
            <w:r w:rsidR="00C12CD8" w:rsidRPr="004A77EB">
              <w:t>or</w:t>
            </w:r>
            <w:r w:rsidRPr="004A77EB">
              <w:t xml:space="preserve"> 3 </w:t>
            </w:r>
            <w:r w:rsidR="00C12CD8" w:rsidRPr="004A77EB">
              <w:t>years’ experience</w:t>
            </w:r>
          </w:p>
        </w:tc>
        <w:tc>
          <w:tcPr>
            <w:tcW w:w="394" w:type="pct"/>
            <w:tcBorders>
              <w:top w:val="single" w:sz="4" w:space="0" w:color="auto"/>
              <w:left w:val="single" w:sz="4" w:space="0" w:color="auto"/>
              <w:bottom w:val="single" w:sz="4" w:space="0" w:color="auto"/>
              <w:right w:val="single" w:sz="4" w:space="0" w:color="auto"/>
            </w:tcBorders>
          </w:tcPr>
          <w:p w14:paraId="5A52D11E" w14:textId="083FB3F9"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362D5F84" w14:textId="63E5A703"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05B608D9" w14:textId="3765EBBB" w:rsidR="00050B32" w:rsidRPr="004A77EB" w:rsidRDefault="00050B32" w:rsidP="00F43D6A">
            <w:pPr>
              <w:pStyle w:val="Tabletext1"/>
            </w:pPr>
            <w:r w:rsidRPr="004A77EB">
              <w:t>≥ 4</w:t>
            </w:r>
          </w:p>
        </w:tc>
      </w:tr>
      <w:tr w:rsidR="00E05133" w:rsidRPr="004A77EB" w14:paraId="17223510"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7659DF5D" w14:textId="531B2ECE" w:rsidR="00050B32" w:rsidRPr="004A77EB" w:rsidRDefault="00050B32" w:rsidP="00F43D6A">
            <w:pPr>
              <w:pStyle w:val="Tabletext1"/>
            </w:pPr>
            <w:r w:rsidRPr="004A77EB">
              <w:t>Zhao et al. (2016) - key study</w:t>
            </w:r>
          </w:p>
        </w:tc>
        <w:tc>
          <w:tcPr>
            <w:tcW w:w="296" w:type="pct"/>
            <w:tcBorders>
              <w:top w:val="single" w:sz="4" w:space="0" w:color="auto"/>
              <w:left w:val="single" w:sz="4" w:space="0" w:color="auto"/>
              <w:bottom w:val="single" w:sz="4" w:space="0" w:color="auto"/>
              <w:right w:val="single" w:sz="4" w:space="0" w:color="auto"/>
            </w:tcBorders>
          </w:tcPr>
          <w:p w14:paraId="70DAFB01" w14:textId="743933B0" w:rsidR="00050B32" w:rsidRPr="004A77EB" w:rsidRDefault="00050B32" w:rsidP="00F43D6A">
            <w:pPr>
              <w:pStyle w:val="Tabletext1"/>
            </w:pPr>
            <w:r w:rsidRPr="004A77EB">
              <w:t>Yes</w:t>
            </w:r>
          </w:p>
        </w:tc>
        <w:tc>
          <w:tcPr>
            <w:tcW w:w="455" w:type="pct"/>
            <w:tcBorders>
              <w:top w:val="single" w:sz="4" w:space="0" w:color="auto"/>
              <w:left w:val="single" w:sz="4" w:space="0" w:color="auto"/>
              <w:bottom w:val="single" w:sz="4" w:space="0" w:color="auto"/>
              <w:right w:val="single" w:sz="4" w:space="0" w:color="auto"/>
            </w:tcBorders>
          </w:tcPr>
          <w:p w14:paraId="1F379544" w14:textId="77777777" w:rsidR="00050B32" w:rsidRPr="004A77EB" w:rsidRDefault="00050B32" w:rsidP="00F43D6A">
            <w:pPr>
              <w:pStyle w:val="Tabletext1"/>
            </w:pPr>
            <w:r w:rsidRPr="004A77EB">
              <w:t>Case series</w:t>
            </w:r>
          </w:p>
          <w:p w14:paraId="2F0FE646" w14:textId="77777777" w:rsidR="00050B32" w:rsidRPr="004A77EB" w:rsidRDefault="00050B32" w:rsidP="00F43D6A">
            <w:pPr>
              <w:pStyle w:val="Tabletext1"/>
            </w:pPr>
            <w:r w:rsidRPr="004A77EB">
              <w:t>NR</w:t>
            </w:r>
          </w:p>
          <w:p w14:paraId="1BDC37BF" w14:textId="1001DD54"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6A5360E4" w14:textId="2B4AD2E0"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7293298D" w14:textId="77777777" w:rsidR="00050B32" w:rsidRDefault="00050B32" w:rsidP="00F43D6A">
            <w:pPr>
              <w:pStyle w:val="Tabletext1"/>
            </w:pPr>
            <w:r w:rsidRPr="004A77EB">
              <w:t>China</w:t>
            </w:r>
          </w:p>
          <w:p w14:paraId="1BB9081C" w14:textId="12ADEF46" w:rsidR="00D4361B" w:rsidRPr="004A77EB" w:rsidRDefault="00D4361B"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643C2A52" w14:textId="5C3AA841" w:rsidR="00050B32" w:rsidRPr="004A77EB" w:rsidRDefault="00AB582A" w:rsidP="00F43D6A">
            <w:pPr>
              <w:pStyle w:val="Tabletext1"/>
            </w:pPr>
            <w:r>
              <w:t>n</w:t>
            </w:r>
            <w:r w:rsidR="00050B32" w:rsidRPr="004A77EB">
              <w:t>: 372</w:t>
            </w:r>
          </w:p>
          <w:p w14:paraId="61D8BC76" w14:textId="77777777" w:rsidR="00050B32" w:rsidRPr="004A77EB" w:rsidRDefault="00050B32" w:rsidP="00F43D6A">
            <w:pPr>
              <w:pStyle w:val="Tabletext1"/>
            </w:pPr>
            <w:r w:rsidRPr="004A77EB">
              <w:t>Age: mean 68.5 (SD 9.2)</w:t>
            </w:r>
          </w:p>
          <w:p w14:paraId="6F3DD5C8" w14:textId="77777777" w:rsidR="00050B32" w:rsidRPr="004A77EB" w:rsidRDefault="00050B32" w:rsidP="00F43D6A">
            <w:pPr>
              <w:pStyle w:val="Tabletext1"/>
            </w:pPr>
            <w:r w:rsidRPr="004A77EB">
              <w:t>PSA: mean 15.0 (SD 13.3)</w:t>
            </w:r>
          </w:p>
          <w:p w14:paraId="2478E8A0" w14:textId="323F59B6"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47378522" w14:textId="77777777" w:rsidR="00050B32" w:rsidRPr="004A77EB" w:rsidRDefault="00050B32" w:rsidP="00F43D6A">
            <w:pPr>
              <w:pStyle w:val="Tabletext1"/>
            </w:pPr>
            <w:r w:rsidRPr="004A77EB">
              <w:t>3.0T</w:t>
            </w:r>
          </w:p>
          <w:p w14:paraId="37FB3C13" w14:textId="544A26B5" w:rsidR="00050B32" w:rsidRPr="004A77EB" w:rsidRDefault="00050B32" w:rsidP="00F43D6A">
            <w:pPr>
              <w:pStyle w:val="Tabletext1"/>
            </w:pPr>
            <w:r w:rsidRPr="004A77EB">
              <w:t>Coil: body coil</w:t>
            </w:r>
          </w:p>
          <w:p w14:paraId="4D80FC6B" w14:textId="0BCBA0C9"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68607AD9" w14:textId="68577B51" w:rsidR="00050B32" w:rsidRPr="004A77EB" w:rsidRDefault="00C12CD8" w:rsidP="00F43D6A">
            <w:pPr>
              <w:pStyle w:val="Tabletext1"/>
            </w:pPr>
            <w:r w:rsidRPr="004A77EB">
              <w:t>2</w:t>
            </w:r>
            <w:r w:rsidR="00050B32" w:rsidRPr="004A77EB">
              <w:t xml:space="preserve"> radiologists experienced in PI-RADS v2</w:t>
            </w:r>
          </w:p>
        </w:tc>
        <w:tc>
          <w:tcPr>
            <w:tcW w:w="394" w:type="pct"/>
            <w:tcBorders>
              <w:top w:val="single" w:sz="4" w:space="0" w:color="auto"/>
              <w:left w:val="single" w:sz="4" w:space="0" w:color="auto"/>
              <w:bottom w:val="single" w:sz="4" w:space="0" w:color="auto"/>
              <w:right w:val="single" w:sz="4" w:space="0" w:color="auto"/>
            </w:tcBorders>
          </w:tcPr>
          <w:p w14:paraId="5855B8D6" w14:textId="65244237"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6BA0DA0F" w14:textId="7C44F933"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14DA5602" w14:textId="5C11467D" w:rsidR="00050B32" w:rsidRPr="004A77EB" w:rsidRDefault="00050B32" w:rsidP="00F43D6A">
            <w:pPr>
              <w:pStyle w:val="Tabletext1"/>
            </w:pPr>
            <w:r w:rsidRPr="004A77EB">
              <w:t>≥ 4</w:t>
            </w:r>
          </w:p>
        </w:tc>
      </w:tr>
      <w:tr w:rsidR="00E05133" w:rsidRPr="004A77EB" w14:paraId="729731BB"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23B474F4" w14:textId="54DF6E73" w:rsidR="00050B32" w:rsidRPr="004A77EB" w:rsidRDefault="00050B32" w:rsidP="00F43D6A">
            <w:pPr>
              <w:pStyle w:val="Tabletext1"/>
            </w:pPr>
            <w:r w:rsidRPr="004A77EB">
              <w:t>Abd-Alazeez et al. 2014b - per hemisphere</w:t>
            </w:r>
          </w:p>
        </w:tc>
        <w:tc>
          <w:tcPr>
            <w:tcW w:w="296" w:type="pct"/>
            <w:tcBorders>
              <w:top w:val="single" w:sz="4" w:space="0" w:color="auto"/>
              <w:left w:val="single" w:sz="4" w:space="0" w:color="auto"/>
              <w:bottom w:val="single" w:sz="4" w:space="0" w:color="auto"/>
              <w:right w:val="single" w:sz="4" w:space="0" w:color="auto"/>
            </w:tcBorders>
          </w:tcPr>
          <w:p w14:paraId="5CF77CDF" w14:textId="5180E471"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133FB514" w14:textId="77777777" w:rsidR="00050B32" w:rsidRPr="004A77EB" w:rsidRDefault="00050B32" w:rsidP="00F43D6A">
            <w:pPr>
              <w:pStyle w:val="Tabletext1"/>
            </w:pPr>
            <w:r w:rsidRPr="004A77EB">
              <w:t>Case series</w:t>
            </w:r>
          </w:p>
          <w:p w14:paraId="3294A773" w14:textId="77777777" w:rsidR="00050B32" w:rsidRPr="004A77EB" w:rsidRDefault="00050B32" w:rsidP="00F43D6A">
            <w:pPr>
              <w:pStyle w:val="Tabletext1"/>
            </w:pPr>
            <w:r w:rsidRPr="004A77EB">
              <w:t>NR</w:t>
            </w:r>
          </w:p>
          <w:p w14:paraId="1D7E54C0" w14:textId="0BE8A8A5"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12860625" w14:textId="7088B057"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35C11D3B" w14:textId="77777777" w:rsidR="00050B32" w:rsidRDefault="00050B32" w:rsidP="00F43D6A">
            <w:pPr>
              <w:pStyle w:val="Tabletext1"/>
            </w:pPr>
            <w:r w:rsidRPr="004A77EB">
              <w:t>UK</w:t>
            </w:r>
          </w:p>
          <w:p w14:paraId="3AA67C5A" w14:textId="4C8B413E" w:rsidR="00D4361B" w:rsidRPr="004A77EB" w:rsidRDefault="00D4361B"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244A110E" w14:textId="5FE69360" w:rsidR="00050B32" w:rsidRPr="004A77EB" w:rsidRDefault="00AB582A" w:rsidP="00F43D6A">
            <w:pPr>
              <w:pStyle w:val="Tabletext1"/>
            </w:pPr>
            <w:r>
              <w:t>n</w:t>
            </w:r>
            <w:r w:rsidR="00050B32" w:rsidRPr="004A77EB">
              <w:t>: 54</w:t>
            </w:r>
          </w:p>
          <w:p w14:paraId="1863EA0C" w14:textId="77777777" w:rsidR="00050B32" w:rsidRPr="004A77EB" w:rsidRDefault="00050B32" w:rsidP="00F43D6A">
            <w:pPr>
              <w:pStyle w:val="Tabletext1"/>
            </w:pPr>
            <w:r w:rsidRPr="004A77EB">
              <w:t>Age: median 64 (range 39-75)</w:t>
            </w:r>
          </w:p>
          <w:p w14:paraId="14D2D6C4" w14:textId="77777777" w:rsidR="00050B32" w:rsidRPr="004A77EB" w:rsidRDefault="00050B32" w:rsidP="00F43D6A">
            <w:pPr>
              <w:pStyle w:val="Tabletext1"/>
            </w:pPr>
            <w:r w:rsidRPr="004A77EB">
              <w:t xml:space="preserve">PSA: median 10 (range 2-23) </w:t>
            </w:r>
          </w:p>
          <w:p w14:paraId="1FFD6A67" w14:textId="7785C91C" w:rsidR="00050B32" w:rsidRPr="004A77EB" w:rsidRDefault="00050B32" w:rsidP="00F43D6A">
            <w:pPr>
              <w:pStyle w:val="Tabletext1"/>
            </w:pPr>
            <w:r w:rsidRPr="004A77EB">
              <w:t>Prior biopsy: 100%</w:t>
            </w:r>
          </w:p>
        </w:tc>
        <w:tc>
          <w:tcPr>
            <w:tcW w:w="477" w:type="pct"/>
            <w:tcBorders>
              <w:top w:val="single" w:sz="4" w:space="0" w:color="auto"/>
              <w:left w:val="single" w:sz="4" w:space="0" w:color="auto"/>
              <w:bottom w:val="single" w:sz="4" w:space="0" w:color="auto"/>
              <w:right w:val="single" w:sz="4" w:space="0" w:color="auto"/>
            </w:tcBorders>
          </w:tcPr>
          <w:p w14:paraId="74AF3120" w14:textId="77777777" w:rsidR="00050B32" w:rsidRPr="004A77EB" w:rsidRDefault="00050B32" w:rsidP="00F43D6A">
            <w:pPr>
              <w:pStyle w:val="Tabletext1"/>
            </w:pPr>
            <w:r w:rsidRPr="004A77EB">
              <w:t>1.5T or 3.0T</w:t>
            </w:r>
          </w:p>
          <w:p w14:paraId="7FFC833F" w14:textId="49266E72" w:rsidR="00050B32" w:rsidRPr="004A77EB" w:rsidRDefault="00050B32" w:rsidP="00F43D6A">
            <w:pPr>
              <w:pStyle w:val="Tabletext1"/>
            </w:pPr>
            <w:r w:rsidRPr="004A77EB">
              <w:t>Coil: PPAC</w:t>
            </w:r>
          </w:p>
          <w:p w14:paraId="57E7C5DC" w14:textId="22BD7C49" w:rsidR="00050B32" w:rsidRPr="004A77EB" w:rsidRDefault="00050B32" w:rsidP="00F43D6A">
            <w:pPr>
              <w:pStyle w:val="Tabletext1"/>
            </w:pPr>
            <w:r w:rsidRPr="004A77EB">
              <w:t>Contrast: gadoterate meglumine</w:t>
            </w:r>
          </w:p>
        </w:tc>
        <w:tc>
          <w:tcPr>
            <w:tcW w:w="517" w:type="pct"/>
            <w:tcBorders>
              <w:top w:val="single" w:sz="4" w:space="0" w:color="auto"/>
              <w:left w:val="single" w:sz="4" w:space="0" w:color="auto"/>
              <w:bottom w:val="single" w:sz="4" w:space="0" w:color="auto"/>
              <w:right w:val="single" w:sz="4" w:space="0" w:color="auto"/>
            </w:tcBorders>
          </w:tcPr>
          <w:p w14:paraId="719E7DF5" w14:textId="2AC990F5" w:rsidR="00050B32" w:rsidRPr="004A77EB" w:rsidRDefault="00C12CD8" w:rsidP="00F43D6A">
            <w:pPr>
              <w:pStyle w:val="Tabletext1"/>
            </w:pPr>
            <w:r w:rsidRPr="004A77EB">
              <w:t xml:space="preserve">8 radiologists with </w:t>
            </w:r>
            <w:r w:rsidR="00050B32" w:rsidRPr="004A77EB">
              <w:t xml:space="preserve">3-8 </w:t>
            </w:r>
            <w:r w:rsidRPr="004A77EB">
              <w:t>years’ experience</w:t>
            </w:r>
          </w:p>
        </w:tc>
        <w:tc>
          <w:tcPr>
            <w:tcW w:w="394" w:type="pct"/>
            <w:tcBorders>
              <w:top w:val="single" w:sz="4" w:space="0" w:color="auto"/>
              <w:left w:val="single" w:sz="4" w:space="0" w:color="auto"/>
              <w:bottom w:val="single" w:sz="4" w:space="0" w:color="auto"/>
              <w:right w:val="single" w:sz="4" w:space="0" w:color="auto"/>
            </w:tcBorders>
          </w:tcPr>
          <w:p w14:paraId="68531590" w14:textId="0020CF14"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566F355D" w14:textId="3898381E" w:rsidR="00050B32" w:rsidRPr="004A77EB" w:rsidRDefault="001E791D"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035F1AE3" w14:textId="1DCA1649" w:rsidR="00050B32" w:rsidRPr="004A77EB" w:rsidRDefault="00050B32" w:rsidP="00F43D6A">
            <w:pPr>
              <w:pStyle w:val="Tabletext1"/>
            </w:pPr>
            <w:r w:rsidRPr="004A77EB">
              <w:t>≥ 4</w:t>
            </w:r>
          </w:p>
        </w:tc>
      </w:tr>
      <w:tr w:rsidR="00E05133" w:rsidRPr="004A77EB" w14:paraId="7B385451"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0A0D6757" w14:textId="1A9D14E9" w:rsidR="00050B32" w:rsidRPr="004A77EB" w:rsidRDefault="00050B32" w:rsidP="00F43D6A">
            <w:pPr>
              <w:pStyle w:val="Tabletext1"/>
            </w:pPr>
            <w:r w:rsidRPr="004A77EB">
              <w:t>Busetto et al. (2013)</w:t>
            </w:r>
          </w:p>
        </w:tc>
        <w:tc>
          <w:tcPr>
            <w:tcW w:w="296" w:type="pct"/>
            <w:tcBorders>
              <w:top w:val="single" w:sz="4" w:space="0" w:color="auto"/>
              <w:left w:val="single" w:sz="4" w:space="0" w:color="auto"/>
              <w:bottom w:val="single" w:sz="4" w:space="0" w:color="auto"/>
              <w:right w:val="single" w:sz="4" w:space="0" w:color="auto"/>
            </w:tcBorders>
          </w:tcPr>
          <w:p w14:paraId="3F42393D" w14:textId="4C7D01E5"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7617245F" w14:textId="77777777" w:rsidR="00050B32" w:rsidRPr="004A77EB" w:rsidRDefault="00050B32" w:rsidP="00F43D6A">
            <w:pPr>
              <w:pStyle w:val="Tabletext1"/>
            </w:pPr>
            <w:r w:rsidRPr="004A77EB">
              <w:t>Case series</w:t>
            </w:r>
          </w:p>
          <w:p w14:paraId="70DB4DCA" w14:textId="77777777" w:rsidR="00050B32" w:rsidRPr="004A77EB" w:rsidRDefault="00050B32" w:rsidP="00F43D6A">
            <w:pPr>
              <w:pStyle w:val="Tabletext1"/>
            </w:pPr>
            <w:r w:rsidRPr="004A77EB">
              <w:t>Consecutive</w:t>
            </w:r>
          </w:p>
          <w:p w14:paraId="6A9AC1AF" w14:textId="779A6874"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4E053F53" w14:textId="46E1F90F"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1552B514" w14:textId="77777777" w:rsidR="00050B32" w:rsidRDefault="00050B32" w:rsidP="00F43D6A">
            <w:pPr>
              <w:pStyle w:val="Tabletext1"/>
            </w:pPr>
            <w:r w:rsidRPr="004A77EB">
              <w:t>Italy</w:t>
            </w:r>
          </w:p>
          <w:p w14:paraId="3A5B2A72" w14:textId="20F973AB" w:rsidR="00D4361B" w:rsidRPr="004A77EB" w:rsidRDefault="00D4361B"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2F3DC23" w14:textId="35B5D06D" w:rsidR="00050B32" w:rsidRPr="004A77EB" w:rsidRDefault="00AB582A" w:rsidP="00F43D6A">
            <w:pPr>
              <w:pStyle w:val="Tabletext1"/>
            </w:pPr>
            <w:r>
              <w:t>n</w:t>
            </w:r>
            <w:r w:rsidR="00050B32" w:rsidRPr="004A77EB">
              <w:t>: 163</w:t>
            </w:r>
          </w:p>
          <w:p w14:paraId="6872EC8F" w14:textId="77777777" w:rsidR="00050B32" w:rsidRPr="004A77EB" w:rsidRDefault="00050B32" w:rsidP="00F43D6A">
            <w:pPr>
              <w:pStyle w:val="Tabletext1"/>
            </w:pPr>
            <w:r w:rsidRPr="004A77EB">
              <w:t>Age: mean 66.4 (SD 5.3)</w:t>
            </w:r>
          </w:p>
          <w:p w14:paraId="628121F1" w14:textId="77777777" w:rsidR="00050B32" w:rsidRPr="004A77EB" w:rsidRDefault="00050B32" w:rsidP="00F43D6A">
            <w:pPr>
              <w:pStyle w:val="Tabletext1"/>
            </w:pPr>
            <w:r w:rsidRPr="004A77EB">
              <w:t>PSA: mean 6.8 (SD 1.6)</w:t>
            </w:r>
          </w:p>
          <w:p w14:paraId="56782257" w14:textId="0F00149D"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432DA3E6" w14:textId="77777777" w:rsidR="00050B32" w:rsidRPr="004A77EB" w:rsidRDefault="00050B32" w:rsidP="00F43D6A">
            <w:pPr>
              <w:pStyle w:val="Tabletext1"/>
            </w:pPr>
            <w:r w:rsidRPr="004A77EB">
              <w:t>3.0T</w:t>
            </w:r>
          </w:p>
          <w:p w14:paraId="48F57A75" w14:textId="01814584" w:rsidR="00050B32" w:rsidRPr="004A77EB" w:rsidRDefault="00050B32" w:rsidP="00F43D6A">
            <w:pPr>
              <w:pStyle w:val="Tabletext1"/>
            </w:pPr>
            <w:r w:rsidRPr="004A77EB">
              <w:t>Coil: PPAC + ERC</w:t>
            </w:r>
          </w:p>
          <w:p w14:paraId="59CA5605" w14:textId="48401BDF" w:rsidR="00050B32" w:rsidRPr="004A77EB" w:rsidRDefault="00050B32" w:rsidP="00F43D6A">
            <w:pPr>
              <w:pStyle w:val="Tabletext1"/>
            </w:pPr>
            <w:r w:rsidRPr="004A77EB">
              <w:t>Contrast: gadolinium-based</w:t>
            </w:r>
          </w:p>
        </w:tc>
        <w:tc>
          <w:tcPr>
            <w:tcW w:w="517" w:type="pct"/>
            <w:tcBorders>
              <w:top w:val="single" w:sz="4" w:space="0" w:color="auto"/>
              <w:left w:val="single" w:sz="4" w:space="0" w:color="auto"/>
              <w:bottom w:val="single" w:sz="4" w:space="0" w:color="auto"/>
              <w:right w:val="single" w:sz="4" w:space="0" w:color="auto"/>
            </w:tcBorders>
          </w:tcPr>
          <w:p w14:paraId="4252E5AB" w14:textId="2D8990C7" w:rsidR="00050B32" w:rsidRPr="004A77EB" w:rsidRDefault="00050B32" w:rsidP="00F43D6A">
            <w:pPr>
              <w:pStyle w:val="Tabletext1"/>
            </w:pPr>
            <w:r w:rsidRPr="004A77EB">
              <w:t>NR</w:t>
            </w:r>
          </w:p>
        </w:tc>
        <w:tc>
          <w:tcPr>
            <w:tcW w:w="394" w:type="pct"/>
            <w:tcBorders>
              <w:top w:val="single" w:sz="4" w:space="0" w:color="auto"/>
              <w:left w:val="single" w:sz="4" w:space="0" w:color="auto"/>
              <w:bottom w:val="single" w:sz="4" w:space="0" w:color="auto"/>
              <w:right w:val="single" w:sz="4" w:space="0" w:color="auto"/>
            </w:tcBorders>
          </w:tcPr>
          <w:p w14:paraId="0141A186" w14:textId="049FC113"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4DDE4155" w14:textId="4644F4F5"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627D47CC" w14:textId="6CC59F12" w:rsidR="00050B32" w:rsidRPr="004A77EB" w:rsidRDefault="00050B32" w:rsidP="00F43D6A">
            <w:pPr>
              <w:pStyle w:val="Tabletext1"/>
            </w:pPr>
            <w:r w:rsidRPr="004A77EB">
              <w:t>NA</w:t>
            </w:r>
          </w:p>
        </w:tc>
      </w:tr>
      <w:tr w:rsidR="00E05133" w:rsidRPr="004A77EB" w14:paraId="53B41623"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022B1A0A" w14:textId="1737EE09" w:rsidR="00050B32" w:rsidRPr="004A77EB" w:rsidRDefault="00050B32" w:rsidP="00F43D6A">
            <w:pPr>
              <w:pStyle w:val="Tabletext1"/>
            </w:pPr>
            <w:r w:rsidRPr="004A77EB">
              <w:lastRenderedPageBreak/>
              <w:t>De Visschere et al. (2016)</w:t>
            </w:r>
          </w:p>
        </w:tc>
        <w:tc>
          <w:tcPr>
            <w:tcW w:w="296" w:type="pct"/>
            <w:tcBorders>
              <w:top w:val="single" w:sz="4" w:space="0" w:color="auto"/>
              <w:left w:val="single" w:sz="4" w:space="0" w:color="auto"/>
              <w:bottom w:val="single" w:sz="4" w:space="0" w:color="auto"/>
              <w:right w:val="single" w:sz="4" w:space="0" w:color="auto"/>
            </w:tcBorders>
          </w:tcPr>
          <w:p w14:paraId="4A929872" w14:textId="72BE8601"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28443333" w14:textId="77777777" w:rsidR="00050B32" w:rsidRPr="004A77EB" w:rsidRDefault="00050B32" w:rsidP="00F43D6A">
            <w:pPr>
              <w:pStyle w:val="Tabletext1"/>
            </w:pPr>
            <w:r w:rsidRPr="004A77EB">
              <w:t>Case series</w:t>
            </w:r>
          </w:p>
          <w:p w14:paraId="5B6CE5E5" w14:textId="77777777" w:rsidR="00050B32" w:rsidRPr="004A77EB" w:rsidRDefault="00050B32" w:rsidP="00F43D6A">
            <w:pPr>
              <w:pStyle w:val="Tabletext1"/>
            </w:pPr>
            <w:r w:rsidRPr="004A77EB">
              <w:t>Consecutive</w:t>
            </w:r>
          </w:p>
          <w:p w14:paraId="74EF2AB3" w14:textId="79A611EA"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16460B58" w14:textId="661C8D3D"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069F492B" w14:textId="09AC6773" w:rsidR="00D4361B" w:rsidRDefault="00050B32" w:rsidP="00F43D6A">
            <w:pPr>
              <w:pStyle w:val="Tabletext1"/>
            </w:pPr>
            <w:r w:rsidRPr="004A77EB">
              <w:t>Belgium</w:t>
            </w:r>
          </w:p>
          <w:p w14:paraId="182DDB41" w14:textId="27C69E1C" w:rsidR="00D4361B" w:rsidRPr="004A77EB" w:rsidRDefault="00D4361B"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1826DDF6" w14:textId="5D055FC2" w:rsidR="00050B32" w:rsidRPr="004A77EB" w:rsidRDefault="00AB582A" w:rsidP="00F43D6A">
            <w:pPr>
              <w:pStyle w:val="Tabletext1"/>
            </w:pPr>
            <w:r>
              <w:t>n</w:t>
            </w:r>
            <w:r w:rsidR="00050B32" w:rsidRPr="004A77EB">
              <w:t>: 830</w:t>
            </w:r>
          </w:p>
          <w:p w14:paraId="7FE75CC7" w14:textId="77777777" w:rsidR="00050B32" w:rsidRPr="004A77EB" w:rsidRDefault="00050B32" w:rsidP="00F43D6A">
            <w:pPr>
              <w:pStyle w:val="Tabletext1"/>
            </w:pPr>
            <w:r w:rsidRPr="004A77EB">
              <w:t>Age: mean 64.8 (range 40-83)</w:t>
            </w:r>
          </w:p>
          <w:p w14:paraId="11237A65" w14:textId="77777777" w:rsidR="00050B32" w:rsidRPr="004A77EB" w:rsidRDefault="00050B32" w:rsidP="00F43D6A">
            <w:pPr>
              <w:pStyle w:val="Tabletext1"/>
            </w:pPr>
            <w:r w:rsidRPr="004A77EB">
              <w:t>PSA: median 8.34 (range 0.41-200)</w:t>
            </w:r>
          </w:p>
          <w:p w14:paraId="32410D81" w14:textId="44B17DEE" w:rsidR="00050B32" w:rsidRPr="004A77EB" w:rsidRDefault="00050B32" w:rsidP="00F43D6A">
            <w:pPr>
              <w:pStyle w:val="Tabletext1"/>
            </w:pPr>
            <w:r w:rsidRPr="004A77EB">
              <w:t>Prior biopsy: 35.8%</w:t>
            </w:r>
          </w:p>
        </w:tc>
        <w:tc>
          <w:tcPr>
            <w:tcW w:w="477" w:type="pct"/>
            <w:tcBorders>
              <w:top w:val="single" w:sz="4" w:space="0" w:color="auto"/>
              <w:left w:val="single" w:sz="4" w:space="0" w:color="auto"/>
              <w:bottom w:val="single" w:sz="4" w:space="0" w:color="auto"/>
              <w:right w:val="single" w:sz="4" w:space="0" w:color="auto"/>
            </w:tcBorders>
          </w:tcPr>
          <w:p w14:paraId="575487DB" w14:textId="77777777" w:rsidR="00050B32" w:rsidRPr="004A77EB" w:rsidRDefault="00050B32" w:rsidP="00F43D6A">
            <w:pPr>
              <w:pStyle w:val="Tabletext1"/>
            </w:pPr>
            <w:r w:rsidRPr="004A77EB">
              <w:t>1.5T</w:t>
            </w:r>
          </w:p>
          <w:p w14:paraId="60ECD185" w14:textId="37BC9998" w:rsidR="00050B32" w:rsidRPr="004A77EB" w:rsidRDefault="00050B32" w:rsidP="00F43D6A">
            <w:pPr>
              <w:pStyle w:val="Tabletext1"/>
            </w:pPr>
            <w:r w:rsidRPr="004A77EB">
              <w:t>Coil: PPAC + ERC</w:t>
            </w:r>
          </w:p>
          <w:p w14:paraId="04AFCCE2" w14:textId="5E7A0F81"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6753A45C" w14:textId="11E9C6B0" w:rsidR="00050B32" w:rsidRPr="004A77EB" w:rsidRDefault="00050B32" w:rsidP="00F43D6A">
            <w:pPr>
              <w:pStyle w:val="Tabletext1"/>
            </w:pPr>
            <w:r w:rsidRPr="004A77EB">
              <w:t xml:space="preserve">1 uroradiologist with </w:t>
            </w:r>
            <w:r w:rsidR="00C12CD8" w:rsidRPr="004A77EB">
              <w:t>&gt;</w:t>
            </w:r>
            <w:r w:rsidRPr="004A77EB">
              <w:t xml:space="preserve">10 </w:t>
            </w:r>
            <w:r w:rsidR="00C12CD8" w:rsidRPr="004A77EB">
              <w:t>years’ experience</w:t>
            </w:r>
          </w:p>
        </w:tc>
        <w:tc>
          <w:tcPr>
            <w:tcW w:w="394" w:type="pct"/>
            <w:tcBorders>
              <w:top w:val="single" w:sz="4" w:space="0" w:color="auto"/>
              <w:left w:val="single" w:sz="4" w:space="0" w:color="auto"/>
              <w:bottom w:val="single" w:sz="4" w:space="0" w:color="auto"/>
              <w:right w:val="single" w:sz="4" w:space="0" w:color="auto"/>
            </w:tcBorders>
          </w:tcPr>
          <w:p w14:paraId="0ED54859" w14:textId="68DE77BE"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27453987" w14:textId="5E7636A4"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25BCB68D" w14:textId="74746A59" w:rsidR="00050B32" w:rsidRPr="004A77EB" w:rsidRDefault="00050B32" w:rsidP="00F43D6A">
            <w:pPr>
              <w:pStyle w:val="Tabletext1"/>
            </w:pPr>
            <w:r w:rsidRPr="004A77EB">
              <w:t>NA</w:t>
            </w:r>
          </w:p>
        </w:tc>
      </w:tr>
      <w:tr w:rsidR="00E05133" w:rsidRPr="004A77EB" w14:paraId="319C61F5"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206563EE" w14:textId="57B39C5F" w:rsidR="00050B32" w:rsidRPr="004A77EB" w:rsidRDefault="00050B32" w:rsidP="00F43D6A">
            <w:pPr>
              <w:pStyle w:val="Tabletext1"/>
            </w:pPr>
            <w:r w:rsidRPr="004A77EB">
              <w:t>Ferda et al. (2013)</w:t>
            </w:r>
          </w:p>
        </w:tc>
        <w:tc>
          <w:tcPr>
            <w:tcW w:w="296" w:type="pct"/>
            <w:tcBorders>
              <w:top w:val="single" w:sz="4" w:space="0" w:color="auto"/>
              <w:left w:val="single" w:sz="4" w:space="0" w:color="auto"/>
              <w:bottom w:val="single" w:sz="4" w:space="0" w:color="auto"/>
              <w:right w:val="single" w:sz="4" w:space="0" w:color="auto"/>
            </w:tcBorders>
          </w:tcPr>
          <w:p w14:paraId="6CB760D9" w14:textId="1227D013"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7BBC6F22" w14:textId="77777777" w:rsidR="00050B32" w:rsidRPr="004A77EB" w:rsidRDefault="00050B32" w:rsidP="00F43D6A">
            <w:pPr>
              <w:pStyle w:val="Tabletext1"/>
            </w:pPr>
            <w:r w:rsidRPr="004A77EB">
              <w:t>Case series</w:t>
            </w:r>
          </w:p>
          <w:p w14:paraId="730A2DDF" w14:textId="77777777" w:rsidR="00050B32" w:rsidRPr="004A77EB" w:rsidRDefault="00050B32" w:rsidP="00F43D6A">
            <w:pPr>
              <w:pStyle w:val="Tabletext1"/>
            </w:pPr>
            <w:r w:rsidRPr="004A77EB">
              <w:t>NR</w:t>
            </w:r>
          </w:p>
          <w:p w14:paraId="520B584C" w14:textId="688ECB8E"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18473201" w14:textId="7063405D"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360960FF" w14:textId="77777777" w:rsidR="00050B32" w:rsidRDefault="00050B32" w:rsidP="00F43D6A">
            <w:pPr>
              <w:pStyle w:val="Tabletext1"/>
            </w:pPr>
            <w:r w:rsidRPr="004A77EB">
              <w:t>Czech Republic</w:t>
            </w:r>
          </w:p>
          <w:p w14:paraId="7E561465" w14:textId="20DAF5A6" w:rsidR="00D4361B" w:rsidRPr="004A77EB" w:rsidRDefault="00D4361B"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65CA3C24" w14:textId="16F222DB" w:rsidR="00050B32" w:rsidRPr="004A77EB" w:rsidRDefault="00AB582A" w:rsidP="00F43D6A">
            <w:pPr>
              <w:pStyle w:val="Tabletext1"/>
            </w:pPr>
            <w:r>
              <w:t>n</w:t>
            </w:r>
            <w:r w:rsidR="00050B32" w:rsidRPr="004A77EB">
              <w:t>: 191</w:t>
            </w:r>
          </w:p>
          <w:p w14:paraId="50A22EAE" w14:textId="77777777" w:rsidR="00050B32" w:rsidRPr="004A77EB" w:rsidRDefault="00050B32" w:rsidP="00F43D6A">
            <w:pPr>
              <w:pStyle w:val="Tabletext1"/>
            </w:pPr>
            <w:r w:rsidRPr="004A77EB">
              <w:t>Age: (range 47-79)</w:t>
            </w:r>
          </w:p>
          <w:p w14:paraId="5BAE8A8B" w14:textId="77777777" w:rsidR="00050B32" w:rsidRPr="004A77EB" w:rsidRDefault="00050B32" w:rsidP="00F43D6A">
            <w:pPr>
              <w:pStyle w:val="Tabletext1"/>
            </w:pPr>
            <w:r w:rsidRPr="004A77EB">
              <w:t>PSA: (range 4.2-123)</w:t>
            </w:r>
          </w:p>
          <w:p w14:paraId="47596432" w14:textId="5205D461"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595D2E44" w14:textId="77777777" w:rsidR="00050B32" w:rsidRPr="004A77EB" w:rsidRDefault="00050B32" w:rsidP="00F43D6A">
            <w:pPr>
              <w:pStyle w:val="Tabletext1"/>
            </w:pPr>
            <w:r w:rsidRPr="004A77EB">
              <w:t>3.0T</w:t>
            </w:r>
          </w:p>
          <w:p w14:paraId="66C4BC92" w14:textId="77777777" w:rsidR="00050B32" w:rsidRPr="004A77EB" w:rsidRDefault="00050B32" w:rsidP="00F43D6A">
            <w:pPr>
              <w:pStyle w:val="Tabletext1"/>
            </w:pPr>
            <w:r w:rsidRPr="004A77EB">
              <w:t>Coil: PPAC</w:t>
            </w:r>
          </w:p>
          <w:p w14:paraId="4B65B598" w14:textId="37CA6E46" w:rsidR="00050B32" w:rsidRPr="004A77EB" w:rsidRDefault="00050B32" w:rsidP="00F43D6A">
            <w:pPr>
              <w:pStyle w:val="Tabletext1"/>
            </w:pPr>
            <w:r w:rsidRPr="004A77EB">
              <w:t>Contrast: gadobenate dimeglumine</w:t>
            </w:r>
          </w:p>
        </w:tc>
        <w:tc>
          <w:tcPr>
            <w:tcW w:w="517" w:type="pct"/>
            <w:tcBorders>
              <w:top w:val="single" w:sz="4" w:space="0" w:color="auto"/>
              <w:left w:val="single" w:sz="4" w:space="0" w:color="auto"/>
              <w:bottom w:val="single" w:sz="4" w:space="0" w:color="auto"/>
              <w:right w:val="single" w:sz="4" w:space="0" w:color="auto"/>
            </w:tcBorders>
          </w:tcPr>
          <w:p w14:paraId="17F4637C" w14:textId="0F6C7607" w:rsidR="00050B32" w:rsidRPr="004A77EB" w:rsidRDefault="00050B32" w:rsidP="00F43D6A">
            <w:pPr>
              <w:pStyle w:val="Tabletext1"/>
            </w:pPr>
            <w:r w:rsidRPr="004A77EB">
              <w:t>NR</w:t>
            </w:r>
          </w:p>
        </w:tc>
        <w:tc>
          <w:tcPr>
            <w:tcW w:w="394" w:type="pct"/>
            <w:tcBorders>
              <w:top w:val="single" w:sz="4" w:space="0" w:color="auto"/>
              <w:left w:val="single" w:sz="4" w:space="0" w:color="auto"/>
              <w:bottom w:val="single" w:sz="4" w:space="0" w:color="auto"/>
              <w:right w:val="single" w:sz="4" w:space="0" w:color="auto"/>
            </w:tcBorders>
          </w:tcPr>
          <w:p w14:paraId="159948AB" w14:textId="73E0F309"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34857993" w14:textId="781B1109"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7F95D1BE" w14:textId="3120DF6E" w:rsidR="00050B32" w:rsidRPr="004A77EB" w:rsidRDefault="00050B32" w:rsidP="00F43D6A">
            <w:pPr>
              <w:pStyle w:val="Tabletext1"/>
            </w:pPr>
            <w:r w:rsidRPr="004A77EB">
              <w:t>NA</w:t>
            </w:r>
          </w:p>
        </w:tc>
      </w:tr>
      <w:tr w:rsidR="00E05133" w:rsidRPr="004A77EB" w14:paraId="19D77E37"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52F17D90" w14:textId="2082BED5" w:rsidR="00050B32" w:rsidRPr="004A77EB" w:rsidRDefault="00050B32" w:rsidP="00F43D6A">
            <w:pPr>
              <w:pStyle w:val="Tabletext1"/>
            </w:pPr>
            <w:r w:rsidRPr="004A77EB">
              <w:t>Girometti et al. (2012)</w:t>
            </w:r>
          </w:p>
        </w:tc>
        <w:tc>
          <w:tcPr>
            <w:tcW w:w="296" w:type="pct"/>
            <w:tcBorders>
              <w:top w:val="single" w:sz="4" w:space="0" w:color="auto"/>
              <w:left w:val="single" w:sz="4" w:space="0" w:color="auto"/>
              <w:bottom w:val="single" w:sz="4" w:space="0" w:color="auto"/>
              <w:right w:val="single" w:sz="4" w:space="0" w:color="auto"/>
            </w:tcBorders>
          </w:tcPr>
          <w:p w14:paraId="156ACE51" w14:textId="1C66182F"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36C6315A" w14:textId="77777777" w:rsidR="00050B32" w:rsidRPr="004A77EB" w:rsidRDefault="00050B32" w:rsidP="00F43D6A">
            <w:pPr>
              <w:pStyle w:val="Tabletext1"/>
            </w:pPr>
            <w:r w:rsidRPr="004A77EB">
              <w:t>Case series</w:t>
            </w:r>
          </w:p>
          <w:p w14:paraId="6C600B55" w14:textId="77777777" w:rsidR="00050B32" w:rsidRPr="004A77EB" w:rsidRDefault="00050B32" w:rsidP="00F43D6A">
            <w:pPr>
              <w:pStyle w:val="Tabletext1"/>
            </w:pPr>
            <w:r w:rsidRPr="004A77EB">
              <w:t>Consecutive</w:t>
            </w:r>
          </w:p>
          <w:p w14:paraId="3D79AB1B" w14:textId="4923F70E"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7FA5EEB1" w14:textId="2AA91C82"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01223680" w14:textId="77777777" w:rsidR="000E4B45" w:rsidRDefault="00050B32" w:rsidP="00F43D6A">
            <w:pPr>
              <w:pStyle w:val="Tabletext1"/>
            </w:pPr>
            <w:r w:rsidRPr="004A77EB">
              <w:t>Italy</w:t>
            </w:r>
            <w:r w:rsidR="000E4B45">
              <w:t xml:space="preserve"> </w:t>
            </w:r>
          </w:p>
          <w:p w14:paraId="1BC2EBDF" w14:textId="18916ED2" w:rsidR="00050B32"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297A8D19" w14:textId="61D6EA94" w:rsidR="00050B32" w:rsidRPr="004A77EB" w:rsidRDefault="00AB582A" w:rsidP="00F43D6A">
            <w:pPr>
              <w:pStyle w:val="Tabletext1"/>
            </w:pPr>
            <w:r>
              <w:t>n</w:t>
            </w:r>
            <w:r w:rsidR="00050B32" w:rsidRPr="004A77EB">
              <w:t>: 26</w:t>
            </w:r>
          </w:p>
          <w:p w14:paraId="1AEF6F71" w14:textId="77777777" w:rsidR="00050B32" w:rsidRPr="004A77EB" w:rsidRDefault="00050B32" w:rsidP="00F43D6A">
            <w:pPr>
              <w:pStyle w:val="Tabletext1"/>
            </w:pPr>
            <w:r w:rsidRPr="004A77EB">
              <w:t>Age: median 64 (range 51-74)</w:t>
            </w:r>
          </w:p>
          <w:p w14:paraId="1FDF8F53" w14:textId="6E930E1A" w:rsidR="00050B32" w:rsidRPr="004A77EB" w:rsidRDefault="00050B32" w:rsidP="00F43D6A">
            <w:pPr>
              <w:pStyle w:val="Tabletext1"/>
            </w:pPr>
            <w:r w:rsidRPr="004A77EB">
              <w:t>PSA: median 5.95 (range 2.52-9.74)</w:t>
            </w:r>
          </w:p>
        </w:tc>
        <w:tc>
          <w:tcPr>
            <w:tcW w:w="477" w:type="pct"/>
            <w:tcBorders>
              <w:top w:val="single" w:sz="4" w:space="0" w:color="auto"/>
              <w:left w:val="single" w:sz="4" w:space="0" w:color="auto"/>
              <w:bottom w:val="single" w:sz="4" w:space="0" w:color="auto"/>
              <w:right w:val="single" w:sz="4" w:space="0" w:color="auto"/>
            </w:tcBorders>
          </w:tcPr>
          <w:p w14:paraId="52976CCE" w14:textId="77777777" w:rsidR="00050B32" w:rsidRPr="004A77EB" w:rsidRDefault="00050B32" w:rsidP="00F43D6A">
            <w:pPr>
              <w:pStyle w:val="Tabletext1"/>
            </w:pPr>
            <w:r w:rsidRPr="004A77EB">
              <w:t>3.0T</w:t>
            </w:r>
          </w:p>
          <w:p w14:paraId="1635FB92" w14:textId="7DC010E1" w:rsidR="00050B32" w:rsidRPr="004A77EB" w:rsidRDefault="00050B32" w:rsidP="00F43D6A">
            <w:pPr>
              <w:pStyle w:val="Tabletext1"/>
            </w:pPr>
            <w:r w:rsidRPr="004A77EB">
              <w:t>Coil: perineum loop coil</w:t>
            </w:r>
          </w:p>
          <w:p w14:paraId="5E8A174D" w14:textId="21520020" w:rsidR="00050B32" w:rsidRPr="004A77EB" w:rsidRDefault="00050B32" w:rsidP="00F43D6A">
            <w:pPr>
              <w:pStyle w:val="Tabletext1"/>
            </w:pPr>
            <w:r w:rsidRPr="004A77EB">
              <w:t>Contrast: gadobenate dimeglumine</w:t>
            </w:r>
          </w:p>
        </w:tc>
        <w:tc>
          <w:tcPr>
            <w:tcW w:w="517" w:type="pct"/>
            <w:tcBorders>
              <w:top w:val="single" w:sz="4" w:space="0" w:color="auto"/>
              <w:left w:val="single" w:sz="4" w:space="0" w:color="auto"/>
              <w:bottom w:val="single" w:sz="4" w:space="0" w:color="auto"/>
              <w:right w:val="single" w:sz="4" w:space="0" w:color="auto"/>
            </w:tcBorders>
          </w:tcPr>
          <w:p w14:paraId="72ACCEFE" w14:textId="3F15CF2A" w:rsidR="00050B32" w:rsidRPr="004A77EB" w:rsidRDefault="00C12CD8" w:rsidP="00F43D6A">
            <w:pPr>
              <w:pStyle w:val="Tabletext1"/>
            </w:pPr>
            <w:r w:rsidRPr="004A77EB">
              <w:t xml:space="preserve">2 experienced radiologists </w:t>
            </w:r>
          </w:p>
        </w:tc>
        <w:tc>
          <w:tcPr>
            <w:tcW w:w="394" w:type="pct"/>
            <w:tcBorders>
              <w:top w:val="single" w:sz="4" w:space="0" w:color="auto"/>
              <w:left w:val="single" w:sz="4" w:space="0" w:color="auto"/>
              <w:bottom w:val="single" w:sz="4" w:space="0" w:color="auto"/>
              <w:right w:val="single" w:sz="4" w:space="0" w:color="auto"/>
            </w:tcBorders>
          </w:tcPr>
          <w:p w14:paraId="6A8DE74C" w14:textId="697D7723"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60EF4691" w14:textId="41696FD8"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56732176" w14:textId="5528459E" w:rsidR="00050B32" w:rsidRPr="004A77EB" w:rsidRDefault="00050B32" w:rsidP="00F43D6A">
            <w:pPr>
              <w:pStyle w:val="Tabletext1"/>
            </w:pPr>
            <w:r w:rsidRPr="004A77EB">
              <w:t>NA</w:t>
            </w:r>
          </w:p>
        </w:tc>
      </w:tr>
      <w:tr w:rsidR="00E05133" w:rsidRPr="004A77EB" w14:paraId="31462FDE"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1FDB7CBF" w14:textId="52DFAE72" w:rsidR="00050B32" w:rsidRPr="004A77EB" w:rsidRDefault="00050B32" w:rsidP="00F43D6A">
            <w:pPr>
              <w:pStyle w:val="Tabletext1"/>
            </w:pPr>
            <w:r w:rsidRPr="004A77EB">
              <w:t>Haffner et al. (2011)</w:t>
            </w:r>
          </w:p>
        </w:tc>
        <w:tc>
          <w:tcPr>
            <w:tcW w:w="296" w:type="pct"/>
            <w:tcBorders>
              <w:top w:val="single" w:sz="4" w:space="0" w:color="auto"/>
              <w:left w:val="single" w:sz="4" w:space="0" w:color="auto"/>
              <w:bottom w:val="single" w:sz="4" w:space="0" w:color="auto"/>
              <w:right w:val="single" w:sz="4" w:space="0" w:color="auto"/>
            </w:tcBorders>
          </w:tcPr>
          <w:p w14:paraId="424D63CF" w14:textId="13BA8E28"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3B9F9A37" w14:textId="77777777" w:rsidR="00050B32" w:rsidRPr="004A77EB" w:rsidRDefault="00050B32" w:rsidP="00F43D6A">
            <w:pPr>
              <w:pStyle w:val="Tabletext1"/>
            </w:pPr>
            <w:r w:rsidRPr="004A77EB">
              <w:t>Case series</w:t>
            </w:r>
          </w:p>
          <w:p w14:paraId="74EBFDD4" w14:textId="77777777" w:rsidR="00050B32" w:rsidRPr="004A77EB" w:rsidRDefault="00050B32" w:rsidP="00F43D6A">
            <w:pPr>
              <w:pStyle w:val="Tabletext1"/>
            </w:pPr>
            <w:r w:rsidRPr="004A77EB">
              <w:t>Consecutive</w:t>
            </w:r>
          </w:p>
          <w:p w14:paraId="2DFACD6C" w14:textId="03C9A038"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09A77E2E" w14:textId="34B77048"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1E55291C" w14:textId="77777777" w:rsidR="00050B32" w:rsidRDefault="00050B32" w:rsidP="00F43D6A">
            <w:pPr>
              <w:pStyle w:val="Tabletext1"/>
            </w:pPr>
            <w:r w:rsidRPr="004A77EB">
              <w:t>France</w:t>
            </w:r>
          </w:p>
          <w:p w14:paraId="79A06B4C" w14:textId="4416ECB4"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226A1B51" w14:textId="3D86C40C" w:rsidR="00050B32" w:rsidRPr="004A77EB" w:rsidRDefault="00AB582A" w:rsidP="00F43D6A">
            <w:pPr>
              <w:pStyle w:val="Tabletext1"/>
            </w:pPr>
            <w:r>
              <w:t>n</w:t>
            </w:r>
            <w:r w:rsidR="00050B32" w:rsidRPr="004A77EB">
              <w:t>: 555</w:t>
            </w:r>
          </w:p>
          <w:p w14:paraId="1A90E34C" w14:textId="77777777" w:rsidR="00050B32" w:rsidRPr="004A77EB" w:rsidRDefault="00050B32" w:rsidP="00F43D6A">
            <w:pPr>
              <w:pStyle w:val="Tabletext1"/>
            </w:pPr>
            <w:r w:rsidRPr="004A77EB">
              <w:t>Age: median 64 (range 47-83)]</w:t>
            </w:r>
          </w:p>
          <w:p w14:paraId="6838F47E" w14:textId="77777777" w:rsidR="00050B32" w:rsidRPr="004A77EB" w:rsidRDefault="00050B32" w:rsidP="00F43D6A">
            <w:pPr>
              <w:pStyle w:val="Tabletext1"/>
            </w:pPr>
            <w:r w:rsidRPr="004A77EB">
              <w:t>PSA: median 6.75 (range 0.18-100)</w:t>
            </w:r>
          </w:p>
          <w:p w14:paraId="1A41327B" w14:textId="1449B234" w:rsidR="00050B32" w:rsidRPr="004A77EB" w:rsidRDefault="00050B32" w:rsidP="00F43D6A">
            <w:pPr>
              <w:pStyle w:val="Tabletext1"/>
            </w:pPr>
            <w:r w:rsidRPr="004A77EB">
              <w:t>Prior biopsy: 0%</w:t>
            </w:r>
          </w:p>
        </w:tc>
        <w:tc>
          <w:tcPr>
            <w:tcW w:w="477" w:type="pct"/>
            <w:tcBorders>
              <w:top w:val="single" w:sz="4" w:space="0" w:color="auto"/>
              <w:left w:val="single" w:sz="4" w:space="0" w:color="auto"/>
              <w:bottom w:val="single" w:sz="4" w:space="0" w:color="auto"/>
              <w:right w:val="single" w:sz="4" w:space="0" w:color="auto"/>
            </w:tcBorders>
          </w:tcPr>
          <w:p w14:paraId="4C54908F" w14:textId="77777777" w:rsidR="00050B32" w:rsidRPr="004A77EB" w:rsidRDefault="00050B32" w:rsidP="00F43D6A">
            <w:pPr>
              <w:pStyle w:val="Tabletext1"/>
            </w:pPr>
            <w:r w:rsidRPr="004A77EB">
              <w:t>1.5T</w:t>
            </w:r>
          </w:p>
          <w:p w14:paraId="633A8B59" w14:textId="77777777" w:rsidR="00050B32" w:rsidRPr="004A77EB" w:rsidRDefault="00050B32" w:rsidP="00F43D6A">
            <w:pPr>
              <w:pStyle w:val="Tabletext1"/>
            </w:pPr>
            <w:r w:rsidRPr="004A77EB">
              <w:t>Coil: PPAC</w:t>
            </w:r>
          </w:p>
          <w:p w14:paraId="523A5380" w14:textId="61DB8C70" w:rsidR="00050B32" w:rsidRPr="004A77EB" w:rsidRDefault="00050B32" w:rsidP="00F43D6A">
            <w:pPr>
              <w:pStyle w:val="Tabletext1"/>
            </w:pPr>
            <w:r w:rsidRPr="004A77EB">
              <w:t>Contrast: gadolinium-based contrast</w:t>
            </w:r>
          </w:p>
        </w:tc>
        <w:tc>
          <w:tcPr>
            <w:tcW w:w="517" w:type="pct"/>
            <w:tcBorders>
              <w:top w:val="single" w:sz="4" w:space="0" w:color="auto"/>
              <w:left w:val="single" w:sz="4" w:space="0" w:color="auto"/>
              <w:bottom w:val="single" w:sz="4" w:space="0" w:color="auto"/>
              <w:right w:val="single" w:sz="4" w:space="0" w:color="auto"/>
            </w:tcBorders>
          </w:tcPr>
          <w:p w14:paraId="22A245E5" w14:textId="0BEC84C6" w:rsidR="00050B32" w:rsidRPr="004A77EB" w:rsidRDefault="00C12CD8" w:rsidP="00F43D6A">
            <w:pPr>
              <w:pStyle w:val="Tabletext1"/>
            </w:pPr>
            <w:r w:rsidRPr="004A77EB">
              <w:t>2 senior radiologists</w:t>
            </w:r>
          </w:p>
        </w:tc>
        <w:tc>
          <w:tcPr>
            <w:tcW w:w="394" w:type="pct"/>
            <w:tcBorders>
              <w:top w:val="single" w:sz="4" w:space="0" w:color="auto"/>
              <w:left w:val="single" w:sz="4" w:space="0" w:color="auto"/>
              <w:bottom w:val="single" w:sz="4" w:space="0" w:color="auto"/>
              <w:right w:val="single" w:sz="4" w:space="0" w:color="auto"/>
            </w:tcBorders>
          </w:tcPr>
          <w:p w14:paraId="4660275A" w14:textId="611A784B"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71D27445" w14:textId="04F488C4"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31C36D55" w14:textId="0503A341" w:rsidR="00050B32" w:rsidRPr="004A77EB" w:rsidRDefault="00050B32" w:rsidP="00F43D6A">
            <w:pPr>
              <w:pStyle w:val="Tabletext1"/>
            </w:pPr>
            <w:r w:rsidRPr="004A77EB">
              <w:t>≥ 3</w:t>
            </w:r>
          </w:p>
        </w:tc>
      </w:tr>
      <w:tr w:rsidR="00E05133" w:rsidRPr="004A77EB" w14:paraId="3AC1DD70"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60ED3D15" w14:textId="436CAB02" w:rsidR="00050B32" w:rsidRPr="004A77EB" w:rsidRDefault="00050B32" w:rsidP="00F43D6A">
            <w:pPr>
              <w:pStyle w:val="Tabletext1"/>
            </w:pPr>
            <w:r w:rsidRPr="004A77EB">
              <w:t>Hauth et al. (2015)</w:t>
            </w:r>
          </w:p>
        </w:tc>
        <w:tc>
          <w:tcPr>
            <w:tcW w:w="296" w:type="pct"/>
            <w:tcBorders>
              <w:top w:val="single" w:sz="4" w:space="0" w:color="auto"/>
              <w:left w:val="single" w:sz="4" w:space="0" w:color="auto"/>
              <w:bottom w:val="single" w:sz="4" w:space="0" w:color="auto"/>
              <w:right w:val="single" w:sz="4" w:space="0" w:color="auto"/>
            </w:tcBorders>
          </w:tcPr>
          <w:p w14:paraId="084D36DC" w14:textId="76EC4827"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1C75A3A8" w14:textId="77777777" w:rsidR="00050B32" w:rsidRPr="004A77EB" w:rsidRDefault="00050B32" w:rsidP="00F43D6A">
            <w:pPr>
              <w:pStyle w:val="Tabletext1"/>
            </w:pPr>
            <w:r w:rsidRPr="004A77EB">
              <w:t>Case series</w:t>
            </w:r>
          </w:p>
          <w:p w14:paraId="68141E40" w14:textId="77777777" w:rsidR="00050B32" w:rsidRPr="004A77EB" w:rsidRDefault="00050B32" w:rsidP="00F43D6A">
            <w:pPr>
              <w:pStyle w:val="Tabletext1"/>
            </w:pPr>
            <w:r w:rsidRPr="004A77EB">
              <w:t>Consecutive</w:t>
            </w:r>
          </w:p>
          <w:p w14:paraId="153E3C70" w14:textId="6914266F" w:rsidR="00050B32" w:rsidRPr="004A77EB" w:rsidRDefault="00050B32" w:rsidP="00F43D6A">
            <w:pPr>
              <w:pStyle w:val="Tabletext1"/>
            </w:pPr>
            <w:r w:rsidRPr="004A77EB">
              <w:t>NR</w:t>
            </w:r>
          </w:p>
        </w:tc>
        <w:tc>
          <w:tcPr>
            <w:tcW w:w="327" w:type="pct"/>
            <w:tcBorders>
              <w:top w:val="single" w:sz="4" w:space="0" w:color="auto"/>
              <w:left w:val="single" w:sz="4" w:space="0" w:color="auto"/>
              <w:bottom w:val="single" w:sz="4" w:space="0" w:color="auto"/>
              <w:right w:val="single" w:sz="4" w:space="0" w:color="auto"/>
            </w:tcBorders>
          </w:tcPr>
          <w:p w14:paraId="0FA1561A" w14:textId="7C5B57D0"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3E838933" w14:textId="77777777" w:rsidR="00050B32" w:rsidRDefault="00050B32" w:rsidP="00F43D6A">
            <w:pPr>
              <w:pStyle w:val="Tabletext1"/>
            </w:pPr>
            <w:r w:rsidRPr="004A77EB">
              <w:t>Germany</w:t>
            </w:r>
          </w:p>
          <w:p w14:paraId="3B70ECE0" w14:textId="5733368D"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2705D4C0" w14:textId="26F8D7E8" w:rsidR="00050B32" w:rsidRPr="004A77EB" w:rsidRDefault="00AB582A" w:rsidP="00F43D6A">
            <w:pPr>
              <w:pStyle w:val="Tabletext1"/>
            </w:pPr>
            <w:r>
              <w:t>n</w:t>
            </w:r>
            <w:r w:rsidR="00050B32" w:rsidRPr="004A77EB">
              <w:t>: 94</w:t>
            </w:r>
          </w:p>
          <w:p w14:paraId="218C03F2" w14:textId="77777777" w:rsidR="00050B32" w:rsidRPr="004A77EB" w:rsidRDefault="00050B32" w:rsidP="00F43D6A">
            <w:pPr>
              <w:pStyle w:val="Tabletext1"/>
            </w:pPr>
            <w:r w:rsidRPr="004A77EB">
              <w:t>Age: mean 63 (range 43-83)</w:t>
            </w:r>
          </w:p>
          <w:p w14:paraId="6A4623CB" w14:textId="77777777" w:rsidR="00050B32" w:rsidRPr="004A77EB" w:rsidRDefault="00050B32" w:rsidP="00F43D6A">
            <w:pPr>
              <w:pStyle w:val="Tabletext1"/>
            </w:pPr>
            <w:r w:rsidRPr="004A77EB">
              <w:t>PSA: mean 9 (range 3-31)</w:t>
            </w:r>
          </w:p>
          <w:p w14:paraId="763C2783" w14:textId="1FD817B6"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30F332A0" w14:textId="77777777" w:rsidR="00050B32" w:rsidRPr="004A77EB" w:rsidRDefault="00050B32" w:rsidP="00F43D6A">
            <w:pPr>
              <w:pStyle w:val="Tabletext1"/>
            </w:pPr>
            <w:r w:rsidRPr="004A77EB">
              <w:t>1.5T</w:t>
            </w:r>
          </w:p>
          <w:p w14:paraId="7CEA00E2" w14:textId="77777777" w:rsidR="00050B32" w:rsidRPr="004A77EB" w:rsidRDefault="00050B32" w:rsidP="00F43D6A">
            <w:pPr>
              <w:pStyle w:val="Tabletext1"/>
            </w:pPr>
            <w:r w:rsidRPr="004A77EB">
              <w:t>Coil: PPAC</w:t>
            </w:r>
          </w:p>
          <w:p w14:paraId="7CC4BA22" w14:textId="50C0489B" w:rsidR="00050B32" w:rsidRPr="004A77EB" w:rsidRDefault="00050B32" w:rsidP="00F43D6A">
            <w:pPr>
              <w:pStyle w:val="Tabletext1"/>
            </w:pPr>
            <w:r w:rsidRPr="004A77EB">
              <w:t>Contrast: gadobutrol</w:t>
            </w:r>
          </w:p>
        </w:tc>
        <w:tc>
          <w:tcPr>
            <w:tcW w:w="517" w:type="pct"/>
            <w:tcBorders>
              <w:top w:val="single" w:sz="4" w:space="0" w:color="auto"/>
              <w:left w:val="single" w:sz="4" w:space="0" w:color="auto"/>
              <w:bottom w:val="single" w:sz="4" w:space="0" w:color="auto"/>
              <w:right w:val="single" w:sz="4" w:space="0" w:color="auto"/>
            </w:tcBorders>
          </w:tcPr>
          <w:p w14:paraId="2225999F" w14:textId="675C0188" w:rsidR="00050B32" w:rsidRPr="004A77EB" w:rsidRDefault="00050B32" w:rsidP="00F43D6A">
            <w:pPr>
              <w:pStyle w:val="Tabletext1"/>
            </w:pPr>
            <w:r w:rsidRPr="004A77EB">
              <w:t xml:space="preserve">2 radiologists with &gt; 3 </w:t>
            </w:r>
            <w:r w:rsidR="00C12CD8" w:rsidRPr="004A77EB">
              <w:t>years’ experience</w:t>
            </w:r>
          </w:p>
        </w:tc>
        <w:tc>
          <w:tcPr>
            <w:tcW w:w="394" w:type="pct"/>
            <w:tcBorders>
              <w:top w:val="single" w:sz="4" w:space="0" w:color="auto"/>
              <w:left w:val="single" w:sz="4" w:space="0" w:color="auto"/>
              <w:bottom w:val="single" w:sz="4" w:space="0" w:color="auto"/>
              <w:right w:val="single" w:sz="4" w:space="0" w:color="auto"/>
            </w:tcBorders>
          </w:tcPr>
          <w:p w14:paraId="17833890" w14:textId="5B2C9C07"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201DB0F3" w14:textId="342F6BC5"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2E1A1C71" w14:textId="779ABAD1" w:rsidR="00050B32" w:rsidRPr="004A77EB" w:rsidRDefault="00050B32" w:rsidP="00F43D6A">
            <w:pPr>
              <w:pStyle w:val="Tabletext1"/>
            </w:pPr>
            <w:r w:rsidRPr="004A77EB">
              <w:t>≥ 3</w:t>
            </w:r>
          </w:p>
        </w:tc>
      </w:tr>
      <w:tr w:rsidR="00E05133" w:rsidRPr="004A77EB" w14:paraId="0852BE4A"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68B2BB23" w14:textId="6DBC9DD3" w:rsidR="00050B32" w:rsidRPr="004A77EB" w:rsidRDefault="00050B32" w:rsidP="00F43D6A">
            <w:pPr>
              <w:pStyle w:val="Tabletext1"/>
            </w:pPr>
            <w:r w:rsidRPr="004A77EB">
              <w:lastRenderedPageBreak/>
              <w:t>Itatani et al. (2014)</w:t>
            </w:r>
          </w:p>
        </w:tc>
        <w:tc>
          <w:tcPr>
            <w:tcW w:w="296" w:type="pct"/>
            <w:tcBorders>
              <w:top w:val="single" w:sz="4" w:space="0" w:color="auto"/>
              <w:left w:val="single" w:sz="4" w:space="0" w:color="auto"/>
              <w:bottom w:val="single" w:sz="4" w:space="0" w:color="auto"/>
              <w:right w:val="single" w:sz="4" w:space="0" w:color="auto"/>
            </w:tcBorders>
          </w:tcPr>
          <w:p w14:paraId="2BC20A07" w14:textId="61990623"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66D95C42" w14:textId="77777777" w:rsidR="00050B32" w:rsidRPr="004A77EB" w:rsidRDefault="00050B32" w:rsidP="00F43D6A">
            <w:pPr>
              <w:pStyle w:val="Tabletext1"/>
            </w:pPr>
            <w:r w:rsidRPr="004A77EB">
              <w:t>Case series</w:t>
            </w:r>
          </w:p>
          <w:p w14:paraId="3BB5361B" w14:textId="77777777" w:rsidR="00050B32" w:rsidRPr="004A77EB" w:rsidRDefault="00050B32" w:rsidP="00F43D6A">
            <w:pPr>
              <w:pStyle w:val="Tabletext1"/>
            </w:pPr>
            <w:r w:rsidRPr="004A77EB">
              <w:t>Consecutive</w:t>
            </w:r>
          </w:p>
          <w:p w14:paraId="4E077FFD" w14:textId="451362F7"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10C5F7C3" w14:textId="5744C8B6"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62C0B4EF" w14:textId="77777777" w:rsidR="00050B32" w:rsidRDefault="00050B32" w:rsidP="00F43D6A">
            <w:pPr>
              <w:pStyle w:val="Tabletext1"/>
            </w:pPr>
            <w:r w:rsidRPr="004A77EB">
              <w:t>Japan</w:t>
            </w:r>
          </w:p>
          <w:p w14:paraId="15BEA811" w14:textId="15EA1C61"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417E25DA" w14:textId="42C8D025" w:rsidR="00050B32" w:rsidRPr="004A77EB" w:rsidRDefault="00AB582A" w:rsidP="00F43D6A">
            <w:pPr>
              <w:pStyle w:val="Tabletext1"/>
            </w:pPr>
            <w:r>
              <w:t>n</w:t>
            </w:r>
            <w:r w:rsidR="00050B32" w:rsidRPr="004A77EB">
              <w:t>: 193</w:t>
            </w:r>
          </w:p>
          <w:p w14:paraId="3563E518" w14:textId="77777777" w:rsidR="00050B32" w:rsidRPr="004A77EB" w:rsidRDefault="00050B32" w:rsidP="00F43D6A">
            <w:pPr>
              <w:pStyle w:val="Tabletext1"/>
            </w:pPr>
            <w:r w:rsidRPr="004A77EB">
              <w:t>Age: mean 68.9 (SD 8.4)</w:t>
            </w:r>
          </w:p>
          <w:p w14:paraId="40126959" w14:textId="77777777" w:rsidR="00050B32" w:rsidRPr="004A77EB" w:rsidRDefault="00050B32" w:rsidP="00F43D6A">
            <w:pPr>
              <w:pStyle w:val="Tabletext1"/>
            </w:pPr>
            <w:r w:rsidRPr="004A77EB">
              <w:t>PSA: median 7.9 (range 1.2-159)</w:t>
            </w:r>
          </w:p>
          <w:p w14:paraId="4E425ECE" w14:textId="1D605912"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450F709E" w14:textId="77777777" w:rsidR="00050B32" w:rsidRPr="004A77EB" w:rsidRDefault="00050B32" w:rsidP="00F43D6A">
            <w:pPr>
              <w:pStyle w:val="Tabletext1"/>
            </w:pPr>
            <w:r w:rsidRPr="004A77EB">
              <w:t>1.5T</w:t>
            </w:r>
          </w:p>
          <w:p w14:paraId="7C604133" w14:textId="7F114076" w:rsidR="00050B32" w:rsidRPr="004A77EB" w:rsidRDefault="00050B32" w:rsidP="00F43D6A">
            <w:pPr>
              <w:pStyle w:val="Tabletext1"/>
            </w:pPr>
            <w:r w:rsidRPr="004A77EB">
              <w:t>Coil: cardiac coil</w:t>
            </w:r>
          </w:p>
          <w:p w14:paraId="633BDB60" w14:textId="27C7B6AB" w:rsidR="00050B32" w:rsidRPr="004A77EB" w:rsidRDefault="00050B32" w:rsidP="00F43D6A">
            <w:pPr>
              <w:pStyle w:val="Tabletext1"/>
            </w:pPr>
            <w:r w:rsidRPr="004A77EB">
              <w:t>Contrast: gadopentate dimeglumine</w:t>
            </w:r>
          </w:p>
        </w:tc>
        <w:tc>
          <w:tcPr>
            <w:tcW w:w="517" w:type="pct"/>
            <w:tcBorders>
              <w:top w:val="single" w:sz="4" w:space="0" w:color="auto"/>
              <w:left w:val="single" w:sz="4" w:space="0" w:color="auto"/>
              <w:bottom w:val="single" w:sz="4" w:space="0" w:color="auto"/>
              <w:right w:val="single" w:sz="4" w:space="0" w:color="auto"/>
            </w:tcBorders>
          </w:tcPr>
          <w:p w14:paraId="0A5BEA37" w14:textId="64DEA24D" w:rsidR="00050B32" w:rsidRPr="004A77EB" w:rsidRDefault="00050B32" w:rsidP="00F43D6A">
            <w:pPr>
              <w:pStyle w:val="Tabletext1"/>
            </w:pPr>
            <w:r w:rsidRPr="004A77EB">
              <w:t xml:space="preserve">3 radiologists with 5, 7 </w:t>
            </w:r>
            <w:r w:rsidR="00C12CD8" w:rsidRPr="004A77EB">
              <w:t>or</w:t>
            </w:r>
            <w:r w:rsidRPr="004A77EB">
              <w:t xml:space="preserve"> 22 </w:t>
            </w:r>
            <w:r w:rsidR="00C12CD8" w:rsidRPr="004A77EB">
              <w:t>years’ experience with prostate MRI</w:t>
            </w:r>
          </w:p>
        </w:tc>
        <w:tc>
          <w:tcPr>
            <w:tcW w:w="394" w:type="pct"/>
            <w:tcBorders>
              <w:top w:val="single" w:sz="4" w:space="0" w:color="auto"/>
              <w:left w:val="single" w:sz="4" w:space="0" w:color="auto"/>
              <w:bottom w:val="single" w:sz="4" w:space="0" w:color="auto"/>
              <w:right w:val="single" w:sz="4" w:space="0" w:color="auto"/>
            </w:tcBorders>
          </w:tcPr>
          <w:p w14:paraId="0334E885" w14:textId="5D6080D7"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1FC8F40F" w14:textId="3342D4D7" w:rsidR="00050B32" w:rsidRPr="004A77EB" w:rsidRDefault="001E791D" w:rsidP="00F43D6A">
            <w:pPr>
              <w:pStyle w:val="Tabletext1"/>
            </w:pPr>
            <w:r>
              <w:rPr>
                <w:snapToGrid w:val="0"/>
              </w:rPr>
              <w:t>TN, FN</w:t>
            </w:r>
          </w:p>
        </w:tc>
        <w:tc>
          <w:tcPr>
            <w:tcW w:w="458" w:type="pct"/>
            <w:tcBorders>
              <w:top w:val="single" w:sz="4" w:space="0" w:color="auto"/>
              <w:left w:val="single" w:sz="4" w:space="0" w:color="auto"/>
              <w:bottom w:val="single" w:sz="4" w:space="0" w:color="auto"/>
              <w:right w:val="single" w:sz="4" w:space="0" w:color="auto"/>
            </w:tcBorders>
          </w:tcPr>
          <w:p w14:paraId="7B47B0B3" w14:textId="05FDEBB3" w:rsidR="00050B32" w:rsidRPr="004A77EB" w:rsidRDefault="00050B32" w:rsidP="00F43D6A">
            <w:pPr>
              <w:pStyle w:val="Tabletext1"/>
            </w:pPr>
            <w:r w:rsidRPr="004A77EB">
              <w:t>NA</w:t>
            </w:r>
          </w:p>
        </w:tc>
      </w:tr>
      <w:tr w:rsidR="00E05133" w:rsidRPr="004A77EB" w14:paraId="6D2489A9"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51BC1E5C" w14:textId="77FFA5D4" w:rsidR="00050B32" w:rsidRPr="004A77EB" w:rsidRDefault="00050B32" w:rsidP="00F43D6A">
            <w:pPr>
              <w:pStyle w:val="Tabletext1"/>
            </w:pPr>
            <w:r w:rsidRPr="004A77EB">
              <w:t>Komai et al. (2013)</w:t>
            </w:r>
          </w:p>
        </w:tc>
        <w:tc>
          <w:tcPr>
            <w:tcW w:w="296" w:type="pct"/>
            <w:tcBorders>
              <w:top w:val="single" w:sz="4" w:space="0" w:color="auto"/>
              <w:left w:val="single" w:sz="4" w:space="0" w:color="auto"/>
              <w:bottom w:val="single" w:sz="4" w:space="0" w:color="auto"/>
              <w:right w:val="single" w:sz="4" w:space="0" w:color="auto"/>
            </w:tcBorders>
          </w:tcPr>
          <w:p w14:paraId="38E59A45" w14:textId="468D643A"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31E97364" w14:textId="77777777" w:rsidR="00050B32" w:rsidRPr="004A77EB" w:rsidRDefault="00050B32" w:rsidP="00F43D6A">
            <w:pPr>
              <w:pStyle w:val="Tabletext1"/>
            </w:pPr>
            <w:r w:rsidRPr="004A77EB">
              <w:t>Case series</w:t>
            </w:r>
          </w:p>
          <w:p w14:paraId="0C1BB3AA" w14:textId="24213820" w:rsidR="00050B32" w:rsidRPr="004A77EB" w:rsidRDefault="00050B32" w:rsidP="00F43D6A">
            <w:pPr>
              <w:pStyle w:val="Tabletext1"/>
            </w:pPr>
            <w:r w:rsidRPr="004A77EB">
              <w:t>NR</w:t>
            </w:r>
          </w:p>
          <w:p w14:paraId="5B5C23A7" w14:textId="2972F7EC"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78D0AEA8" w14:textId="04D4DB97"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514F69C3" w14:textId="77777777" w:rsidR="00050B32" w:rsidRDefault="00050B32" w:rsidP="00F43D6A">
            <w:pPr>
              <w:pStyle w:val="Tabletext1"/>
            </w:pPr>
            <w:r w:rsidRPr="004A77EB">
              <w:t>Japan</w:t>
            </w:r>
          </w:p>
          <w:p w14:paraId="78C95FEF" w14:textId="6E994457"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61E5C924" w14:textId="0D61586F" w:rsidR="00050B32" w:rsidRPr="004A77EB" w:rsidRDefault="00AB582A" w:rsidP="00F43D6A">
            <w:pPr>
              <w:pStyle w:val="Tabletext1"/>
            </w:pPr>
            <w:r>
              <w:t>n</w:t>
            </w:r>
            <w:r w:rsidR="00050B32" w:rsidRPr="004A77EB">
              <w:t>: 324</w:t>
            </w:r>
          </w:p>
          <w:p w14:paraId="63968403" w14:textId="77777777" w:rsidR="00050B32" w:rsidRPr="004A77EB" w:rsidRDefault="00050B32" w:rsidP="00F43D6A">
            <w:pPr>
              <w:pStyle w:val="Tabletext1"/>
            </w:pPr>
            <w:r w:rsidRPr="004A77EB">
              <w:t>Age: men 64 (range 40-79)</w:t>
            </w:r>
          </w:p>
          <w:p w14:paraId="1445C3EF" w14:textId="77777777" w:rsidR="00050B32" w:rsidRPr="004A77EB" w:rsidRDefault="00050B32" w:rsidP="00F43D6A">
            <w:pPr>
              <w:pStyle w:val="Tabletext1"/>
            </w:pPr>
            <w:r w:rsidRPr="004A77EB">
              <w:t>PSA: mean 6.8 (range 2.8-20)</w:t>
            </w:r>
          </w:p>
          <w:p w14:paraId="60724C3B" w14:textId="537A6ABC"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53E2F73C" w14:textId="77777777" w:rsidR="00050B32" w:rsidRPr="004A77EB" w:rsidRDefault="00050B32" w:rsidP="00F43D6A">
            <w:pPr>
              <w:pStyle w:val="Tabletext1"/>
            </w:pPr>
            <w:r w:rsidRPr="004A77EB">
              <w:t>1.5T</w:t>
            </w:r>
          </w:p>
          <w:p w14:paraId="4533A91D" w14:textId="11CAFD79" w:rsidR="00050B32" w:rsidRPr="004A77EB" w:rsidRDefault="00050B32" w:rsidP="00F43D6A">
            <w:pPr>
              <w:pStyle w:val="Tabletext1"/>
            </w:pPr>
            <w:r w:rsidRPr="004A77EB">
              <w:t>Coil: body coil</w:t>
            </w:r>
          </w:p>
          <w:p w14:paraId="1BE36FBE" w14:textId="1798670B" w:rsidR="00050B32" w:rsidRPr="004A77EB" w:rsidRDefault="00050B32" w:rsidP="00F43D6A">
            <w:pPr>
              <w:pStyle w:val="Tabletext1"/>
            </w:pPr>
            <w:r w:rsidRPr="004A77EB">
              <w:t>Contrast: gadopentetate dimeglumine</w:t>
            </w:r>
          </w:p>
        </w:tc>
        <w:tc>
          <w:tcPr>
            <w:tcW w:w="517" w:type="pct"/>
            <w:tcBorders>
              <w:top w:val="single" w:sz="4" w:space="0" w:color="auto"/>
              <w:left w:val="single" w:sz="4" w:space="0" w:color="auto"/>
              <w:bottom w:val="single" w:sz="4" w:space="0" w:color="auto"/>
              <w:right w:val="single" w:sz="4" w:space="0" w:color="auto"/>
            </w:tcBorders>
          </w:tcPr>
          <w:p w14:paraId="7F428C9C" w14:textId="0DFDF435" w:rsidR="00050B32" w:rsidRPr="004A77EB" w:rsidRDefault="00050B32" w:rsidP="00F43D6A">
            <w:pPr>
              <w:pStyle w:val="Tabletext1"/>
            </w:pPr>
            <w:r w:rsidRPr="004A77EB">
              <w:t xml:space="preserve">Single radiologist with &gt; 7 </w:t>
            </w:r>
            <w:r w:rsidR="00C12CD8" w:rsidRPr="004A77EB">
              <w:t>years’ experience</w:t>
            </w:r>
          </w:p>
        </w:tc>
        <w:tc>
          <w:tcPr>
            <w:tcW w:w="394" w:type="pct"/>
            <w:tcBorders>
              <w:top w:val="single" w:sz="4" w:space="0" w:color="auto"/>
              <w:left w:val="single" w:sz="4" w:space="0" w:color="auto"/>
              <w:bottom w:val="single" w:sz="4" w:space="0" w:color="auto"/>
              <w:right w:val="single" w:sz="4" w:space="0" w:color="auto"/>
            </w:tcBorders>
          </w:tcPr>
          <w:p w14:paraId="37192C8A" w14:textId="3A8E8042"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5BCE8B50" w14:textId="11C40541"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1DC36C75" w14:textId="7947EA98" w:rsidR="00050B32" w:rsidRPr="004A77EB" w:rsidRDefault="00050B32" w:rsidP="00F43D6A">
            <w:pPr>
              <w:pStyle w:val="Tabletext1"/>
            </w:pPr>
            <w:r w:rsidRPr="004A77EB">
              <w:t>≥ 3</w:t>
            </w:r>
          </w:p>
        </w:tc>
      </w:tr>
      <w:tr w:rsidR="00E05133" w:rsidRPr="004A77EB" w14:paraId="56638632"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6681A8AB" w14:textId="2589B1B9" w:rsidR="00050B32" w:rsidRPr="004A77EB" w:rsidRDefault="00050B32" w:rsidP="00F43D6A">
            <w:pPr>
              <w:pStyle w:val="Tabletext1"/>
            </w:pPr>
            <w:r w:rsidRPr="004A77EB">
              <w:t>Lamb et al. 2015</w:t>
            </w:r>
          </w:p>
        </w:tc>
        <w:tc>
          <w:tcPr>
            <w:tcW w:w="296" w:type="pct"/>
            <w:tcBorders>
              <w:top w:val="single" w:sz="4" w:space="0" w:color="auto"/>
              <w:left w:val="single" w:sz="4" w:space="0" w:color="auto"/>
              <w:bottom w:val="single" w:sz="4" w:space="0" w:color="auto"/>
              <w:right w:val="single" w:sz="4" w:space="0" w:color="auto"/>
            </w:tcBorders>
          </w:tcPr>
          <w:p w14:paraId="1730A002" w14:textId="394AD40C"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6988B5EF" w14:textId="77777777" w:rsidR="00050B32" w:rsidRPr="004A77EB" w:rsidRDefault="00050B32" w:rsidP="00F43D6A">
            <w:pPr>
              <w:pStyle w:val="Tabletext1"/>
            </w:pPr>
            <w:r w:rsidRPr="004A77EB">
              <w:t>Case series</w:t>
            </w:r>
          </w:p>
          <w:p w14:paraId="3CB881D8" w14:textId="77777777" w:rsidR="00050B32" w:rsidRPr="004A77EB" w:rsidRDefault="00050B32" w:rsidP="00F43D6A">
            <w:pPr>
              <w:pStyle w:val="Tabletext1"/>
            </w:pPr>
            <w:r w:rsidRPr="004A77EB">
              <w:t>Consecutive</w:t>
            </w:r>
          </w:p>
          <w:p w14:paraId="3F77382E" w14:textId="3A9DD979"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5BB3132D" w14:textId="74F8F1CA"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08DFAA08" w14:textId="77777777" w:rsidR="00050B32" w:rsidRDefault="00050B32" w:rsidP="00F43D6A">
            <w:pPr>
              <w:pStyle w:val="Tabletext1"/>
            </w:pPr>
            <w:r w:rsidRPr="004A77EB">
              <w:t>UK</w:t>
            </w:r>
          </w:p>
          <w:p w14:paraId="7FF396B6" w14:textId="078AA217"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24100F4A" w14:textId="58C5ECE6" w:rsidR="00050B32" w:rsidRPr="004A77EB" w:rsidRDefault="00AB582A" w:rsidP="00F43D6A">
            <w:pPr>
              <w:pStyle w:val="Tabletext1"/>
            </w:pPr>
            <w:r>
              <w:t>n</w:t>
            </w:r>
            <w:r w:rsidR="00050B32" w:rsidRPr="004A77EB">
              <w:t>: 173</w:t>
            </w:r>
          </w:p>
          <w:p w14:paraId="38EB2E39" w14:textId="77777777" w:rsidR="00050B32" w:rsidRPr="004A77EB" w:rsidRDefault="00050B32" w:rsidP="00F43D6A">
            <w:pPr>
              <w:pStyle w:val="Tabletext1"/>
            </w:pPr>
            <w:r w:rsidRPr="004A77EB">
              <w:t xml:space="preserve">Age: G1 mean 65.1 (SD 8.1) G2 mean68.0 (SD 10.8) </w:t>
            </w:r>
          </w:p>
          <w:p w14:paraId="1A5D9002" w14:textId="77777777" w:rsidR="00050B32" w:rsidRPr="004A77EB" w:rsidRDefault="00050B32" w:rsidP="00F43D6A">
            <w:pPr>
              <w:pStyle w:val="Tabletext1"/>
            </w:pPr>
            <w:r w:rsidRPr="004A77EB">
              <w:t>PSA: G1 mean 17.5 (SD 33.5), G2 mean 7.8 (SD 3.2)</w:t>
            </w:r>
          </w:p>
          <w:p w14:paraId="3EE9BD80" w14:textId="126A4AD0"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206DADDF" w14:textId="77777777" w:rsidR="00050B32" w:rsidRPr="004A77EB" w:rsidRDefault="00050B32" w:rsidP="00F43D6A">
            <w:pPr>
              <w:pStyle w:val="Tabletext1"/>
            </w:pPr>
            <w:r w:rsidRPr="004A77EB">
              <w:t>1.5T</w:t>
            </w:r>
          </w:p>
          <w:p w14:paraId="2AB41802" w14:textId="42B00B0A" w:rsidR="00050B32" w:rsidRPr="004A77EB" w:rsidRDefault="00050B32" w:rsidP="00F43D6A">
            <w:pPr>
              <w:pStyle w:val="Tabletext1"/>
            </w:pPr>
            <w:r w:rsidRPr="004A77EB">
              <w:t>Coil: NR</w:t>
            </w:r>
          </w:p>
          <w:p w14:paraId="2817BB3B" w14:textId="4CB5C8F8"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31769735" w14:textId="07925A33" w:rsidR="00050B32" w:rsidRPr="004A77EB" w:rsidRDefault="00050B32" w:rsidP="00F43D6A">
            <w:pPr>
              <w:pStyle w:val="Tabletext1"/>
            </w:pPr>
            <w:r w:rsidRPr="004A77EB">
              <w:t>Consultant radiologists</w:t>
            </w:r>
          </w:p>
        </w:tc>
        <w:tc>
          <w:tcPr>
            <w:tcW w:w="394" w:type="pct"/>
            <w:tcBorders>
              <w:top w:val="single" w:sz="4" w:space="0" w:color="auto"/>
              <w:left w:val="single" w:sz="4" w:space="0" w:color="auto"/>
              <w:bottom w:val="single" w:sz="4" w:space="0" w:color="auto"/>
              <w:right w:val="single" w:sz="4" w:space="0" w:color="auto"/>
            </w:tcBorders>
          </w:tcPr>
          <w:p w14:paraId="2D939EC0" w14:textId="213DF7EA"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133E0511" w14:textId="280A38A6"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4D55246F" w14:textId="56FFCEBD" w:rsidR="00050B32" w:rsidRPr="004A77EB" w:rsidRDefault="00050B32" w:rsidP="00F43D6A">
            <w:pPr>
              <w:pStyle w:val="Tabletext1"/>
            </w:pPr>
            <w:r w:rsidRPr="004A77EB">
              <w:t>NA</w:t>
            </w:r>
          </w:p>
        </w:tc>
      </w:tr>
      <w:tr w:rsidR="00E05133" w:rsidRPr="004A77EB" w14:paraId="3212BC21"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7E7DA44D" w14:textId="2E73DBDA" w:rsidR="00050B32" w:rsidRPr="004A77EB" w:rsidRDefault="00050B32" w:rsidP="00F43D6A">
            <w:pPr>
              <w:pStyle w:val="Tabletext1"/>
            </w:pPr>
            <w:r w:rsidRPr="004A77EB">
              <w:t>Panebianco et al. (2015)</w:t>
            </w:r>
          </w:p>
        </w:tc>
        <w:tc>
          <w:tcPr>
            <w:tcW w:w="296" w:type="pct"/>
            <w:tcBorders>
              <w:top w:val="single" w:sz="4" w:space="0" w:color="auto"/>
              <w:left w:val="single" w:sz="4" w:space="0" w:color="auto"/>
              <w:bottom w:val="single" w:sz="4" w:space="0" w:color="auto"/>
              <w:right w:val="single" w:sz="4" w:space="0" w:color="auto"/>
            </w:tcBorders>
          </w:tcPr>
          <w:p w14:paraId="351506E0" w14:textId="06B59513"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0D5A0427" w14:textId="77777777" w:rsidR="00050B32" w:rsidRPr="004A77EB" w:rsidRDefault="00050B32" w:rsidP="00F43D6A">
            <w:pPr>
              <w:pStyle w:val="Tabletext1"/>
            </w:pPr>
            <w:r w:rsidRPr="004A77EB">
              <w:t>Case series</w:t>
            </w:r>
          </w:p>
          <w:p w14:paraId="515E06FC" w14:textId="77777777" w:rsidR="00050B32" w:rsidRPr="004A77EB" w:rsidRDefault="00050B32" w:rsidP="00F43D6A">
            <w:pPr>
              <w:pStyle w:val="Tabletext1"/>
            </w:pPr>
            <w:r w:rsidRPr="004A77EB">
              <w:t>Consecutive</w:t>
            </w:r>
          </w:p>
          <w:p w14:paraId="02B57E3E" w14:textId="08253FAD"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07B8D337" w14:textId="0D60CC98"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6C791422" w14:textId="77777777" w:rsidR="00050B32" w:rsidRDefault="00050B32" w:rsidP="00F43D6A">
            <w:pPr>
              <w:pStyle w:val="Tabletext1"/>
            </w:pPr>
            <w:r w:rsidRPr="004A77EB">
              <w:t>Italy</w:t>
            </w:r>
          </w:p>
          <w:p w14:paraId="588B8B6B" w14:textId="7C065D00"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2D172027" w14:textId="6AE5CB7A" w:rsidR="00050B32" w:rsidRPr="004A77EB" w:rsidRDefault="00AB582A" w:rsidP="00F43D6A">
            <w:pPr>
              <w:pStyle w:val="Tabletext1"/>
            </w:pPr>
            <w:r>
              <w:t>n</w:t>
            </w:r>
            <w:r w:rsidR="00050B32" w:rsidRPr="004A77EB">
              <w:t>: 570</w:t>
            </w:r>
          </w:p>
          <w:p w14:paraId="63B0A120" w14:textId="77777777" w:rsidR="00050B32" w:rsidRPr="004A77EB" w:rsidRDefault="00050B32" w:rsidP="00F43D6A">
            <w:pPr>
              <w:pStyle w:val="Tabletext1"/>
            </w:pPr>
            <w:r w:rsidRPr="004A77EB">
              <w:t>Age: mean 64 (range 51-82)</w:t>
            </w:r>
          </w:p>
          <w:p w14:paraId="12C4B5E1" w14:textId="77777777" w:rsidR="00050B32" w:rsidRPr="004A77EB" w:rsidRDefault="00050B32" w:rsidP="00F43D6A">
            <w:pPr>
              <w:pStyle w:val="Tabletext1"/>
            </w:pPr>
            <w:r w:rsidRPr="004A77EB">
              <w:t>PSA: &gt;4</w:t>
            </w:r>
          </w:p>
          <w:p w14:paraId="7C707FAB" w14:textId="568D1234" w:rsidR="00050B32" w:rsidRPr="004A77EB" w:rsidRDefault="00050B32" w:rsidP="00F43D6A">
            <w:pPr>
              <w:pStyle w:val="Tabletext1"/>
            </w:pPr>
            <w:r w:rsidRPr="004A77EB">
              <w:t>Prior biopsy: 0%</w:t>
            </w:r>
          </w:p>
        </w:tc>
        <w:tc>
          <w:tcPr>
            <w:tcW w:w="477" w:type="pct"/>
            <w:tcBorders>
              <w:top w:val="single" w:sz="4" w:space="0" w:color="auto"/>
              <w:left w:val="single" w:sz="4" w:space="0" w:color="auto"/>
              <w:bottom w:val="single" w:sz="4" w:space="0" w:color="auto"/>
              <w:right w:val="single" w:sz="4" w:space="0" w:color="auto"/>
            </w:tcBorders>
          </w:tcPr>
          <w:p w14:paraId="76A458C5" w14:textId="77777777" w:rsidR="00050B32" w:rsidRPr="004A77EB" w:rsidRDefault="00050B32" w:rsidP="00F43D6A">
            <w:pPr>
              <w:pStyle w:val="Tabletext1"/>
            </w:pPr>
            <w:r w:rsidRPr="004A77EB">
              <w:t>3.0T</w:t>
            </w:r>
          </w:p>
          <w:p w14:paraId="19EE6B1D" w14:textId="316DBEC7" w:rsidR="00050B32" w:rsidRPr="004A77EB" w:rsidRDefault="00050B32" w:rsidP="00F43D6A">
            <w:pPr>
              <w:pStyle w:val="Tabletext1"/>
            </w:pPr>
            <w:r w:rsidRPr="004A77EB">
              <w:t>Coil: PPAC + ERC</w:t>
            </w:r>
          </w:p>
          <w:p w14:paraId="02DEC50D" w14:textId="74EB9FDE"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373A35DA" w14:textId="5A119237" w:rsidR="00050B32" w:rsidRPr="004A77EB" w:rsidRDefault="00050B32" w:rsidP="00F43D6A">
            <w:pPr>
              <w:pStyle w:val="Tabletext1"/>
            </w:pPr>
            <w:r w:rsidRPr="004A77EB">
              <w:t xml:space="preserve">2 genitourinary radiologists with 13 </w:t>
            </w:r>
            <w:r w:rsidR="00C12CD8" w:rsidRPr="004A77EB">
              <w:t>or</w:t>
            </w:r>
            <w:r w:rsidRPr="004A77EB">
              <w:t xml:space="preserve"> 14 </w:t>
            </w:r>
            <w:r w:rsidR="00C12CD8" w:rsidRPr="004A77EB">
              <w:t>years’ experience</w:t>
            </w:r>
          </w:p>
        </w:tc>
        <w:tc>
          <w:tcPr>
            <w:tcW w:w="394" w:type="pct"/>
            <w:tcBorders>
              <w:top w:val="single" w:sz="4" w:space="0" w:color="auto"/>
              <w:left w:val="single" w:sz="4" w:space="0" w:color="auto"/>
              <w:bottom w:val="single" w:sz="4" w:space="0" w:color="auto"/>
              <w:right w:val="single" w:sz="4" w:space="0" w:color="auto"/>
            </w:tcBorders>
          </w:tcPr>
          <w:p w14:paraId="4F30B387" w14:textId="34687729"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1A642FE4" w14:textId="4A257EF4" w:rsidR="00050B32" w:rsidRPr="004A77EB" w:rsidRDefault="001E791D"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108DFC3F" w14:textId="2EAB1CBA" w:rsidR="00050B32" w:rsidRPr="004A77EB" w:rsidRDefault="00050B32" w:rsidP="00F43D6A">
            <w:pPr>
              <w:pStyle w:val="Tabletext1"/>
            </w:pPr>
            <w:r w:rsidRPr="004A77EB">
              <w:t>≥3</w:t>
            </w:r>
          </w:p>
        </w:tc>
      </w:tr>
      <w:tr w:rsidR="00E05133" w:rsidRPr="004A77EB" w14:paraId="71B2F080"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315491D8" w14:textId="2DC60546" w:rsidR="00050B32" w:rsidRPr="004A77EB" w:rsidRDefault="00050B32" w:rsidP="00F43D6A">
            <w:pPr>
              <w:pStyle w:val="Tabletext1"/>
            </w:pPr>
            <w:r w:rsidRPr="004A77EB">
              <w:t>Pepe et al. (2014)</w:t>
            </w:r>
          </w:p>
        </w:tc>
        <w:tc>
          <w:tcPr>
            <w:tcW w:w="296" w:type="pct"/>
            <w:tcBorders>
              <w:top w:val="single" w:sz="4" w:space="0" w:color="auto"/>
              <w:left w:val="single" w:sz="4" w:space="0" w:color="auto"/>
              <w:bottom w:val="single" w:sz="4" w:space="0" w:color="auto"/>
              <w:right w:val="single" w:sz="4" w:space="0" w:color="auto"/>
            </w:tcBorders>
          </w:tcPr>
          <w:p w14:paraId="146BD01B" w14:textId="7F249CAA"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1F3EE1F1" w14:textId="77777777" w:rsidR="00050B32" w:rsidRPr="004A77EB" w:rsidRDefault="00050B32" w:rsidP="00F43D6A">
            <w:pPr>
              <w:pStyle w:val="Tabletext1"/>
            </w:pPr>
            <w:r w:rsidRPr="004A77EB">
              <w:t>Case series</w:t>
            </w:r>
          </w:p>
          <w:p w14:paraId="0476F7EC" w14:textId="77777777" w:rsidR="00050B32" w:rsidRPr="004A77EB" w:rsidRDefault="00050B32" w:rsidP="00F43D6A">
            <w:pPr>
              <w:pStyle w:val="Tabletext1"/>
            </w:pPr>
            <w:r w:rsidRPr="004A77EB">
              <w:t>NR</w:t>
            </w:r>
          </w:p>
          <w:p w14:paraId="071B5DF9" w14:textId="6311DC8B"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3FF0DBD8" w14:textId="5595A096"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1B2AC48F" w14:textId="77777777" w:rsidR="00050B32" w:rsidRDefault="00050B32" w:rsidP="00F43D6A">
            <w:pPr>
              <w:pStyle w:val="Tabletext1"/>
            </w:pPr>
            <w:r w:rsidRPr="004A77EB">
              <w:t>Italy</w:t>
            </w:r>
          </w:p>
          <w:p w14:paraId="162EC4C3" w14:textId="52C369A8"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1167E443" w14:textId="77777777" w:rsidR="00050B32" w:rsidRPr="004A77EB" w:rsidRDefault="00050B32" w:rsidP="00F43D6A">
            <w:pPr>
              <w:pStyle w:val="Tabletext1"/>
            </w:pPr>
            <w:r w:rsidRPr="004A77EB">
              <w:t>N: 168</w:t>
            </w:r>
          </w:p>
          <w:p w14:paraId="2EC01456" w14:textId="77777777" w:rsidR="00050B32" w:rsidRPr="004A77EB" w:rsidRDefault="00050B32" w:rsidP="00F43D6A">
            <w:pPr>
              <w:pStyle w:val="Tabletext1"/>
            </w:pPr>
            <w:r w:rsidRPr="004A77EB">
              <w:t>Age: median 65 (range 49-75)</w:t>
            </w:r>
          </w:p>
          <w:p w14:paraId="33E691EA" w14:textId="77777777" w:rsidR="00050B32" w:rsidRPr="004A77EB" w:rsidRDefault="00050B32" w:rsidP="00F43D6A">
            <w:pPr>
              <w:pStyle w:val="Tabletext1"/>
            </w:pPr>
            <w:r w:rsidRPr="004A77EB">
              <w:t>PSA: mean 10.4 (range 3.7-45)</w:t>
            </w:r>
          </w:p>
          <w:p w14:paraId="1B3F37C5" w14:textId="39F250A4" w:rsidR="00050B32" w:rsidRPr="004A77EB" w:rsidRDefault="00050B32" w:rsidP="00F43D6A">
            <w:pPr>
              <w:pStyle w:val="Tabletext1"/>
            </w:pPr>
            <w:r w:rsidRPr="004A77EB">
              <w:t>Prior biopsy: 100%</w:t>
            </w:r>
          </w:p>
        </w:tc>
        <w:tc>
          <w:tcPr>
            <w:tcW w:w="477" w:type="pct"/>
            <w:tcBorders>
              <w:top w:val="single" w:sz="4" w:space="0" w:color="auto"/>
              <w:left w:val="single" w:sz="4" w:space="0" w:color="auto"/>
              <w:bottom w:val="single" w:sz="4" w:space="0" w:color="auto"/>
              <w:right w:val="single" w:sz="4" w:space="0" w:color="auto"/>
            </w:tcBorders>
          </w:tcPr>
          <w:p w14:paraId="5A3C95F5" w14:textId="77777777" w:rsidR="00050B32" w:rsidRPr="004A77EB" w:rsidRDefault="00050B32" w:rsidP="00F43D6A">
            <w:pPr>
              <w:pStyle w:val="Tabletext1"/>
            </w:pPr>
            <w:r w:rsidRPr="004A77EB">
              <w:t>3.0T</w:t>
            </w:r>
          </w:p>
          <w:p w14:paraId="6151C4A6" w14:textId="77777777" w:rsidR="00050B32" w:rsidRPr="004A77EB" w:rsidRDefault="00050B32" w:rsidP="00F43D6A">
            <w:pPr>
              <w:pStyle w:val="Tabletext1"/>
            </w:pPr>
            <w:r w:rsidRPr="004A77EB">
              <w:t>Coil: PPAC</w:t>
            </w:r>
          </w:p>
          <w:p w14:paraId="634B4C9E" w14:textId="0767CD4E" w:rsidR="00050B32" w:rsidRPr="004A77EB" w:rsidRDefault="00050B32" w:rsidP="00F43D6A">
            <w:pPr>
              <w:pStyle w:val="Tabletext1"/>
            </w:pPr>
            <w:r w:rsidRPr="004A77EB">
              <w:t>Contrast: gadobutro</w:t>
            </w:r>
          </w:p>
        </w:tc>
        <w:tc>
          <w:tcPr>
            <w:tcW w:w="517" w:type="pct"/>
            <w:tcBorders>
              <w:top w:val="single" w:sz="4" w:space="0" w:color="auto"/>
              <w:left w:val="single" w:sz="4" w:space="0" w:color="auto"/>
              <w:bottom w:val="single" w:sz="4" w:space="0" w:color="auto"/>
              <w:right w:val="single" w:sz="4" w:space="0" w:color="auto"/>
            </w:tcBorders>
          </w:tcPr>
          <w:p w14:paraId="5AC7313F" w14:textId="1DAD1994" w:rsidR="00050B32" w:rsidRPr="004A77EB" w:rsidRDefault="00050B32" w:rsidP="00F43D6A">
            <w:pPr>
              <w:pStyle w:val="Tabletext1"/>
            </w:pPr>
            <w:r w:rsidRPr="004A77EB">
              <w:t>2 radiologists, experience NR</w:t>
            </w:r>
          </w:p>
        </w:tc>
        <w:tc>
          <w:tcPr>
            <w:tcW w:w="394" w:type="pct"/>
            <w:tcBorders>
              <w:top w:val="single" w:sz="4" w:space="0" w:color="auto"/>
              <w:left w:val="single" w:sz="4" w:space="0" w:color="auto"/>
              <w:bottom w:val="single" w:sz="4" w:space="0" w:color="auto"/>
              <w:right w:val="single" w:sz="4" w:space="0" w:color="auto"/>
            </w:tcBorders>
          </w:tcPr>
          <w:p w14:paraId="26B934A6" w14:textId="47A46BFC" w:rsidR="00050B32" w:rsidRPr="004A77EB" w:rsidRDefault="00050B32" w:rsidP="00F43D6A">
            <w:pPr>
              <w:pStyle w:val="Tabletext1"/>
            </w:pPr>
            <w:r w:rsidRPr="004A77EB">
              <w:t>Saturation biopsy +</w:t>
            </w:r>
            <w:r w:rsidR="00FD5BE0">
              <w:t xml:space="preserve"> </w:t>
            </w:r>
            <w:r w:rsidRPr="004A77EB">
              <w:t>cog-MRI</w:t>
            </w:r>
          </w:p>
        </w:tc>
        <w:tc>
          <w:tcPr>
            <w:tcW w:w="359" w:type="pct"/>
            <w:tcBorders>
              <w:top w:val="single" w:sz="4" w:space="0" w:color="auto"/>
              <w:left w:val="single" w:sz="4" w:space="0" w:color="auto"/>
              <w:bottom w:val="single" w:sz="4" w:space="0" w:color="auto"/>
              <w:right w:val="single" w:sz="4" w:space="0" w:color="auto"/>
            </w:tcBorders>
          </w:tcPr>
          <w:p w14:paraId="2A259A53" w14:textId="542E4DB5"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7F9E29B5" w14:textId="7579CCE8" w:rsidR="00050B32" w:rsidRPr="004A77EB" w:rsidRDefault="00050B32" w:rsidP="00F43D6A">
            <w:pPr>
              <w:pStyle w:val="Tabletext1"/>
            </w:pPr>
            <w:r w:rsidRPr="004A77EB">
              <w:t>NA</w:t>
            </w:r>
          </w:p>
        </w:tc>
      </w:tr>
      <w:tr w:rsidR="00E05133" w:rsidRPr="004A77EB" w14:paraId="534166BE"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58E61445" w14:textId="20C5286C" w:rsidR="00050B32" w:rsidRPr="004A77EB" w:rsidRDefault="00050B32" w:rsidP="00F43D6A">
            <w:pPr>
              <w:pStyle w:val="Tabletext1"/>
            </w:pPr>
            <w:r w:rsidRPr="004A77EB">
              <w:lastRenderedPageBreak/>
              <w:t>Petrillo et al. 2013</w:t>
            </w:r>
          </w:p>
        </w:tc>
        <w:tc>
          <w:tcPr>
            <w:tcW w:w="296" w:type="pct"/>
            <w:tcBorders>
              <w:top w:val="single" w:sz="4" w:space="0" w:color="auto"/>
              <w:left w:val="single" w:sz="4" w:space="0" w:color="auto"/>
              <w:bottom w:val="single" w:sz="4" w:space="0" w:color="auto"/>
              <w:right w:val="single" w:sz="4" w:space="0" w:color="auto"/>
            </w:tcBorders>
          </w:tcPr>
          <w:p w14:paraId="0DA472D0" w14:textId="3A9B30C0"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10F1D5B2" w14:textId="77777777" w:rsidR="00050B32" w:rsidRPr="004A77EB" w:rsidRDefault="00050B32" w:rsidP="00F43D6A">
            <w:pPr>
              <w:pStyle w:val="Tabletext1"/>
            </w:pPr>
            <w:r w:rsidRPr="004A77EB">
              <w:t>Case series</w:t>
            </w:r>
          </w:p>
          <w:p w14:paraId="289FD991" w14:textId="77777777" w:rsidR="00050B32" w:rsidRPr="004A77EB" w:rsidRDefault="00050B32" w:rsidP="00F43D6A">
            <w:pPr>
              <w:pStyle w:val="Tabletext1"/>
            </w:pPr>
            <w:r w:rsidRPr="004A77EB">
              <w:t>Consecutive</w:t>
            </w:r>
          </w:p>
          <w:p w14:paraId="78D53D92" w14:textId="3F46A919"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27A80A18" w14:textId="683E6B43" w:rsidR="00050B32" w:rsidRPr="004A77EB" w:rsidRDefault="00050B32" w:rsidP="00F43D6A">
            <w:pPr>
              <w:pStyle w:val="Tabletext1"/>
            </w:pPr>
            <w:r w:rsidRPr="004A77EB">
              <w:t>II</w:t>
            </w:r>
          </w:p>
        </w:tc>
        <w:tc>
          <w:tcPr>
            <w:tcW w:w="354" w:type="pct"/>
            <w:tcBorders>
              <w:top w:val="single" w:sz="4" w:space="0" w:color="auto"/>
              <w:left w:val="single" w:sz="4" w:space="0" w:color="auto"/>
              <w:bottom w:val="single" w:sz="4" w:space="0" w:color="auto"/>
              <w:right w:val="single" w:sz="4" w:space="0" w:color="auto"/>
            </w:tcBorders>
          </w:tcPr>
          <w:p w14:paraId="2DB9255A" w14:textId="77777777" w:rsidR="00050B32" w:rsidRDefault="00050B32" w:rsidP="00F43D6A">
            <w:pPr>
              <w:pStyle w:val="Tabletext1"/>
            </w:pPr>
            <w:r w:rsidRPr="004A77EB">
              <w:t>Italy</w:t>
            </w:r>
          </w:p>
          <w:p w14:paraId="7497FE87" w14:textId="32DAC6F0"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4F8D6C21" w14:textId="23937BC6" w:rsidR="00050B32" w:rsidRPr="004A77EB" w:rsidRDefault="00AB582A" w:rsidP="00F43D6A">
            <w:pPr>
              <w:pStyle w:val="Tabletext1"/>
            </w:pPr>
            <w:r>
              <w:t>n</w:t>
            </w:r>
            <w:r w:rsidR="00050B32" w:rsidRPr="004A77EB">
              <w:t>: 136</w:t>
            </w:r>
          </w:p>
          <w:p w14:paraId="30EF43A3" w14:textId="77777777" w:rsidR="00050B32" w:rsidRPr="004A77EB" w:rsidRDefault="00050B32" w:rsidP="00F43D6A">
            <w:pPr>
              <w:pStyle w:val="Tabletext1"/>
            </w:pPr>
            <w:r w:rsidRPr="004A77EB">
              <w:t>Age: mean 66.35 (SD 8.4)</w:t>
            </w:r>
          </w:p>
          <w:p w14:paraId="200C64EB" w14:textId="77777777" w:rsidR="00050B32" w:rsidRPr="004A77EB" w:rsidRDefault="00050B32" w:rsidP="00F43D6A">
            <w:pPr>
              <w:pStyle w:val="Tabletext1"/>
            </w:pPr>
            <w:r w:rsidRPr="004A77EB">
              <w:t>PSA: mean 6.8 (SD 2.4)</w:t>
            </w:r>
          </w:p>
          <w:p w14:paraId="060C69A6" w14:textId="16884DD6"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78480115" w14:textId="77777777" w:rsidR="00050B32" w:rsidRPr="004A77EB" w:rsidRDefault="00050B32" w:rsidP="00F43D6A">
            <w:pPr>
              <w:pStyle w:val="Tabletext1"/>
            </w:pPr>
            <w:r w:rsidRPr="004A77EB">
              <w:t xml:space="preserve">1.5T </w:t>
            </w:r>
          </w:p>
          <w:p w14:paraId="16777A07" w14:textId="7D5E8B4B" w:rsidR="00050B32" w:rsidRPr="004A77EB" w:rsidRDefault="00050B32" w:rsidP="00F43D6A">
            <w:pPr>
              <w:pStyle w:val="Tabletext1"/>
            </w:pPr>
            <w:r w:rsidRPr="004A77EB">
              <w:t>Coil: PPAC + ERC</w:t>
            </w:r>
          </w:p>
          <w:p w14:paraId="253DA84C" w14:textId="343BE189"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496E3EC8" w14:textId="019B43B9" w:rsidR="00050B32" w:rsidRPr="004A77EB" w:rsidRDefault="00050B32" w:rsidP="00F43D6A">
            <w:pPr>
              <w:pStyle w:val="Tabletext1"/>
            </w:pPr>
            <w:r w:rsidRPr="004A77EB">
              <w:t xml:space="preserve">2 radiologists with &gt;5 </w:t>
            </w:r>
            <w:r w:rsidR="00C12CD8" w:rsidRPr="004A77EB">
              <w:t xml:space="preserve">years’ experience in prostate MRI </w:t>
            </w:r>
          </w:p>
        </w:tc>
        <w:tc>
          <w:tcPr>
            <w:tcW w:w="394" w:type="pct"/>
            <w:tcBorders>
              <w:top w:val="single" w:sz="4" w:space="0" w:color="auto"/>
              <w:left w:val="single" w:sz="4" w:space="0" w:color="auto"/>
              <w:bottom w:val="single" w:sz="4" w:space="0" w:color="auto"/>
              <w:right w:val="single" w:sz="4" w:space="0" w:color="auto"/>
            </w:tcBorders>
          </w:tcPr>
          <w:p w14:paraId="256B49F6" w14:textId="1CE2AA38"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20012AE6" w14:textId="0F680481"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67D78CCC" w14:textId="5CB6C91B" w:rsidR="00050B32" w:rsidRPr="004A77EB" w:rsidRDefault="00050B32" w:rsidP="00F43D6A">
            <w:pPr>
              <w:pStyle w:val="Tabletext1"/>
            </w:pPr>
            <w:r w:rsidRPr="004A77EB">
              <w:t>NA</w:t>
            </w:r>
          </w:p>
        </w:tc>
      </w:tr>
      <w:tr w:rsidR="00E05133" w:rsidRPr="004A77EB" w14:paraId="4F9477D3"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44BB8B5D" w14:textId="46AC707B" w:rsidR="00050B32" w:rsidRPr="004A77EB" w:rsidRDefault="00050B32" w:rsidP="00F43D6A">
            <w:pPr>
              <w:pStyle w:val="Tabletext1"/>
            </w:pPr>
            <w:r w:rsidRPr="004A77EB">
              <w:t>Porpiglia et al. (2014)</w:t>
            </w:r>
          </w:p>
        </w:tc>
        <w:tc>
          <w:tcPr>
            <w:tcW w:w="296" w:type="pct"/>
            <w:tcBorders>
              <w:top w:val="single" w:sz="4" w:space="0" w:color="auto"/>
              <w:left w:val="single" w:sz="4" w:space="0" w:color="auto"/>
              <w:bottom w:val="single" w:sz="4" w:space="0" w:color="auto"/>
              <w:right w:val="single" w:sz="4" w:space="0" w:color="auto"/>
            </w:tcBorders>
          </w:tcPr>
          <w:p w14:paraId="69DE4D0B" w14:textId="12393BA5"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176A6998" w14:textId="77777777" w:rsidR="00050B32" w:rsidRPr="004A77EB" w:rsidRDefault="00050B32" w:rsidP="00F43D6A">
            <w:pPr>
              <w:pStyle w:val="Tabletext1"/>
            </w:pPr>
            <w:r w:rsidRPr="004A77EB">
              <w:t>Case series</w:t>
            </w:r>
          </w:p>
          <w:p w14:paraId="14D1ED71" w14:textId="77777777" w:rsidR="00050B32" w:rsidRPr="004A77EB" w:rsidRDefault="00050B32" w:rsidP="00F43D6A">
            <w:pPr>
              <w:pStyle w:val="Tabletext1"/>
            </w:pPr>
            <w:r w:rsidRPr="004A77EB">
              <w:t>NR</w:t>
            </w:r>
          </w:p>
          <w:p w14:paraId="103E8C2B" w14:textId="548EB4DB"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4A941A0C" w14:textId="3DA5E233" w:rsidR="00050B32" w:rsidRPr="004A77EB" w:rsidRDefault="00050B32" w:rsidP="00F43D6A">
            <w:pPr>
              <w:pStyle w:val="Tabletext1"/>
            </w:pPr>
            <w:r w:rsidRPr="004A77EB">
              <w:t>III-1</w:t>
            </w:r>
          </w:p>
        </w:tc>
        <w:tc>
          <w:tcPr>
            <w:tcW w:w="354" w:type="pct"/>
            <w:tcBorders>
              <w:top w:val="single" w:sz="4" w:space="0" w:color="auto"/>
              <w:left w:val="single" w:sz="4" w:space="0" w:color="auto"/>
              <w:bottom w:val="single" w:sz="4" w:space="0" w:color="auto"/>
              <w:right w:val="single" w:sz="4" w:space="0" w:color="auto"/>
            </w:tcBorders>
          </w:tcPr>
          <w:p w14:paraId="0E0EA57B" w14:textId="77777777" w:rsidR="00050B32" w:rsidRDefault="00050B32" w:rsidP="00F43D6A">
            <w:pPr>
              <w:pStyle w:val="Tabletext1"/>
            </w:pPr>
            <w:r w:rsidRPr="004A77EB">
              <w:t>Italy</w:t>
            </w:r>
          </w:p>
          <w:p w14:paraId="2EB822B1" w14:textId="62EF0D50"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5CAB5DE" w14:textId="5D996AE3" w:rsidR="00050B32" w:rsidRPr="004A77EB" w:rsidRDefault="00AB582A" w:rsidP="00F43D6A">
            <w:pPr>
              <w:pStyle w:val="Tabletext1"/>
            </w:pPr>
            <w:r>
              <w:t>n</w:t>
            </w:r>
            <w:r w:rsidR="00050B32" w:rsidRPr="004A77EB">
              <w:t>: 170</w:t>
            </w:r>
          </w:p>
          <w:p w14:paraId="0976FECD" w14:textId="77777777" w:rsidR="00050B32" w:rsidRPr="004A77EB" w:rsidRDefault="00050B32" w:rsidP="00F43D6A">
            <w:pPr>
              <w:pStyle w:val="Tabletext1"/>
            </w:pPr>
            <w:r w:rsidRPr="004A77EB">
              <w:t>Age: median 65 (range 60-70)</w:t>
            </w:r>
          </w:p>
          <w:p w14:paraId="061EC2A4" w14:textId="77777777" w:rsidR="00050B32" w:rsidRPr="004A77EB" w:rsidRDefault="00050B32" w:rsidP="00F43D6A">
            <w:pPr>
              <w:pStyle w:val="Tabletext1"/>
            </w:pPr>
            <w:r w:rsidRPr="004A77EB">
              <w:t>PSA: median 6.9 (IQR 5.2-9.8)</w:t>
            </w:r>
          </w:p>
          <w:p w14:paraId="69179C17" w14:textId="4D249A54" w:rsidR="00050B32" w:rsidRPr="004A77EB" w:rsidRDefault="00050B32" w:rsidP="00F43D6A">
            <w:pPr>
              <w:pStyle w:val="Tabletext1"/>
            </w:pPr>
            <w:r w:rsidRPr="004A77EB">
              <w:t>Prior biopsy: 100%</w:t>
            </w:r>
          </w:p>
        </w:tc>
        <w:tc>
          <w:tcPr>
            <w:tcW w:w="477" w:type="pct"/>
            <w:tcBorders>
              <w:top w:val="single" w:sz="4" w:space="0" w:color="auto"/>
              <w:left w:val="single" w:sz="4" w:space="0" w:color="auto"/>
              <w:bottom w:val="single" w:sz="4" w:space="0" w:color="auto"/>
              <w:right w:val="single" w:sz="4" w:space="0" w:color="auto"/>
            </w:tcBorders>
          </w:tcPr>
          <w:p w14:paraId="38AE406E" w14:textId="77777777" w:rsidR="00050B32" w:rsidRPr="004A77EB" w:rsidRDefault="00050B32" w:rsidP="00F43D6A">
            <w:pPr>
              <w:pStyle w:val="Tabletext1"/>
            </w:pPr>
            <w:r w:rsidRPr="004A77EB">
              <w:t>1.5T</w:t>
            </w:r>
          </w:p>
          <w:p w14:paraId="0FEA86F8" w14:textId="00199D7C" w:rsidR="00050B32" w:rsidRPr="004A77EB" w:rsidRDefault="00050B32" w:rsidP="00F43D6A">
            <w:pPr>
              <w:pStyle w:val="Tabletext1"/>
            </w:pPr>
            <w:r w:rsidRPr="004A77EB">
              <w:t>Coil: PPAC + ERC</w:t>
            </w:r>
          </w:p>
          <w:p w14:paraId="49CC1C9C" w14:textId="2F12C870"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367268FC" w14:textId="63AAD883" w:rsidR="00050B32" w:rsidRPr="004A77EB" w:rsidRDefault="00050B32" w:rsidP="00F43D6A">
            <w:pPr>
              <w:pStyle w:val="Tabletext1"/>
            </w:pPr>
            <w:r w:rsidRPr="004A77EB">
              <w:t>Single radiologist with experience in prostate MRI</w:t>
            </w:r>
          </w:p>
        </w:tc>
        <w:tc>
          <w:tcPr>
            <w:tcW w:w="394" w:type="pct"/>
            <w:tcBorders>
              <w:top w:val="single" w:sz="4" w:space="0" w:color="auto"/>
              <w:left w:val="single" w:sz="4" w:space="0" w:color="auto"/>
              <w:bottom w:val="single" w:sz="4" w:space="0" w:color="auto"/>
              <w:right w:val="single" w:sz="4" w:space="0" w:color="auto"/>
            </w:tcBorders>
          </w:tcPr>
          <w:p w14:paraId="5E325CFE" w14:textId="4C8A4BF7"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4D26671F" w14:textId="248183FC"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554EEAD9" w14:textId="6B4DEF24" w:rsidR="00050B32" w:rsidRPr="004A77EB" w:rsidRDefault="00050B32" w:rsidP="00F43D6A">
            <w:pPr>
              <w:pStyle w:val="Tabletext1"/>
            </w:pPr>
            <w:r w:rsidRPr="004A77EB">
              <w:t>NA</w:t>
            </w:r>
          </w:p>
        </w:tc>
      </w:tr>
      <w:tr w:rsidR="00E05133" w:rsidRPr="004A77EB" w14:paraId="00A3849A"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720C2A66" w14:textId="6063EFD4" w:rsidR="00050B32" w:rsidRPr="004A77EB" w:rsidRDefault="00050B32" w:rsidP="00F43D6A">
            <w:pPr>
              <w:pStyle w:val="Tabletext1"/>
            </w:pPr>
            <w:r w:rsidRPr="004A77EB">
              <w:t>Renard-Penna et al. 2016</w:t>
            </w:r>
          </w:p>
        </w:tc>
        <w:tc>
          <w:tcPr>
            <w:tcW w:w="296" w:type="pct"/>
            <w:tcBorders>
              <w:top w:val="single" w:sz="4" w:space="0" w:color="auto"/>
              <w:left w:val="single" w:sz="4" w:space="0" w:color="auto"/>
              <w:bottom w:val="single" w:sz="4" w:space="0" w:color="auto"/>
              <w:right w:val="single" w:sz="4" w:space="0" w:color="auto"/>
            </w:tcBorders>
          </w:tcPr>
          <w:p w14:paraId="57C370A8" w14:textId="38B1F67E"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040A4369" w14:textId="77777777" w:rsidR="00050B32" w:rsidRPr="004A77EB" w:rsidRDefault="00050B32" w:rsidP="00F43D6A">
            <w:pPr>
              <w:pStyle w:val="Tabletext1"/>
            </w:pPr>
            <w:r w:rsidRPr="004A77EB">
              <w:t>Case series</w:t>
            </w:r>
          </w:p>
          <w:p w14:paraId="01BD273B" w14:textId="77777777" w:rsidR="00050B32" w:rsidRPr="004A77EB" w:rsidRDefault="00050B32" w:rsidP="00F43D6A">
            <w:pPr>
              <w:pStyle w:val="Tabletext1"/>
            </w:pPr>
            <w:r w:rsidRPr="004A77EB">
              <w:t>NR</w:t>
            </w:r>
          </w:p>
          <w:p w14:paraId="7FC5C28E" w14:textId="5096A49A"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60C5C682" w14:textId="1FE397D8"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07DEA7A8" w14:textId="77777777" w:rsidR="00050B32" w:rsidRDefault="00050B32" w:rsidP="00F43D6A">
            <w:pPr>
              <w:pStyle w:val="Tabletext1"/>
            </w:pPr>
            <w:r w:rsidRPr="004A77EB">
              <w:t>France</w:t>
            </w:r>
          </w:p>
          <w:p w14:paraId="1E5D4BE9" w14:textId="03D29999"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AE8231D" w14:textId="46B822C9" w:rsidR="00050B32" w:rsidRPr="004A77EB" w:rsidRDefault="00AB582A" w:rsidP="00F43D6A">
            <w:pPr>
              <w:pStyle w:val="Tabletext1"/>
            </w:pPr>
            <w:r>
              <w:t>n</w:t>
            </w:r>
            <w:r w:rsidR="00050B32" w:rsidRPr="004A77EB">
              <w:t>: 78</w:t>
            </w:r>
          </w:p>
          <w:p w14:paraId="371FB9B1" w14:textId="77777777" w:rsidR="00050B32" w:rsidRPr="004A77EB" w:rsidRDefault="00050B32" w:rsidP="00F43D6A">
            <w:pPr>
              <w:pStyle w:val="Tabletext1"/>
            </w:pPr>
            <w:r w:rsidRPr="004A77EB">
              <w:t>Age: median 61.72 (range 50-75)</w:t>
            </w:r>
          </w:p>
          <w:p w14:paraId="104164D5" w14:textId="77777777" w:rsidR="00050B32" w:rsidRPr="004A77EB" w:rsidRDefault="00050B32" w:rsidP="00F43D6A">
            <w:pPr>
              <w:pStyle w:val="Tabletext1"/>
            </w:pPr>
            <w:r w:rsidRPr="004A77EB">
              <w:t>PSA: median 7.15 (range 2.5-19.7)</w:t>
            </w:r>
          </w:p>
          <w:p w14:paraId="7C35E595" w14:textId="3827772A" w:rsidR="00050B32" w:rsidRPr="004A77EB" w:rsidRDefault="00050B32" w:rsidP="00F43D6A">
            <w:pPr>
              <w:pStyle w:val="Tabletext1"/>
            </w:pPr>
            <w:r w:rsidRPr="004A77EB">
              <w:t>Prior biopsy: 31%</w:t>
            </w:r>
          </w:p>
        </w:tc>
        <w:tc>
          <w:tcPr>
            <w:tcW w:w="477" w:type="pct"/>
            <w:tcBorders>
              <w:top w:val="single" w:sz="4" w:space="0" w:color="auto"/>
              <w:left w:val="single" w:sz="4" w:space="0" w:color="auto"/>
              <w:bottom w:val="single" w:sz="4" w:space="0" w:color="auto"/>
              <w:right w:val="single" w:sz="4" w:space="0" w:color="auto"/>
            </w:tcBorders>
          </w:tcPr>
          <w:p w14:paraId="71BB4874" w14:textId="77777777" w:rsidR="00050B32" w:rsidRPr="004A77EB" w:rsidRDefault="00050B32" w:rsidP="00F43D6A">
            <w:pPr>
              <w:pStyle w:val="Tabletext1"/>
            </w:pPr>
            <w:r w:rsidRPr="004A77EB">
              <w:t>1.5T</w:t>
            </w:r>
          </w:p>
          <w:p w14:paraId="38D78301" w14:textId="77777777" w:rsidR="00050B32" w:rsidRPr="004A77EB" w:rsidRDefault="00050B32" w:rsidP="00F43D6A">
            <w:pPr>
              <w:pStyle w:val="Tabletext1"/>
            </w:pPr>
            <w:r w:rsidRPr="004A77EB">
              <w:t>Coil: PPAC</w:t>
            </w:r>
          </w:p>
          <w:p w14:paraId="3AB59152" w14:textId="502558D3" w:rsidR="00050B32" w:rsidRPr="004A77EB" w:rsidRDefault="00050B32" w:rsidP="00F43D6A">
            <w:pPr>
              <w:pStyle w:val="Tabletext1"/>
            </w:pPr>
            <w:r w:rsidRPr="004A77EB">
              <w:t>Contrast: gadoterate meglumine</w:t>
            </w:r>
          </w:p>
        </w:tc>
        <w:tc>
          <w:tcPr>
            <w:tcW w:w="517" w:type="pct"/>
            <w:tcBorders>
              <w:top w:val="single" w:sz="4" w:space="0" w:color="auto"/>
              <w:left w:val="single" w:sz="4" w:space="0" w:color="auto"/>
              <w:bottom w:val="single" w:sz="4" w:space="0" w:color="auto"/>
              <w:right w:val="single" w:sz="4" w:space="0" w:color="auto"/>
            </w:tcBorders>
          </w:tcPr>
          <w:p w14:paraId="6294CAEF" w14:textId="5A74904E" w:rsidR="00050B32" w:rsidRPr="004A77EB" w:rsidRDefault="00050B32" w:rsidP="00F43D6A">
            <w:pPr>
              <w:pStyle w:val="Tabletext1"/>
            </w:pPr>
            <w:r w:rsidRPr="004A77EB">
              <w:t xml:space="preserve">Single radiologists with &gt;10 </w:t>
            </w:r>
            <w:r w:rsidR="00C12CD8" w:rsidRPr="004A77EB">
              <w:t>years’ experience</w:t>
            </w:r>
            <w:r w:rsidRPr="004A77EB">
              <w:t xml:space="preserve"> in prostate MRI</w:t>
            </w:r>
          </w:p>
        </w:tc>
        <w:tc>
          <w:tcPr>
            <w:tcW w:w="394" w:type="pct"/>
            <w:tcBorders>
              <w:top w:val="single" w:sz="4" w:space="0" w:color="auto"/>
              <w:left w:val="single" w:sz="4" w:space="0" w:color="auto"/>
              <w:bottom w:val="single" w:sz="4" w:space="0" w:color="auto"/>
              <w:right w:val="single" w:sz="4" w:space="0" w:color="auto"/>
            </w:tcBorders>
          </w:tcPr>
          <w:p w14:paraId="013A0BFE" w14:textId="145E3D6B"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2AEAC898" w14:textId="5C5B2762" w:rsidR="00050B32" w:rsidRPr="004A77EB" w:rsidRDefault="001E791D" w:rsidP="00F43D6A">
            <w:pPr>
              <w:pStyle w:val="Tabletext1"/>
            </w:pPr>
            <w:r>
              <w:rPr>
                <w:snapToGrid w:val="0"/>
              </w:rPr>
              <w:t>TN, FN</w:t>
            </w:r>
          </w:p>
        </w:tc>
        <w:tc>
          <w:tcPr>
            <w:tcW w:w="458" w:type="pct"/>
            <w:tcBorders>
              <w:top w:val="single" w:sz="4" w:space="0" w:color="auto"/>
              <w:left w:val="single" w:sz="4" w:space="0" w:color="auto"/>
              <w:bottom w:val="single" w:sz="4" w:space="0" w:color="auto"/>
              <w:right w:val="single" w:sz="4" w:space="0" w:color="auto"/>
            </w:tcBorders>
          </w:tcPr>
          <w:p w14:paraId="0C1E4757" w14:textId="27DC2C38" w:rsidR="00050B32" w:rsidRPr="004A77EB" w:rsidRDefault="00050B32" w:rsidP="00F43D6A">
            <w:pPr>
              <w:pStyle w:val="Tabletext1"/>
            </w:pPr>
            <w:r w:rsidRPr="004A77EB">
              <w:t>≥ 3</w:t>
            </w:r>
          </w:p>
        </w:tc>
      </w:tr>
      <w:tr w:rsidR="00E05133" w:rsidRPr="004A77EB" w14:paraId="4EAE749B"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59EB4B3F" w14:textId="74F48D5A" w:rsidR="00050B32" w:rsidRPr="004A77EB" w:rsidRDefault="00050B32" w:rsidP="00F43D6A">
            <w:pPr>
              <w:pStyle w:val="Tabletext1"/>
            </w:pPr>
            <w:r w:rsidRPr="004A77EB">
              <w:t>Rosenkrantz et al. (2013)</w:t>
            </w:r>
          </w:p>
        </w:tc>
        <w:tc>
          <w:tcPr>
            <w:tcW w:w="296" w:type="pct"/>
            <w:tcBorders>
              <w:top w:val="single" w:sz="4" w:space="0" w:color="auto"/>
              <w:left w:val="single" w:sz="4" w:space="0" w:color="auto"/>
              <w:bottom w:val="single" w:sz="4" w:space="0" w:color="auto"/>
              <w:right w:val="single" w:sz="4" w:space="0" w:color="auto"/>
            </w:tcBorders>
          </w:tcPr>
          <w:p w14:paraId="32B28F92" w14:textId="1E4A198A"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67C966D5" w14:textId="77777777" w:rsidR="00050B32" w:rsidRPr="004A77EB" w:rsidRDefault="00050B32" w:rsidP="00F43D6A">
            <w:pPr>
              <w:pStyle w:val="Tabletext1"/>
            </w:pPr>
            <w:r w:rsidRPr="004A77EB">
              <w:t>Case series</w:t>
            </w:r>
          </w:p>
          <w:p w14:paraId="347AD71D" w14:textId="77777777" w:rsidR="00050B32" w:rsidRPr="004A77EB" w:rsidRDefault="00050B32" w:rsidP="00F43D6A">
            <w:pPr>
              <w:pStyle w:val="Tabletext1"/>
            </w:pPr>
            <w:r w:rsidRPr="004A77EB">
              <w:t>Consecutive</w:t>
            </w:r>
          </w:p>
          <w:p w14:paraId="073AAC29" w14:textId="3E357B32"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70EB4562" w14:textId="794500B9"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415B3396" w14:textId="77777777" w:rsidR="00050B32" w:rsidRDefault="00050B32" w:rsidP="00F43D6A">
            <w:pPr>
              <w:pStyle w:val="Tabletext1"/>
            </w:pPr>
            <w:r w:rsidRPr="004A77EB">
              <w:t>USA</w:t>
            </w:r>
          </w:p>
          <w:p w14:paraId="0CD1AC0D" w14:textId="62D6D363"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6DC1EDF" w14:textId="2E2A2BE9" w:rsidR="00050B32" w:rsidRPr="004A77EB" w:rsidRDefault="00AB582A" w:rsidP="00F43D6A">
            <w:pPr>
              <w:pStyle w:val="Tabletext1"/>
            </w:pPr>
            <w:r>
              <w:t>n</w:t>
            </w:r>
            <w:r w:rsidR="00050B32" w:rsidRPr="004A77EB">
              <w:t>: 42</w:t>
            </w:r>
          </w:p>
          <w:p w14:paraId="07298547" w14:textId="77777777" w:rsidR="00050B32" w:rsidRPr="004A77EB" w:rsidRDefault="00050B32" w:rsidP="00F43D6A">
            <w:pPr>
              <w:pStyle w:val="Tabletext1"/>
            </w:pPr>
            <w:r w:rsidRPr="004A77EB">
              <w:t>Age: mean 63 (SD 9)</w:t>
            </w:r>
          </w:p>
          <w:p w14:paraId="5D13583A" w14:textId="77777777" w:rsidR="00050B32" w:rsidRPr="004A77EB" w:rsidRDefault="00050B32" w:rsidP="00F43D6A">
            <w:pPr>
              <w:pStyle w:val="Tabletext1"/>
            </w:pPr>
            <w:r w:rsidRPr="004A77EB">
              <w:t>PSA: mean 8.1 (SD 6.6)</w:t>
            </w:r>
          </w:p>
          <w:p w14:paraId="62C23454" w14:textId="3AEAD6F9" w:rsidR="00050B32" w:rsidRPr="004A77EB" w:rsidRDefault="00050B32" w:rsidP="00F43D6A">
            <w:pPr>
              <w:pStyle w:val="Tabletext1"/>
            </w:pPr>
            <w:r w:rsidRPr="004A77EB">
              <w:t>Prior biopsy: 69%</w:t>
            </w:r>
          </w:p>
        </w:tc>
        <w:tc>
          <w:tcPr>
            <w:tcW w:w="477" w:type="pct"/>
            <w:tcBorders>
              <w:top w:val="single" w:sz="4" w:space="0" w:color="auto"/>
              <w:left w:val="single" w:sz="4" w:space="0" w:color="auto"/>
              <w:bottom w:val="single" w:sz="4" w:space="0" w:color="auto"/>
              <w:right w:val="single" w:sz="4" w:space="0" w:color="auto"/>
            </w:tcBorders>
          </w:tcPr>
          <w:p w14:paraId="52F4A304" w14:textId="77777777" w:rsidR="00050B32" w:rsidRPr="004A77EB" w:rsidRDefault="00050B32" w:rsidP="00F43D6A">
            <w:pPr>
              <w:pStyle w:val="Tabletext1"/>
            </w:pPr>
            <w:r w:rsidRPr="004A77EB">
              <w:t>3.0T</w:t>
            </w:r>
          </w:p>
          <w:p w14:paraId="0E1EAD71" w14:textId="77777777" w:rsidR="00050B32" w:rsidRPr="004A77EB" w:rsidRDefault="00050B32" w:rsidP="00F43D6A">
            <w:pPr>
              <w:pStyle w:val="Tabletext1"/>
            </w:pPr>
            <w:r w:rsidRPr="004A77EB">
              <w:t>Coil: PPAC</w:t>
            </w:r>
          </w:p>
          <w:p w14:paraId="4F5E70E7" w14:textId="43CD87DE"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751E2774" w14:textId="50EA56AD" w:rsidR="00050B32" w:rsidRPr="004A77EB" w:rsidRDefault="00050B32" w:rsidP="00F43D6A">
            <w:pPr>
              <w:pStyle w:val="Tabletext1"/>
            </w:pPr>
            <w:r w:rsidRPr="004A77EB">
              <w:t>2 Fellowship trained radiologist</w:t>
            </w:r>
            <w:r w:rsidR="00C12CD8" w:rsidRPr="004A77EB">
              <w:t>s</w:t>
            </w:r>
          </w:p>
        </w:tc>
        <w:tc>
          <w:tcPr>
            <w:tcW w:w="394" w:type="pct"/>
            <w:tcBorders>
              <w:top w:val="single" w:sz="4" w:space="0" w:color="auto"/>
              <w:left w:val="single" w:sz="4" w:space="0" w:color="auto"/>
              <w:bottom w:val="single" w:sz="4" w:space="0" w:color="auto"/>
              <w:right w:val="single" w:sz="4" w:space="0" w:color="auto"/>
            </w:tcBorders>
          </w:tcPr>
          <w:p w14:paraId="20DC8FAB" w14:textId="4B40071A"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488056A2" w14:textId="00429909"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7E885193" w14:textId="449928A6" w:rsidR="00050B32" w:rsidRPr="004A77EB" w:rsidRDefault="00050B32" w:rsidP="00F43D6A">
            <w:pPr>
              <w:pStyle w:val="Tabletext1"/>
            </w:pPr>
            <w:r w:rsidRPr="004A77EB">
              <w:t>NA</w:t>
            </w:r>
          </w:p>
        </w:tc>
      </w:tr>
      <w:tr w:rsidR="00E05133" w:rsidRPr="004A77EB" w14:paraId="1D8CAAAF"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0031B5DE" w14:textId="64DFA0C4" w:rsidR="00050B32" w:rsidRPr="004A77EB" w:rsidRDefault="00050B32" w:rsidP="00F43D6A">
            <w:pPr>
              <w:pStyle w:val="Tabletext1"/>
            </w:pPr>
            <w:r w:rsidRPr="004A77EB">
              <w:t>Rouse et al. (2011)</w:t>
            </w:r>
          </w:p>
        </w:tc>
        <w:tc>
          <w:tcPr>
            <w:tcW w:w="296" w:type="pct"/>
            <w:tcBorders>
              <w:top w:val="single" w:sz="4" w:space="0" w:color="auto"/>
              <w:left w:val="single" w:sz="4" w:space="0" w:color="auto"/>
              <w:bottom w:val="single" w:sz="4" w:space="0" w:color="auto"/>
              <w:right w:val="single" w:sz="4" w:space="0" w:color="auto"/>
            </w:tcBorders>
          </w:tcPr>
          <w:p w14:paraId="0E1AA4BF" w14:textId="1BC28DD7"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679B564A" w14:textId="77777777" w:rsidR="00050B32" w:rsidRPr="004A77EB" w:rsidRDefault="00050B32" w:rsidP="00F43D6A">
            <w:pPr>
              <w:pStyle w:val="Tabletext1"/>
            </w:pPr>
            <w:r w:rsidRPr="004A77EB">
              <w:t>Case series</w:t>
            </w:r>
          </w:p>
          <w:p w14:paraId="4D4A3E28" w14:textId="77777777" w:rsidR="00050B32" w:rsidRPr="004A77EB" w:rsidRDefault="00050B32" w:rsidP="00F43D6A">
            <w:pPr>
              <w:pStyle w:val="Tabletext1"/>
            </w:pPr>
            <w:r w:rsidRPr="004A77EB">
              <w:t>Consecutive</w:t>
            </w:r>
          </w:p>
          <w:p w14:paraId="2F2EF57A" w14:textId="595FD814"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378C131B" w14:textId="6739AF71"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66786B42" w14:textId="77777777" w:rsidR="00050B32" w:rsidRDefault="00050B32" w:rsidP="00F43D6A">
            <w:pPr>
              <w:pStyle w:val="Tabletext1"/>
            </w:pPr>
            <w:r w:rsidRPr="004A77EB">
              <w:t>UK</w:t>
            </w:r>
          </w:p>
          <w:p w14:paraId="13C5D14C" w14:textId="34B7AB34"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17CFDDCC" w14:textId="03BAD3C8" w:rsidR="00050B32" w:rsidRPr="004A77EB" w:rsidRDefault="00AB582A" w:rsidP="00F43D6A">
            <w:pPr>
              <w:pStyle w:val="Tabletext1"/>
            </w:pPr>
            <w:r>
              <w:t>n</w:t>
            </w:r>
            <w:r w:rsidR="00050B32" w:rsidRPr="004A77EB">
              <w:t>: 114</w:t>
            </w:r>
          </w:p>
          <w:p w14:paraId="6A20FDED" w14:textId="77777777" w:rsidR="00050B32" w:rsidRPr="004A77EB" w:rsidRDefault="00050B32" w:rsidP="00F43D6A">
            <w:pPr>
              <w:pStyle w:val="Tabletext1"/>
            </w:pPr>
            <w:r w:rsidRPr="004A77EB">
              <w:t>Age: mean 63.6 (SD 9)</w:t>
            </w:r>
          </w:p>
          <w:p w14:paraId="5E45EA78" w14:textId="77777777" w:rsidR="00050B32" w:rsidRPr="004A77EB" w:rsidRDefault="00050B32" w:rsidP="00F43D6A">
            <w:pPr>
              <w:pStyle w:val="Tabletext1"/>
            </w:pPr>
            <w:r w:rsidRPr="004A77EB">
              <w:t>PSA: median 8.0 (range 0-228)</w:t>
            </w:r>
          </w:p>
          <w:p w14:paraId="26FB05F6" w14:textId="5DE967A6" w:rsidR="00050B32" w:rsidRPr="004A77EB" w:rsidRDefault="00050B32" w:rsidP="00F43D6A">
            <w:pPr>
              <w:pStyle w:val="Tabletext1"/>
            </w:pPr>
            <w:r w:rsidRPr="004A77EB">
              <w:t>Prior biopsy: 100%</w:t>
            </w:r>
          </w:p>
        </w:tc>
        <w:tc>
          <w:tcPr>
            <w:tcW w:w="477" w:type="pct"/>
            <w:tcBorders>
              <w:top w:val="single" w:sz="4" w:space="0" w:color="auto"/>
              <w:left w:val="single" w:sz="4" w:space="0" w:color="auto"/>
              <w:bottom w:val="single" w:sz="4" w:space="0" w:color="auto"/>
              <w:right w:val="single" w:sz="4" w:space="0" w:color="auto"/>
            </w:tcBorders>
          </w:tcPr>
          <w:p w14:paraId="2C24002C" w14:textId="77777777" w:rsidR="00050B32" w:rsidRPr="004A77EB" w:rsidRDefault="00050B32" w:rsidP="00F43D6A">
            <w:pPr>
              <w:pStyle w:val="Tabletext1"/>
            </w:pPr>
            <w:r w:rsidRPr="004A77EB">
              <w:t>1.5T</w:t>
            </w:r>
          </w:p>
          <w:p w14:paraId="7C274F94" w14:textId="605A1338" w:rsidR="00050B32" w:rsidRPr="004A77EB" w:rsidRDefault="00050B32" w:rsidP="00F43D6A">
            <w:pPr>
              <w:pStyle w:val="Tabletext1"/>
            </w:pPr>
            <w:r w:rsidRPr="004A77EB">
              <w:t>Coil: NR</w:t>
            </w:r>
          </w:p>
          <w:p w14:paraId="07206E6F" w14:textId="3EE23B19" w:rsidR="00050B32" w:rsidRPr="004A77EB" w:rsidRDefault="00050B32" w:rsidP="00F43D6A">
            <w:pPr>
              <w:pStyle w:val="Tabletext1"/>
            </w:pPr>
            <w:r w:rsidRPr="004A77EB">
              <w:t>Contrast: gadolinium-based contrast</w:t>
            </w:r>
          </w:p>
        </w:tc>
        <w:tc>
          <w:tcPr>
            <w:tcW w:w="517" w:type="pct"/>
            <w:tcBorders>
              <w:top w:val="single" w:sz="4" w:space="0" w:color="auto"/>
              <w:left w:val="single" w:sz="4" w:space="0" w:color="auto"/>
              <w:bottom w:val="single" w:sz="4" w:space="0" w:color="auto"/>
              <w:right w:val="single" w:sz="4" w:space="0" w:color="auto"/>
            </w:tcBorders>
          </w:tcPr>
          <w:p w14:paraId="0239576B" w14:textId="39AD5F5E" w:rsidR="00050B32" w:rsidRPr="004A77EB" w:rsidRDefault="00050B32" w:rsidP="00F43D6A">
            <w:pPr>
              <w:pStyle w:val="Tabletext1"/>
            </w:pPr>
            <w:r w:rsidRPr="004A77EB">
              <w:t xml:space="preserve">Single uroradiologist with &gt;10 </w:t>
            </w:r>
            <w:r w:rsidR="00C12CD8" w:rsidRPr="004A77EB">
              <w:t>years’ experience</w:t>
            </w:r>
          </w:p>
        </w:tc>
        <w:tc>
          <w:tcPr>
            <w:tcW w:w="394" w:type="pct"/>
            <w:tcBorders>
              <w:top w:val="single" w:sz="4" w:space="0" w:color="auto"/>
              <w:left w:val="single" w:sz="4" w:space="0" w:color="auto"/>
              <w:bottom w:val="single" w:sz="4" w:space="0" w:color="auto"/>
              <w:right w:val="single" w:sz="4" w:space="0" w:color="auto"/>
            </w:tcBorders>
          </w:tcPr>
          <w:p w14:paraId="6CDB5519" w14:textId="7E3CF81B"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355C86E3" w14:textId="15F595FC"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39AF84F6" w14:textId="42B94D02" w:rsidR="00050B32" w:rsidRPr="004A77EB" w:rsidRDefault="00050B32" w:rsidP="00F43D6A">
            <w:pPr>
              <w:pStyle w:val="Tabletext1"/>
            </w:pPr>
            <w:r w:rsidRPr="004A77EB">
              <w:t>≥ 3</w:t>
            </w:r>
          </w:p>
        </w:tc>
      </w:tr>
      <w:tr w:rsidR="00E05133" w:rsidRPr="004A77EB" w14:paraId="31AF7532"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375B8CE1" w14:textId="72276EC5" w:rsidR="00050B32" w:rsidRPr="004A77EB" w:rsidRDefault="00050B32" w:rsidP="00F43D6A">
            <w:pPr>
              <w:pStyle w:val="Tabletext1"/>
            </w:pPr>
            <w:r w:rsidRPr="004A77EB">
              <w:t>Tamada et al. (2011)</w:t>
            </w:r>
          </w:p>
        </w:tc>
        <w:tc>
          <w:tcPr>
            <w:tcW w:w="296" w:type="pct"/>
            <w:tcBorders>
              <w:top w:val="single" w:sz="4" w:space="0" w:color="auto"/>
              <w:left w:val="single" w:sz="4" w:space="0" w:color="auto"/>
              <w:bottom w:val="single" w:sz="4" w:space="0" w:color="auto"/>
              <w:right w:val="single" w:sz="4" w:space="0" w:color="auto"/>
            </w:tcBorders>
          </w:tcPr>
          <w:p w14:paraId="4E386F73" w14:textId="11C82841"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343F663D" w14:textId="77777777" w:rsidR="00050B32" w:rsidRPr="004A77EB" w:rsidRDefault="00050B32" w:rsidP="00F43D6A">
            <w:pPr>
              <w:pStyle w:val="Tabletext1"/>
            </w:pPr>
            <w:r w:rsidRPr="004A77EB">
              <w:t>Case series</w:t>
            </w:r>
          </w:p>
          <w:p w14:paraId="7F42069A" w14:textId="77777777" w:rsidR="00050B32" w:rsidRPr="004A77EB" w:rsidRDefault="00050B32" w:rsidP="00F43D6A">
            <w:pPr>
              <w:pStyle w:val="Tabletext1"/>
            </w:pPr>
            <w:r w:rsidRPr="004A77EB">
              <w:t>Consecutive</w:t>
            </w:r>
          </w:p>
          <w:p w14:paraId="66187534" w14:textId="0BDDEA9D"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53553158" w14:textId="2B0C7405"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052FB6C5" w14:textId="77777777" w:rsidR="00050B32" w:rsidRDefault="00050B32" w:rsidP="00F43D6A">
            <w:pPr>
              <w:pStyle w:val="Tabletext1"/>
            </w:pPr>
            <w:r w:rsidRPr="004A77EB">
              <w:t>Japan</w:t>
            </w:r>
          </w:p>
          <w:p w14:paraId="0652D490" w14:textId="128364FB"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70856D06" w14:textId="77777777" w:rsidR="00050B32" w:rsidRPr="004A77EB" w:rsidRDefault="00050B32" w:rsidP="00F43D6A">
            <w:pPr>
              <w:pStyle w:val="Tabletext1"/>
            </w:pPr>
            <w:r w:rsidRPr="004A77EB">
              <w:t>N: 50</w:t>
            </w:r>
          </w:p>
          <w:p w14:paraId="20AF7845" w14:textId="77777777" w:rsidR="00050B32" w:rsidRPr="004A77EB" w:rsidRDefault="00050B32" w:rsidP="00F43D6A">
            <w:pPr>
              <w:pStyle w:val="Tabletext1"/>
            </w:pPr>
            <w:r w:rsidRPr="004A77EB">
              <w:t>Age: mean 70 (range 40-84)</w:t>
            </w:r>
          </w:p>
          <w:p w14:paraId="5E3A3C25" w14:textId="77777777" w:rsidR="00050B32" w:rsidRPr="004A77EB" w:rsidRDefault="00050B32" w:rsidP="00F43D6A">
            <w:pPr>
              <w:pStyle w:val="Tabletext1"/>
            </w:pPr>
            <w:r w:rsidRPr="004A77EB">
              <w:t>PSA: median 6.68 (range 4.1-9.9)</w:t>
            </w:r>
          </w:p>
          <w:p w14:paraId="32B158C1" w14:textId="7B224668"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677FC89D" w14:textId="77777777" w:rsidR="00050B32" w:rsidRPr="004A77EB" w:rsidRDefault="00050B32" w:rsidP="00F43D6A">
            <w:pPr>
              <w:pStyle w:val="Tabletext1"/>
            </w:pPr>
            <w:r w:rsidRPr="004A77EB">
              <w:t xml:space="preserve">1.5T </w:t>
            </w:r>
          </w:p>
          <w:p w14:paraId="7AA0294D" w14:textId="2C402220" w:rsidR="00050B32" w:rsidRPr="004A77EB" w:rsidRDefault="00050B32" w:rsidP="00F43D6A">
            <w:pPr>
              <w:pStyle w:val="Tabletext1"/>
            </w:pPr>
            <w:r w:rsidRPr="004A77EB">
              <w:t>Coil: PPAC</w:t>
            </w:r>
          </w:p>
          <w:p w14:paraId="58A69FAE" w14:textId="316F2C77" w:rsidR="00050B32" w:rsidRPr="004A77EB" w:rsidRDefault="00050B32" w:rsidP="00F43D6A">
            <w:pPr>
              <w:pStyle w:val="Tabletext1"/>
            </w:pPr>
            <w:r w:rsidRPr="004A77EB">
              <w:t>Contrast: gadopentate dimeglumine</w:t>
            </w:r>
          </w:p>
        </w:tc>
        <w:tc>
          <w:tcPr>
            <w:tcW w:w="517" w:type="pct"/>
            <w:tcBorders>
              <w:top w:val="single" w:sz="4" w:space="0" w:color="auto"/>
              <w:left w:val="single" w:sz="4" w:space="0" w:color="auto"/>
              <w:bottom w:val="single" w:sz="4" w:space="0" w:color="auto"/>
              <w:right w:val="single" w:sz="4" w:space="0" w:color="auto"/>
            </w:tcBorders>
          </w:tcPr>
          <w:p w14:paraId="0B48BF90" w14:textId="7CC29CC5" w:rsidR="00050B32" w:rsidRPr="004A77EB" w:rsidRDefault="00050B32" w:rsidP="00F43D6A">
            <w:pPr>
              <w:pStyle w:val="Tabletext1"/>
            </w:pPr>
            <w:r w:rsidRPr="004A77EB">
              <w:t xml:space="preserve">Two radiologists with 11 and 7 </w:t>
            </w:r>
            <w:r w:rsidR="00C12CD8" w:rsidRPr="004A77EB">
              <w:t>years’ experience</w:t>
            </w:r>
          </w:p>
        </w:tc>
        <w:tc>
          <w:tcPr>
            <w:tcW w:w="394" w:type="pct"/>
            <w:tcBorders>
              <w:top w:val="single" w:sz="4" w:space="0" w:color="auto"/>
              <w:left w:val="single" w:sz="4" w:space="0" w:color="auto"/>
              <w:bottom w:val="single" w:sz="4" w:space="0" w:color="auto"/>
              <w:right w:val="single" w:sz="4" w:space="0" w:color="auto"/>
            </w:tcBorders>
          </w:tcPr>
          <w:p w14:paraId="00E9B9A1" w14:textId="5042A457"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2182FF73" w14:textId="0987A25E"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398EADD4" w14:textId="59CC245C" w:rsidR="00050B32" w:rsidRPr="004A77EB" w:rsidRDefault="00050B32" w:rsidP="00F43D6A">
            <w:pPr>
              <w:pStyle w:val="Tabletext1"/>
            </w:pPr>
            <w:r w:rsidRPr="004A77EB">
              <w:t>NA</w:t>
            </w:r>
          </w:p>
        </w:tc>
      </w:tr>
      <w:tr w:rsidR="00E05133" w:rsidRPr="004A77EB" w14:paraId="53EBDA48"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054A7EDA" w14:textId="6DD16729" w:rsidR="00050B32" w:rsidRPr="004A77EB" w:rsidRDefault="00050B32" w:rsidP="00F43D6A">
            <w:pPr>
              <w:pStyle w:val="Tabletext1"/>
            </w:pPr>
            <w:r w:rsidRPr="004A77EB">
              <w:lastRenderedPageBreak/>
              <w:t>Tanimoto et al. (2007)</w:t>
            </w:r>
          </w:p>
        </w:tc>
        <w:tc>
          <w:tcPr>
            <w:tcW w:w="296" w:type="pct"/>
            <w:tcBorders>
              <w:top w:val="single" w:sz="4" w:space="0" w:color="auto"/>
              <w:left w:val="single" w:sz="4" w:space="0" w:color="auto"/>
              <w:bottom w:val="single" w:sz="4" w:space="0" w:color="auto"/>
              <w:right w:val="single" w:sz="4" w:space="0" w:color="auto"/>
            </w:tcBorders>
          </w:tcPr>
          <w:p w14:paraId="15F129FE" w14:textId="46BD1377"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230436FC" w14:textId="77777777" w:rsidR="00050B32" w:rsidRPr="004A77EB" w:rsidRDefault="00050B32" w:rsidP="00F43D6A">
            <w:pPr>
              <w:pStyle w:val="Tabletext1"/>
            </w:pPr>
            <w:r w:rsidRPr="004A77EB">
              <w:t>Case series</w:t>
            </w:r>
          </w:p>
          <w:p w14:paraId="73BE30BE" w14:textId="77777777" w:rsidR="00050B32" w:rsidRPr="004A77EB" w:rsidRDefault="00050B32" w:rsidP="00F43D6A">
            <w:pPr>
              <w:pStyle w:val="Tabletext1"/>
            </w:pPr>
            <w:r w:rsidRPr="004A77EB">
              <w:t>Consecutive</w:t>
            </w:r>
          </w:p>
          <w:p w14:paraId="5FE4C2F9" w14:textId="0F8DFE9B"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6618B228" w14:textId="17CBA1DC"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55C5BA9D" w14:textId="77777777" w:rsidR="00050B32" w:rsidRDefault="00050B32" w:rsidP="00F43D6A">
            <w:pPr>
              <w:pStyle w:val="Tabletext1"/>
            </w:pPr>
            <w:r w:rsidRPr="004A77EB">
              <w:t>Japan</w:t>
            </w:r>
          </w:p>
          <w:p w14:paraId="5C77915B" w14:textId="1D94F32D"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05F460A" w14:textId="16F01845" w:rsidR="00050B32" w:rsidRPr="004A77EB" w:rsidRDefault="00AB582A" w:rsidP="00F43D6A">
            <w:pPr>
              <w:pStyle w:val="Tabletext1"/>
            </w:pPr>
            <w:r>
              <w:t>n</w:t>
            </w:r>
            <w:r w:rsidR="00050B32" w:rsidRPr="004A77EB">
              <w:t>: 83</w:t>
            </w:r>
          </w:p>
          <w:p w14:paraId="1B53C06E" w14:textId="77777777" w:rsidR="00050B32" w:rsidRPr="004A77EB" w:rsidRDefault="00050B32" w:rsidP="00F43D6A">
            <w:pPr>
              <w:pStyle w:val="Tabletext1"/>
            </w:pPr>
            <w:r w:rsidRPr="004A77EB">
              <w:t>Age: mean 67.4 (range 53-87)</w:t>
            </w:r>
          </w:p>
          <w:p w14:paraId="6CF4045B" w14:textId="77777777" w:rsidR="00050B32" w:rsidRPr="004A77EB" w:rsidRDefault="00050B32" w:rsidP="00F43D6A">
            <w:pPr>
              <w:pStyle w:val="Tabletext1"/>
            </w:pPr>
            <w:r w:rsidRPr="004A77EB">
              <w:t>PSA: mean 19.4 (range 4.3-33.2)</w:t>
            </w:r>
          </w:p>
          <w:p w14:paraId="72102E51" w14:textId="68580B92"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3369FF77" w14:textId="77777777" w:rsidR="00050B32" w:rsidRPr="004A77EB" w:rsidRDefault="00050B32" w:rsidP="00F43D6A">
            <w:pPr>
              <w:pStyle w:val="Tabletext1"/>
            </w:pPr>
            <w:r w:rsidRPr="004A77EB">
              <w:t>1.5T</w:t>
            </w:r>
          </w:p>
          <w:p w14:paraId="047A49E8" w14:textId="27FADA2D" w:rsidR="00050B32" w:rsidRPr="004A77EB" w:rsidRDefault="00050B32" w:rsidP="00F43D6A">
            <w:pPr>
              <w:pStyle w:val="Tabletext1"/>
            </w:pPr>
            <w:r w:rsidRPr="004A77EB">
              <w:t>Coil: torso coil</w:t>
            </w:r>
          </w:p>
          <w:p w14:paraId="71CDC698" w14:textId="3A044687" w:rsidR="00050B32" w:rsidRPr="004A77EB" w:rsidRDefault="00050B32" w:rsidP="00F43D6A">
            <w:pPr>
              <w:pStyle w:val="Tabletext1"/>
            </w:pPr>
            <w:r w:rsidRPr="004A77EB">
              <w:t>Contrast: gadopentate dimeglumine</w:t>
            </w:r>
          </w:p>
        </w:tc>
        <w:tc>
          <w:tcPr>
            <w:tcW w:w="517" w:type="pct"/>
            <w:tcBorders>
              <w:top w:val="single" w:sz="4" w:space="0" w:color="auto"/>
              <w:left w:val="single" w:sz="4" w:space="0" w:color="auto"/>
              <w:bottom w:val="single" w:sz="4" w:space="0" w:color="auto"/>
              <w:right w:val="single" w:sz="4" w:space="0" w:color="auto"/>
            </w:tcBorders>
          </w:tcPr>
          <w:p w14:paraId="7E48A815" w14:textId="0D3C715C" w:rsidR="00050B32" w:rsidRPr="004A77EB" w:rsidRDefault="00C12CD8" w:rsidP="00F43D6A">
            <w:pPr>
              <w:pStyle w:val="Tabletext1"/>
            </w:pPr>
            <w:r w:rsidRPr="004A77EB">
              <w:t>Two readers. E</w:t>
            </w:r>
            <w:r w:rsidR="00050B32" w:rsidRPr="004A77EB">
              <w:t>xperience NR</w:t>
            </w:r>
          </w:p>
        </w:tc>
        <w:tc>
          <w:tcPr>
            <w:tcW w:w="394" w:type="pct"/>
            <w:tcBorders>
              <w:top w:val="single" w:sz="4" w:space="0" w:color="auto"/>
              <w:left w:val="single" w:sz="4" w:space="0" w:color="auto"/>
              <w:bottom w:val="single" w:sz="4" w:space="0" w:color="auto"/>
              <w:right w:val="single" w:sz="4" w:space="0" w:color="auto"/>
            </w:tcBorders>
          </w:tcPr>
          <w:p w14:paraId="44651900" w14:textId="5C491A60"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757CFA13" w14:textId="336CAC60"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5692AC61" w14:textId="079BC713" w:rsidR="00050B32" w:rsidRPr="004A77EB" w:rsidRDefault="00050B32" w:rsidP="00F43D6A">
            <w:pPr>
              <w:pStyle w:val="Tabletext1"/>
            </w:pPr>
            <w:r w:rsidRPr="004A77EB">
              <w:t>NA</w:t>
            </w:r>
          </w:p>
        </w:tc>
      </w:tr>
      <w:tr w:rsidR="00E05133" w:rsidRPr="004A77EB" w14:paraId="0A29B683"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61D4468C" w14:textId="579E5A4E" w:rsidR="00050B32" w:rsidRPr="004A77EB" w:rsidRDefault="00050B32" w:rsidP="00F43D6A">
            <w:pPr>
              <w:pStyle w:val="Tabletext1"/>
            </w:pPr>
            <w:r w:rsidRPr="004A77EB">
              <w:t xml:space="preserve">Tonttila et al. (2016) </w:t>
            </w:r>
          </w:p>
        </w:tc>
        <w:tc>
          <w:tcPr>
            <w:tcW w:w="296" w:type="pct"/>
            <w:tcBorders>
              <w:top w:val="single" w:sz="4" w:space="0" w:color="auto"/>
              <w:left w:val="single" w:sz="4" w:space="0" w:color="auto"/>
              <w:bottom w:val="single" w:sz="4" w:space="0" w:color="auto"/>
              <w:right w:val="single" w:sz="4" w:space="0" w:color="auto"/>
            </w:tcBorders>
          </w:tcPr>
          <w:p w14:paraId="27A3416D" w14:textId="5EA08B81"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6260E900" w14:textId="77777777" w:rsidR="00050B32" w:rsidRPr="004A77EB" w:rsidRDefault="00050B32" w:rsidP="00F43D6A">
            <w:pPr>
              <w:pStyle w:val="Tabletext1"/>
            </w:pPr>
            <w:r w:rsidRPr="004A77EB">
              <w:t>Single arm of an RCT</w:t>
            </w:r>
          </w:p>
          <w:p w14:paraId="3AD78821" w14:textId="77777777" w:rsidR="00050B32" w:rsidRPr="004A77EB" w:rsidRDefault="00050B32" w:rsidP="00F43D6A">
            <w:pPr>
              <w:pStyle w:val="Tabletext1"/>
            </w:pPr>
            <w:r w:rsidRPr="004A77EB">
              <w:t>Consecutive</w:t>
            </w:r>
          </w:p>
          <w:p w14:paraId="3D11C0E6" w14:textId="4CF15D05" w:rsidR="00050B32" w:rsidRPr="004A77EB" w:rsidRDefault="00050B32" w:rsidP="00F43D6A">
            <w:pPr>
              <w:pStyle w:val="Tabletext1"/>
            </w:pPr>
            <w:r w:rsidRPr="004A77EB">
              <w:t>Prospective</w:t>
            </w:r>
          </w:p>
        </w:tc>
        <w:tc>
          <w:tcPr>
            <w:tcW w:w="327" w:type="pct"/>
            <w:tcBorders>
              <w:top w:val="single" w:sz="4" w:space="0" w:color="auto"/>
              <w:left w:val="single" w:sz="4" w:space="0" w:color="auto"/>
              <w:bottom w:val="single" w:sz="4" w:space="0" w:color="auto"/>
              <w:right w:val="single" w:sz="4" w:space="0" w:color="auto"/>
            </w:tcBorders>
          </w:tcPr>
          <w:p w14:paraId="6D220A46" w14:textId="19E45B55"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7641CC87" w14:textId="77777777" w:rsidR="00050B32" w:rsidRDefault="00050B32" w:rsidP="00F43D6A">
            <w:pPr>
              <w:pStyle w:val="Tabletext1"/>
            </w:pPr>
            <w:r w:rsidRPr="004A77EB">
              <w:t>Finland</w:t>
            </w:r>
          </w:p>
          <w:p w14:paraId="4DF10DA6" w14:textId="5550464F" w:rsidR="000E4B45" w:rsidRPr="004A77EB" w:rsidRDefault="000E4B45"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6E501725" w14:textId="0A3CDFEA" w:rsidR="00050B32" w:rsidRPr="004A77EB" w:rsidRDefault="00AB582A" w:rsidP="00F43D6A">
            <w:pPr>
              <w:pStyle w:val="Tabletext1"/>
            </w:pPr>
            <w:r>
              <w:t>n</w:t>
            </w:r>
            <w:r w:rsidR="00050B32" w:rsidRPr="004A77EB">
              <w:t>: 113</w:t>
            </w:r>
          </w:p>
          <w:p w14:paraId="5CBEFDE0" w14:textId="77777777" w:rsidR="00050B32" w:rsidRPr="004A77EB" w:rsidRDefault="00050B32" w:rsidP="00F43D6A">
            <w:pPr>
              <w:pStyle w:val="Tabletext1"/>
            </w:pPr>
            <w:r w:rsidRPr="004A77EB">
              <w:t>Age: median 63 (IQR 60-66)</w:t>
            </w:r>
          </w:p>
          <w:p w14:paraId="14C0CB44" w14:textId="77777777" w:rsidR="00050B32" w:rsidRPr="004A77EB" w:rsidRDefault="00050B32" w:rsidP="00F43D6A">
            <w:pPr>
              <w:pStyle w:val="Tabletext1"/>
            </w:pPr>
            <w:r w:rsidRPr="004A77EB">
              <w:t>PSA: median 6.1 (IQR 4.2-9.9)</w:t>
            </w:r>
          </w:p>
          <w:p w14:paraId="33A57AA3" w14:textId="30E3E89A" w:rsidR="00050B32" w:rsidRPr="004A77EB" w:rsidRDefault="00050B32" w:rsidP="00F43D6A">
            <w:pPr>
              <w:pStyle w:val="Tabletext1"/>
            </w:pPr>
            <w:r w:rsidRPr="004A77EB">
              <w:t>Prior biopsy: 0%</w:t>
            </w:r>
          </w:p>
        </w:tc>
        <w:tc>
          <w:tcPr>
            <w:tcW w:w="477" w:type="pct"/>
            <w:tcBorders>
              <w:top w:val="single" w:sz="4" w:space="0" w:color="auto"/>
              <w:left w:val="single" w:sz="4" w:space="0" w:color="auto"/>
              <w:bottom w:val="single" w:sz="4" w:space="0" w:color="auto"/>
              <w:right w:val="single" w:sz="4" w:space="0" w:color="auto"/>
            </w:tcBorders>
          </w:tcPr>
          <w:p w14:paraId="5D90AADD" w14:textId="77777777" w:rsidR="00050B32" w:rsidRPr="004A77EB" w:rsidRDefault="00050B32" w:rsidP="00F43D6A">
            <w:pPr>
              <w:pStyle w:val="Tabletext1"/>
            </w:pPr>
            <w:r w:rsidRPr="004A77EB">
              <w:t>3.0T</w:t>
            </w:r>
          </w:p>
          <w:p w14:paraId="11F7DB2C" w14:textId="3689248D" w:rsidR="00050B32" w:rsidRPr="004A77EB" w:rsidRDefault="00050B32" w:rsidP="00F43D6A">
            <w:pPr>
              <w:pStyle w:val="Tabletext1"/>
            </w:pPr>
            <w:r w:rsidRPr="004A77EB">
              <w:t>Coil: body and spine coils</w:t>
            </w:r>
          </w:p>
          <w:p w14:paraId="6E5E972E" w14:textId="5112826F"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3DDAA2FE" w14:textId="3A21D11F" w:rsidR="00050B32" w:rsidRPr="004A77EB" w:rsidRDefault="00D4351D" w:rsidP="00F43D6A">
            <w:pPr>
              <w:pStyle w:val="Tabletext1"/>
            </w:pPr>
            <w:r w:rsidRPr="004A77EB">
              <w:t>Two experience radiologists not experienced in mpMRI.</w:t>
            </w:r>
          </w:p>
        </w:tc>
        <w:tc>
          <w:tcPr>
            <w:tcW w:w="394" w:type="pct"/>
            <w:tcBorders>
              <w:top w:val="single" w:sz="4" w:space="0" w:color="auto"/>
              <w:left w:val="single" w:sz="4" w:space="0" w:color="auto"/>
              <w:bottom w:val="single" w:sz="4" w:space="0" w:color="auto"/>
              <w:right w:val="single" w:sz="4" w:space="0" w:color="auto"/>
            </w:tcBorders>
          </w:tcPr>
          <w:p w14:paraId="07ABB7AE" w14:textId="52EE2FC1"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61B233AC" w14:textId="6B1D9BB2"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0C7546CC" w14:textId="7E30DBB8" w:rsidR="00050B32" w:rsidRPr="004A77EB" w:rsidRDefault="00050B32" w:rsidP="00F43D6A">
            <w:pPr>
              <w:pStyle w:val="Tabletext1"/>
            </w:pPr>
            <w:r w:rsidRPr="004A77EB">
              <w:t>NA</w:t>
            </w:r>
          </w:p>
        </w:tc>
      </w:tr>
      <w:tr w:rsidR="00E05133" w:rsidRPr="004A77EB" w14:paraId="239A4FF8"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546E30F1" w14:textId="260E98DC" w:rsidR="00050B32" w:rsidRPr="004A77EB" w:rsidRDefault="00050B32" w:rsidP="00F43D6A">
            <w:pPr>
              <w:pStyle w:val="Tabletext1"/>
            </w:pPr>
            <w:r w:rsidRPr="004A77EB">
              <w:t>Vilanova et al. (2011)</w:t>
            </w:r>
          </w:p>
        </w:tc>
        <w:tc>
          <w:tcPr>
            <w:tcW w:w="296" w:type="pct"/>
            <w:tcBorders>
              <w:top w:val="single" w:sz="4" w:space="0" w:color="auto"/>
              <w:left w:val="single" w:sz="4" w:space="0" w:color="auto"/>
              <w:bottom w:val="single" w:sz="4" w:space="0" w:color="auto"/>
              <w:right w:val="single" w:sz="4" w:space="0" w:color="auto"/>
            </w:tcBorders>
          </w:tcPr>
          <w:p w14:paraId="2258764D" w14:textId="70FB4AC9"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798E3FBD" w14:textId="77777777" w:rsidR="00050B32" w:rsidRPr="004A77EB" w:rsidRDefault="00050B32" w:rsidP="00F43D6A">
            <w:pPr>
              <w:pStyle w:val="Tabletext1"/>
            </w:pPr>
            <w:r w:rsidRPr="004A77EB">
              <w:t>Case series</w:t>
            </w:r>
          </w:p>
          <w:p w14:paraId="6130291F" w14:textId="77777777" w:rsidR="00050B32" w:rsidRPr="004A77EB" w:rsidRDefault="00050B32" w:rsidP="00F43D6A">
            <w:pPr>
              <w:pStyle w:val="Tabletext1"/>
            </w:pPr>
            <w:r w:rsidRPr="004A77EB">
              <w:t>Consecutive</w:t>
            </w:r>
          </w:p>
          <w:p w14:paraId="36BF3F44" w14:textId="628A55EA"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61EADEA1" w14:textId="681E0858" w:rsidR="00050B32" w:rsidRPr="004A77EB" w:rsidRDefault="00050B32" w:rsidP="00F43D6A">
            <w:pPr>
              <w:pStyle w:val="Tabletext1"/>
            </w:pPr>
            <w:r w:rsidRPr="004A77EB">
              <w:t>II</w:t>
            </w:r>
          </w:p>
        </w:tc>
        <w:tc>
          <w:tcPr>
            <w:tcW w:w="354" w:type="pct"/>
            <w:tcBorders>
              <w:top w:val="single" w:sz="4" w:space="0" w:color="auto"/>
              <w:left w:val="single" w:sz="4" w:space="0" w:color="auto"/>
              <w:bottom w:val="single" w:sz="4" w:space="0" w:color="auto"/>
              <w:right w:val="single" w:sz="4" w:space="0" w:color="auto"/>
            </w:tcBorders>
          </w:tcPr>
          <w:p w14:paraId="03A63ADD" w14:textId="77777777" w:rsidR="00050B32" w:rsidRDefault="00050B32" w:rsidP="00F43D6A">
            <w:pPr>
              <w:pStyle w:val="Tabletext1"/>
            </w:pPr>
            <w:r w:rsidRPr="004A77EB">
              <w:t>Spain</w:t>
            </w:r>
          </w:p>
          <w:p w14:paraId="0A6BB8E8" w14:textId="6F5E5D65" w:rsidR="000E4B45" w:rsidRPr="004A77EB" w:rsidRDefault="00B340FA"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77BAFB2C" w14:textId="6CB240B8" w:rsidR="00050B32" w:rsidRPr="004A77EB" w:rsidRDefault="00AB582A" w:rsidP="00F43D6A">
            <w:pPr>
              <w:pStyle w:val="Tabletext1"/>
            </w:pPr>
            <w:r>
              <w:t>n</w:t>
            </w:r>
            <w:r w:rsidR="00050B32" w:rsidRPr="004A77EB">
              <w:t>: 70</w:t>
            </w:r>
          </w:p>
          <w:p w14:paraId="75100DF6" w14:textId="77777777" w:rsidR="00050B32" w:rsidRPr="004A77EB" w:rsidRDefault="00050B32" w:rsidP="00F43D6A">
            <w:pPr>
              <w:pStyle w:val="Tabletext1"/>
            </w:pPr>
            <w:r w:rsidRPr="004A77EB">
              <w:t>Age: mean 63.5 (range 43-87)</w:t>
            </w:r>
          </w:p>
          <w:p w14:paraId="325F230E" w14:textId="77777777" w:rsidR="00050B32" w:rsidRPr="004A77EB" w:rsidRDefault="00050B32" w:rsidP="00F43D6A">
            <w:pPr>
              <w:pStyle w:val="Tabletext1"/>
            </w:pPr>
            <w:r w:rsidRPr="004A77EB">
              <w:t>PSA: median 7.4 (range 4-17)</w:t>
            </w:r>
          </w:p>
          <w:p w14:paraId="61A15DC4" w14:textId="4EC1057A" w:rsidR="00050B32" w:rsidRPr="004A77EB" w:rsidRDefault="00050B32" w:rsidP="00F43D6A">
            <w:pPr>
              <w:pStyle w:val="Tabletext1"/>
            </w:pPr>
            <w:r w:rsidRPr="004A77EB">
              <w:t>Prior biopsy: 0%</w:t>
            </w:r>
          </w:p>
        </w:tc>
        <w:tc>
          <w:tcPr>
            <w:tcW w:w="477" w:type="pct"/>
            <w:tcBorders>
              <w:top w:val="single" w:sz="4" w:space="0" w:color="auto"/>
              <w:left w:val="single" w:sz="4" w:space="0" w:color="auto"/>
              <w:bottom w:val="single" w:sz="4" w:space="0" w:color="auto"/>
              <w:right w:val="single" w:sz="4" w:space="0" w:color="auto"/>
            </w:tcBorders>
          </w:tcPr>
          <w:p w14:paraId="4D09AF77" w14:textId="77777777" w:rsidR="00050B32" w:rsidRPr="004A77EB" w:rsidRDefault="00050B32" w:rsidP="00F43D6A">
            <w:pPr>
              <w:pStyle w:val="Tabletext1"/>
            </w:pPr>
            <w:r w:rsidRPr="004A77EB">
              <w:t xml:space="preserve">1.5T </w:t>
            </w:r>
          </w:p>
          <w:p w14:paraId="464C065F" w14:textId="39A5BF90" w:rsidR="00050B32" w:rsidRPr="004A77EB" w:rsidRDefault="00050B32" w:rsidP="00F43D6A">
            <w:pPr>
              <w:pStyle w:val="Tabletext1"/>
            </w:pPr>
            <w:r w:rsidRPr="004A77EB">
              <w:t>Coil: PPAC + ERC</w:t>
            </w:r>
          </w:p>
          <w:p w14:paraId="06971EF8" w14:textId="18950AFF" w:rsidR="00050B32" w:rsidRPr="004A77EB" w:rsidRDefault="00050B32" w:rsidP="00F43D6A">
            <w:pPr>
              <w:pStyle w:val="Tabletext1"/>
            </w:pPr>
            <w:r w:rsidRPr="004A77EB">
              <w:t>Contrast: dimeglumine</w:t>
            </w:r>
          </w:p>
        </w:tc>
        <w:tc>
          <w:tcPr>
            <w:tcW w:w="517" w:type="pct"/>
            <w:tcBorders>
              <w:top w:val="single" w:sz="4" w:space="0" w:color="auto"/>
              <w:left w:val="single" w:sz="4" w:space="0" w:color="auto"/>
              <w:bottom w:val="single" w:sz="4" w:space="0" w:color="auto"/>
              <w:right w:val="single" w:sz="4" w:space="0" w:color="auto"/>
            </w:tcBorders>
          </w:tcPr>
          <w:p w14:paraId="6E8BBFBF" w14:textId="089C963B" w:rsidR="00050B32" w:rsidRPr="004A77EB" w:rsidRDefault="00050B32" w:rsidP="00F43D6A">
            <w:pPr>
              <w:pStyle w:val="Tabletext1"/>
            </w:pPr>
            <w:r w:rsidRPr="004A77EB">
              <w:t xml:space="preserve">Three radiologists with 14, 8 </w:t>
            </w:r>
            <w:r w:rsidR="00D4351D" w:rsidRPr="004A77EB">
              <w:t>or</w:t>
            </w:r>
            <w:r w:rsidRPr="004A77EB">
              <w:t xml:space="preserve"> 6 </w:t>
            </w:r>
            <w:r w:rsidR="00186377" w:rsidRPr="004A77EB">
              <w:t>years’ experience</w:t>
            </w:r>
            <w:r w:rsidRPr="004A77EB">
              <w:t xml:space="preserve"> in prostate MRI</w:t>
            </w:r>
          </w:p>
        </w:tc>
        <w:tc>
          <w:tcPr>
            <w:tcW w:w="394" w:type="pct"/>
            <w:tcBorders>
              <w:top w:val="single" w:sz="4" w:space="0" w:color="auto"/>
              <w:left w:val="single" w:sz="4" w:space="0" w:color="auto"/>
              <w:bottom w:val="single" w:sz="4" w:space="0" w:color="auto"/>
              <w:right w:val="single" w:sz="4" w:space="0" w:color="auto"/>
            </w:tcBorders>
          </w:tcPr>
          <w:p w14:paraId="0247F050" w14:textId="3963FB3E"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1CDACC29" w14:textId="69EAF040"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10D702FD" w14:textId="336A2E69" w:rsidR="00050B32" w:rsidRPr="004A77EB" w:rsidRDefault="00050B32" w:rsidP="00F43D6A">
            <w:pPr>
              <w:pStyle w:val="Tabletext1"/>
            </w:pPr>
            <w:r w:rsidRPr="004A77EB">
              <w:t>≥ 3</w:t>
            </w:r>
          </w:p>
        </w:tc>
      </w:tr>
      <w:tr w:rsidR="00E05133" w:rsidRPr="004A77EB" w14:paraId="40DDC903"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5EBEF08F" w14:textId="6A7A9EE1" w:rsidR="00050B32" w:rsidRPr="004A77EB" w:rsidRDefault="00050B32" w:rsidP="00F43D6A">
            <w:pPr>
              <w:pStyle w:val="Tabletext1"/>
            </w:pPr>
            <w:r w:rsidRPr="004A77EB">
              <w:t>Washino et al. (2 016)</w:t>
            </w:r>
          </w:p>
        </w:tc>
        <w:tc>
          <w:tcPr>
            <w:tcW w:w="296" w:type="pct"/>
            <w:tcBorders>
              <w:top w:val="single" w:sz="4" w:space="0" w:color="auto"/>
              <w:left w:val="single" w:sz="4" w:space="0" w:color="auto"/>
              <w:bottom w:val="single" w:sz="4" w:space="0" w:color="auto"/>
              <w:right w:val="single" w:sz="4" w:space="0" w:color="auto"/>
            </w:tcBorders>
          </w:tcPr>
          <w:p w14:paraId="5E1F8A38" w14:textId="7370E2CC"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7D2DFBC5" w14:textId="77777777" w:rsidR="00050B32" w:rsidRPr="004A77EB" w:rsidRDefault="00050B32" w:rsidP="00F43D6A">
            <w:pPr>
              <w:pStyle w:val="Tabletext1"/>
            </w:pPr>
            <w:r w:rsidRPr="004A77EB">
              <w:t>Case series</w:t>
            </w:r>
          </w:p>
          <w:p w14:paraId="700EEEB0" w14:textId="77777777" w:rsidR="00050B32" w:rsidRPr="004A77EB" w:rsidRDefault="00050B32" w:rsidP="00F43D6A">
            <w:pPr>
              <w:pStyle w:val="Tabletext1"/>
            </w:pPr>
            <w:r w:rsidRPr="004A77EB">
              <w:t>NR</w:t>
            </w:r>
          </w:p>
          <w:p w14:paraId="7B06723D" w14:textId="07E7B95F"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41597D94" w14:textId="6332F4A7" w:rsidR="00050B32" w:rsidRPr="004A77EB" w:rsidRDefault="00050B32" w:rsidP="00F43D6A">
            <w:pPr>
              <w:pStyle w:val="Tabletext1"/>
            </w:pPr>
            <w:r w:rsidRPr="004A77EB">
              <w:t>III-1</w:t>
            </w:r>
          </w:p>
        </w:tc>
        <w:tc>
          <w:tcPr>
            <w:tcW w:w="354" w:type="pct"/>
            <w:tcBorders>
              <w:top w:val="single" w:sz="4" w:space="0" w:color="auto"/>
              <w:left w:val="single" w:sz="4" w:space="0" w:color="auto"/>
              <w:bottom w:val="single" w:sz="4" w:space="0" w:color="auto"/>
              <w:right w:val="single" w:sz="4" w:space="0" w:color="auto"/>
            </w:tcBorders>
          </w:tcPr>
          <w:p w14:paraId="1231DE1C" w14:textId="77777777" w:rsidR="00050B32" w:rsidRDefault="00050B32" w:rsidP="00F43D6A">
            <w:pPr>
              <w:pStyle w:val="Tabletext1"/>
            </w:pPr>
            <w:r w:rsidRPr="004A77EB">
              <w:t>Japan</w:t>
            </w:r>
          </w:p>
          <w:p w14:paraId="21337481" w14:textId="1E2299BD" w:rsidR="00B340FA" w:rsidRPr="004A77EB" w:rsidRDefault="00B340FA"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5F35E269" w14:textId="2CA7A994" w:rsidR="00050B32" w:rsidRPr="004A77EB" w:rsidRDefault="00AB582A" w:rsidP="00F43D6A">
            <w:pPr>
              <w:pStyle w:val="Tabletext1"/>
            </w:pPr>
            <w:r>
              <w:t>n</w:t>
            </w:r>
            <w:r w:rsidR="00050B32" w:rsidRPr="004A77EB">
              <w:t>: 288</w:t>
            </w:r>
          </w:p>
          <w:p w14:paraId="5502A1AC" w14:textId="77777777" w:rsidR="00050B32" w:rsidRPr="004A77EB" w:rsidRDefault="00050B32" w:rsidP="00F43D6A">
            <w:pPr>
              <w:pStyle w:val="Tabletext1"/>
            </w:pPr>
            <w:r w:rsidRPr="004A77EB">
              <w:t>Age: mean 69 (SD 20)</w:t>
            </w:r>
          </w:p>
          <w:p w14:paraId="5DFBF242" w14:textId="77777777" w:rsidR="00050B32" w:rsidRPr="004A77EB" w:rsidRDefault="00050B32" w:rsidP="00F43D6A">
            <w:pPr>
              <w:pStyle w:val="Tabletext1"/>
            </w:pPr>
            <w:r w:rsidRPr="004A77EB">
              <w:t>PSA: mean 7.5 (IQR 5.5-11.0)</w:t>
            </w:r>
          </w:p>
          <w:p w14:paraId="4E093541" w14:textId="30410B16" w:rsidR="00050B32" w:rsidRPr="004A77EB" w:rsidRDefault="00050B32" w:rsidP="00F43D6A">
            <w:pPr>
              <w:pStyle w:val="Tabletext1"/>
            </w:pPr>
            <w:r w:rsidRPr="004A77EB">
              <w:t>Prior biopsy: 0%</w:t>
            </w:r>
          </w:p>
        </w:tc>
        <w:tc>
          <w:tcPr>
            <w:tcW w:w="477" w:type="pct"/>
            <w:tcBorders>
              <w:top w:val="single" w:sz="4" w:space="0" w:color="auto"/>
              <w:left w:val="single" w:sz="4" w:space="0" w:color="auto"/>
              <w:bottom w:val="single" w:sz="4" w:space="0" w:color="auto"/>
              <w:right w:val="single" w:sz="4" w:space="0" w:color="auto"/>
            </w:tcBorders>
          </w:tcPr>
          <w:p w14:paraId="26B2BF18" w14:textId="77777777" w:rsidR="00050B32" w:rsidRPr="004A77EB" w:rsidRDefault="00050B32" w:rsidP="00F43D6A">
            <w:pPr>
              <w:pStyle w:val="Tabletext1"/>
            </w:pPr>
            <w:r w:rsidRPr="004A77EB">
              <w:t>1.5T or 3.0T</w:t>
            </w:r>
          </w:p>
          <w:p w14:paraId="3259D602" w14:textId="77777777" w:rsidR="00050B32" w:rsidRPr="004A77EB" w:rsidRDefault="00050B32" w:rsidP="00F43D6A">
            <w:pPr>
              <w:pStyle w:val="Tabletext1"/>
            </w:pPr>
            <w:r w:rsidRPr="004A77EB">
              <w:t>Coil: PPAC</w:t>
            </w:r>
          </w:p>
          <w:p w14:paraId="524CE7E3" w14:textId="28D386CB"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6B68D12B" w14:textId="32F0C321" w:rsidR="00050B32" w:rsidRPr="004A77EB" w:rsidRDefault="00050B32" w:rsidP="00F43D6A">
            <w:pPr>
              <w:pStyle w:val="Tabletext1"/>
            </w:pPr>
            <w:r w:rsidRPr="004A77EB">
              <w:t>Single uroradiologist with 14 years prostate MRI experience</w:t>
            </w:r>
          </w:p>
        </w:tc>
        <w:tc>
          <w:tcPr>
            <w:tcW w:w="394" w:type="pct"/>
            <w:tcBorders>
              <w:top w:val="single" w:sz="4" w:space="0" w:color="auto"/>
              <w:left w:val="single" w:sz="4" w:space="0" w:color="auto"/>
              <w:bottom w:val="single" w:sz="4" w:space="0" w:color="auto"/>
              <w:right w:val="single" w:sz="4" w:space="0" w:color="auto"/>
            </w:tcBorders>
          </w:tcPr>
          <w:p w14:paraId="2F2D596E" w14:textId="5F66F2CD" w:rsidR="00050B32" w:rsidRPr="004A77EB" w:rsidRDefault="00050B32" w:rsidP="00F43D6A">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79CC9FB5" w14:textId="750FB95D" w:rsidR="00050B32" w:rsidRPr="004A77EB" w:rsidRDefault="00050B32" w:rsidP="00F43D6A">
            <w:pPr>
              <w:pStyle w:val="Tabletext1"/>
            </w:pPr>
            <w:r w:rsidRPr="004A77EB">
              <w:rPr>
                <w:snapToGrid w:val="0"/>
              </w:rPr>
              <w:t>TN, FN</w:t>
            </w:r>
          </w:p>
        </w:tc>
        <w:tc>
          <w:tcPr>
            <w:tcW w:w="458" w:type="pct"/>
            <w:tcBorders>
              <w:top w:val="single" w:sz="4" w:space="0" w:color="auto"/>
              <w:left w:val="single" w:sz="4" w:space="0" w:color="auto"/>
              <w:bottom w:val="single" w:sz="4" w:space="0" w:color="auto"/>
              <w:right w:val="single" w:sz="4" w:space="0" w:color="auto"/>
            </w:tcBorders>
          </w:tcPr>
          <w:p w14:paraId="3A17DF49" w14:textId="0B8342B2" w:rsidR="00050B32" w:rsidRPr="004A77EB" w:rsidRDefault="00050B32" w:rsidP="00F43D6A">
            <w:pPr>
              <w:pStyle w:val="Tabletext1"/>
            </w:pPr>
            <w:r w:rsidRPr="004A77EB">
              <w:t>≥ 3</w:t>
            </w:r>
          </w:p>
        </w:tc>
      </w:tr>
      <w:tr w:rsidR="00E05133" w:rsidRPr="004A77EB" w14:paraId="5E7134F2" w14:textId="77777777" w:rsidTr="00F43D6A">
        <w:trPr>
          <w:cantSplit/>
          <w:trHeight w:val="319"/>
        </w:trPr>
        <w:tc>
          <w:tcPr>
            <w:tcW w:w="414" w:type="pct"/>
            <w:tcBorders>
              <w:top w:val="single" w:sz="4" w:space="0" w:color="auto"/>
              <w:left w:val="single" w:sz="4" w:space="0" w:color="auto"/>
              <w:bottom w:val="single" w:sz="4" w:space="0" w:color="auto"/>
              <w:right w:val="single" w:sz="4" w:space="0" w:color="auto"/>
            </w:tcBorders>
          </w:tcPr>
          <w:p w14:paraId="5A87AEAD" w14:textId="1B6658A2" w:rsidR="00050B32" w:rsidRPr="004A77EB" w:rsidRDefault="00050B32" w:rsidP="00F43D6A">
            <w:pPr>
              <w:pStyle w:val="Tabletext1"/>
            </w:pPr>
            <w:r w:rsidRPr="004A77EB">
              <w:t>Wysock et al. (2016)</w:t>
            </w:r>
          </w:p>
        </w:tc>
        <w:tc>
          <w:tcPr>
            <w:tcW w:w="296" w:type="pct"/>
            <w:tcBorders>
              <w:top w:val="single" w:sz="4" w:space="0" w:color="auto"/>
              <w:left w:val="single" w:sz="4" w:space="0" w:color="auto"/>
              <w:bottom w:val="single" w:sz="4" w:space="0" w:color="auto"/>
              <w:right w:val="single" w:sz="4" w:space="0" w:color="auto"/>
            </w:tcBorders>
          </w:tcPr>
          <w:p w14:paraId="2245060E" w14:textId="4CB9ADF6" w:rsidR="00050B32" w:rsidRPr="004A77EB" w:rsidRDefault="00050B32" w:rsidP="00F43D6A">
            <w:pPr>
              <w:pStyle w:val="Tabletext1"/>
            </w:pPr>
            <w:r w:rsidRPr="004A77EB">
              <w:t>No</w:t>
            </w:r>
          </w:p>
        </w:tc>
        <w:tc>
          <w:tcPr>
            <w:tcW w:w="455" w:type="pct"/>
            <w:tcBorders>
              <w:top w:val="single" w:sz="4" w:space="0" w:color="auto"/>
              <w:left w:val="single" w:sz="4" w:space="0" w:color="auto"/>
              <w:bottom w:val="single" w:sz="4" w:space="0" w:color="auto"/>
              <w:right w:val="single" w:sz="4" w:space="0" w:color="auto"/>
            </w:tcBorders>
          </w:tcPr>
          <w:p w14:paraId="49875DF4" w14:textId="77777777" w:rsidR="00050B32" w:rsidRPr="004A77EB" w:rsidRDefault="00050B32" w:rsidP="00F43D6A">
            <w:pPr>
              <w:pStyle w:val="Tabletext1"/>
            </w:pPr>
            <w:r w:rsidRPr="004A77EB">
              <w:t>Case series</w:t>
            </w:r>
          </w:p>
          <w:p w14:paraId="3AE67E59" w14:textId="77777777" w:rsidR="00050B32" w:rsidRPr="004A77EB" w:rsidRDefault="00050B32" w:rsidP="00F43D6A">
            <w:pPr>
              <w:pStyle w:val="Tabletext1"/>
            </w:pPr>
            <w:r w:rsidRPr="004A77EB">
              <w:t>Consecutive</w:t>
            </w:r>
          </w:p>
          <w:p w14:paraId="4D060D71" w14:textId="5FBF267C" w:rsidR="00050B32" w:rsidRPr="004A77EB" w:rsidRDefault="00050B32" w:rsidP="00F43D6A">
            <w:pPr>
              <w:pStyle w:val="Tabletext1"/>
            </w:pPr>
            <w:r w:rsidRPr="004A77EB">
              <w:t>Retrospective</w:t>
            </w:r>
          </w:p>
        </w:tc>
        <w:tc>
          <w:tcPr>
            <w:tcW w:w="327" w:type="pct"/>
            <w:tcBorders>
              <w:top w:val="single" w:sz="4" w:space="0" w:color="auto"/>
              <w:left w:val="single" w:sz="4" w:space="0" w:color="auto"/>
              <w:bottom w:val="single" w:sz="4" w:space="0" w:color="auto"/>
              <w:right w:val="single" w:sz="4" w:space="0" w:color="auto"/>
            </w:tcBorders>
          </w:tcPr>
          <w:p w14:paraId="7C3E9764" w14:textId="34E09EF5" w:rsidR="00050B32" w:rsidRPr="004A77EB" w:rsidRDefault="00050B32" w:rsidP="00F43D6A">
            <w:pPr>
              <w:pStyle w:val="Tabletext1"/>
            </w:pPr>
            <w:r w:rsidRPr="004A77EB">
              <w:t>III-2</w:t>
            </w:r>
          </w:p>
        </w:tc>
        <w:tc>
          <w:tcPr>
            <w:tcW w:w="354" w:type="pct"/>
            <w:tcBorders>
              <w:top w:val="single" w:sz="4" w:space="0" w:color="auto"/>
              <w:left w:val="single" w:sz="4" w:space="0" w:color="auto"/>
              <w:bottom w:val="single" w:sz="4" w:space="0" w:color="auto"/>
              <w:right w:val="single" w:sz="4" w:space="0" w:color="auto"/>
            </w:tcBorders>
          </w:tcPr>
          <w:p w14:paraId="307098AA" w14:textId="77777777" w:rsidR="00050B32" w:rsidRDefault="00050B32" w:rsidP="00F43D6A">
            <w:pPr>
              <w:pStyle w:val="Tabletext1"/>
            </w:pPr>
            <w:r w:rsidRPr="004A77EB">
              <w:t>USA</w:t>
            </w:r>
          </w:p>
          <w:p w14:paraId="0842D463" w14:textId="278643C4" w:rsidR="00B340FA" w:rsidRPr="004A77EB" w:rsidRDefault="00955DD1" w:rsidP="00F43D6A">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5BD51175" w14:textId="1539CB8C" w:rsidR="00050B32" w:rsidRPr="004A77EB" w:rsidRDefault="00AB582A" w:rsidP="00F43D6A">
            <w:pPr>
              <w:pStyle w:val="Tabletext1"/>
            </w:pPr>
            <w:r>
              <w:t>n</w:t>
            </w:r>
            <w:r w:rsidR="00050B32" w:rsidRPr="004A77EB">
              <w:t xml:space="preserve">: 54 </w:t>
            </w:r>
          </w:p>
          <w:p w14:paraId="018439B3" w14:textId="77777777" w:rsidR="00050B32" w:rsidRPr="004A77EB" w:rsidRDefault="00050B32" w:rsidP="00F43D6A">
            <w:pPr>
              <w:pStyle w:val="Tabletext1"/>
            </w:pPr>
            <w:r w:rsidRPr="004A77EB">
              <w:t>Age: G1: median 61 (IQR 53.8-66), G2 median 64 (IQR 57.3-68.8)</w:t>
            </w:r>
          </w:p>
          <w:p w14:paraId="4A531565" w14:textId="77777777" w:rsidR="00050B32" w:rsidRPr="004A77EB" w:rsidRDefault="00050B32" w:rsidP="00F43D6A">
            <w:pPr>
              <w:pStyle w:val="Tabletext1"/>
            </w:pPr>
            <w:r w:rsidRPr="004A77EB">
              <w:t>PSA: G1 median 3.7 (IQR 3.9-4.9). G2 median 5.3 (IQR 4.2-8.4)</w:t>
            </w:r>
          </w:p>
          <w:p w14:paraId="06DA9397" w14:textId="7068ABB0" w:rsidR="00050B32" w:rsidRPr="004A77EB" w:rsidRDefault="00050B32" w:rsidP="00F43D6A">
            <w:pPr>
              <w:pStyle w:val="Tabletext1"/>
            </w:pPr>
            <w:r w:rsidRPr="004A77EB">
              <w:t>Prior biopsy: NR</w:t>
            </w:r>
          </w:p>
        </w:tc>
        <w:tc>
          <w:tcPr>
            <w:tcW w:w="477" w:type="pct"/>
            <w:tcBorders>
              <w:top w:val="single" w:sz="4" w:space="0" w:color="auto"/>
              <w:left w:val="single" w:sz="4" w:space="0" w:color="auto"/>
              <w:bottom w:val="single" w:sz="4" w:space="0" w:color="auto"/>
              <w:right w:val="single" w:sz="4" w:space="0" w:color="auto"/>
            </w:tcBorders>
          </w:tcPr>
          <w:p w14:paraId="675F487E" w14:textId="77777777" w:rsidR="00050B32" w:rsidRPr="004A77EB" w:rsidRDefault="00050B32" w:rsidP="00F43D6A">
            <w:pPr>
              <w:pStyle w:val="Tabletext1"/>
            </w:pPr>
            <w:r w:rsidRPr="004A77EB">
              <w:t>3.0T</w:t>
            </w:r>
          </w:p>
          <w:p w14:paraId="4D6D009C" w14:textId="77777777" w:rsidR="00050B32" w:rsidRPr="004A77EB" w:rsidRDefault="00050B32" w:rsidP="00F43D6A">
            <w:pPr>
              <w:pStyle w:val="Tabletext1"/>
            </w:pPr>
            <w:r w:rsidRPr="004A77EB">
              <w:t>Coil: PPAC</w:t>
            </w:r>
          </w:p>
          <w:p w14:paraId="0A5CAF1F" w14:textId="55E6EF63" w:rsidR="00050B32" w:rsidRPr="004A77EB" w:rsidRDefault="00050B32" w:rsidP="00F43D6A">
            <w:pPr>
              <w:pStyle w:val="Tabletext1"/>
            </w:pPr>
            <w:r w:rsidRPr="004A77EB">
              <w:t>Contrast: NR</w:t>
            </w:r>
          </w:p>
        </w:tc>
        <w:tc>
          <w:tcPr>
            <w:tcW w:w="517" w:type="pct"/>
            <w:tcBorders>
              <w:top w:val="single" w:sz="4" w:space="0" w:color="auto"/>
              <w:left w:val="single" w:sz="4" w:space="0" w:color="auto"/>
              <w:bottom w:val="single" w:sz="4" w:space="0" w:color="auto"/>
              <w:right w:val="single" w:sz="4" w:space="0" w:color="auto"/>
            </w:tcBorders>
          </w:tcPr>
          <w:p w14:paraId="20B6F2A2" w14:textId="6D6AD617" w:rsidR="00050B32" w:rsidRPr="004A77EB" w:rsidRDefault="00050B32" w:rsidP="00F43D6A">
            <w:pPr>
              <w:pStyle w:val="Tabletext1"/>
            </w:pPr>
            <w:r w:rsidRPr="004A77EB">
              <w:t>Single</w:t>
            </w:r>
            <w:r w:rsidR="00D4351D" w:rsidRPr="004A77EB">
              <w:t xml:space="preserve"> fellowship trained radiologist</w:t>
            </w:r>
            <w:r w:rsidRPr="004A77EB">
              <w:t xml:space="preserve"> with expertise in prostate MRI</w:t>
            </w:r>
          </w:p>
        </w:tc>
        <w:tc>
          <w:tcPr>
            <w:tcW w:w="394" w:type="pct"/>
            <w:tcBorders>
              <w:top w:val="single" w:sz="4" w:space="0" w:color="auto"/>
              <w:left w:val="single" w:sz="4" w:space="0" w:color="auto"/>
              <w:bottom w:val="single" w:sz="4" w:space="0" w:color="auto"/>
              <w:right w:val="single" w:sz="4" w:space="0" w:color="auto"/>
            </w:tcBorders>
          </w:tcPr>
          <w:p w14:paraId="2586F770" w14:textId="258485AA" w:rsidR="00050B32" w:rsidRPr="004A77EB" w:rsidRDefault="00050B32" w:rsidP="00F43D6A">
            <w:pPr>
              <w:pStyle w:val="Tabletext1"/>
            </w:pPr>
            <w:r w:rsidRPr="004A77EB">
              <w:t>TRUSGB</w:t>
            </w:r>
          </w:p>
        </w:tc>
        <w:tc>
          <w:tcPr>
            <w:tcW w:w="359" w:type="pct"/>
            <w:tcBorders>
              <w:top w:val="single" w:sz="4" w:space="0" w:color="auto"/>
              <w:left w:val="single" w:sz="4" w:space="0" w:color="auto"/>
              <w:bottom w:val="single" w:sz="4" w:space="0" w:color="auto"/>
              <w:right w:val="single" w:sz="4" w:space="0" w:color="auto"/>
            </w:tcBorders>
          </w:tcPr>
          <w:p w14:paraId="45CF3B36" w14:textId="7747171F" w:rsidR="00050B32" w:rsidRPr="004A77EB" w:rsidRDefault="00050B32" w:rsidP="00F43D6A">
            <w:pPr>
              <w:pStyle w:val="Tabletext1"/>
            </w:pPr>
            <w:r w:rsidRPr="004A77EB">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3A1F50F2" w14:textId="45A26441" w:rsidR="00050B32" w:rsidRPr="004A77EB" w:rsidRDefault="00050B32" w:rsidP="00F43D6A">
            <w:pPr>
              <w:pStyle w:val="Tabletext1"/>
            </w:pPr>
            <w:r w:rsidRPr="004A77EB">
              <w:t>≥1</w:t>
            </w:r>
          </w:p>
        </w:tc>
      </w:tr>
    </w:tbl>
    <w:p w14:paraId="3426DAED" w14:textId="77777777" w:rsidR="00C45F11" w:rsidRDefault="00C45F11" w:rsidP="00F43D6A">
      <w:pPr>
        <w:pStyle w:val="TableNotes"/>
      </w:pPr>
      <w:bookmarkStart w:id="779" w:name="_Ref192056948"/>
      <w:bookmarkStart w:id="780" w:name="_Ref169423889"/>
      <w:r w:rsidRPr="00C45F11">
        <w:rPr>
          <w:vertAlign w:val="superscript"/>
        </w:rPr>
        <w:t>a</w:t>
      </w:r>
      <w:r>
        <w:t>: D</w:t>
      </w:r>
      <w:r w:rsidR="00B83FA3" w:rsidRPr="00C45F11">
        <w:t>escribes</w:t>
      </w:r>
      <w:r w:rsidR="00B83FA3">
        <w:t xml:space="preserve"> consecutive or non-consecutive enrolment. </w:t>
      </w:r>
    </w:p>
    <w:p w14:paraId="6E91180D" w14:textId="317CE18B" w:rsidR="00C45F11" w:rsidRDefault="00C45F11" w:rsidP="00F43D6A">
      <w:pPr>
        <w:pStyle w:val="TableNotes"/>
      </w:pPr>
      <w:r>
        <w:rPr>
          <w:vertAlign w:val="superscript"/>
        </w:rPr>
        <w:t>b</w:t>
      </w:r>
      <w:r>
        <w:t>: D</w:t>
      </w:r>
      <w:r w:rsidR="00B83FA3">
        <w:t xml:space="preserve">escribes a retrospective or prospective study design. </w:t>
      </w:r>
    </w:p>
    <w:p w14:paraId="7AC43F28" w14:textId="6A3CDD7D" w:rsidR="00C45F11" w:rsidRDefault="00B83FA3" w:rsidP="00F43D6A">
      <w:pPr>
        <w:pStyle w:val="TableNotes"/>
        <w:rPr>
          <w:rStyle w:val="Hyperlink"/>
          <w:vanish/>
          <w:sz w:val="20"/>
        </w:rPr>
      </w:pPr>
      <w:r w:rsidRPr="00B83FA3">
        <w:rPr>
          <w:vertAlign w:val="superscript"/>
        </w:rPr>
        <w:lastRenderedPageBreak/>
        <w:t>c</w:t>
      </w:r>
      <w:r w:rsidR="00C45F11">
        <w:t>: S</w:t>
      </w:r>
      <w:r w:rsidR="00FA3C68">
        <w:t>ource:</w:t>
      </w:r>
      <w:r w:rsidR="00FA3C68" w:rsidRPr="00183E4D">
        <w:t xml:space="preserve"> </w:t>
      </w:r>
      <w:hyperlink r:id="rId60" w:history="1">
        <w:r w:rsidR="003B0C69">
          <w:rPr>
            <w:rStyle w:val="Hyperlink"/>
          </w:rPr>
          <w:t>NHMRC hierarchy of evidence</w:t>
        </w:r>
      </w:hyperlink>
      <w:r w:rsidR="00FA3C68">
        <w:rPr>
          <w:rStyle w:val="Hyperlink"/>
          <w:vanish/>
          <w:sz w:val="20"/>
        </w:rPr>
        <w:t xml:space="preserve">; </w:t>
      </w:r>
    </w:p>
    <w:p w14:paraId="4103433B" w14:textId="64AFAEFC" w:rsidR="008D77C9" w:rsidRPr="0054069C" w:rsidRDefault="0054069C" w:rsidP="00F43D6A">
      <w:pPr>
        <w:pStyle w:val="TableNotes"/>
      </w:pPr>
      <w:r w:rsidRPr="00F43D6A">
        <w:rPr>
          <w:vertAlign w:val="superscript"/>
        </w:rPr>
        <w:t>d</w:t>
      </w:r>
      <w:r w:rsidR="00C45F11">
        <w:t>: I</w:t>
      </w:r>
      <w:r w:rsidRPr="0054069C">
        <w:t xml:space="preserve">f PI-RADS ≥4 was used by the study or was calculable by the assessment group this is denoted. For studies </w:t>
      </w:r>
      <w:r w:rsidR="000C0CCE" w:rsidRPr="0054069C">
        <w:t>that</w:t>
      </w:r>
      <w:r w:rsidRPr="0054069C">
        <w:t xml:space="preserve"> only reported data for </w:t>
      </w:r>
      <w:r w:rsidR="000C0CCE" w:rsidRPr="0054069C">
        <w:t>another</w:t>
      </w:r>
      <w:r w:rsidRPr="0054069C">
        <w:t xml:space="preserve"> PI-RADS cut</w:t>
      </w:r>
      <w:r w:rsidR="006F3F56">
        <w:t>-</w:t>
      </w:r>
      <w:r w:rsidRPr="0054069C">
        <w:t>off, e</w:t>
      </w:r>
      <w:r w:rsidR="006F3F56">
        <w:t>.</w:t>
      </w:r>
      <w:r w:rsidRPr="0054069C">
        <w:t>g</w:t>
      </w:r>
      <w:r w:rsidR="006F3F56">
        <w:t>.</w:t>
      </w:r>
      <w:r w:rsidRPr="0054069C">
        <w:t xml:space="preserve"> ≥ 3 this is listed. For studies that did not use the PI-RADS system, this is denoted not applicable (NA)</w:t>
      </w:r>
      <w:r w:rsidR="00307479">
        <w:br/>
        <w:t xml:space="preserve">NR = not reported, TP = true positive, </w:t>
      </w:r>
      <w:r w:rsidR="00F8244A">
        <w:t xml:space="preserve">FP = false positive, </w:t>
      </w:r>
      <w:r w:rsidR="00307479">
        <w:t>TN = true negative, FN = false negative, PPAC = pelvic phased array coil, ERC = endorectal coil, mpMRI = multi</w:t>
      </w:r>
      <w:r w:rsidR="0029690D">
        <w:t>parametric- MRI, TRUSGB = trans</w:t>
      </w:r>
      <w:r w:rsidR="006F3F56">
        <w:t>-</w:t>
      </w:r>
      <w:r w:rsidR="00307479">
        <w:t>rectal ultrasound-guided biopsy, FGB = fusion guided biopsy, MRI = magnetic resonance imaging, IQR = interquartile range, PSA = prostate</w:t>
      </w:r>
      <w:r w:rsidR="00E54571">
        <w:t>-</w:t>
      </w:r>
      <w:r w:rsidR="00307479">
        <w:t>specific antigen, cog-MRI = cognitive –guided MRI biopsy</w:t>
      </w:r>
      <w:r w:rsidR="00F26535">
        <w:t xml:space="preserve">, </w:t>
      </w:r>
      <w:r w:rsidR="00F26535" w:rsidRPr="0054069C">
        <w:t>PI-RADS</w:t>
      </w:r>
      <w:r w:rsidR="00F26535">
        <w:t xml:space="preserve"> = </w:t>
      </w:r>
      <w:r w:rsidR="00F26535" w:rsidRPr="000C2D22">
        <w:t>Prostate Imaging Reporting and Data System</w:t>
      </w:r>
      <w:r w:rsidR="00A4761C">
        <w:t>.</w:t>
      </w:r>
    </w:p>
    <w:p w14:paraId="1A76406A" w14:textId="774241BA" w:rsidR="007F5EC8" w:rsidRDefault="00307479" w:rsidP="00307479">
      <w:pPr>
        <w:pStyle w:val="Heading2"/>
      </w:pPr>
      <w:bookmarkStart w:id="781" w:name="_Toc460514014"/>
      <w:r w:rsidRPr="00183E4D">
        <w:t xml:space="preserve">Profiles of studies </w:t>
      </w:r>
      <w:r w:rsidR="00BC09C7">
        <w:t>for patients in Population 2</w:t>
      </w:r>
      <w:r w:rsidRPr="00183E4D">
        <w:t xml:space="preserve"> included in the systematic literature review</w:t>
      </w:r>
      <w:bookmarkEnd w:id="781"/>
    </w:p>
    <w:p w14:paraId="20CF7B8F" w14:textId="4505BA73" w:rsidR="000B1DB4" w:rsidRPr="000B1DB4" w:rsidRDefault="000B1DB4" w:rsidP="009A220C">
      <w:pPr>
        <w:pStyle w:val="Caption"/>
      </w:pPr>
      <w:bookmarkStart w:id="782" w:name="_Toc460514571"/>
      <w:r>
        <w:t xml:space="preserve">Table </w:t>
      </w:r>
      <w:fldSimple w:instr=" SEQ Table \* ARABIC ">
        <w:r w:rsidR="0029649D">
          <w:rPr>
            <w:noProof/>
          </w:rPr>
          <w:t>71</w:t>
        </w:r>
      </w:fldSimple>
      <w:r w:rsidR="00D03D2D">
        <w:rPr>
          <w:noProof/>
        </w:rPr>
        <w:tab/>
        <w:t>Studies reporting diagnostic accuracy data on the use of mpMRI in Population 2</w:t>
      </w:r>
      <w:bookmarkEnd w:id="782"/>
    </w:p>
    <w:tbl>
      <w:tblPr>
        <w:tblW w:w="5106" w:type="pct"/>
        <w:tblLayout w:type="fixed"/>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298"/>
        <w:gridCol w:w="928"/>
        <w:gridCol w:w="1427"/>
        <w:gridCol w:w="1025"/>
        <w:gridCol w:w="1110"/>
        <w:gridCol w:w="2975"/>
        <w:gridCol w:w="1496"/>
        <w:gridCol w:w="1621"/>
        <w:gridCol w:w="1235"/>
        <w:gridCol w:w="1126"/>
        <w:gridCol w:w="1436"/>
      </w:tblGrid>
      <w:tr w:rsidR="00BC09C7" w:rsidRPr="006532FE" w14:paraId="0D3479CD" w14:textId="77777777" w:rsidTr="00B320CB">
        <w:trPr>
          <w:cantSplit/>
          <w:trHeight w:val="624"/>
          <w:tblHeader/>
        </w:trPr>
        <w:tc>
          <w:tcPr>
            <w:tcW w:w="414" w:type="pct"/>
            <w:tcBorders>
              <w:top w:val="single" w:sz="4" w:space="0" w:color="auto"/>
              <w:left w:val="single" w:sz="4" w:space="0" w:color="auto"/>
              <w:bottom w:val="single" w:sz="4" w:space="0" w:color="auto"/>
              <w:right w:val="single" w:sz="4" w:space="0" w:color="auto"/>
            </w:tcBorders>
          </w:tcPr>
          <w:p w14:paraId="21882308" w14:textId="77777777" w:rsidR="00BC09C7" w:rsidRPr="006532FE" w:rsidRDefault="00BC09C7" w:rsidP="006532FE">
            <w:pPr>
              <w:pStyle w:val="TableHeading"/>
            </w:pPr>
            <w:r w:rsidRPr="006532FE">
              <w:t>Study ID</w:t>
            </w:r>
          </w:p>
        </w:tc>
        <w:tc>
          <w:tcPr>
            <w:tcW w:w="296" w:type="pct"/>
            <w:tcBorders>
              <w:top w:val="single" w:sz="4" w:space="0" w:color="auto"/>
              <w:left w:val="single" w:sz="4" w:space="0" w:color="auto"/>
              <w:bottom w:val="single" w:sz="4" w:space="0" w:color="auto"/>
              <w:right w:val="single" w:sz="4" w:space="0" w:color="auto"/>
            </w:tcBorders>
          </w:tcPr>
          <w:p w14:paraId="7EB4BD26" w14:textId="77777777" w:rsidR="00BC09C7" w:rsidRPr="006532FE" w:rsidRDefault="00BC09C7" w:rsidP="006532FE">
            <w:pPr>
              <w:pStyle w:val="TableHeading"/>
            </w:pPr>
            <w:r w:rsidRPr="006532FE">
              <w:t>Used in meta-analysis</w:t>
            </w:r>
          </w:p>
        </w:tc>
        <w:tc>
          <w:tcPr>
            <w:tcW w:w="455" w:type="pct"/>
            <w:tcBorders>
              <w:top w:val="single" w:sz="4" w:space="0" w:color="auto"/>
              <w:left w:val="single" w:sz="4" w:space="0" w:color="auto"/>
              <w:bottom w:val="single" w:sz="4" w:space="0" w:color="auto"/>
              <w:right w:val="single" w:sz="4" w:space="0" w:color="auto"/>
            </w:tcBorders>
          </w:tcPr>
          <w:p w14:paraId="76C95370" w14:textId="77777777" w:rsidR="00BC09C7" w:rsidRPr="006532FE" w:rsidRDefault="00BC09C7" w:rsidP="006532FE">
            <w:pPr>
              <w:pStyle w:val="TableHeading"/>
            </w:pPr>
            <w:r w:rsidRPr="006532FE">
              <w:t>Study type</w:t>
            </w:r>
          </w:p>
          <w:p w14:paraId="2492DA76" w14:textId="213A91D9" w:rsidR="00BC09C7" w:rsidRPr="006532FE" w:rsidRDefault="000C0CCE" w:rsidP="006532FE">
            <w:pPr>
              <w:pStyle w:val="TableHeading"/>
            </w:pPr>
            <w:r w:rsidRPr="006532FE">
              <w:t>Enrolment</w:t>
            </w:r>
            <w:r w:rsidRPr="000C0CCE">
              <w:rPr>
                <w:vertAlign w:val="superscript"/>
              </w:rPr>
              <w:t>a</w:t>
            </w:r>
          </w:p>
          <w:p w14:paraId="30D3B490" w14:textId="77777777" w:rsidR="00BC09C7" w:rsidRPr="006532FE" w:rsidRDefault="00BC09C7" w:rsidP="006532FE">
            <w:pPr>
              <w:pStyle w:val="TableHeading"/>
            </w:pPr>
            <w:r w:rsidRPr="006532FE">
              <w:t>Design</w:t>
            </w:r>
            <w:r w:rsidRPr="006532FE">
              <w:rPr>
                <w:vertAlign w:val="superscript"/>
              </w:rPr>
              <w:t>b</w:t>
            </w:r>
          </w:p>
          <w:p w14:paraId="44C2CE08" w14:textId="77777777" w:rsidR="00BC09C7" w:rsidRPr="006532FE" w:rsidRDefault="00BC09C7" w:rsidP="006532FE">
            <w:pPr>
              <w:pStyle w:val="TableHeading"/>
            </w:pPr>
          </w:p>
        </w:tc>
        <w:tc>
          <w:tcPr>
            <w:tcW w:w="327" w:type="pct"/>
            <w:tcBorders>
              <w:top w:val="single" w:sz="4" w:space="0" w:color="auto"/>
              <w:left w:val="single" w:sz="4" w:space="0" w:color="auto"/>
              <w:bottom w:val="single" w:sz="4" w:space="0" w:color="auto"/>
              <w:right w:val="single" w:sz="4" w:space="0" w:color="auto"/>
            </w:tcBorders>
          </w:tcPr>
          <w:p w14:paraId="0066DAF5" w14:textId="6B51D2BD" w:rsidR="00BC09C7" w:rsidRPr="006532FE" w:rsidRDefault="00BC09C7" w:rsidP="006532FE">
            <w:pPr>
              <w:pStyle w:val="TableHeading"/>
            </w:pPr>
            <w:r w:rsidRPr="006532FE">
              <w:t>Level o</w:t>
            </w:r>
            <w:r w:rsidR="001D7B73">
              <w:t>f evidence</w:t>
            </w:r>
            <w:r w:rsidRPr="006532FE">
              <w:rPr>
                <w:vertAlign w:val="superscript"/>
              </w:rPr>
              <w:t>c</w:t>
            </w:r>
          </w:p>
        </w:tc>
        <w:tc>
          <w:tcPr>
            <w:tcW w:w="354" w:type="pct"/>
            <w:tcBorders>
              <w:top w:val="single" w:sz="4" w:space="0" w:color="auto"/>
              <w:left w:val="single" w:sz="4" w:space="0" w:color="auto"/>
              <w:bottom w:val="single" w:sz="4" w:space="0" w:color="auto"/>
              <w:right w:val="single" w:sz="4" w:space="0" w:color="auto"/>
            </w:tcBorders>
          </w:tcPr>
          <w:p w14:paraId="04EA9883" w14:textId="77777777" w:rsidR="00BC09C7" w:rsidRPr="006532FE" w:rsidRDefault="00BC09C7" w:rsidP="006532FE">
            <w:pPr>
              <w:pStyle w:val="TableHeading"/>
            </w:pPr>
            <w:r w:rsidRPr="006532FE">
              <w:t>Location</w:t>
            </w:r>
          </w:p>
          <w:p w14:paraId="36E99336" w14:textId="77777777" w:rsidR="00BC09C7" w:rsidRPr="006532FE" w:rsidRDefault="00BC09C7" w:rsidP="006532FE">
            <w:pPr>
              <w:pStyle w:val="TableHeading"/>
            </w:pPr>
            <w:r w:rsidRPr="006532FE">
              <w:t>Setting</w:t>
            </w:r>
          </w:p>
          <w:p w14:paraId="39C15A9E" w14:textId="77777777" w:rsidR="00BC09C7" w:rsidRPr="006532FE" w:rsidRDefault="00BC09C7" w:rsidP="006532FE">
            <w:pPr>
              <w:pStyle w:val="TableHeading"/>
            </w:pPr>
          </w:p>
        </w:tc>
        <w:tc>
          <w:tcPr>
            <w:tcW w:w="949" w:type="pct"/>
            <w:tcBorders>
              <w:top w:val="single" w:sz="4" w:space="0" w:color="auto"/>
              <w:left w:val="single" w:sz="4" w:space="0" w:color="auto"/>
              <w:bottom w:val="single" w:sz="4" w:space="0" w:color="auto"/>
              <w:right w:val="single" w:sz="4" w:space="0" w:color="auto"/>
            </w:tcBorders>
          </w:tcPr>
          <w:p w14:paraId="49BE247B" w14:textId="77777777" w:rsidR="00BC09C7" w:rsidRPr="006532FE" w:rsidRDefault="00BC09C7" w:rsidP="006532FE">
            <w:pPr>
              <w:pStyle w:val="TableHeading"/>
            </w:pPr>
            <w:r w:rsidRPr="006532FE">
              <w:t>Study population characteristics:</w:t>
            </w:r>
          </w:p>
          <w:p w14:paraId="1E8A6EA8" w14:textId="43744ADE" w:rsidR="00BC09C7" w:rsidRPr="006532FE" w:rsidRDefault="00AB582A" w:rsidP="006532FE">
            <w:pPr>
              <w:pStyle w:val="TableHeading"/>
            </w:pPr>
            <w:r>
              <w:t>n</w:t>
            </w:r>
          </w:p>
          <w:p w14:paraId="3FC3F30E" w14:textId="77777777" w:rsidR="00BC09C7" w:rsidRPr="006532FE" w:rsidRDefault="00BC09C7" w:rsidP="006532FE">
            <w:pPr>
              <w:pStyle w:val="TableHeading"/>
            </w:pPr>
            <w:r w:rsidRPr="006532FE">
              <w:t>Age years</w:t>
            </w:r>
          </w:p>
          <w:p w14:paraId="3DD64EE6" w14:textId="77777777" w:rsidR="00BC09C7" w:rsidRPr="006532FE" w:rsidRDefault="008B2529" w:rsidP="006532FE">
            <w:pPr>
              <w:pStyle w:val="TableHeading"/>
            </w:pPr>
            <w:r w:rsidRPr="006532FE">
              <w:t>PSA ng/ml</w:t>
            </w:r>
          </w:p>
          <w:p w14:paraId="2FBF8B4A" w14:textId="619DB5B4" w:rsidR="008B2529" w:rsidRPr="006532FE" w:rsidRDefault="008B2529" w:rsidP="006532FE">
            <w:pPr>
              <w:pStyle w:val="TableHeading"/>
            </w:pPr>
            <w:r w:rsidRPr="006532FE">
              <w:t>Gleason score</w:t>
            </w:r>
          </w:p>
        </w:tc>
        <w:tc>
          <w:tcPr>
            <w:tcW w:w="477" w:type="pct"/>
            <w:tcBorders>
              <w:top w:val="single" w:sz="4" w:space="0" w:color="auto"/>
              <w:left w:val="single" w:sz="4" w:space="0" w:color="auto"/>
              <w:bottom w:val="single" w:sz="4" w:space="0" w:color="auto"/>
              <w:right w:val="single" w:sz="4" w:space="0" w:color="auto"/>
            </w:tcBorders>
          </w:tcPr>
          <w:p w14:paraId="624F5964" w14:textId="77777777" w:rsidR="00BC09C7" w:rsidRPr="006532FE" w:rsidRDefault="00BC09C7" w:rsidP="006532FE">
            <w:pPr>
              <w:pStyle w:val="TableHeading"/>
            </w:pPr>
            <w:r w:rsidRPr="006532FE">
              <w:t>Description of Intervention:</w:t>
            </w:r>
          </w:p>
          <w:p w14:paraId="1925446C" w14:textId="77777777" w:rsidR="00BC09C7" w:rsidRPr="006532FE" w:rsidRDefault="00BC09C7" w:rsidP="006532FE">
            <w:pPr>
              <w:pStyle w:val="TableHeading"/>
            </w:pPr>
            <w:r w:rsidRPr="006532FE">
              <w:t>T</w:t>
            </w:r>
          </w:p>
          <w:p w14:paraId="45BE96B6" w14:textId="77777777" w:rsidR="00BC09C7" w:rsidRPr="006532FE" w:rsidRDefault="00BC09C7" w:rsidP="006532FE">
            <w:pPr>
              <w:pStyle w:val="TableHeading"/>
            </w:pPr>
            <w:r w:rsidRPr="006532FE">
              <w:t>Coil</w:t>
            </w:r>
          </w:p>
          <w:p w14:paraId="3BA895CA" w14:textId="77777777" w:rsidR="00BC09C7" w:rsidRPr="006532FE" w:rsidRDefault="00BC09C7" w:rsidP="006532FE">
            <w:pPr>
              <w:pStyle w:val="TableHeading"/>
            </w:pPr>
            <w:r w:rsidRPr="006532FE">
              <w:t>Contrast</w:t>
            </w:r>
          </w:p>
        </w:tc>
        <w:tc>
          <w:tcPr>
            <w:tcW w:w="517" w:type="pct"/>
            <w:tcBorders>
              <w:top w:val="single" w:sz="4" w:space="0" w:color="auto"/>
              <w:left w:val="single" w:sz="4" w:space="0" w:color="auto"/>
              <w:bottom w:val="single" w:sz="4" w:space="0" w:color="auto"/>
              <w:right w:val="single" w:sz="4" w:space="0" w:color="auto"/>
            </w:tcBorders>
          </w:tcPr>
          <w:p w14:paraId="4D873FC6" w14:textId="77777777" w:rsidR="00BC09C7" w:rsidRPr="006532FE" w:rsidRDefault="00BC09C7" w:rsidP="006532FE">
            <w:pPr>
              <w:pStyle w:val="TableHeading"/>
            </w:pPr>
            <w:r w:rsidRPr="006532FE">
              <w:t>Description of Intervention:</w:t>
            </w:r>
          </w:p>
          <w:p w14:paraId="58A65D27" w14:textId="77777777" w:rsidR="00BC09C7" w:rsidRPr="006532FE" w:rsidRDefault="00BC09C7" w:rsidP="006532FE">
            <w:pPr>
              <w:pStyle w:val="TableHeading"/>
            </w:pPr>
            <w:r w:rsidRPr="006532FE">
              <w:t>mpMRI Reader experience</w:t>
            </w:r>
          </w:p>
        </w:tc>
        <w:tc>
          <w:tcPr>
            <w:tcW w:w="394" w:type="pct"/>
            <w:tcBorders>
              <w:top w:val="single" w:sz="4" w:space="0" w:color="auto"/>
              <w:left w:val="single" w:sz="4" w:space="0" w:color="auto"/>
              <w:bottom w:val="single" w:sz="4" w:space="0" w:color="auto"/>
              <w:right w:val="single" w:sz="4" w:space="0" w:color="auto"/>
            </w:tcBorders>
          </w:tcPr>
          <w:p w14:paraId="0B2F2380" w14:textId="7E1AF2E3" w:rsidR="00BC09C7" w:rsidRPr="006532FE" w:rsidRDefault="00BC09C7" w:rsidP="006532FE">
            <w:pPr>
              <w:pStyle w:val="TableHeading"/>
            </w:pPr>
            <w:r w:rsidRPr="006532FE">
              <w:t>Description of Reference standard:</w:t>
            </w:r>
          </w:p>
        </w:tc>
        <w:tc>
          <w:tcPr>
            <w:tcW w:w="359" w:type="pct"/>
            <w:tcBorders>
              <w:top w:val="single" w:sz="4" w:space="0" w:color="auto"/>
              <w:left w:val="single" w:sz="4" w:space="0" w:color="auto"/>
              <w:bottom w:val="single" w:sz="4" w:space="0" w:color="auto"/>
              <w:right w:val="single" w:sz="4" w:space="0" w:color="auto"/>
            </w:tcBorders>
          </w:tcPr>
          <w:p w14:paraId="2A71A006" w14:textId="77777777" w:rsidR="00BC09C7" w:rsidRPr="006532FE" w:rsidRDefault="00BC09C7" w:rsidP="006532FE">
            <w:pPr>
              <w:pStyle w:val="TableHeading"/>
            </w:pPr>
            <w:r w:rsidRPr="006532FE">
              <w:t xml:space="preserve">Relevant outcomes assessed </w:t>
            </w:r>
          </w:p>
        </w:tc>
        <w:tc>
          <w:tcPr>
            <w:tcW w:w="458" w:type="pct"/>
            <w:tcBorders>
              <w:top w:val="single" w:sz="4" w:space="0" w:color="auto"/>
              <w:left w:val="single" w:sz="4" w:space="0" w:color="auto"/>
              <w:bottom w:val="single" w:sz="4" w:space="0" w:color="auto"/>
              <w:right w:val="single" w:sz="4" w:space="0" w:color="auto"/>
            </w:tcBorders>
          </w:tcPr>
          <w:p w14:paraId="6414BFD6" w14:textId="2865E62D" w:rsidR="00BC09C7" w:rsidRPr="006532FE" w:rsidRDefault="00BC09C7" w:rsidP="006532FE">
            <w:pPr>
              <w:pStyle w:val="TableHeading"/>
            </w:pPr>
            <w:r w:rsidRPr="006532FE">
              <w:t xml:space="preserve">Measurement of outcomes </w:t>
            </w:r>
          </w:p>
          <w:p w14:paraId="0B10590A" w14:textId="77777777" w:rsidR="00BC09C7" w:rsidRPr="006532FE" w:rsidRDefault="00BC09C7" w:rsidP="006532FE">
            <w:pPr>
              <w:pStyle w:val="TableHeading"/>
            </w:pPr>
            <w:r w:rsidRPr="006532FE">
              <w:t>PI-RADS cutoff</w:t>
            </w:r>
            <w:r w:rsidRPr="006532FE">
              <w:rPr>
                <w:vertAlign w:val="superscript"/>
              </w:rPr>
              <w:t>d</w:t>
            </w:r>
          </w:p>
        </w:tc>
      </w:tr>
      <w:tr w:rsidR="00AD3A4B" w:rsidRPr="006532FE" w14:paraId="6430DBFC"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3131648C" w14:textId="6896BFDB" w:rsidR="00AD3A4B" w:rsidRPr="006532FE" w:rsidRDefault="00AD3A4B" w:rsidP="00B320CB">
            <w:pPr>
              <w:pStyle w:val="Tabletext1"/>
            </w:pPr>
            <w:r w:rsidRPr="006532FE">
              <w:t>Abd-Alazeez et al. (2014) - key study</w:t>
            </w:r>
          </w:p>
        </w:tc>
        <w:tc>
          <w:tcPr>
            <w:tcW w:w="296" w:type="pct"/>
            <w:tcBorders>
              <w:top w:val="single" w:sz="4" w:space="0" w:color="auto"/>
              <w:left w:val="single" w:sz="4" w:space="0" w:color="auto"/>
              <w:bottom w:val="single" w:sz="4" w:space="0" w:color="auto"/>
              <w:right w:val="single" w:sz="4" w:space="0" w:color="auto"/>
            </w:tcBorders>
          </w:tcPr>
          <w:p w14:paraId="4EEB15BE" w14:textId="24C4BDB7" w:rsidR="00AD3A4B" w:rsidRPr="006532FE" w:rsidRDefault="00AD3A4B" w:rsidP="00B320CB">
            <w:pPr>
              <w:pStyle w:val="Tabletext1"/>
            </w:pPr>
            <w:r w:rsidRPr="006532FE">
              <w:t>Yes</w:t>
            </w:r>
          </w:p>
        </w:tc>
        <w:tc>
          <w:tcPr>
            <w:tcW w:w="455" w:type="pct"/>
            <w:tcBorders>
              <w:top w:val="single" w:sz="4" w:space="0" w:color="auto"/>
              <w:left w:val="single" w:sz="4" w:space="0" w:color="auto"/>
              <w:bottom w:val="single" w:sz="4" w:space="0" w:color="auto"/>
              <w:right w:val="single" w:sz="4" w:space="0" w:color="auto"/>
            </w:tcBorders>
          </w:tcPr>
          <w:p w14:paraId="10FA6966" w14:textId="71AA34B6" w:rsidR="00AD3A4B" w:rsidRPr="006532FE" w:rsidRDefault="00AD3A4B" w:rsidP="00B320CB">
            <w:pPr>
              <w:pStyle w:val="Tabletext1"/>
            </w:pPr>
            <w:r w:rsidRPr="006532FE">
              <w:t>Case series</w:t>
            </w:r>
          </w:p>
          <w:p w14:paraId="42162079" w14:textId="2768B5E3" w:rsidR="00AD3A4B" w:rsidRPr="006532FE" w:rsidRDefault="00AD3A4B" w:rsidP="00B320CB">
            <w:pPr>
              <w:pStyle w:val="Tabletext1"/>
            </w:pPr>
            <w:r w:rsidRPr="006532FE">
              <w:t>Prospective</w:t>
            </w:r>
          </w:p>
          <w:p w14:paraId="45AE9BCC" w14:textId="1AF7E4B2"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569BB57A" w14:textId="5BF9DA2F"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6724A87E" w14:textId="77777777" w:rsidR="00AD3A4B" w:rsidRDefault="00AD3A4B" w:rsidP="00B320CB">
            <w:pPr>
              <w:pStyle w:val="Tabletext1"/>
            </w:pPr>
            <w:r w:rsidRPr="006532FE">
              <w:t>UK</w:t>
            </w:r>
          </w:p>
          <w:p w14:paraId="2E8DF764" w14:textId="0460D992"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DD11041" w14:textId="598F753A" w:rsidR="00AD3A4B" w:rsidRPr="006532FE" w:rsidRDefault="00AB582A" w:rsidP="00B320CB">
            <w:pPr>
              <w:pStyle w:val="Tabletext1"/>
            </w:pPr>
            <w:r>
              <w:t>n</w:t>
            </w:r>
            <w:r w:rsidR="00AD3A4B" w:rsidRPr="006532FE">
              <w:t>: 137</w:t>
            </w:r>
          </w:p>
          <w:p w14:paraId="56D58484" w14:textId="77777777" w:rsidR="00AD3A4B" w:rsidRPr="006532FE" w:rsidRDefault="00AD3A4B" w:rsidP="00B320CB">
            <w:pPr>
              <w:pStyle w:val="Tabletext1"/>
            </w:pPr>
            <w:r w:rsidRPr="006532FE">
              <w:t>Age: G1 mean 62.7 (SD 5.8), G2 mean 61.5 (SD 5.7), G3 mean 59.4 (SD 8.2)</w:t>
            </w:r>
          </w:p>
          <w:p w14:paraId="7A50A6A9" w14:textId="3EDBA5F1" w:rsidR="00AD3A4B" w:rsidRPr="006532FE" w:rsidRDefault="00AD3A4B" w:rsidP="00B320CB">
            <w:pPr>
              <w:pStyle w:val="Tabletext1"/>
            </w:pPr>
            <w:r w:rsidRPr="006532FE">
              <w:t xml:space="preserve">PSA: G1 </w:t>
            </w:r>
            <w:r w:rsidR="000C0CCE" w:rsidRPr="006532FE">
              <w:t>median</w:t>
            </w:r>
            <w:r w:rsidRPr="006532FE">
              <w:t xml:space="preserve"> 7 (range 2-29), G2 median 8.3 (range 2.3-17), G3 median 5 (range 2.8-15)</w:t>
            </w:r>
          </w:p>
          <w:p w14:paraId="07D367CE" w14:textId="03168D4C" w:rsidR="00AD3A4B" w:rsidRPr="006532FE" w:rsidRDefault="00AD3A4B" w:rsidP="00B320CB">
            <w:pPr>
              <w:pStyle w:val="Tabletext1"/>
            </w:pPr>
            <w:r w:rsidRPr="006532FE">
              <w:t>Gleason: 6</w:t>
            </w:r>
          </w:p>
        </w:tc>
        <w:tc>
          <w:tcPr>
            <w:tcW w:w="477" w:type="pct"/>
            <w:tcBorders>
              <w:top w:val="single" w:sz="4" w:space="0" w:color="auto"/>
              <w:left w:val="single" w:sz="4" w:space="0" w:color="auto"/>
              <w:bottom w:val="single" w:sz="4" w:space="0" w:color="auto"/>
              <w:right w:val="single" w:sz="4" w:space="0" w:color="auto"/>
            </w:tcBorders>
          </w:tcPr>
          <w:p w14:paraId="109CA403" w14:textId="2B7FF6D9" w:rsidR="00AD3A4B" w:rsidRPr="006532FE" w:rsidRDefault="00AD3A4B" w:rsidP="00B320CB">
            <w:pPr>
              <w:pStyle w:val="Tabletext1"/>
            </w:pPr>
            <w:r w:rsidRPr="006532FE">
              <w:t>1.5T or 3.0T</w:t>
            </w:r>
          </w:p>
          <w:p w14:paraId="6FBD916A" w14:textId="672DB5C7" w:rsidR="00AD3A4B" w:rsidRPr="006532FE" w:rsidRDefault="00AD3A4B" w:rsidP="00B320CB">
            <w:pPr>
              <w:pStyle w:val="Tabletext1"/>
            </w:pPr>
            <w:r w:rsidRPr="006532FE">
              <w:t>Coil: PPAC</w:t>
            </w:r>
          </w:p>
          <w:p w14:paraId="44B5D802" w14:textId="6D47252B" w:rsidR="00AD3A4B" w:rsidRPr="006532FE" w:rsidRDefault="00AD3A4B" w:rsidP="00B320CB">
            <w:pPr>
              <w:pStyle w:val="Tabletext1"/>
            </w:pPr>
            <w:r w:rsidRPr="006532FE">
              <w:t>Contrast: meglumine gadoterate</w:t>
            </w:r>
          </w:p>
        </w:tc>
        <w:tc>
          <w:tcPr>
            <w:tcW w:w="517" w:type="pct"/>
            <w:tcBorders>
              <w:top w:val="single" w:sz="4" w:space="0" w:color="auto"/>
              <w:left w:val="single" w:sz="4" w:space="0" w:color="auto"/>
              <w:bottom w:val="single" w:sz="4" w:space="0" w:color="auto"/>
              <w:right w:val="single" w:sz="4" w:space="0" w:color="auto"/>
            </w:tcBorders>
          </w:tcPr>
          <w:p w14:paraId="0F2C96A1" w14:textId="48691D9A" w:rsidR="00AD3A4B" w:rsidRPr="006532FE" w:rsidRDefault="00AD3A4B" w:rsidP="00B320CB">
            <w:pPr>
              <w:pStyle w:val="Tabletext1"/>
            </w:pPr>
            <w:r w:rsidRPr="006532FE">
              <w:t xml:space="preserve">5 radiologists </w:t>
            </w:r>
            <w:r w:rsidR="00001747">
              <w:t>with</w:t>
            </w:r>
            <w:r w:rsidRPr="006532FE">
              <w:t xml:space="preserve"> experience reporting at least 100 mpMRI per year</w:t>
            </w:r>
          </w:p>
        </w:tc>
        <w:tc>
          <w:tcPr>
            <w:tcW w:w="394" w:type="pct"/>
            <w:tcBorders>
              <w:top w:val="single" w:sz="4" w:space="0" w:color="auto"/>
              <w:left w:val="single" w:sz="4" w:space="0" w:color="auto"/>
              <w:bottom w:val="single" w:sz="4" w:space="0" w:color="auto"/>
              <w:right w:val="single" w:sz="4" w:space="0" w:color="auto"/>
            </w:tcBorders>
          </w:tcPr>
          <w:p w14:paraId="3C9B4B85" w14:textId="5594F856" w:rsidR="00AD3A4B" w:rsidRPr="006532FE" w:rsidRDefault="00AD230C" w:rsidP="00B320CB">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2CAD0D87" w14:textId="549FC74E"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05ECB037" w14:textId="2D9A21D8" w:rsidR="00AD3A4B" w:rsidRPr="006532FE" w:rsidRDefault="00AD3A4B" w:rsidP="00B320CB">
            <w:pPr>
              <w:pStyle w:val="Tabletext1"/>
            </w:pPr>
            <w:r w:rsidRPr="006532FE">
              <w:t>4</w:t>
            </w:r>
          </w:p>
        </w:tc>
      </w:tr>
      <w:tr w:rsidR="00AD3A4B" w:rsidRPr="006532FE" w14:paraId="67E4332B"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4174409E" w14:textId="568072C9" w:rsidR="00AD3A4B" w:rsidRPr="006532FE" w:rsidRDefault="00AD3A4B" w:rsidP="00B320CB">
            <w:pPr>
              <w:pStyle w:val="Tabletext1"/>
            </w:pPr>
            <w:r w:rsidRPr="006532FE">
              <w:t>Almeida et al. (2016) - key study</w:t>
            </w:r>
          </w:p>
        </w:tc>
        <w:tc>
          <w:tcPr>
            <w:tcW w:w="296" w:type="pct"/>
            <w:tcBorders>
              <w:top w:val="single" w:sz="4" w:space="0" w:color="auto"/>
              <w:left w:val="single" w:sz="4" w:space="0" w:color="auto"/>
              <w:bottom w:val="single" w:sz="4" w:space="0" w:color="auto"/>
              <w:right w:val="single" w:sz="4" w:space="0" w:color="auto"/>
            </w:tcBorders>
          </w:tcPr>
          <w:p w14:paraId="23DFC0B9" w14:textId="2AAED9AB" w:rsidR="00AD3A4B" w:rsidRPr="006532FE" w:rsidRDefault="00AD3A4B" w:rsidP="00B320CB">
            <w:pPr>
              <w:pStyle w:val="Tabletext1"/>
            </w:pPr>
            <w:r w:rsidRPr="006532FE">
              <w:t>Yes</w:t>
            </w:r>
          </w:p>
        </w:tc>
        <w:tc>
          <w:tcPr>
            <w:tcW w:w="455" w:type="pct"/>
            <w:tcBorders>
              <w:top w:val="single" w:sz="4" w:space="0" w:color="auto"/>
              <w:left w:val="single" w:sz="4" w:space="0" w:color="auto"/>
              <w:bottom w:val="single" w:sz="4" w:space="0" w:color="auto"/>
              <w:right w:val="single" w:sz="4" w:space="0" w:color="auto"/>
            </w:tcBorders>
          </w:tcPr>
          <w:p w14:paraId="48EAD1E0" w14:textId="77777777" w:rsidR="00AD3A4B" w:rsidRPr="006532FE" w:rsidRDefault="00AD3A4B" w:rsidP="00B320CB">
            <w:pPr>
              <w:pStyle w:val="Tabletext1"/>
            </w:pPr>
            <w:r w:rsidRPr="006532FE">
              <w:t>Case series</w:t>
            </w:r>
          </w:p>
          <w:p w14:paraId="376C21B8" w14:textId="6F2FBB1B" w:rsidR="00AD3A4B" w:rsidRPr="006532FE" w:rsidRDefault="00AD3A4B" w:rsidP="00B320CB">
            <w:pPr>
              <w:pStyle w:val="Tabletext1"/>
            </w:pPr>
            <w:r w:rsidRPr="006532FE">
              <w:t>Prospective</w:t>
            </w:r>
          </w:p>
          <w:p w14:paraId="518B8626" w14:textId="1529FB77"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70A65165" w14:textId="1B341139"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128769D1" w14:textId="77777777" w:rsidR="00AD3A4B" w:rsidRDefault="00AD3A4B" w:rsidP="00B320CB">
            <w:pPr>
              <w:pStyle w:val="Tabletext1"/>
            </w:pPr>
            <w:r w:rsidRPr="006532FE">
              <w:t>Italy</w:t>
            </w:r>
          </w:p>
          <w:p w14:paraId="378D779E" w14:textId="6FF33E1B"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6661C472" w14:textId="2EDB2945" w:rsidR="00AD3A4B" w:rsidRPr="006532FE" w:rsidRDefault="00AB582A" w:rsidP="00B320CB">
            <w:pPr>
              <w:pStyle w:val="Tabletext1"/>
            </w:pPr>
            <w:r>
              <w:t>n</w:t>
            </w:r>
            <w:r w:rsidR="00AD3A4B" w:rsidRPr="006532FE">
              <w:t>: 73</w:t>
            </w:r>
          </w:p>
          <w:p w14:paraId="4FBA47F8" w14:textId="5B7EC82B" w:rsidR="00AD3A4B" w:rsidRPr="006532FE" w:rsidRDefault="00AD3A4B" w:rsidP="00B320CB">
            <w:pPr>
              <w:pStyle w:val="Tabletext1"/>
            </w:pPr>
            <w:r w:rsidRPr="006532FE">
              <w:t>Age: mean 63 (SD 5.9)</w:t>
            </w:r>
          </w:p>
          <w:p w14:paraId="3867C6EB" w14:textId="2CA5F1DD" w:rsidR="00AD3A4B" w:rsidRPr="006532FE" w:rsidRDefault="00AD3A4B" w:rsidP="00B320CB">
            <w:pPr>
              <w:pStyle w:val="Tabletext1"/>
            </w:pPr>
            <w:r w:rsidRPr="006532FE">
              <w:t>PSA: mean 6.03 (SD 1.93)</w:t>
            </w:r>
          </w:p>
          <w:p w14:paraId="76A7A84D" w14:textId="798EFF8B"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46CD407E" w14:textId="47AC13F2" w:rsidR="00AD3A4B" w:rsidRPr="006532FE" w:rsidRDefault="00AD3A4B" w:rsidP="00B320CB">
            <w:pPr>
              <w:pStyle w:val="Tabletext1"/>
            </w:pPr>
            <w:r w:rsidRPr="006532FE">
              <w:t>1.5T</w:t>
            </w:r>
          </w:p>
          <w:p w14:paraId="4B300F18" w14:textId="77777777" w:rsidR="00AD3A4B" w:rsidRPr="006532FE" w:rsidRDefault="00AD3A4B" w:rsidP="00B320CB">
            <w:pPr>
              <w:pStyle w:val="Tabletext1"/>
            </w:pPr>
            <w:r w:rsidRPr="006532FE">
              <w:t>Coil: PPAC</w:t>
            </w:r>
          </w:p>
          <w:p w14:paraId="32B56B22" w14:textId="59FB0AF2" w:rsidR="00AD3A4B" w:rsidRPr="006532FE" w:rsidRDefault="00AD3A4B" w:rsidP="00B320CB">
            <w:pPr>
              <w:pStyle w:val="Tabletext1"/>
            </w:pPr>
            <w:r w:rsidRPr="006532FE">
              <w:t>Contrast: gadopentetate dimeglumine</w:t>
            </w:r>
          </w:p>
        </w:tc>
        <w:tc>
          <w:tcPr>
            <w:tcW w:w="517" w:type="pct"/>
            <w:tcBorders>
              <w:top w:val="single" w:sz="4" w:space="0" w:color="auto"/>
              <w:left w:val="single" w:sz="4" w:space="0" w:color="auto"/>
              <w:bottom w:val="single" w:sz="4" w:space="0" w:color="auto"/>
              <w:right w:val="single" w:sz="4" w:space="0" w:color="auto"/>
            </w:tcBorders>
          </w:tcPr>
          <w:p w14:paraId="74DBBBC2" w14:textId="03A18087" w:rsidR="00AD3A4B" w:rsidRPr="006532FE" w:rsidRDefault="00AD3A4B" w:rsidP="00B320CB">
            <w:pPr>
              <w:pStyle w:val="Tabletext1"/>
            </w:pPr>
            <w:r w:rsidRPr="006532FE">
              <w:t>2 radiologists experienced in prostate MRI</w:t>
            </w:r>
          </w:p>
        </w:tc>
        <w:tc>
          <w:tcPr>
            <w:tcW w:w="394" w:type="pct"/>
            <w:tcBorders>
              <w:top w:val="single" w:sz="4" w:space="0" w:color="auto"/>
              <w:left w:val="single" w:sz="4" w:space="0" w:color="auto"/>
              <w:bottom w:val="single" w:sz="4" w:space="0" w:color="auto"/>
              <w:right w:val="single" w:sz="4" w:space="0" w:color="auto"/>
            </w:tcBorders>
          </w:tcPr>
          <w:p w14:paraId="2CBEFB76" w14:textId="2585B928" w:rsidR="00AD3A4B" w:rsidRPr="006532FE" w:rsidRDefault="00AD3A4B" w:rsidP="00B320CB">
            <w:pPr>
              <w:pStyle w:val="Tabletext1"/>
            </w:pPr>
            <w:r w:rsidRPr="006532FE">
              <w:t>prostatectomy</w:t>
            </w:r>
          </w:p>
        </w:tc>
        <w:tc>
          <w:tcPr>
            <w:tcW w:w="359" w:type="pct"/>
            <w:tcBorders>
              <w:top w:val="single" w:sz="4" w:space="0" w:color="auto"/>
              <w:left w:val="single" w:sz="4" w:space="0" w:color="auto"/>
              <w:bottom w:val="single" w:sz="4" w:space="0" w:color="auto"/>
              <w:right w:val="single" w:sz="4" w:space="0" w:color="auto"/>
            </w:tcBorders>
          </w:tcPr>
          <w:p w14:paraId="35C1AC9E" w14:textId="10ADD3E8"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6207FF90" w14:textId="0D113024" w:rsidR="00AD3A4B" w:rsidRPr="006532FE" w:rsidRDefault="00AD3A4B" w:rsidP="00B320CB">
            <w:pPr>
              <w:pStyle w:val="Tabletext1"/>
            </w:pPr>
            <w:r w:rsidRPr="006532FE">
              <w:t>4</w:t>
            </w:r>
          </w:p>
        </w:tc>
      </w:tr>
      <w:tr w:rsidR="00AD3A4B" w:rsidRPr="006532FE" w14:paraId="12B6CE6B"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388BDC20" w14:textId="30E67D84" w:rsidR="00AD3A4B" w:rsidRPr="006532FE" w:rsidRDefault="00AD3A4B" w:rsidP="00B320CB">
            <w:pPr>
              <w:pStyle w:val="Tabletext1"/>
            </w:pPr>
            <w:r w:rsidRPr="006532FE">
              <w:t>de Cobelli et al. 2015 - key study</w:t>
            </w:r>
          </w:p>
        </w:tc>
        <w:tc>
          <w:tcPr>
            <w:tcW w:w="296" w:type="pct"/>
            <w:tcBorders>
              <w:top w:val="single" w:sz="4" w:space="0" w:color="auto"/>
              <w:left w:val="single" w:sz="4" w:space="0" w:color="auto"/>
              <w:bottom w:val="single" w:sz="4" w:space="0" w:color="auto"/>
              <w:right w:val="single" w:sz="4" w:space="0" w:color="auto"/>
            </w:tcBorders>
          </w:tcPr>
          <w:p w14:paraId="688899DB" w14:textId="35FF6D9A" w:rsidR="00AD3A4B" w:rsidRPr="006532FE" w:rsidRDefault="00AD3A4B" w:rsidP="00B320CB">
            <w:pPr>
              <w:pStyle w:val="Tabletext1"/>
            </w:pPr>
            <w:r w:rsidRPr="006532FE">
              <w:t>Yes</w:t>
            </w:r>
          </w:p>
        </w:tc>
        <w:tc>
          <w:tcPr>
            <w:tcW w:w="455" w:type="pct"/>
            <w:tcBorders>
              <w:top w:val="single" w:sz="4" w:space="0" w:color="auto"/>
              <w:left w:val="single" w:sz="4" w:space="0" w:color="auto"/>
              <w:bottom w:val="single" w:sz="4" w:space="0" w:color="auto"/>
              <w:right w:val="single" w:sz="4" w:space="0" w:color="auto"/>
            </w:tcBorders>
          </w:tcPr>
          <w:p w14:paraId="09A85428" w14:textId="77777777" w:rsidR="00AD3A4B" w:rsidRPr="006532FE" w:rsidRDefault="00AD3A4B" w:rsidP="00B320CB">
            <w:pPr>
              <w:pStyle w:val="Tabletext1"/>
            </w:pPr>
            <w:r w:rsidRPr="006532FE">
              <w:t>Case series</w:t>
            </w:r>
          </w:p>
          <w:p w14:paraId="06A0B311" w14:textId="15A2C5C5" w:rsidR="00AD3A4B" w:rsidRPr="006532FE" w:rsidRDefault="00AD3A4B" w:rsidP="00B320CB">
            <w:pPr>
              <w:pStyle w:val="Tabletext1"/>
            </w:pPr>
            <w:r w:rsidRPr="006532FE">
              <w:t>Retrospective</w:t>
            </w:r>
          </w:p>
          <w:p w14:paraId="7CF521A1" w14:textId="2089CD91"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63182B2D" w14:textId="37856A82"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61A28113" w14:textId="77777777" w:rsidR="00AD3A4B" w:rsidRDefault="00AD3A4B" w:rsidP="00B320CB">
            <w:pPr>
              <w:pStyle w:val="Tabletext1"/>
            </w:pPr>
            <w:r w:rsidRPr="006532FE">
              <w:t>Italy</w:t>
            </w:r>
          </w:p>
          <w:p w14:paraId="313D49C5" w14:textId="323EAC11"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D386CEC" w14:textId="0EBB9D7F" w:rsidR="00AD3A4B" w:rsidRPr="006532FE" w:rsidRDefault="00AB582A" w:rsidP="00B320CB">
            <w:pPr>
              <w:pStyle w:val="Tabletext1"/>
            </w:pPr>
            <w:r>
              <w:t>n</w:t>
            </w:r>
            <w:r w:rsidR="00AD3A4B" w:rsidRPr="006532FE">
              <w:t>: 223</w:t>
            </w:r>
          </w:p>
          <w:p w14:paraId="48B7439E" w14:textId="7C545C91" w:rsidR="00AD3A4B" w:rsidRPr="006532FE" w:rsidRDefault="00AD3A4B" w:rsidP="00B320CB">
            <w:pPr>
              <w:pStyle w:val="Tabletext1"/>
            </w:pPr>
            <w:r w:rsidRPr="006532FE">
              <w:t>Age: mean 62.8 (SD 8.28)</w:t>
            </w:r>
          </w:p>
          <w:p w14:paraId="39A9F2D8" w14:textId="794AA3BC" w:rsidR="00AD3A4B" w:rsidRPr="006532FE" w:rsidRDefault="00AD3A4B" w:rsidP="00B320CB">
            <w:pPr>
              <w:pStyle w:val="Tabletext1"/>
            </w:pPr>
            <w:r w:rsidRPr="006532FE">
              <w:t>PSA: mean 6.02 (SD 1.91)</w:t>
            </w:r>
          </w:p>
          <w:p w14:paraId="5E535065" w14:textId="47D61844"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2F8601C2" w14:textId="3AB088C0" w:rsidR="00AD3A4B" w:rsidRPr="006532FE" w:rsidRDefault="00AD3A4B" w:rsidP="00B320CB">
            <w:pPr>
              <w:pStyle w:val="Tabletext1"/>
            </w:pPr>
            <w:r w:rsidRPr="006532FE">
              <w:t xml:space="preserve">1.5T </w:t>
            </w:r>
          </w:p>
          <w:p w14:paraId="42FE36F5" w14:textId="341FA36D" w:rsidR="00AD3A4B" w:rsidRPr="006532FE" w:rsidRDefault="00AD3A4B" w:rsidP="00B320CB">
            <w:pPr>
              <w:pStyle w:val="Tabletext1"/>
            </w:pPr>
            <w:r w:rsidRPr="006532FE">
              <w:t>Coil: ERC</w:t>
            </w:r>
          </w:p>
          <w:p w14:paraId="472D0946" w14:textId="44C144E5" w:rsidR="00AD3A4B" w:rsidRPr="006532FE" w:rsidRDefault="00AD3A4B" w:rsidP="00B320CB">
            <w:pPr>
              <w:pStyle w:val="Tabletext1"/>
            </w:pPr>
            <w:r w:rsidRPr="006532FE">
              <w:t>Contrast: gadopentetate dimeglumine</w:t>
            </w:r>
          </w:p>
        </w:tc>
        <w:tc>
          <w:tcPr>
            <w:tcW w:w="517" w:type="pct"/>
            <w:tcBorders>
              <w:top w:val="single" w:sz="4" w:space="0" w:color="auto"/>
              <w:left w:val="single" w:sz="4" w:space="0" w:color="auto"/>
              <w:bottom w:val="single" w:sz="4" w:space="0" w:color="auto"/>
              <w:right w:val="single" w:sz="4" w:space="0" w:color="auto"/>
            </w:tcBorders>
          </w:tcPr>
          <w:p w14:paraId="25C9977A" w14:textId="670BB7FE" w:rsidR="00AD3A4B" w:rsidRPr="006532FE" w:rsidRDefault="00001747" w:rsidP="00B320CB">
            <w:pPr>
              <w:pStyle w:val="Tabletext1"/>
            </w:pPr>
            <w:r>
              <w:t xml:space="preserve">Single radiologist. </w:t>
            </w:r>
            <w:r w:rsidR="000C0CCE">
              <w:t>E</w:t>
            </w:r>
            <w:r w:rsidR="000C0CCE" w:rsidRPr="006532FE">
              <w:t>xperience</w:t>
            </w:r>
            <w:r w:rsidR="00AD3A4B" w:rsidRPr="006532FE">
              <w:t xml:space="preserve"> NR</w:t>
            </w:r>
          </w:p>
        </w:tc>
        <w:tc>
          <w:tcPr>
            <w:tcW w:w="394" w:type="pct"/>
            <w:tcBorders>
              <w:top w:val="single" w:sz="4" w:space="0" w:color="auto"/>
              <w:left w:val="single" w:sz="4" w:space="0" w:color="auto"/>
              <w:bottom w:val="single" w:sz="4" w:space="0" w:color="auto"/>
              <w:right w:val="single" w:sz="4" w:space="0" w:color="auto"/>
            </w:tcBorders>
          </w:tcPr>
          <w:p w14:paraId="41C4DD04" w14:textId="161CFE8A" w:rsidR="00AD3A4B" w:rsidRPr="006532FE" w:rsidRDefault="00AD3A4B" w:rsidP="00B320CB">
            <w:pPr>
              <w:pStyle w:val="Tabletext1"/>
            </w:pPr>
            <w:r w:rsidRPr="006532FE">
              <w:t>prostatectomy</w:t>
            </w:r>
          </w:p>
        </w:tc>
        <w:tc>
          <w:tcPr>
            <w:tcW w:w="359" w:type="pct"/>
            <w:tcBorders>
              <w:top w:val="single" w:sz="4" w:space="0" w:color="auto"/>
              <w:left w:val="single" w:sz="4" w:space="0" w:color="auto"/>
              <w:bottom w:val="single" w:sz="4" w:space="0" w:color="auto"/>
              <w:right w:val="single" w:sz="4" w:space="0" w:color="auto"/>
            </w:tcBorders>
          </w:tcPr>
          <w:p w14:paraId="385FB70C" w14:textId="77A71337"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4AFE23F8" w14:textId="6770924B" w:rsidR="00AD3A4B" w:rsidRPr="006532FE" w:rsidRDefault="00AD3A4B" w:rsidP="00B320CB">
            <w:pPr>
              <w:pStyle w:val="Tabletext1"/>
            </w:pPr>
            <w:r w:rsidRPr="006532FE">
              <w:t>4</w:t>
            </w:r>
          </w:p>
        </w:tc>
      </w:tr>
      <w:tr w:rsidR="00AD3A4B" w:rsidRPr="006532FE" w14:paraId="2979779A"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0A1992E0" w14:textId="1569F5AA" w:rsidR="00AD3A4B" w:rsidRPr="006532FE" w:rsidRDefault="00AD3A4B" w:rsidP="00B320CB">
            <w:pPr>
              <w:pStyle w:val="Tabletext1"/>
            </w:pPr>
            <w:r w:rsidRPr="006532FE">
              <w:lastRenderedPageBreak/>
              <w:t>Flavell et al. (2014) - key study</w:t>
            </w:r>
          </w:p>
        </w:tc>
        <w:tc>
          <w:tcPr>
            <w:tcW w:w="296" w:type="pct"/>
            <w:tcBorders>
              <w:top w:val="single" w:sz="4" w:space="0" w:color="auto"/>
              <w:left w:val="single" w:sz="4" w:space="0" w:color="auto"/>
              <w:bottom w:val="single" w:sz="4" w:space="0" w:color="auto"/>
              <w:right w:val="single" w:sz="4" w:space="0" w:color="auto"/>
            </w:tcBorders>
          </w:tcPr>
          <w:p w14:paraId="1224511A" w14:textId="34881A9E" w:rsidR="00AD3A4B" w:rsidRPr="006532FE" w:rsidRDefault="00AD3A4B" w:rsidP="00B320CB">
            <w:pPr>
              <w:pStyle w:val="Tabletext1"/>
            </w:pPr>
            <w:r w:rsidRPr="006532FE">
              <w:t>Yes</w:t>
            </w:r>
          </w:p>
        </w:tc>
        <w:tc>
          <w:tcPr>
            <w:tcW w:w="455" w:type="pct"/>
            <w:tcBorders>
              <w:top w:val="single" w:sz="4" w:space="0" w:color="auto"/>
              <w:left w:val="single" w:sz="4" w:space="0" w:color="auto"/>
              <w:bottom w:val="single" w:sz="4" w:space="0" w:color="auto"/>
              <w:right w:val="single" w:sz="4" w:space="0" w:color="auto"/>
            </w:tcBorders>
          </w:tcPr>
          <w:p w14:paraId="319745C2" w14:textId="77777777" w:rsidR="00AD3A4B" w:rsidRPr="006532FE" w:rsidRDefault="00AD3A4B" w:rsidP="00B320CB">
            <w:pPr>
              <w:pStyle w:val="Tabletext1"/>
            </w:pPr>
            <w:r w:rsidRPr="006532FE">
              <w:t>Case series</w:t>
            </w:r>
          </w:p>
          <w:p w14:paraId="619FF397" w14:textId="44CA7F58" w:rsidR="00AD3A4B" w:rsidRPr="006532FE" w:rsidRDefault="00AD3A4B" w:rsidP="00B320CB">
            <w:pPr>
              <w:pStyle w:val="Tabletext1"/>
            </w:pPr>
            <w:r w:rsidRPr="006532FE">
              <w:t>Retrospective</w:t>
            </w:r>
          </w:p>
          <w:p w14:paraId="271C7BF1" w14:textId="27843906"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0ACBA1BF" w14:textId="1453DCEA"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295BCCD0" w14:textId="77777777" w:rsidR="00AD3A4B" w:rsidRDefault="00AD3A4B" w:rsidP="00B320CB">
            <w:pPr>
              <w:pStyle w:val="Tabletext1"/>
            </w:pPr>
            <w:r w:rsidRPr="006532FE">
              <w:t>USA</w:t>
            </w:r>
          </w:p>
          <w:p w14:paraId="4108E405" w14:textId="41CD09B9"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3F7868AC" w14:textId="62A48CB5" w:rsidR="00AD3A4B" w:rsidRPr="006532FE" w:rsidRDefault="00AB582A" w:rsidP="00B320CB">
            <w:pPr>
              <w:pStyle w:val="Tabletext1"/>
            </w:pPr>
            <w:r>
              <w:t>n</w:t>
            </w:r>
            <w:r w:rsidR="00AD3A4B" w:rsidRPr="006532FE">
              <w:t>: 64</w:t>
            </w:r>
          </w:p>
          <w:p w14:paraId="095459CA" w14:textId="2F9A7FDF" w:rsidR="00AD3A4B" w:rsidRPr="006532FE" w:rsidRDefault="00AD3A4B" w:rsidP="00B320CB">
            <w:pPr>
              <w:pStyle w:val="Tabletext1"/>
            </w:pPr>
            <w:r w:rsidRPr="006532FE">
              <w:t>Age: median 60.7 (range 45.1-74.5)</w:t>
            </w:r>
          </w:p>
          <w:p w14:paraId="040562EB" w14:textId="0815CD5F" w:rsidR="00AD3A4B" w:rsidRPr="006532FE" w:rsidRDefault="00AD3A4B" w:rsidP="00B320CB">
            <w:pPr>
              <w:pStyle w:val="Tabletext1"/>
            </w:pPr>
            <w:r w:rsidRPr="006532FE">
              <w:t>PSA: median 4.7 (range 0.6-9.7)</w:t>
            </w:r>
          </w:p>
          <w:p w14:paraId="5D4A3B62" w14:textId="4E837EA7" w:rsidR="00AD3A4B" w:rsidRPr="006532FE" w:rsidRDefault="00AD3A4B" w:rsidP="00B320CB">
            <w:pPr>
              <w:pStyle w:val="Tabletext1"/>
            </w:pPr>
            <w:r w:rsidRPr="006532FE">
              <w:t>Gleason: 6</w:t>
            </w:r>
          </w:p>
        </w:tc>
        <w:tc>
          <w:tcPr>
            <w:tcW w:w="477" w:type="pct"/>
            <w:tcBorders>
              <w:top w:val="single" w:sz="4" w:space="0" w:color="auto"/>
              <w:left w:val="single" w:sz="4" w:space="0" w:color="auto"/>
              <w:bottom w:val="single" w:sz="4" w:space="0" w:color="auto"/>
              <w:right w:val="single" w:sz="4" w:space="0" w:color="auto"/>
            </w:tcBorders>
          </w:tcPr>
          <w:p w14:paraId="3CCD48EA" w14:textId="279D0485" w:rsidR="00AD3A4B" w:rsidRPr="006532FE" w:rsidRDefault="00AD3A4B" w:rsidP="00B320CB">
            <w:pPr>
              <w:pStyle w:val="Tabletext1"/>
            </w:pPr>
            <w:r w:rsidRPr="006532FE">
              <w:t>1.5T or 3.0T</w:t>
            </w:r>
          </w:p>
          <w:p w14:paraId="2A731B51" w14:textId="19144BE6" w:rsidR="00AD3A4B" w:rsidRPr="006532FE" w:rsidRDefault="00AD3A4B" w:rsidP="00B320CB">
            <w:pPr>
              <w:pStyle w:val="Tabletext1"/>
            </w:pPr>
            <w:r w:rsidRPr="006532FE">
              <w:t>Coil: PPAC + ERC</w:t>
            </w:r>
          </w:p>
          <w:p w14:paraId="1AC721DA" w14:textId="457CE972"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646A6E07" w14:textId="175DC6F1" w:rsidR="00AD3A4B" w:rsidRPr="006532FE" w:rsidRDefault="00AD3A4B" w:rsidP="00B320CB">
            <w:pPr>
              <w:pStyle w:val="Tabletext1"/>
            </w:pPr>
            <w:r w:rsidRPr="006532FE">
              <w:t xml:space="preserve">2 radiologists with 2 </w:t>
            </w:r>
            <w:r w:rsidR="00001747">
              <w:t>or</w:t>
            </w:r>
            <w:r w:rsidRPr="006532FE">
              <w:t xml:space="preserve"> 15 </w:t>
            </w:r>
            <w:r w:rsidR="00001747" w:rsidRPr="006532FE">
              <w:t>years’ experience</w:t>
            </w:r>
            <w:r w:rsidR="00001747">
              <w:t>.</w:t>
            </w:r>
          </w:p>
        </w:tc>
        <w:tc>
          <w:tcPr>
            <w:tcW w:w="394" w:type="pct"/>
            <w:tcBorders>
              <w:top w:val="single" w:sz="4" w:space="0" w:color="auto"/>
              <w:left w:val="single" w:sz="4" w:space="0" w:color="auto"/>
              <w:bottom w:val="single" w:sz="4" w:space="0" w:color="auto"/>
              <w:right w:val="single" w:sz="4" w:space="0" w:color="auto"/>
            </w:tcBorders>
          </w:tcPr>
          <w:p w14:paraId="620BE778" w14:textId="7AD114EF" w:rsidR="00AD3A4B" w:rsidRPr="006532FE" w:rsidRDefault="00AD230C" w:rsidP="00B320CB">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7DBBDA21" w14:textId="5F991E10"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2AAC27A4" w14:textId="64A93072" w:rsidR="00AD3A4B" w:rsidRPr="006532FE" w:rsidRDefault="00AD3A4B" w:rsidP="00B320CB">
            <w:pPr>
              <w:pStyle w:val="Tabletext1"/>
            </w:pPr>
            <w:r w:rsidRPr="006532FE">
              <w:t>4</w:t>
            </w:r>
          </w:p>
        </w:tc>
      </w:tr>
      <w:tr w:rsidR="00AD3A4B" w:rsidRPr="006532FE" w14:paraId="28BAEAE3"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33EE0B30" w14:textId="1D0243E4" w:rsidR="00AD3A4B" w:rsidRPr="006532FE" w:rsidRDefault="00AD3A4B" w:rsidP="00B320CB">
            <w:pPr>
              <w:pStyle w:val="Tabletext1"/>
            </w:pPr>
            <w:r w:rsidRPr="006532FE">
              <w:t>Porpiglia et al. (2015) - key study</w:t>
            </w:r>
          </w:p>
        </w:tc>
        <w:tc>
          <w:tcPr>
            <w:tcW w:w="296" w:type="pct"/>
            <w:tcBorders>
              <w:top w:val="single" w:sz="4" w:space="0" w:color="auto"/>
              <w:left w:val="single" w:sz="4" w:space="0" w:color="auto"/>
              <w:bottom w:val="single" w:sz="4" w:space="0" w:color="auto"/>
              <w:right w:val="single" w:sz="4" w:space="0" w:color="auto"/>
            </w:tcBorders>
          </w:tcPr>
          <w:p w14:paraId="4E300BC6" w14:textId="70860A52" w:rsidR="00AD3A4B" w:rsidRPr="006532FE" w:rsidRDefault="00AD3A4B" w:rsidP="00B320CB">
            <w:pPr>
              <w:pStyle w:val="Tabletext1"/>
            </w:pPr>
            <w:r w:rsidRPr="006532FE">
              <w:t>Yes</w:t>
            </w:r>
          </w:p>
        </w:tc>
        <w:tc>
          <w:tcPr>
            <w:tcW w:w="455" w:type="pct"/>
            <w:tcBorders>
              <w:top w:val="single" w:sz="4" w:space="0" w:color="auto"/>
              <w:left w:val="single" w:sz="4" w:space="0" w:color="auto"/>
              <w:bottom w:val="single" w:sz="4" w:space="0" w:color="auto"/>
              <w:right w:val="single" w:sz="4" w:space="0" w:color="auto"/>
            </w:tcBorders>
          </w:tcPr>
          <w:p w14:paraId="676B9F73" w14:textId="77777777" w:rsidR="00AD3A4B" w:rsidRPr="006532FE" w:rsidRDefault="00AD3A4B" w:rsidP="00B320CB">
            <w:pPr>
              <w:pStyle w:val="Tabletext1"/>
            </w:pPr>
            <w:r w:rsidRPr="006532FE">
              <w:t>Case series</w:t>
            </w:r>
          </w:p>
          <w:p w14:paraId="330D4DD7" w14:textId="05E4F1A4" w:rsidR="00AD3A4B" w:rsidRPr="006532FE" w:rsidRDefault="00AD3A4B" w:rsidP="00B320CB">
            <w:pPr>
              <w:pStyle w:val="Tabletext1"/>
            </w:pPr>
            <w:r w:rsidRPr="006532FE">
              <w:t>Retrospective</w:t>
            </w:r>
          </w:p>
          <w:p w14:paraId="73A02B0A" w14:textId="3B16D5DA"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62A0170A" w14:textId="704EAEC2"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71FAE6F4" w14:textId="77777777" w:rsidR="00AD3A4B" w:rsidRDefault="00AD3A4B" w:rsidP="00B320CB">
            <w:pPr>
              <w:pStyle w:val="Tabletext1"/>
            </w:pPr>
            <w:r w:rsidRPr="006532FE">
              <w:t>Italy</w:t>
            </w:r>
          </w:p>
          <w:p w14:paraId="32A0D6F1" w14:textId="417B1C4C"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6ED3CE59" w14:textId="4A1BBAAB" w:rsidR="00AD3A4B" w:rsidRPr="006532FE" w:rsidRDefault="00AB582A" w:rsidP="00B320CB">
            <w:pPr>
              <w:pStyle w:val="Tabletext1"/>
            </w:pPr>
            <w:r>
              <w:t>n</w:t>
            </w:r>
            <w:r w:rsidR="00AD3A4B" w:rsidRPr="006532FE">
              <w:t>: 120</w:t>
            </w:r>
          </w:p>
          <w:p w14:paraId="425ECB1A" w14:textId="42F5A4D7" w:rsidR="00AD3A4B" w:rsidRPr="006532FE" w:rsidRDefault="00AD3A4B" w:rsidP="00B320CB">
            <w:pPr>
              <w:pStyle w:val="Tabletext1"/>
            </w:pPr>
            <w:r w:rsidRPr="006532FE">
              <w:t>Age: G1 median 65 (IQR 57-70) G2 median 66 (IQR 64-69)</w:t>
            </w:r>
          </w:p>
          <w:p w14:paraId="49A28F4B" w14:textId="3CDA32D6" w:rsidR="00AD3A4B" w:rsidRPr="006532FE" w:rsidRDefault="00AD3A4B" w:rsidP="00B320CB">
            <w:pPr>
              <w:pStyle w:val="Tabletext1"/>
            </w:pPr>
            <w:r w:rsidRPr="006532FE">
              <w:t>PSA: G1 median 7 (IQR 6.39-10.1) G2 median 5.75 (IQR 4.88-9.22)</w:t>
            </w:r>
          </w:p>
          <w:p w14:paraId="2AC75239" w14:textId="7C600AD5"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4DC3260D" w14:textId="0A043C92" w:rsidR="00AD3A4B" w:rsidRPr="006532FE" w:rsidRDefault="00AD3A4B" w:rsidP="00B320CB">
            <w:pPr>
              <w:pStyle w:val="Tabletext1"/>
            </w:pPr>
            <w:r w:rsidRPr="006532FE">
              <w:t xml:space="preserve">1.5T </w:t>
            </w:r>
          </w:p>
          <w:p w14:paraId="5297A25A" w14:textId="5F945580" w:rsidR="00AD3A4B" w:rsidRPr="006532FE" w:rsidRDefault="00AD3A4B" w:rsidP="00B320CB">
            <w:pPr>
              <w:pStyle w:val="Tabletext1"/>
            </w:pPr>
            <w:r w:rsidRPr="006532FE">
              <w:t>Coil: PPAC + ERC</w:t>
            </w:r>
          </w:p>
          <w:p w14:paraId="167B0AF6" w14:textId="04BC10F6"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09604787" w14:textId="0ADBB76B" w:rsidR="00AD3A4B" w:rsidRPr="006532FE" w:rsidRDefault="00001747" w:rsidP="00B320CB">
            <w:pPr>
              <w:pStyle w:val="Tabletext1"/>
            </w:pPr>
            <w:r>
              <w:t>2</w:t>
            </w:r>
            <w:r w:rsidR="00AD3A4B" w:rsidRPr="006532FE">
              <w:t xml:space="preserve"> experienced radiologists</w:t>
            </w:r>
          </w:p>
        </w:tc>
        <w:tc>
          <w:tcPr>
            <w:tcW w:w="394" w:type="pct"/>
            <w:tcBorders>
              <w:top w:val="single" w:sz="4" w:space="0" w:color="auto"/>
              <w:left w:val="single" w:sz="4" w:space="0" w:color="auto"/>
              <w:bottom w:val="single" w:sz="4" w:space="0" w:color="auto"/>
              <w:right w:val="single" w:sz="4" w:space="0" w:color="auto"/>
            </w:tcBorders>
          </w:tcPr>
          <w:p w14:paraId="4DA4B672" w14:textId="2FEE491D" w:rsidR="00AD3A4B" w:rsidRPr="006532FE" w:rsidRDefault="00AD3A4B" w:rsidP="00B320CB">
            <w:pPr>
              <w:pStyle w:val="Tabletext1"/>
            </w:pPr>
            <w:r w:rsidRPr="006532FE">
              <w:t>prostatectomy</w:t>
            </w:r>
          </w:p>
        </w:tc>
        <w:tc>
          <w:tcPr>
            <w:tcW w:w="359" w:type="pct"/>
            <w:tcBorders>
              <w:top w:val="single" w:sz="4" w:space="0" w:color="auto"/>
              <w:left w:val="single" w:sz="4" w:space="0" w:color="auto"/>
              <w:bottom w:val="single" w:sz="4" w:space="0" w:color="auto"/>
              <w:right w:val="single" w:sz="4" w:space="0" w:color="auto"/>
            </w:tcBorders>
          </w:tcPr>
          <w:p w14:paraId="42F81A4A" w14:textId="10233A09"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431571C8" w14:textId="49B46027" w:rsidR="00AD3A4B" w:rsidRPr="006532FE" w:rsidRDefault="00AD3A4B" w:rsidP="00B320CB">
            <w:pPr>
              <w:pStyle w:val="Tabletext1"/>
            </w:pPr>
            <w:r w:rsidRPr="006532FE">
              <w:t>4</w:t>
            </w:r>
          </w:p>
        </w:tc>
      </w:tr>
      <w:tr w:rsidR="00AD3A4B" w:rsidRPr="006532FE" w14:paraId="17787002"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25D1C927" w14:textId="4EA01070" w:rsidR="00AD3A4B" w:rsidRPr="006532FE" w:rsidRDefault="00AD3A4B" w:rsidP="00B320CB">
            <w:pPr>
              <w:pStyle w:val="Tabletext1"/>
            </w:pPr>
            <w:r w:rsidRPr="006532FE">
              <w:t>Rebcal et al. 2016) - key study</w:t>
            </w:r>
          </w:p>
        </w:tc>
        <w:tc>
          <w:tcPr>
            <w:tcW w:w="296" w:type="pct"/>
            <w:tcBorders>
              <w:top w:val="single" w:sz="4" w:space="0" w:color="auto"/>
              <w:left w:val="single" w:sz="4" w:space="0" w:color="auto"/>
              <w:bottom w:val="single" w:sz="4" w:space="0" w:color="auto"/>
              <w:right w:val="single" w:sz="4" w:space="0" w:color="auto"/>
            </w:tcBorders>
          </w:tcPr>
          <w:p w14:paraId="7C1EA9F7" w14:textId="2F6F4E24" w:rsidR="00AD3A4B" w:rsidRPr="006532FE" w:rsidRDefault="00AD3A4B" w:rsidP="00B320CB">
            <w:pPr>
              <w:pStyle w:val="Tabletext1"/>
            </w:pPr>
            <w:r w:rsidRPr="006532FE">
              <w:t>Yes</w:t>
            </w:r>
          </w:p>
        </w:tc>
        <w:tc>
          <w:tcPr>
            <w:tcW w:w="455" w:type="pct"/>
            <w:tcBorders>
              <w:top w:val="single" w:sz="4" w:space="0" w:color="auto"/>
              <w:left w:val="single" w:sz="4" w:space="0" w:color="auto"/>
              <w:bottom w:val="single" w:sz="4" w:space="0" w:color="auto"/>
              <w:right w:val="single" w:sz="4" w:space="0" w:color="auto"/>
            </w:tcBorders>
          </w:tcPr>
          <w:p w14:paraId="44C8AD5D" w14:textId="77777777" w:rsidR="00AD3A4B" w:rsidRPr="006532FE" w:rsidRDefault="00AD3A4B" w:rsidP="00B320CB">
            <w:pPr>
              <w:pStyle w:val="Tabletext1"/>
            </w:pPr>
            <w:r w:rsidRPr="006532FE">
              <w:t>Case series</w:t>
            </w:r>
          </w:p>
          <w:p w14:paraId="7616EBA7" w14:textId="11FBD4D1" w:rsidR="00AD3A4B" w:rsidRPr="006532FE" w:rsidRDefault="00AD3A4B" w:rsidP="00B320CB">
            <w:pPr>
              <w:pStyle w:val="Tabletext1"/>
            </w:pPr>
            <w:r w:rsidRPr="006532FE">
              <w:t>Retrospective</w:t>
            </w:r>
          </w:p>
          <w:p w14:paraId="7287DB5B" w14:textId="052020DC" w:rsidR="00AD3A4B" w:rsidRPr="006532FE" w:rsidRDefault="00AD3A4B" w:rsidP="00B320CB">
            <w:pPr>
              <w:pStyle w:val="Tabletext1"/>
            </w:pPr>
            <w:r w:rsidRPr="006532FE">
              <w:t>Consecutive</w:t>
            </w:r>
          </w:p>
        </w:tc>
        <w:tc>
          <w:tcPr>
            <w:tcW w:w="327" w:type="pct"/>
            <w:tcBorders>
              <w:top w:val="single" w:sz="4" w:space="0" w:color="auto"/>
              <w:left w:val="single" w:sz="4" w:space="0" w:color="auto"/>
              <w:bottom w:val="single" w:sz="4" w:space="0" w:color="auto"/>
              <w:right w:val="single" w:sz="4" w:space="0" w:color="auto"/>
            </w:tcBorders>
          </w:tcPr>
          <w:p w14:paraId="60F72320" w14:textId="159339B2"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2AF95A9D" w14:textId="77777777" w:rsidR="00AD3A4B" w:rsidRDefault="00AD3A4B" w:rsidP="00B320CB">
            <w:pPr>
              <w:pStyle w:val="Tabletext1"/>
            </w:pPr>
            <w:r w:rsidRPr="006532FE">
              <w:t>USA</w:t>
            </w:r>
          </w:p>
          <w:p w14:paraId="040B6037" w14:textId="3B160C0E"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19DD119D" w14:textId="1A1C465B" w:rsidR="00AD3A4B" w:rsidRPr="006532FE" w:rsidRDefault="00AB582A" w:rsidP="00B320CB">
            <w:pPr>
              <w:pStyle w:val="Tabletext1"/>
            </w:pPr>
            <w:r>
              <w:t>n</w:t>
            </w:r>
            <w:r w:rsidR="00AD3A4B" w:rsidRPr="006532FE">
              <w:t>: 206</w:t>
            </w:r>
          </w:p>
          <w:p w14:paraId="50F96DA8" w14:textId="09CBDE4E" w:rsidR="00AD3A4B" w:rsidRPr="006532FE" w:rsidRDefault="00AD3A4B" w:rsidP="00B320CB">
            <w:pPr>
              <w:pStyle w:val="Tabletext1"/>
            </w:pPr>
            <w:r w:rsidRPr="006532FE">
              <w:t>Age: median 63 (IQR 57-68)</w:t>
            </w:r>
          </w:p>
          <w:p w14:paraId="0BF093A9" w14:textId="48888ABE" w:rsidR="00AD3A4B" w:rsidRPr="006532FE" w:rsidRDefault="00AD3A4B" w:rsidP="00B320CB">
            <w:pPr>
              <w:pStyle w:val="Tabletext1"/>
            </w:pPr>
            <w:r w:rsidRPr="006532FE">
              <w:t>PSA: median 5.2 (IQR 3.8-7.4)</w:t>
            </w:r>
          </w:p>
          <w:p w14:paraId="3D98BD4D" w14:textId="275D74C4"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58A0ECA2" w14:textId="77777777" w:rsidR="00AD3A4B" w:rsidRPr="006532FE" w:rsidRDefault="00AD3A4B" w:rsidP="00B320CB">
            <w:pPr>
              <w:pStyle w:val="Tabletext1"/>
            </w:pPr>
            <w:r w:rsidRPr="006532FE">
              <w:t>1.5T or 3.0T</w:t>
            </w:r>
          </w:p>
          <w:p w14:paraId="30A2FA97" w14:textId="46E4888A" w:rsidR="00AD3A4B" w:rsidRPr="006532FE" w:rsidRDefault="00AD3A4B" w:rsidP="00B320CB">
            <w:pPr>
              <w:pStyle w:val="Tabletext1"/>
            </w:pPr>
            <w:r w:rsidRPr="006532FE">
              <w:t>Coil: PPAC ± ERC</w:t>
            </w:r>
          </w:p>
          <w:p w14:paraId="23F74253" w14:textId="3DE362F1"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5FB83527" w14:textId="63FF2BFF" w:rsidR="00AD3A4B" w:rsidRPr="006532FE" w:rsidRDefault="00001747" w:rsidP="00B320CB">
            <w:pPr>
              <w:pStyle w:val="Tabletext1"/>
            </w:pPr>
            <w:r>
              <w:t>6 radiologists with 6-</w:t>
            </w:r>
            <w:r w:rsidR="00AD3A4B" w:rsidRPr="006532FE">
              <w:t xml:space="preserve">15 </w:t>
            </w:r>
            <w:r w:rsidRPr="006532FE">
              <w:t>years’ experience</w:t>
            </w:r>
          </w:p>
        </w:tc>
        <w:tc>
          <w:tcPr>
            <w:tcW w:w="394" w:type="pct"/>
            <w:tcBorders>
              <w:top w:val="single" w:sz="4" w:space="0" w:color="auto"/>
              <w:left w:val="single" w:sz="4" w:space="0" w:color="auto"/>
              <w:bottom w:val="single" w:sz="4" w:space="0" w:color="auto"/>
              <w:right w:val="single" w:sz="4" w:space="0" w:color="auto"/>
            </w:tcBorders>
          </w:tcPr>
          <w:p w14:paraId="38DC128D" w14:textId="7D847287" w:rsidR="00AD3A4B" w:rsidRPr="006532FE" w:rsidRDefault="00AD230C" w:rsidP="00B320CB">
            <w:pPr>
              <w:pStyle w:val="Tabletext1"/>
            </w:pPr>
            <w:r>
              <w:t>TRUSGB</w:t>
            </w:r>
          </w:p>
        </w:tc>
        <w:tc>
          <w:tcPr>
            <w:tcW w:w="359" w:type="pct"/>
            <w:tcBorders>
              <w:top w:val="single" w:sz="4" w:space="0" w:color="auto"/>
              <w:left w:val="single" w:sz="4" w:space="0" w:color="auto"/>
              <w:bottom w:val="single" w:sz="4" w:space="0" w:color="auto"/>
              <w:right w:val="single" w:sz="4" w:space="0" w:color="auto"/>
            </w:tcBorders>
          </w:tcPr>
          <w:p w14:paraId="6DC08EF3" w14:textId="3276262A"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0F38F76B" w14:textId="27D990BC" w:rsidR="00AD3A4B" w:rsidRPr="006532FE" w:rsidRDefault="00AD3A4B" w:rsidP="00B320CB">
            <w:pPr>
              <w:pStyle w:val="Tabletext1"/>
            </w:pPr>
            <w:r w:rsidRPr="006532FE">
              <w:t>4</w:t>
            </w:r>
          </w:p>
        </w:tc>
      </w:tr>
      <w:tr w:rsidR="00AD3A4B" w:rsidRPr="006532FE" w14:paraId="08B313B1"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026DAFAF" w14:textId="60EEB062" w:rsidR="00AD3A4B" w:rsidRPr="006532FE" w:rsidRDefault="00AD3A4B" w:rsidP="00B320CB">
            <w:pPr>
              <w:pStyle w:val="Tabletext1"/>
            </w:pPr>
            <w:r w:rsidRPr="006532FE">
              <w:t>Bonekamp et al. (2013)</w:t>
            </w:r>
          </w:p>
        </w:tc>
        <w:tc>
          <w:tcPr>
            <w:tcW w:w="296" w:type="pct"/>
            <w:tcBorders>
              <w:top w:val="single" w:sz="4" w:space="0" w:color="auto"/>
              <w:left w:val="single" w:sz="4" w:space="0" w:color="auto"/>
              <w:bottom w:val="single" w:sz="4" w:space="0" w:color="auto"/>
              <w:right w:val="single" w:sz="4" w:space="0" w:color="auto"/>
            </w:tcBorders>
          </w:tcPr>
          <w:p w14:paraId="44F96D78" w14:textId="319C8A60"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3527CA4C" w14:textId="77777777" w:rsidR="00AD3A4B" w:rsidRPr="006532FE" w:rsidRDefault="00AD3A4B" w:rsidP="00B320CB">
            <w:pPr>
              <w:pStyle w:val="Tabletext1"/>
            </w:pPr>
            <w:r w:rsidRPr="006532FE">
              <w:t>Case series</w:t>
            </w:r>
          </w:p>
          <w:p w14:paraId="3C993D9D" w14:textId="1358F215" w:rsidR="00AD3A4B" w:rsidRPr="006532FE" w:rsidRDefault="00AD3A4B" w:rsidP="00B320CB">
            <w:pPr>
              <w:pStyle w:val="Tabletext1"/>
            </w:pPr>
            <w:r w:rsidRPr="006532FE">
              <w:t>Retrospective</w:t>
            </w:r>
          </w:p>
          <w:p w14:paraId="1352A9DE" w14:textId="03A3BE02" w:rsidR="00AD3A4B" w:rsidRPr="006532FE" w:rsidRDefault="00AD3A4B" w:rsidP="00B320CB">
            <w:pPr>
              <w:pStyle w:val="Tabletext1"/>
            </w:pPr>
            <w:r w:rsidRPr="006532FE">
              <w:t>Consecutive</w:t>
            </w:r>
          </w:p>
        </w:tc>
        <w:tc>
          <w:tcPr>
            <w:tcW w:w="327" w:type="pct"/>
            <w:tcBorders>
              <w:top w:val="single" w:sz="4" w:space="0" w:color="auto"/>
              <w:left w:val="single" w:sz="4" w:space="0" w:color="auto"/>
              <w:bottom w:val="single" w:sz="4" w:space="0" w:color="auto"/>
              <w:right w:val="single" w:sz="4" w:space="0" w:color="auto"/>
            </w:tcBorders>
          </w:tcPr>
          <w:p w14:paraId="654B6D3B" w14:textId="4C1926D3"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57D958D0" w14:textId="77777777" w:rsidR="00AD3A4B" w:rsidRDefault="00AD3A4B" w:rsidP="00B320CB">
            <w:pPr>
              <w:pStyle w:val="Tabletext1"/>
            </w:pPr>
            <w:r w:rsidRPr="006532FE">
              <w:t>USA</w:t>
            </w:r>
          </w:p>
          <w:p w14:paraId="19AA6A7F" w14:textId="48311AB3"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393F735D" w14:textId="7765C148" w:rsidR="00AD3A4B" w:rsidRPr="006532FE" w:rsidRDefault="00AB582A" w:rsidP="00B320CB">
            <w:pPr>
              <w:pStyle w:val="Tabletext1"/>
            </w:pPr>
            <w:r>
              <w:t>n</w:t>
            </w:r>
            <w:r w:rsidR="00AD3A4B" w:rsidRPr="006532FE">
              <w:t>: 73</w:t>
            </w:r>
          </w:p>
          <w:p w14:paraId="5239968B" w14:textId="19023CAB" w:rsidR="00AD3A4B" w:rsidRPr="006532FE" w:rsidRDefault="00AD3A4B" w:rsidP="00B320CB">
            <w:pPr>
              <w:pStyle w:val="Tabletext1"/>
            </w:pPr>
            <w:r w:rsidRPr="006532FE">
              <w:t>Age: median 67 (IQR 62-70)</w:t>
            </w:r>
          </w:p>
          <w:p w14:paraId="06513195" w14:textId="6E0ABF73" w:rsidR="00AD3A4B" w:rsidRPr="006532FE" w:rsidRDefault="00AD3A4B" w:rsidP="00B320CB">
            <w:pPr>
              <w:pStyle w:val="Tabletext1"/>
            </w:pPr>
            <w:r w:rsidRPr="006532FE">
              <w:t>PSA: median 4.5 (IQR 3.7-5.6)</w:t>
            </w:r>
          </w:p>
          <w:p w14:paraId="3626DC84" w14:textId="73E7E7DC"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4856E329" w14:textId="26024986" w:rsidR="00AD3A4B" w:rsidRPr="006532FE" w:rsidRDefault="00AD3A4B" w:rsidP="00B320CB">
            <w:pPr>
              <w:pStyle w:val="Tabletext1"/>
            </w:pPr>
            <w:r w:rsidRPr="006532FE">
              <w:t>3.0T</w:t>
            </w:r>
          </w:p>
          <w:p w14:paraId="48556B3E" w14:textId="15B54899" w:rsidR="00AD3A4B" w:rsidRPr="006532FE" w:rsidRDefault="00AD3A4B" w:rsidP="00B320CB">
            <w:pPr>
              <w:pStyle w:val="Tabletext1"/>
            </w:pPr>
            <w:r w:rsidRPr="006532FE">
              <w:t>Coil: body coil + ERC</w:t>
            </w:r>
          </w:p>
          <w:p w14:paraId="6F285414" w14:textId="2384D560" w:rsidR="00AD3A4B" w:rsidRPr="006532FE" w:rsidRDefault="00AD3A4B" w:rsidP="00B320CB">
            <w:pPr>
              <w:pStyle w:val="Tabletext1"/>
            </w:pPr>
            <w:r w:rsidRPr="006532FE">
              <w:t>Contrast: gadopentate dimeglumine</w:t>
            </w:r>
          </w:p>
        </w:tc>
        <w:tc>
          <w:tcPr>
            <w:tcW w:w="517" w:type="pct"/>
            <w:tcBorders>
              <w:top w:val="single" w:sz="4" w:space="0" w:color="auto"/>
              <w:left w:val="single" w:sz="4" w:space="0" w:color="auto"/>
              <w:bottom w:val="single" w:sz="4" w:space="0" w:color="auto"/>
              <w:right w:val="single" w:sz="4" w:space="0" w:color="auto"/>
            </w:tcBorders>
          </w:tcPr>
          <w:p w14:paraId="792E8783" w14:textId="23A8C056" w:rsidR="00AD3A4B" w:rsidRPr="006532FE" w:rsidRDefault="00AD3A4B" w:rsidP="00B320CB">
            <w:pPr>
              <w:pStyle w:val="Tabletext1"/>
            </w:pPr>
            <w:r w:rsidRPr="006532FE">
              <w:t xml:space="preserve">Single genitourinary radiologist with &gt;10 </w:t>
            </w:r>
            <w:r w:rsidR="00001747" w:rsidRPr="006532FE">
              <w:t>years’ experience</w:t>
            </w:r>
            <w:r w:rsidRPr="006532FE">
              <w:t xml:space="preserve"> in prostate MRI</w:t>
            </w:r>
          </w:p>
        </w:tc>
        <w:tc>
          <w:tcPr>
            <w:tcW w:w="394" w:type="pct"/>
            <w:tcBorders>
              <w:top w:val="single" w:sz="4" w:space="0" w:color="auto"/>
              <w:left w:val="single" w:sz="4" w:space="0" w:color="auto"/>
              <w:bottom w:val="single" w:sz="4" w:space="0" w:color="auto"/>
              <w:right w:val="single" w:sz="4" w:space="0" w:color="auto"/>
            </w:tcBorders>
          </w:tcPr>
          <w:p w14:paraId="09119D5C" w14:textId="335D8FCE" w:rsidR="00AD3A4B" w:rsidRPr="006532FE" w:rsidRDefault="00AD230C" w:rsidP="00B320CB">
            <w:pPr>
              <w:pStyle w:val="Tabletext1"/>
            </w:pPr>
            <w:r>
              <w:t>TRUSGB</w:t>
            </w:r>
          </w:p>
        </w:tc>
        <w:tc>
          <w:tcPr>
            <w:tcW w:w="359" w:type="pct"/>
            <w:tcBorders>
              <w:top w:val="single" w:sz="4" w:space="0" w:color="auto"/>
              <w:left w:val="single" w:sz="4" w:space="0" w:color="auto"/>
              <w:bottom w:val="single" w:sz="4" w:space="0" w:color="auto"/>
              <w:right w:val="single" w:sz="4" w:space="0" w:color="auto"/>
            </w:tcBorders>
          </w:tcPr>
          <w:p w14:paraId="03CE9423" w14:textId="79A2EA41"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2715C1A8" w14:textId="60924A98" w:rsidR="00AD3A4B" w:rsidRPr="006532FE" w:rsidRDefault="00AD3A4B" w:rsidP="00B320CB">
            <w:pPr>
              <w:pStyle w:val="Tabletext1"/>
            </w:pPr>
            <w:r w:rsidRPr="006532FE">
              <w:t>NA</w:t>
            </w:r>
          </w:p>
        </w:tc>
      </w:tr>
      <w:tr w:rsidR="00AD3A4B" w:rsidRPr="006532FE" w14:paraId="7C938FCA"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59070F9E" w14:textId="3FF18D5F" w:rsidR="00AD3A4B" w:rsidRPr="006532FE" w:rsidRDefault="00AD3A4B" w:rsidP="00B320CB">
            <w:pPr>
              <w:pStyle w:val="Tabletext1"/>
            </w:pPr>
            <w:r w:rsidRPr="006532FE">
              <w:t>Felker et al. (2016)</w:t>
            </w:r>
          </w:p>
        </w:tc>
        <w:tc>
          <w:tcPr>
            <w:tcW w:w="296" w:type="pct"/>
            <w:tcBorders>
              <w:top w:val="single" w:sz="4" w:space="0" w:color="auto"/>
              <w:left w:val="single" w:sz="4" w:space="0" w:color="auto"/>
              <w:bottom w:val="single" w:sz="4" w:space="0" w:color="auto"/>
              <w:right w:val="single" w:sz="4" w:space="0" w:color="auto"/>
            </w:tcBorders>
          </w:tcPr>
          <w:p w14:paraId="7EEF0194" w14:textId="5D754EAE"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36229F46" w14:textId="77777777" w:rsidR="00AD3A4B" w:rsidRPr="006532FE" w:rsidRDefault="00AD3A4B" w:rsidP="00B320CB">
            <w:pPr>
              <w:pStyle w:val="Tabletext1"/>
            </w:pPr>
            <w:r w:rsidRPr="006532FE">
              <w:t>Case series</w:t>
            </w:r>
          </w:p>
          <w:p w14:paraId="32F61B14" w14:textId="212228CA" w:rsidR="00AD3A4B" w:rsidRPr="006532FE" w:rsidRDefault="00AD3A4B" w:rsidP="00B320CB">
            <w:pPr>
              <w:pStyle w:val="Tabletext1"/>
            </w:pPr>
            <w:r w:rsidRPr="006532FE">
              <w:t>Retrospective</w:t>
            </w:r>
          </w:p>
          <w:p w14:paraId="63D57AA9" w14:textId="5F3078B7" w:rsidR="00AD3A4B" w:rsidRPr="006532FE" w:rsidRDefault="00AD3A4B" w:rsidP="00B320CB">
            <w:pPr>
              <w:pStyle w:val="Tabletext1"/>
            </w:pPr>
            <w:r w:rsidRPr="006532FE">
              <w:t>Consecutive</w:t>
            </w:r>
          </w:p>
        </w:tc>
        <w:tc>
          <w:tcPr>
            <w:tcW w:w="327" w:type="pct"/>
            <w:tcBorders>
              <w:top w:val="single" w:sz="4" w:space="0" w:color="auto"/>
              <w:left w:val="single" w:sz="4" w:space="0" w:color="auto"/>
              <w:bottom w:val="single" w:sz="4" w:space="0" w:color="auto"/>
              <w:right w:val="single" w:sz="4" w:space="0" w:color="auto"/>
            </w:tcBorders>
          </w:tcPr>
          <w:p w14:paraId="0FCF97AA" w14:textId="7BF3393A"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1EDA1787" w14:textId="77777777" w:rsidR="00AD3A4B" w:rsidRDefault="00AD3A4B" w:rsidP="00B320CB">
            <w:pPr>
              <w:pStyle w:val="Tabletext1"/>
            </w:pPr>
            <w:r w:rsidRPr="006532FE">
              <w:t>USA</w:t>
            </w:r>
          </w:p>
          <w:p w14:paraId="29FA084F" w14:textId="2FC548FF"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2D5F9970" w14:textId="577B8D69" w:rsidR="00AD3A4B" w:rsidRPr="006532FE" w:rsidRDefault="00AB582A" w:rsidP="00B320CB">
            <w:pPr>
              <w:pStyle w:val="Tabletext1"/>
            </w:pPr>
            <w:r>
              <w:t>n</w:t>
            </w:r>
            <w:r w:rsidR="00AD3A4B" w:rsidRPr="006532FE">
              <w:t>: 49</w:t>
            </w:r>
          </w:p>
          <w:p w14:paraId="478E1E80" w14:textId="3E79D6E5" w:rsidR="00AD3A4B" w:rsidRPr="006532FE" w:rsidRDefault="00AD3A4B" w:rsidP="00B320CB">
            <w:pPr>
              <w:pStyle w:val="Tabletext1"/>
            </w:pPr>
            <w:r w:rsidRPr="006532FE">
              <w:t>Age: mean 65 (range 47-80)</w:t>
            </w:r>
          </w:p>
          <w:p w14:paraId="3234F2E9" w14:textId="66B6E54D" w:rsidR="00AD3A4B" w:rsidRPr="006532FE" w:rsidRDefault="00AD3A4B" w:rsidP="00B320CB">
            <w:pPr>
              <w:pStyle w:val="Tabletext1"/>
            </w:pPr>
            <w:r w:rsidRPr="006532FE">
              <w:t>PSA: median 5 (IQR 2.5-6.4)</w:t>
            </w:r>
          </w:p>
          <w:p w14:paraId="4AE6030D" w14:textId="374D9DA9" w:rsidR="00AD3A4B" w:rsidRPr="006532FE" w:rsidRDefault="00AD3A4B" w:rsidP="00B320CB">
            <w:pPr>
              <w:pStyle w:val="Tabletext1"/>
            </w:pPr>
            <w:r w:rsidRPr="006532FE">
              <w:t>Gleason: 6</w:t>
            </w:r>
          </w:p>
        </w:tc>
        <w:tc>
          <w:tcPr>
            <w:tcW w:w="477" w:type="pct"/>
            <w:tcBorders>
              <w:top w:val="single" w:sz="4" w:space="0" w:color="auto"/>
              <w:left w:val="single" w:sz="4" w:space="0" w:color="auto"/>
              <w:bottom w:val="single" w:sz="4" w:space="0" w:color="auto"/>
              <w:right w:val="single" w:sz="4" w:space="0" w:color="auto"/>
            </w:tcBorders>
          </w:tcPr>
          <w:p w14:paraId="66AEC3F6" w14:textId="6FC2931A" w:rsidR="00AD3A4B" w:rsidRPr="006532FE" w:rsidRDefault="00AD3A4B" w:rsidP="00B320CB">
            <w:pPr>
              <w:pStyle w:val="Tabletext1"/>
            </w:pPr>
            <w:r w:rsidRPr="006532FE">
              <w:t>3.0T</w:t>
            </w:r>
          </w:p>
          <w:p w14:paraId="59A09EEA" w14:textId="70FB4880" w:rsidR="00AD3A4B" w:rsidRPr="006532FE" w:rsidRDefault="00AD3A4B" w:rsidP="00B320CB">
            <w:pPr>
              <w:pStyle w:val="Tabletext1"/>
            </w:pPr>
            <w:r w:rsidRPr="006532FE">
              <w:t>Coil: NR</w:t>
            </w:r>
          </w:p>
          <w:p w14:paraId="790D0B3F" w14:textId="39FA8E6E"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04757809" w14:textId="322C2A89" w:rsidR="00AD3A4B" w:rsidRPr="006532FE" w:rsidRDefault="00AD3A4B" w:rsidP="00B320CB">
            <w:pPr>
              <w:pStyle w:val="Tabletext1"/>
            </w:pPr>
            <w:r w:rsidRPr="006532FE">
              <w:t xml:space="preserve">2 Fellowship trained genitourinary </w:t>
            </w:r>
            <w:r w:rsidR="00001747" w:rsidRPr="006532FE">
              <w:t>radiologists</w:t>
            </w:r>
            <w:r w:rsidRPr="006532FE">
              <w:t xml:space="preserve"> with &gt;1</w:t>
            </w:r>
            <w:r w:rsidR="005F38B9">
              <w:t>,</w:t>
            </w:r>
            <w:r w:rsidRPr="006532FE">
              <w:t>000 mpMRIs experience</w:t>
            </w:r>
          </w:p>
        </w:tc>
        <w:tc>
          <w:tcPr>
            <w:tcW w:w="394" w:type="pct"/>
            <w:tcBorders>
              <w:top w:val="single" w:sz="4" w:space="0" w:color="auto"/>
              <w:left w:val="single" w:sz="4" w:space="0" w:color="auto"/>
              <w:bottom w:val="single" w:sz="4" w:space="0" w:color="auto"/>
              <w:right w:val="single" w:sz="4" w:space="0" w:color="auto"/>
            </w:tcBorders>
          </w:tcPr>
          <w:p w14:paraId="298AA665" w14:textId="71DBF25B" w:rsidR="00AD3A4B" w:rsidRPr="006532FE" w:rsidRDefault="00AD230C" w:rsidP="00B320CB">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471E4237" w14:textId="7A01A703"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6EDF036E" w14:textId="6744A24D" w:rsidR="00AD3A4B" w:rsidRPr="006532FE" w:rsidRDefault="00AD3A4B" w:rsidP="00B320CB">
            <w:pPr>
              <w:pStyle w:val="Tabletext1"/>
            </w:pPr>
            <w:r w:rsidRPr="006532FE">
              <w:t>NA</w:t>
            </w:r>
          </w:p>
        </w:tc>
      </w:tr>
      <w:tr w:rsidR="00AD3A4B" w:rsidRPr="006532FE" w14:paraId="597CEE1C"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440029C0" w14:textId="30C95353" w:rsidR="00AD3A4B" w:rsidRPr="006532FE" w:rsidRDefault="00AD3A4B" w:rsidP="00B320CB">
            <w:pPr>
              <w:pStyle w:val="Tabletext1"/>
            </w:pPr>
            <w:r w:rsidRPr="006532FE">
              <w:lastRenderedPageBreak/>
              <w:t>Margel et al. (2012)</w:t>
            </w:r>
          </w:p>
        </w:tc>
        <w:tc>
          <w:tcPr>
            <w:tcW w:w="296" w:type="pct"/>
            <w:tcBorders>
              <w:top w:val="single" w:sz="4" w:space="0" w:color="auto"/>
              <w:left w:val="single" w:sz="4" w:space="0" w:color="auto"/>
              <w:bottom w:val="single" w:sz="4" w:space="0" w:color="auto"/>
              <w:right w:val="single" w:sz="4" w:space="0" w:color="auto"/>
            </w:tcBorders>
          </w:tcPr>
          <w:p w14:paraId="554E7DD8" w14:textId="76311A14"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4D582531" w14:textId="77777777" w:rsidR="00AD3A4B" w:rsidRPr="006532FE" w:rsidRDefault="00AD3A4B" w:rsidP="00B320CB">
            <w:pPr>
              <w:pStyle w:val="Tabletext1"/>
            </w:pPr>
            <w:r w:rsidRPr="006532FE">
              <w:t>Case series</w:t>
            </w:r>
          </w:p>
          <w:p w14:paraId="6193E49D" w14:textId="46596413" w:rsidR="00AD3A4B" w:rsidRPr="006532FE" w:rsidRDefault="00AD3A4B" w:rsidP="00B320CB">
            <w:pPr>
              <w:pStyle w:val="Tabletext1"/>
            </w:pPr>
            <w:r w:rsidRPr="006532FE">
              <w:t>Prospective</w:t>
            </w:r>
          </w:p>
          <w:p w14:paraId="0BEC984E" w14:textId="7D416B5A" w:rsidR="00AD3A4B" w:rsidRPr="006532FE" w:rsidRDefault="00AD3A4B" w:rsidP="00B320CB">
            <w:pPr>
              <w:pStyle w:val="Tabletext1"/>
            </w:pPr>
            <w:r w:rsidRPr="006532FE">
              <w:t>Consecutive</w:t>
            </w:r>
          </w:p>
        </w:tc>
        <w:tc>
          <w:tcPr>
            <w:tcW w:w="327" w:type="pct"/>
            <w:tcBorders>
              <w:top w:val="single" w:sz="4" w:space="0" w:color="auto"/>
              <w:left w:val="single" w:sz="4" w:space="0" w:color="auto"/>
              <w:bottom w:val="single" w:sz="4" w:space="0" w:color="auto"/>
              <w:right w:val="single" w:sz="4" w:space="0" w:color="auto"/>
            </w:tcBorders>
          </w:tcPr>
          <w:p w14:paraId="0E9B97C5" w14:textId="3CE75856"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3E8E25E5" w14:textId="77777777" w:rsidR="00AD3A4B" w:rsidRDefault="00AD3A4B" w:rsidP="00B320CB">
            <w:pPr>
              <w:pStyle w:val="Tabletext1"/>
            </w:pPr>
            <w:r w:rsidRPr="006532FE">
              <w:t>Canada</w:t>
            </w:r>
          </w:p>
          <w:p w14:paraId="021A1339" w14:textId="6E509210"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37A621B4" w14:textId="4DDE7EEF" w:rsidR="00AD3A4B" w:rsidRPr="006532FE" w:rsidRDefault="00AB582A" w:rsidP="00B320CB">
            <w:pPr>
              <w:pStyle w:val="Tabletext1"/>
            </w:pPr>
            <w:r>
              <w:t>n</w:t>
            </w:r>
            <w:r w:rsidR="00AD3A4B" w:rsidRPr="006532FE">
              <w:t>: 60</w:t>
            </w:r>
          </w:p>
          <w:p w14:paraId="7B67D0E7" w14:textId="3BEDA0DE" w:rsidR="00AD3A4B" w:rsidRPr="006532FE" w:rsidRDefault="00AD3A4B" w:rsidP="00B320CB">
            <w:pPr>
              <w:pStyle w:val="Tabletext1"/>
            </w:pPr>
            <w:r w:rsidRPr="006532FE">
              <w:t>Age: G1 mean 62.6 (SD 7), G2 mean 63.5 (SD 6), G3 mean 64 (SD 8.2)</w:t>
            </w:r>
          </w:p>
          <w:p w14:paraId="58C617F1" w14:textId="5046FABC" w:rsidR="00AD3A4B" w:rsidRPr="006532FE" w:rsidRDefault="00AD3A4B" w:rsidP="00B320CB">
            <w:pPr>
              <w:pStyle w:val="Tabletext1"/>
            </w:pPr>
            <w:r w:rsidRPr="006532FE">
              <w:t>PSA: G1 median 5.9 (range 1.7-10), G2 median 4.4 (range 1.1-9.1), G3 median 4.1 (range 1.1-9.9)</w:t>
            </w:r>
          </w:p>
          <w:p w14:paraId="1F184FEB" w14:textId="4291534A"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73195A4C" w14:textId="545CE09C" w:rsidR="00AD3A4B" w:rsidRPr="006532FE" w:rsidRDefault="00AD3A4B" w:rsidP="00B320CB">
            <w:pPr>
              <w:pStyle w:val="Tabletext1"/>
            </w:pPr>
            <w:r w:rsidRPr="006532FE">
              <w:t xml:space="preserve">1.5T </w:t>
            </w:r>
          </w:p>
          <w:p w14:paraId="2EAA02EE" w14:textId="0A219F76" w:rsidR="00AD3A4B" w:rsidRPr="006532FE" w:rsidRDefault="00AD3A4B" w:rsidP="00B320CB">
            <w:pPr>
              <w:pStyle w:val="Tabletext1"/>
            </w:pPr>
            <w:r w:rsidRPr="006532FE">
              <w:t>Coil: PPAC + ERC</w:t>
            </w:r>
          </w:p>
          <w:p w14:paraId="13F90F71" w14:textId="3D9812D3" w:rsidR="00AD3A4B" w:rsidRPr="006532FE" w:rsidRDefault="00AD3A4B" w:rsidP="00B320CB">
            <w:pPr>
              <w:pStyle w:val="Tabletext1"/>
            </w:pPr>
            <w:r w:rsidRPr="006532FE">
              <w:t>Contrast: gadopentate-diethylenetetraminepentaacetic acid</w:t>
            </w:r>
          </w:p>
        </w:tc>
        <w:tc>
          <w:tcPr>
            <w:tcW w:w="517" w:type="pct"/>
            <w:tcBorders>
              <w:top w:val="single" w:sz="4" w:space="0" w:color="auto"/>
              <w:left w:val="single" w:sz="4" w:space="0" w:color="auto"/>
              <w:bottom w:val="single" w:sz="4" w:space="0" w:color="auto"/>
              <w:right w:val="single" w:sz="4" w:space="0" w:color="auto"/>
            </w:tcBorders>
          </w:tcPr>
          <w:p w14:paraId="54D21AD8" w14:textId="646F707B" w:rsidR="00AD3A4B" w:rsidRPr="006532FE" w:rsidRDefault="00AD3A4B" w:rsidP="00B320CB">
            <w:pPr>
              <w:pStyle w:val="Tabletext1"/>
            </w:pPr>
            <w:r w:rsidRPr="006532FE">
              <w:t>Single experienced radiologist</w:t>
            </w:r>
          </w:p>
        </w:tc>
        <w:tc>
          <w:tcPr>
            <w:tcW w:w="394" w:type="pct"/>
            <w:tcBorders>
              <w:top w:val="single" w:sz="4" w:space="0" w:color="auto"/>
              <w:left w:val="single" w:sz="4" w:space="0" w:color="auto"/>
              <w:bottom w:val="single" w:sz="4" w:space="0" w:color="auto"/>
              <w:right w:val="single" w:sz="4" w:space="0" w:color="auto"/>
            </w:tcBorders>
          </w:tcPr>
          <w:p w14:paraId="1B5CC489" w14:textId="3A06DAE8" w:rsidR="00AD3A4B" w:rsidRPr="006532FE" w:rsidRDefault="00AD230C" w:rsidP="00B320CB">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50EC7D1B" w14:textId="2C711168"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1B885DA3" w14:textId="4F135231" w:rsidR="00AD3A4B" w:rsidRPr="006532FE" w:rsidRDefault="00AD3A4B" w:rsidP="00B320CB">
            <w:pPr>
              <w:pStyle w:val="Tabletext1"/>
            </w:pPr>
            <w:r w:rsidRPr="006532FE">
              <w:t>NA</w:t>
            </w:r>
          </w:p>
        </w:tc>
      </w:tr>
      <w:tr w:rsidR="00AD3A4B" w:rsidRPr="006532FE" w14:paraId="46E7E011"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28C79558" w14:textId="368E5A84" w:rsidR="00AD3A4B" w:rsidRPr="006532FE" w:rsidRDefault="00AD3A4B" w:rsidP="00B320CB">
            <w:pPr>
              <w:pStyle w:val="Tabletext1"/>
            </w:pPr>
            <w:r w:rsidRPr="006532FE">
              <w:t>Mullins et al. 2013</w:t>
            </w:r>
          </w:p>
        </w:tc>
        <w:tc>
          <w:tcPr>
            <w:tcW w:w="296" w:type="pct"/>
            <w:tcBorders>
              <w:top w:val="single" w:sz="4" w:space="0" w:color="auto"/>
              <w:left w:val="single" w:sz="4" w:space="0" w:color="auto"/>
              <w:bottom w:val="single" w:sz="4" w:space="0" w:color="auto"/>
              <w:right w:val="single" w:sz="4" w:space="0" w:color="auto"/>
            </w:tcBorders>
          </w:tcPr>
          <w:p w14:paraId="0BB91D66" w14:textId="54C26434"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392E43F2" w14:textId="77777777" w:rsidR="00AD3A4B" w:rsidRPr="006532FE" w:rsidRDefault="00AD3A4B" w:rsidP="00B320CB">
            <w:pPr>
              <w:pStyle w:val="Tabletext1"/>
            </w:pPr>
            <w:r w:rsidRPr="006532FE">
              <w:t>Case series</w:t>
            </w:r>
          </w:p>
          <w:p w14:paraId="51C067A9" w14:textId="397E734B" w:rsidR="00AD3A4B" w:rsidRPr="006532FE" w:rsidRDefault="00AD3A4B" w:rsidP="00B320CB">
            <w:pPr>
              <w:pStyle w:val="Tabletext1"/>
            </w:pPr>
            <w:r w:rsidRPr="006532FE">
              <w:t>Retrospective</w:t>
            </w:r>
          </w:p>
          <w:p w14:paraId="687DB559" w14:textId="4319E6ED" w:rsidR="00AD3A4B" w:rsidRPr="006532FE" w:rsidRDefault="00AD3A4B" w:rsidP="00B320CB">
            <w:pPr>
              <w:pStyle w:val="Tabletext1"/>
            </w:pPr>
            <w:r w:rsidRPr="006532FE">
              <w:t>Consecutive</w:t>
            </w:r>
          </w:p>
        </w:tc>
        <w:tc>
          <w:tcPr>
            <w:tcW w:w="327" w:type="pct"/>
            <w:tcBorders>
              <w:top w:val="single" w:sz="4" w:space="0" w:color="auto"/>
              <w:left w:val="single" w:sz="4" w:space="0" w:color="auto"/>
              <w:bottom w:val="single" w:sz="4" w:space="0" w:color="auto"/>
              <w:right w:val="single" w:sz="4" w:space="0" w:color="auto"/>
            </w:tcBorders>
          </w:tcPr>
          <w:p w14:paraId="39A2F3A5" w14:textId="1234B53C"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240061C8" w14:textId="77777777" w:rsidR="00AD3A4B" w:rsidRDefault="00AD3A4B" w:rsidP="00B320CB">
            <w:pPr>
              <w:pStyle w:val="Tabletext1"/>
            </w:pPr>
            <w:r w:rsidRPr="006532FE">
              <w:t>USA</w:t>
            </w:r>
          </w:p>
          <w:p w14:paraId="3B69D264" w14:textId="3DB3F3C6"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4E0DDBA8" w14:textId="1C87E9CA" w:rsidR="00AD3A4B" w:rsidRPr="006532FE" w:rsidRDefault="00AB582A" w:rsidP="00B320CB">
            <w:pPr>
              <w:pStyle w:val="Tabletext1"/>
            </w:pPr>
            <w:r>
              <w:t>n</w:t>
            </w:r>
            <w:r w:rsidR="00AD3A4B" w:rsidRPr="006532FE">
              <w:t>: 37</w:t>
            </w:r>
          </w:p>
          <w:p w14:paraId="04B0A250" w14:textId="4DE6A123" w:rsidR="00AD3A4B" w:rsidRPr="006532FE" w:rsidRDefault="00AD3A4B" w:rsidP="00B320CB">
            <w:pPr>
              <w:pStyle w:val="Tabletext1"/>
            </w:pPr>
            <w:r w:rsidRPr="006532FE">
              <w:t>Age: median 67 (range 49-80)</w:t>
            </w:r>
          </w:p>
          <w:p w14:paraId="074F8838" w14:textId="193CDF6B" w:rsidR="00AD3A4B" w:rsidRPr="006532FE" w:rsidRDefault="00AD3A4B" w:rsidP="00B320CB">
            <w:pPr>
              <w:pStyle w:val="Tabletext1"/>
            </w:pPr>
            <w:r w:rsidRPr="006532FE">
              <w:t>PSA: median 4.5 (range 0.4-18.6)</w:t>
            </w:r>
          </w:p>
          <w:p w14:paraId="4F682AA7" w14:textId="112985D1"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46EF1CBA" w14:textId="7A45AEFF" w:rsidR="00AD3A4B" w:rsidRPr="006532FE" w:rsidRDefault="00AD3A4B" w:rsidP="00B320CB">
            <w:pPr>
              <w:pStyle w:val="Tabletext1"/>
            </w:pPr>
            <w:r w:rsidRPr="006532FE">
              <w:t>3.0T</w:t>
            </w:r>
          </w:p>
          <w:p w14:paraId="5E2DE183" w14:textId="23EADC14" w:rsidR="00AD3A4B" w:rsidRPr="006532FE" w:rsidRDefault="00AD3A4B" w:rsidP="00B320CB">
            <w:pPr>
              <w:pStyle w:val="Tabletext1"/>
            </w:pPr>
            <w:r w:rsidRPr="006532FE">
              <w:t>Coil: body coil + ERC</w:t>
            </w:r>
          </w:p>
          <w:p w14:paraId="678D9A50" w14:textId="6D523DC1" w:rsidR="00AD3A4B" w:rsidRPr="006532FE" w:rsidRDefault="00AD3A4B" w:rsidP="00B320CB">
            <w:pPr>
              <w:pStyle w:val="Tabletext1"/>
            </w:pPr>
            <w:r w:rsidRPr="006532FE">
              <w:t>Contrast: gadopentetate dimeglumine-DTPA</w:t>
            </w:r>
          </w:p>
        </w:tc>
        <w:tc>
          <w:tcPr>
            <w:tcW w:w="517" w:type="pct"/>
            <w:tcBorders>
              <w:top w:val="single" w:sz="4" w:space="0" w:color="auto"/>
              <w:left w:val="single" w:sz="4" w:space="0" w:color="auto"/>
              <w:bottom w:val="single" w:sz="4" w:space="0" w:color="auto"/>
              <w:right w:val="single" w:sz="4" w:space="0" w:color="auto"/>
            </w:tcBorders>
          </w:tcPr>
          <w:p w14:paraId="3E65E30D" w14:textId="06C45FBC" w:rsidR="00AD3A4B" w:rsidRPr="006532FE" w:rsidRDefault="00AD3A4B" w:rsidP="00B320CB">
            <w:pPr>
              <w:pStyle w:val="Tabletext1"/>
            </w:pPr>
            <w:r w:rsidRPr="006532FE">
              <w:t xml:space="preserve">Single radiologists with &gt;10 </w:t>
            </w:r>
            <w:r w:rsidR="00001747" w:rsidRPr="006532FE">
              <w:t>years’ experience</w:t>
            </w:r>
            <w:r w:rsidRPr="006532FE">
              <w:t xml:space="preserve"> in prostate MRI</w:t>
            </w:r>
          </w:p>
        </w:tc>
        <w:tc>
          <w:tcPr>
            <w:tcW w:w="394" w:type="pct"/>
            <w:tcBorders>
              <w:top w:val="single" w:sz="4" w:space="0" w:color="auto"/>
              <w:left w:val="single" w:sz="4" w:space="0" w:color="auto"/>
              <w:bottom w:val="single" w:sz="4" w:space="0" w:color="auto"/>
              <w:right w:val="single" w:sz="4" w:space="0" w:color="auto"/>
            </w:tcBorders>
          </w:tcPr>
          <w:p w14:paraId="65C44A74" w14:textId="1EE41849" w:rsidR="00AD3A4B" w:rsidRPr="006532FE" w:rsidRDefault="00AD230C" w:rsidP="00B320CB">
            <w:pPr>
              <w:pStyle w:val="Tabletext1"/>
            </w:pPr>
            <w:r w:rsidRPr="004A77EB">
              <w:t xml:space="preserve">TRUSGB </w:t>
            </w:r>
          </w:p>
        </w:tc>
        <w:tc>
          <w:tcPr>
            <w:tcW w:w="359" w:type="pct"/>
            <w:tcBorders>
              <w:top w:val="single" w:sz="4" w:space="0" w:color="auto"/>
              <w:left w:val="single" w:sz="4" w:space="0" w:color="auto"/>
              <w:bottom w:val="single" w:sz="4" w:space="0" w:color="auto"/>
              <w:right w:val="single" w:sz="4" w:space="0" w:color="auto"/>
            </w:tcBorders>
          </w:tcPr>
          <w:p w14:paraId="36693116" w14:textId="08B58B3E"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7C8CF6E0" w14:textId="3345030F" w:rsidR="00AD3A4B" w:rsidRPr="006532FE" w:rsidRDefault="00AD3A4B" w:rsidP="00B320CB">
            <w:pPr>
              <w:pStyle w:val="Tabletext1"/>
            </w:pPr>
            <w:r w:rsidRPr="006532FE">
              <w:t>NA</w:t>
            </w:r>
          </w:p>
        </w:tc>
      </w:tr>
      <w:tr w:rsidR="00AD3A4B" w:rsidRPr="006532FE" w14:paraId="200EB364"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488BCD35" w14:textId="0E3338BF" w:rsidR="00AD3A4B" w:rsidRPr="006532FE" w:rsidRDefault="00AD3A4B" w:rsidP="00B320CB">
            <w:pPr>
              <w:pStyle w:val="Tabletext1"/>
            </w:pPr>
            <w:r w:rsidRPr="006532FE">
              <w:t>Sahibzada et al. 2016</w:t>
            </w:r>
          </w:p>
        </w:tc>
        <w:tc>
          <w:tcPr>
            <w:tcW w:w="296" w:type="pct"/>
            <w:tcBorders>
              <w:top w:val="single" w:sz="4" w:space="0" w:color="auto"/>
              <w:left w:val="single" w:sz="4" w:space="0" w:color="auto"/>
              <w:bottom w:val="single" w:sz="4" w:space="0" w:color="auto"/>
              <w:right w:val="single" w:sz="4" w:space="0" w:color="auto"/>
            </w:tcBorders>
          </w:tcPr>
          <w:p w14:paraId="364C4CB6" w14:textId="408B1128"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65AF76E5" w14:textId="77777777" w:rsidR="00AD3A4B" w:rsidRPr="006532FE" w:rsidRDefault="00AD3A4B" w:rsidP="00B320CB">
            <w:pPr>
              <w:pStyle w:val="Tabletext1"/>
            </w:pPr>
            <w:r w:rsidRPr="006532FE">
              <w:t>Case series</w:t>
            </w:r>
          </w:p>
          <w:p w14:paraId="53BCF467" w14:textId="747EB9F4" w:rsidR="00AD3A4B" w:rsidRPr="006532FE" w:rsidRDefault="00AD3A4B" w:rsidP="00B320CB">
            <w:pPr>
              <w:pStyle w:val="Tabletext1"/>
            </w:pPr>
            <w:r w:rsidRPr="006532FE">
              <w:t>Retrospective</w:t>
            </w:r>
          </w:p>
          <w:p w14:paraId="35ED5763" w14:textId="3CB0BE33" w:rsidR="00AD3A4B" w:rsidRPr="006532FE" w:rsidRDefault="00AD3A4B" w:rsidP="00B320CB">
            <w:pPr>
              <w:pStyle w:val="Tabletext1"/>
            </w:pPr>
            <w:r w:rsidRPr="006532FE">
              <w:t>Consecutive</w:t>
            </w:r>
          </w:p>
        </w:tc>
        <w:tc>
          <w:tcPr>
            <w:tcW w:w="327" w:type="pct"/>
            <w:tcBorders>
              <w:top w:val="single" w:sz="4" w:space="0" w:color="auto"/>
              <w:left w:val="single" w:sz="4" w:space="0" w:color="auto"/>
              <w:bottom w:val="single" w:sz="4" w:space="0" w:color="auto"/>
              <w:right w:val="single" w:sz="4" w:space="0" w:color="auto"/>
            </w:tcBorders>
          </w:tcPr>
          <w:p w14:paraId="6D3E4DB9" w14:textId="0B19780C"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3B9BBCA9" w14:textId="77777777" w:rsidR="00AD3A4B" w:rsidRDefault="00AD3A4B" w:rsidP="00B320CB">
            <w:pPr>
              <w:pStyle w:val="Tabletext1"/>
            </w:pPr>
            <w:r w:rsidRPr="006532FE">
              <w:t>UK</w:t>
            </w:r>
          </w:p>
          <w:p w14:paraId="0A38AD78" w14:textId="60A16F0B"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4F53CC9C" w14:textId="6ED65848" w:rsidR="00AD3A4B" w:rsidRPr="006532FE" w:rsidRDefault="00AB582A" w:rsidP="00B320CB">
            <w:pPr>
              <w:pStyle w:val="Tabletext1"/>
            </w:pPr>
            <w:r>
              <w:t>n</w:t>
            </w:r>
            <w:r w:rsidR="00AD3A4B" w:rsidRPr="006532FE">
              <w:t>: 100</w:t>
            </w:r>
          </w:p>
          <w:p w14:paraId="5CDD541D" w14:textId="6F4DC4CE" w:rsidR="00AD3A4B" w:rsidRPr="006532FE" w:rsidRDefault="00AD3A4B" w:rsidP="00B320CB">
            <w:pPr>
              <w:pStyle w:val="Tabletext1"/>
            </w:pPr>
            <w:r w:rsidRPr="006532FE">
              <w:t>Age: mean 69.8 (range 59.1-85.9)</w:t>
            </w:r>
          </w:p>
          <w:p w14:paraId="31F0B567" w14:textId="66DD77FD" w:rsidR="00AD3A4B" w:rsidRPr="006532FE" w:rsidRDefault="00AD3A4B" w:rsidP="00B320CB">
            <w:pPr>
              <w:pStyle w:val="Tabletext1"/>
            </w:pPr>
            <w:r w:rsidRPr="006532FE">
              <w:t>PSA: mean 6.5 (range 3.4-17.5)</w:t>
            </w:r>
          </w:p>
          <w:p w14:paraId="6FDAFF58" w14:textId="7A6BF43A"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0409B779" w14:textId="77777777" w:rsidR="00AD3A4B" w:rsidRPr="006532FE" w:rsidRDefault="00AD3A4B" w:rsidP="00B320CB">
            <w:pPr>
              <w:pStyle w:val="Tabletext1"/>
            </w:pPr>
            <w:r w:rsidRPr="006532FE">
              <w:t>1.5T or 3.0T</w:t>
            </w:r>
          </w:p>
          <w:p w14:paraId="03D04606" w14:textId="21CDB21B" w:rsidR="00AD3A4B" w:rsidRPr="006532FE" w:rsidRDefault="00AD3A4B" w:rsidP="00B320CB">
            <w:pPr>
              <w:pStyle w:val="Tabletext1"/>
            </w:pPr>
            <w:r w:rsidRPr="006532FE">
              <w:t>Coil: NR</w:t>
            </w:r>
          </w:p>
          <w:p w14:paraId="597BB273" w14:textId="07180E0D"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7979D617" w14:textId="09E22FEA" w:rsidR="00AD3A4B" w:rsidRPr="006532FE" w:rsidRDefault="00AD3A4B" w:rsidP="00B320CB">
            <w:pPr>
              <w:pStyle w:val="Tabletext1"/>
            </w:pPr>
            <w:r w:rsidRPr="006532FE">
              <w:t xml:space="preserve">Single radiologists with &gt;10 </w:t>
            </w:r>
            <w:r w:rsidR="00001747" w:rsidRPr="006532FE">
              <w:t>years’ experience</w:t>
            </w:r>
            <w:r w:rsidRPr="006532FE">
              <w:t xml:space="preserve"> in prostate MRI</w:t>
            </w:r>
          </w:p>
        </w:tc>
        <w:tc>
          <w:tcPr>
            <w:tcW w:w="394" w:type="pct"/>
            <w:tcBorders>
              <w:top w:val="single" w:sz="4" w:space="0" w:color="auto"/>
              <w:left w:val="single" w:sz="4" w:space="0" w:color="auto"/>
              <w:bottom w:val="single" w:sz="4" w:space="0" w:color="auto"/>
              <w:right w:val="single" w:sz="4" w:space="0" w:color="auto"/>
            </w:tcBorders>
          </w:tcPr>
          <w:p w14:paraId="52173B46" w14:textId="3B8C0F19" w:rsidR="00AD3A4B" w:rsidRPr="006532FE" w:rsidRDefault="00AD230C" w:rsidP="00B320CB">
            <w:pPr>
              <w:pStyle w:val="Tabletext1"/>
            </w:pPr>
            <w:r>
              <w:t>TRUSGB</w:t>
            </w:r>
          </w:p>
        </w:tc>
        <w:tc>
          <w:tcPr>
            <w:tcW w:w="359" w:type="pct"/>
            <w:tcBorders>
              <w:top w:val="single" w:sz="4" w:space="0" w:color="auto"/>
              <w:left w:val="single" w:sz="4" w:space="0" w:color="auto"/>
              <w:bottom w:val="single" w:sz="4" w:space="0" w:color="auto"/>
              <w:right w:val="single" w:sz="4" w:space="0" w:color="auto"/>
            </w:tcBorders>
          </w:tcPr>
          <w:p w14:paraId="6049BD20" w14:textId="37AB6F70"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07E96685" w14:textId="79932772" w:rsidR="00AD3A4B" w:rsidRPr="006532FE" w:rsidRDefault="00AD3A4B" w:rsidP="00B320CB">
            <w:pPr>
              <w:pStyle w:val="Tabletext1"/>
            </w:pPr>
            <w:r w:rsidRPr="006532FE">
              <w:t>NA</w:t>
            </w:r>
          </w:p>
        </w:tc>
      </w:tr>
      <w:tr w:rsidR="00AD3A4B" w:rsidRPr="006532FE" w14:paraId="6E765F88"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6F04CA35" w14:textId="5E14B31A" w:rsidR="00AD3A4B" w:rsidRPr="006532FE" w:rsidRDefault="00AD3A4B" w:rsidP="00B320CB">
            <w:pPr>
              <w:pStyle w:val="Tabletext1"/>
            </w:pPr>
            <w:r w:rsidRPr="006532FE">
              <w:t>Siddiqui et al. 2015</w:t>
            </w:r>
          </w:p>
        </w:tc>
        <w:tc>
          <w:tcPr>
            <w:tcW w:w="296" w:type="pct"/>
            <w:tcBorders>
              <w:top w:val="single" w:sz="4" w:space="0" w:color="auto"/>
              <w:left w:val="single" w:sz="4" w:space="0" w:color="auto"/>
              <w:bottom w:val="single" w:sz="4" w:space="0" w:color="auto"/>
              <w:right w:val="single" w:sz="4" w:space="0" w:color="auto"/>
            </w:tcBorders>
          </w:tcPr>
          <w:p w14:paraId="25CE4D04" w14:textId="321E0572"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0797317E" w14:textId="77777777" w:rsidR="00AD3A4B" w:rsidRPr="006532FE" w:rsidRDefault="00AD3A4B" w:rsidP="00B320CB">
            <w:pPr>
              <w:pStyle w:val="Tabletext1"/>
            </w:pPr>
            <w:r w:rsidRPr="006532FE">
              <w:t>Case series</w:t>
            </w:r>
          </w:p>
          <w:p w14:paraId="637D8E68" w14:textId="6F184E06" w:rsidR="00AD3A4B" w:rsidRPr="006532FE" w:rsidRDefault="00AD3A4B" w:rsidP="00B320CB">
            <w:pPr>
              <w:pStyle w:val="Tabletext1"/>
            </w:pPr>
            <w:r w:rsidRPr="006532FE">
              <w:t>Retrospective</w:t>
            </w:r>
          </w:p>
          <w:p w14:paraId="5C7ABD56" w14:textId="12763C9C"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6BBE7AAF" w14:textId="6B1F0F24"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2C2DD60F" w14:textId="77777777" w:rsidR="00AD3A4B" w:rsidRDefault="00AD3A4B" w:rsidP="00B320CB">
            <w:pPr>
              <w:pStyle w:val="Tabletext1"/>
            </w:pPr>
            <w:r w:rsidRPr="006532FE">
              <w:t>USA</w:t>
            </w:r>
          </w:p>
          <w:p w14:paraId="057581BD" w14:textId="7579C7DA"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59511048" w14:textId="665A680C" w:rsidR="00AD3A4B" w:rsidRPr="006532FE" w:rsidRDefault="00AB582A" w:rsidP="00B320CB">
            <w:pPr>
              <w:pStyle w:val="Tabletext1"/>
            </w:pPr>
            <w:r>
              <w:t>n</w:t>
            </w:r>
            <w:r w:rsidR="00AD3A4B" w:rsidRPr="006532FE">
              <w:t>: 60</w:t>
            </w:r>
          </w:p>
          <w:p w14:paraId="15EA7F2A" w14:textId="4FCFBD30" w:rsidR="00AD3A4B" w:rsidRPr="006532FE" w:rsidRDefault="00AD3A4B" w:rsidP="00B320CB">
            <w:pPr>
              <w:pStyle w:val="Tabletext1"/>
            </w:pPr>
            <w:r w:rsidRPr="006532FE">
              <w:t>Age: mean 60.2</w:t>
            </w:r>
          </w:p>
          <w:p w14:paraId="601D1C0A" w14:textId="0109596F" w:rsidR="00AD3A4B" w:rsidRPr="006532FE" w:rsidRDefault="00AD3A4B" w:rsidP="00B320CB">
            <w:pPr>
              <w:pStyle w:val="Tabletext1"/>
            </w:pPr>
            <w:r w:rsidRPr="006532FE">
              <w:t>PSA: mean 4.8</w:t>
            </w:r>
          </w:p>
          <w:p w14:paraId="700411EB" w14:textId="57C984CC"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6B367BA4" w14:textId="01791FD5" w:rsidR="00AD3A4B" w:rsidRPr="006532FE" w:rsidRDefault="00AD3A4B" w:rsidP="00B320CB">
            <w:pPr>
              <w:pStyle w:val="Tabletext1"/>
            </w:pPr>
            <w:r w:rsidRPr="006532FE">
              <w:t>3.0T</w:t>
            </w:r>
          </w:p>
          <w:p w14:paraId="24322782" w14:textId="45B0D9D0" w:rsidR="00AD3A4B" w:rsidRPr="006532FE" w:rsidRDefault="00AD3A4B" w:rsidP="00B320CB">
            <w:pPr>
              <w:pStyle w:val="Tabletext1"/>
            </w:pPr>
            <w:r w:rsidRPr="006532FE">
              <w:t>Coil: cardiac coil + ERC</w:t>
            </w:r>
          </w:p>
          <w:p w14:paraId="061A2A10" w14:textId="40DFC2A4"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34CC627B" w14:textId="58ECD9B4" w:rsidR="00AD3A4B" w:rsidRPr="006532FE" w:rsidRDefault="00AD3A4B" w:rsidP="00B320CB">
            <w:pPr>
              <w:pStyle w:val="Tabletext1"/>
            </w:pPr>
            <w:r w:rsidRPr="006532FE">
              <w:t>NR</w:t>
            </w:r>
          </w:p>
        </w:tc>
        <w:tc>
          <w:tcPr>
            <w:tcW w:w="394" w:type="pct"/>
            <w:tcBorders>
              <w:top w:val="single" w:sz="4" w:space="0" w:color="auto"/>
              <w:left w:val="single" w:sz="4" w:space="0" w:color="auto"/>
              <w:bottom w:val="single" w:sz="4" w:space="0" w:color="auto"/>
              <w:right w:val="single" w:sz="4" w:space="0" w:color="auto"/>
            </w:tcBorders>
          </w:tcPr>
          <w:p w14:paraId="1FEAEB24" w14:textId="3C76B513" w:rsidR="00AD3A4B" w:rsidRPr="006532FE" w:rsidRDefault="00AD230C" w:rsidP="00B320CB">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124B917B" w14:textId="40E91C73" w:rsidR="00AD3A4B" w:rsidRPr="006532FE" w:rsidRDefault="00A927C9" w:rsidP="00B320CB">
            <w:pPr>
              <w:pStyle w:val="Tabletext1"/>
            </w:pPr>
            <w:r w:rsidRPr="006532FE">
              <w:t>Graphical outcomes only</w:t>
            </w:r>
          </w:p>
        </w:tc>
        <w:tc>
          <w:tcPr>
            <w:tcW w:w="458" w:type="pct"/>
            <w:tcBorders>
              <w:top w:val="single" w:sz="4" w:space="0" w:color="auto"/>
              <w:left w:val="single" w:sz="4" w:space="0" w:color="auto"/>
              <w:bottom w:val="single" w:sz="4" w:space="0" w:color="auto"/>
              <w:right w:val="single" w:sz="4" w:space="0" w:color="auto"/>
            </w:tcBorders>
          </w:tcPr>
          <w:p w14:paraId="7818E782" w14:textId="1D5D27D1" w:rsidR="00AD3A4B" w:rsidRPr="006532FE" w:rsidRDefault="00AD3A4B" w:rsidP="00B320CB">
            <w:pPr>
              <w:pStyle w:val="Tabletext1"/>
            </w:pPr>
            <w:r w:rsidRPr="006532FE">
              <w:t>NA</w:t>
            </w:r>
          </w:p>
        </w:tc>
      </w:tr>
      <w:tr w:rsidR="00AD3A4B" w:rsidRPr="006532FE" w14:paraId="4994D559"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4E3BE79B" w14:textId="5B27E3BB" w:rsidR="00AD3A4B" w:rsidRPr="006532FE" w:rsidRDefault="00AD3A4B" w:rsidP="00B320CB">
            <w:pPr>
              <w:pStyle w:val="Tabletext1"/>
            </w:pPr>
            <w:r w:rsidRPr="006532FE">
              <w:t>Stamatakis et al. (2013)</w:t>
            </w:r>
          </w:p>
        </w:tc>
        <w:tc>
          <w:tcPr>
            <w:tcW w:w="296" w:type="pct"/>
            <w:tcBorders>
              <w:top w:val="single" w:sz="4" w:space="0" w:color="auto"/>
              <w:left w:val="single" w:sz="4" w:space="0" w:color="auto"/>
              <w:bottom w:val="single" w:sz="4" w:space="0" w:color="auto"/>
              <w:right w:val="single" w:sz="4" w:space="0" w:color="auto"/>
            </w:tcBorders>
          </w:tcPr>
          <w:p w14:paraId="6B31013E" w14:textId="44C3BF0E"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30B49CA6" w14:textId="77777777" w:rsidR="00AD3A4B" w:rsidRPr="006532FE" w:rsidRDefault="00AD3A4B" w:rsidP="00B320CB">
            <w:pPr>
              <w:pStyle w:val="Tabletext1"/>
            </w:pPr>
            <w:r w:rsidRPr="006532FE">
              <w:t>Case series</w:t>
            </w:r>
          </w:p>
          <w:p w14:paraId="5CFFECE2" w14:textId="7853EA1F" w:rsidR="00AD3A4B" w:rsidRPr="006532FE" w:rsidRDefault="00AD3A4B" w:rsidP="00B320CB">
            <w:pPr>
              <w:pStyle w:val="Tabletext1"/>
            </w:pPr>
            <w:r w:rsidRPr="006532FE">
              <w:t>Retrospective</w:t>
            </w:r>
          </w:p>
          <w:p w14:paraId="2622AD06" w14:textId="46498ED0"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1B54750E" w14:textId="2194CD6B"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5BF4DE32" w14:textId="77777777" w:rsidR="00AD3A4B" w:rsidRDefault="00AD3A4B" w:rsidP="00B320CB">
            <w:pPr>
              <w:pStyle w:val="Tabletext1"/>
            </w:pPr>
            <w:r w:rsidRPr="006532FE">
              <w:t>USA</w:t>
            </w:r>
          </w:p>
          <w:p w14:paraId="121B6491" w14:textId="5BFD027F"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5EB8AFF8" w14:textId="54B693AF" w:rsidR="00AD3A4B" w:rsidRPr="006532FE" w:rsidRDefault="00AB582A" w:rsidP="00B320CB">
            <w:pPr>
              <w:pStyle w:val="Tabletext1"/>
            </w:pPr>
            <w:r>
              <w:t>n</w:t>
            </w:r>
            <w:r w:rsidR="00AD3A4B" w:rsidRPr="006532FE">
              <w:t>: 85</w:t>
            </w:r>
          </w:p>
          <w:p w14:paraId="6E43A338" w14:textId="69F43A96" w:rsidR="00AD3A4B" w:rsidRPr="006532FE" w:rsidRDefault="00AD3A4B" w:rsidP="00B320CB">
            <w:pPr>
              <w:pStyle w:val="Tabletext1"/>
            </w:pPr>
            <w:r w:rsidRPr="006532FE">
              <w:t>Age: mean 60.2 (range 40-79)</w:t>
            </w:r>
          </w:p>
          <w:p w14:paraId="33D996C0" w14:textId="42B8DD75" w:rsidR="00AD3A4B" w:rsidRPr="006532FE" w:rsidRDefault="00AD3A4B" w:rsidP="00B320CB">
            <w:pPr>
              <w:pStyle w:val="Tabletext1"/>
            </w:pPr>
            <w:r w:rsidRPr="006532FE">
              <w:t>PSA: mean 4.8 (0.2-10.9)</w:t>
            </w:r>
          </w:p>
          <w:p w14:paraId="51B5D78B" w14:textId="3D7923E2"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2CA0E15F" w14:textId="7B08DAAA" w:rsidR="00AD3A4B" w:rsidRPr="006532FE" w:rsidRDefault="00AD3A4B" w:rsidP="00B320CB">
            <w:pPr>
              <w:pStyle w:val="Tabletext1"/>
            </w:pPr>
            <w:r w:rsidRPr="006532FE">
              <w:t>3.0T</w:t>
            </w:r>
          </w:p>
          <w:p w14:paraId="32F2C710" w14:textId="34D218A9" w:rsidR="00AD3A4B" w:rsidRPr="006532FE" w:rsidRDefault="00AD3A4B" w:rsidP="00B320CB">
            <w:pPr>
              <w:pStyle w:val="Tabletext1"/>
            </w:pPr>
            <w:r w:rsidRPr="006532FE">
              <w:t>Coil: cardiac coil + ERC</w:t>
            </w:r>
          </w:p>
          <w:p w14:paraId="1EE9599D" w14:textId="633AF713"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791F9FEB" w14:textId="1168A370" w:rsidR="00AD3A4B" w:rsidRPr="006532FE" w:rsidRDefault="00AD3A4B" w:rsidP="00B320CB">
            <w:pPr>
              <w:pStyle w:val="Tabletext1"/>
            </w:pPr>
            <w:r w:rsidRPr="006532FE">
              <w:t>NR</w:t>
            </w:r>
          </w:p>
        </w:tc>
        <w:tc>
          <w:tcPr>
            <w:tcW w:w="394" w:type="pct"/>
            <w:tcBorders>
              <w:top w:val="single" w:sz="4" w:space="0" w:color="auto"/>
              <w:left w:val="single" w:sz="4" w:space="0" w:color="auto"/>
              <w:bottom w:val="single" w:sz="4" w:space="0" w:color="auto"/>
              <w:right w:val="single" w:sz="4" w:space="0" w:color="auto"/>
            </w:tcBorders>
          </w:tcPr>
          <w:p w14:paraId="4D46E9F0" w14:textId="6CBC2A94" w:rsidR="00AD3A4B" w:rsidRPr="006532FE" w:rsidRDefault="00AD230C" w:rsidP="00B320CB">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348987DC" w14:textId="46DEF214"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1B2DDD70" w14:textId="19CD49E1" w:rsidR="00AD3A4B" w:rsidRPr="006532FE" w:rsidRDefault="00AD3A4B" w:rsidP="00B320CB">
            <w:pPr>
              <w:pStyle w:val="Tabletext1"/>
            </w:pPr>
            <w:r w:rsidRPr="006532FE">
              <w:t>NA</w:t>
            </w:r>
          </w:p>
        </w:tc>
      </w:tr>
      <w:tr w:rsidR="00AD3A4B" w:rsidRPr="006532FE" w14:paraId="4B5FF358"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6DC991FE" w14:textId="24585D5E" w:rsidR="00AD3A4B" w:rsidRPr="006532FE" w:rsidRDefault="00AD3A4B" w:rsidP="00B320CB">
            <w:pPr>
              <w:pStyle w:val="Tabletext1"/>
            </w:pPr>
            <w:r w:rsidRPr="006532FE">
              <w:lastRenderedPageBreak/>
              <w:t>Vos et al. 2016</w:t>
            </w:r>
          </w:p>
        </w:tc>
        <w:tc>
          <w:tcPr>
            <w:tcW w:w="296" w:type="pct"/>
            <w:tcBorders>
              <w:top w:val="single" w:sz="4" w:space="0" w:color="auto"/>
              <w:left w:val="single" w:sz="4" w:space="0" w:color="auto"/>
              <w:bottom w:val="single" w:sz="4" w:space="0" w:color="auto"/>
              <w:right w:val="single" w:sz="4" w:space="0" w:color="auto"/>
            </w:tcBorders>
          </w:tcPr>
          <w:p w14:paraId="68F2B53B" w14:textId="2485515B"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705CB319" w14:textId="77777777" w:rsidR="00AD3A4B" w:rsidRPr="006532FE" w:rsidRDefault="00AD3A4B" w:rsidP="00B320CB">
            <w:pPr>
              <w:pStyle w:val="Tabletext1"/>
            </w:pPr>
            <w:r w:rsidRPr="006532FE">
              <w:t>Case series</w:t>
            </w:r>
          </w:p>
          <w:p w14:paraId="0EF89C74" w14:textId="1E746637" w:rsidR="00AD3A4B" w:rsidRPr="006532FE" w:rsidRDefault="00AD3A4B" w:rsidP="00B320CB">
            <w:pPr>
              <w:pStyle w:val="Tabletext1"/>
            </w:pPr>
            <w:r w:rsidRPr="006532FE">
              <w:t>Prospective</w:t>
            </w:r>
          </w:p>
          <w:p w14:paraId="6DFC3291" w14:textId="72821F86"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7F2CDAE9" w14:textId="64994694"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1455B647" w14:textId="77777777" w:rsidR="00AD3A4B" w:rsidRDefault="00AD3A4B" w:rsidP="00B320CB">
            <w:pPr>
              <w:pStyle w:val="Tabletext1"/>
            </w:pPr>
            <w:r w:rsidRPr="006532FE">
              <w:t>USA</w:t>
            </w:r>
          </w:p>
          <w:p w14:paraId="76D70E9C" w14:textId="373E8A1A"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110BA209" w14:textId="40432335" w:rsidR="00AD3A4B" w:rsidRPr="006532FE" w:rsidRDefault="00AB582A" w:rsidP="00B320CB">
            <w:pPr>
              <w:pStyle w:val="Tabletext1"/>
            </w:pPr>
            <w:r>
              <w:t>n</w:t>
            </w:r>
            <w:r w:rsidR="00AD3A4B" w:rsidRPr="006532FE">
              <w:t>: 24</w:t>
            </w:r>
          </w:p>
          <w:p w14:paraId="0653F609" w14:textId="638A91B3" w:rsidR="00AD3A4B" w:rsidRPr="006532FE" w:rsidRDefault="00AD3A4B" w:rsidP="00B320CB">
            <w:pPr>
              <w:pStyle w:val="Tabletext1"/>
            </w:pPr>
            <w:r w:rsidRPr="006532FE">
              <w:t>Age: median 65 (range 51-75)</w:t>
            </w:r>
          </w:p>
          <w:p w14:paraId="5E1264AD" w14:textId="4F261BA6" w:rsidR="00AD3A4B" w:rsidRPr="006532FE" w:rsidRDefault="00AD3A4B" w:rsidP="00B320CB">
            <w:pPr>
              <w:pStyle w:val="Tabletext1"/>
            </w:pPr>
            <w:r w:rsidRPr="006532FE">
              <w:t>PSA: median 6.4 (range 1.4-14.3)</w:t>
            </w:r>
          </w:p>
          <w:p w14:paraId="18610CD8" w14:textId="02AD1D8A"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1DB9B2B5" w14:textId="5402638B" w:rsidR="00AD3A4B" w:rsidRPr="006532FE" w:rsidRDefault="00AD3A4B" w:rsidP="00B320CB">
            <w:pPr>
              <w:pStyle w:val="Tabletext1"/>
            </w:pPr>
            <w:r w:rsidRPr="006532FE">
              <w:t>3.0T</w:t>
            </w:r>
          </w:p>
          <w:p w14:paraId="78098279" w14:textId="5B2C8426" w:rsidR="00AD3A4B" w:rsidRPr="006532FE" w:rsidRDefault="00AD3A4B" w:rsidP="00B320CB">
            <w:pPr>
              <w:pStyle w:val="Tabletext1"/>
            </w:pPr>
            <w:r w:rsidRPr="006532FE">
              <w:t>Coil: built-in body coil</w:t>
            </w:r>
          </w:p>
          <w:p w14:paraId="36D52DE1" w14:textId="6AB71E2C" w:rsidR="00AD3A4B" w:rsidRPr="006532FE" w:rsidRDefault="00AD3A4B" w:rsidP="00B320CB">
            <w:pPr>
              <w:pStyle w:val="Tabletext1"/>
            </w:pPr>
            <w:r w:rsidRPr="006532FE">
              <w:t>Contrast: ProHance</w:t>
            </w:r>
          </w:p>
        </w:tc>
        <w:tc>
          <w:tcPr>
            <w:tcW w:w="517" w:type="pct"/>
            <w:tcBorders>
              <w:top w:val="single" w:sz="4" w:space="0" w:color="auto"/>
              <w:left w:val="single" w:sz="4" w:space="0" w:color="auto"/>
              <w:bottom w:val="single" w:sz="4" w:space="0" w:color="auto"/>
              <w:right w:val="single" w:sz="4" w:space="0" w:color="auto"/>
            </w:tcBorders>
          </w:tcPr>
          <w:p w14:paraId="2B4DE063" w14:textId="2DE1631C" w:rsidR="00AD3A4B" w:rsidRPr="006532FE" w:rsidRDefault="00001747" w:rsidP="00B320CB">
            <w:pPr>
              <w:pStyle w:val="Tabletext1"/>
            </w:pPr>
            <w:r>
              <w:t>NR</w:t>
            </w:r>
          </w:p>
        </w:tc>
        <w:tc>
          <w:tcPr>
            <w:tcW w:w="394" w:type="pct"/>
            <w:tcBorders>
              <w:top w:val="single" w:sz="4" w:space="0" w:color="auto"/>
              <w:left w:val="single" w:sz="4" w:space="0" w:color="auto"/>
              <w:bottom w:val="single" w:sz="4" w:space="0" w:color="auto"/>
              <w:right w:val="single" w:sz="4" w:space="0" w:color="auto"/>
            </w:tcBorders>
          </w:tcPr>
          <w:p w14:paraId="65A61306" w14:textId="6BBDC399" w:rsidR="00AD3A4B" w:rsidRPr="006532FE" w:rsidRDefault="00AD3A4B" w:rsidP="00B320CB">
            <w:pPr>
              <w:pStyle w:val="Tabletext1"/>
            </w:pPr>
            <w:r w:rsidRPr="006532FE">
              <w:t>NR</w:t>
            </w:r>
          </w:p>
        </w:tc>
        <w:tc>
          <w:tcPr>
            <w:tcW w:w="359" w:type="pct"/>
            <w:tcBorders>
              <w:top w:val="single" w:sz="4" w:space="0" w:color="auto"/>
              <w:left w:val="single" w:sz="4" w:space="0" w:color="auto"/>
              <w:bottom w:val="single" w:sz="4" w:space="0" w:color="auto"/>
              <w:right w:val="single" w:sz="4" w:space="0" w:color="auto"/>
            </w:tcBorders>
          </w:tcPr>
          <w:p w14:paraId="2F34BDF3" w14:textId="71F9D3A9"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1567D4EB" w14:textId="7398051E" w:rsidR="00AD3A4B" w:rsidRPr="006532FE" w:rsidRDefault="00AD3A4B" w:rsidP="00B320CB">
            <w:pPr>
              <w:pStyle w:val="Tabletext1"/>
            </w:pPr>
            <w:r w:rsidRPr="006532FE">
              <w:t>3</w:t>
            </w:r>
          </w:p>
        </w:tc>
      </w:tr>
      <w:tr w:rsidR="00AD3A4B" w:rsidRPr="006532FE" w14:paraId="631D5B2A"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3B0744BF" w14:textId="6D02B038" w:rsidR="00AD3A4B" w:rsidRPr="006532FE" w:rsidRDefault="00AD3A4B" w:rsidP="00B320CB">
            <w:pPr>
              <w:pStyle w:val="Tabletext1"/>
            </w:pPr>
            <w:r w:rsidRPr="006532FE">
              <w:t>Walton Diaz et al. (2015)</w:t>
            </w:r>
          </w:p>
        </w:tc>
        <w:tc>
          <w:tcPr>
            <w:tcW w:w="296" w:type="pct"/>
            <w:tcBorders>
              <w:top w:val="single" w:sz="4" w:space="0" w:color="auto"/>
              <w:left w:val="single" w:sz="4" w:space="0" w:color="auto"/>
              <w:bottom w:val="single" w:sz="4" w:space="0" w:color="auto"/>
              <w:right w:val="single" w:sz="4" w:space="0" w:color="auto"/>
            </w:tcBorders>
          </w:tcPr>
          <w:p w14:paraId="20E51BB2" w14:textId="298EDEA9"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13AAE48D" w14:textId="1E0EA58E" w:rsidR="00AD3A4B" w:rsidRPr="006532FE" w:rsidRDefault="00AD3A4B" w:rsidP="00B320CB">
            <w:pPr>
              <w:pStyle w:val="Tabletext1"/>
            </w:pPr>
            <w:r w:rsidRPr="006532FE">
              <w:t>Case series</w:t>
            </w:r>
          </w:p>
          <w:p w14:paraId="050045D4" w14:textId="2F4FB7AC" w:rsidR="00AD3A4B" w:rsidRPr="006532FE" w:rsidRDefault="00AD3A4B" w:rsidP="00B320CB">
            <w:pPr>
              <w:pStyle w:val="Tabletext1"/>
            </w:pPr>
            <w:r w:rsidRPr="006532FE">
              <w:t>Retrospective</w:t>
            </w:r>
          </w:p>
          <w:p w14:paraId="01091E4A" w14:textId="20460226" w:rsidR="00AD3A4B" w:rsidRPr="006532FE" w:rsidRDefault="00AD3A4B" w:rsidP="00B320CB">
            <w:pPr>
              <w:pStyle w:val="Tabletext1"/>
            </w:pPr>
            <w:r w:rsidRPr="006532FE">
              <w:t>NR</w:t>
            </w:r>
          </w:p>
        </w:tc>
        <w:tc>
          <w:tcPr>
            <w:tcW w:w="327" w:type="pct"/>
            <w:tcBorders>
              <w:top w:val="single" w:sz="4" w:space="0" w:color="auto"/>
              <w:left w:val="single" w:sz="4" w:space="0" w:color="auto"/>
              <w:bottom w:val="single" w:sz="4" w:space="0" w:color="auto"/>
              <w:right w:val="single" w:sz="4" w:space="0" w:color="auto"/>
            </w:tcBorders>
          </w:tcPr>
          <w:p w14:paraId="55DBB4B4" w14:textId="67358B42"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7544C5C8" w14:textId="77777777" w:rsidR="00AD3A4B" w:rsidRDefault="00AD3A4B" w:rsidP="00B320CB">
            <w:pPr>
              <w:pStyle w:val="Tabletext1"/>
            </w:pPr>
            <w:r w:rsidRPr="006532FE">
              <w:t>USA</w:t>
            </w:r>
          </w:p>
          <w:p w14:paraId="68B04398" w14:textId="6A648EA7"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03FF88FF" w14:textId="278A8435" w:rsidR="00AD3A4B" w:rsidRPr="006532FE" w:rsidRDefault="00AB582A" w:rsidP="00B320CB">
            <w:pPr>
              <w:pStyle w:val="Tabletext1"/>
            </w:pPr>
            <w:r>
              <w:t>n</w:t>
            </w:r>
            <w:r w:rsidR="00AD3A4B" w:rsidRPr="006532FE">
              <w:t>: 58</w:t>
            </w:r>
          </w:p>
          <w:p w14:paraId="7D37625E" w14:textId="4A332A70" w:rsidR="00AD3A4B" w:rsidRPr="006532FE" w:rsidRDefault="00AD3A4B" w:rsidP="00B320CB">
            <w:pPr>
              <w:pStyle w:val="Tabletext1"/>
            </w:pPr>
            <w:r w:rsidRPr="006532FE">
              <w:t>Age: mean 61.4 (range 40-79)</w:t>
            </w:r>
          </w:p>
          <w:p w14:paraId="50C5B825" w14:textId="484D2A56" w:rsidR="00AD3A4B" w:rsidRPr="006532FE" w:rsidRDefault="00AD3A4B" w:rsidP="00B320CB">
            <w:pPr>
              <w:pStyle w:val="Tabletext1"/>
            </w:pPr>
            <w:r w:rsidRPr="006532FE">
              <w:t>PSA: mean 5.2 (range 0.2-23.3)</w:t>
            </w:r>
          </w:p>
          <w:p w14:paraId="5EAA627B" w14:textId="4C3630FE" w:rsidR="00AD3A4B" w:rsidRPr="006532FE" w:rsidRDefault="00AD3A4B" w:rsidP="00B320CB">
            <w:pPr>
              <w:pStyle w:val="Tabletext1"/>
            </w:pPr>
            <w:r w:rsidRPr="006532FE">
              <w:t>Gleason: ≤ 6</w:t>
            </w:r>
          </w:p>
        </w:tc>
        <w:tc>
          <w:tcPr>
            <w:tcW w:w="477" w:type="pct"/>
            <w:tcBorders>
              <w:top w:val="single" w:sz="4" w:space="0" w:color="auto"/>
              <w:left w:val="single" w:sz="4" w:space="0" w:color="auto"/>
              <w:bottom w:val="single" w:sz="4" w:space="0" w:color="auto"/>
              <w:right w:val="single" w:sz="4" w:space="0" w:color="auto"/>
            </w:tcBorders>
          </w:tcPr>
          <w:p w14:paraId="55D69DB0" w14:textId="329F4322" w:rsidR="00AD3A4B" w:rsidRPr="006532FE" w:rsidRDefault="00AD3A4B" w:rsidP="00B320CB">
            <w:pPr>
              <w:pStyle w:val="Tabletext1"/>
            </w:pPr>
            <w:r w:rsidRPr="006532FE">
              <w:t>3.0T</w:t>
            </w:r>
          </w:p>
          <w:p w14:paraId="256C5AC1" w14:textId="6DB58D4B" w:rsidR="00AD3A4B" w:rsidRPr="006532FE" w:rsidRDefault="00AD3A4B" w:rsidP="00B320CB">
            <w:pPr>
              <w:pStyle w:val="Tabletext1"/>
            </w:pPr>
            <w:r w:rsidRPr="006532FE">
              <w:t>Coil: body coil + ERC</w:t>
            </w:r>
          </w:p>
          <w:p w14:paraId="610D332D" w14:textId="0E0D7D84"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52713630" w14:textId="090FD753" w:rsidR="00AD3A4B" w:rsidRPr="006532FE" w:rsidRDefault="00AD3A4B" w:rsidP="00B320CB">
            <w:pPr>
              <w:pStyle w:val="Tabletext1"/>
            </w:pPr>
            <w:r w:rsidRPr="006532FE">
              <w:t xml:space="preserve">2 experienced genitourinary radiologists with 7 </w:t>
            </w:r>
            <w:r w:rsidR="00001747">
              <w:t>or</w:t>
            </w:r>
            <w:r w:rsidRPr="006532FE">
              <w:t xml:space="preserve"> 14 years prostate MRI experience</w:t>
            </w:r>
          </w:p>
        </w:tc>
        <w:tc>
          <w:tcPr>
            <w:tcW w:w="394" w:type="pct"/>
            <w:tcBorders>
              <w:top w:val="single" w:sz="4" w:space="0" w:color="auto"/>
              <w:left w:val="single" w:sz="4" w:space="0" w:color="auto"/>
              <w:bottom w:val="single" w:sz="4" w:space="0" w:color="auto"/>
              <w:right w:val="single" w:sz="4" w:space="0" w:color="auto"/>
            </w:tcBorders>
          </w:tcPr>
          <w:p w14:paraId="5C38BE68" w14:textId="50DC2976" w:rsidR="00AD3A4B" w:rsidRPr="006532FE" w:rsidRDefault="00AD230C" w:rsidP="00B320CB">
            <w:pPr>
              <w:pStyle w:val="Tabletext1"/>
            </w:pPr>
            <w:r w:rsidRPr="004A77EB">
              <w:t>TRUSGB + cog-MRI</w:t>
            </w:r>
          </w:p>
        </w:tc>
        <w:tc>
          <w:tcPr>
            <w:tcW w:w="359" w:type="pct"/>
            <w:tcBorders>
              <w:top w:val="single" w:sz="4" w:space="0" w:color="auto"/>
              <w:left w:val="single" w:sz="4" w:space="0" w:color="auto"/>
              <w:bottom w:val="single" w:sz="4" w:space="0" w:color="auto"/>
              <w:right w:val="single" w:sz="4" w:space="0" w:color="auto"/>
            </w:tcBorders>
          </w:tcPr>
          <w:p w14:paraId="07ED7600" w14:textId="1839F7E7" w:rsidR="00AD3A4B" w:rsidRPr="006532FE" w:rsidRDefault="00AD3A4B" w:rsidP="00B320CB">
            <w:pPr>
              <w:pStyle w:val="Tabletext1"/>
            </w:pPr>
            <w:r w:rsidRPr="006532FE">
              <w:rPr>
                <w:snapToGrid w:val="0"/>
              </w:rPr>
              <w:t>TP, TN, FP, FN</w:t>
            </w:r>
          </w:p>
        </w:tc>
        <w:tc>
          <w:tcPr>
            <w:tcW w:w="458" w:type="pct"/>
            <w:tcBorders>
              <w:top w:val="single" w:sz="4" w:space="0" w:color="auto"/>
              <w:left w:val="single" w:sz="4" w:space="0" w:color="auto"/>
              <w:bottom w:val="single" w:sz="4" w:space="0" w:color="auto"/>
              <w:right w:val="single" w:sz="4" w:space="0" w:color="auto"/>
            </w:tcBorders>
          </w:tcPr>
          <w:p w14:paraId="3BD485CA" w14:textId="2A093B92" w:rsidR="00AD3A4B" w:rsidRPr="006532FE" w:rsidRDefault="00AD3A4B" w:rsidP="00B320CB">
            <w:pPr>
              <w:pStyle w:val="Tabletext1"/>
            </w:pPr>
            <w:r w:rsidRPr="006532FE">
              <w:t>NA</w:t>
            </w:r>
          </w:p>
        </w:tc>
      </w:tr>
      <w:tr w:rsidR="00AD3A4B" w:rsidRPr="006532FE" w14:paraId="0A197019" w14:textId="77777777" w:rsidTr="00B320CB">
        <w:trPr>
          <w:cantSplit/>
          <w:trHeight w:val="319"/>
        </w:trPr>
        <w:tc>
          <w:tcPr>
            <w:tcW w:w="414" w:type="pct"/>
            <w:tcBorders>
              <w:top w:val="single" w:sz="4" w:space="0" w:color="auto"/>
              <w:left w:val="single" w:sz="4" w:space="0" w:color="auto"/>
              <w:bottom w:val="single" w:sz="4" w:space="0" w:color="auto"/>
              <w:right w:val="single" w:sz="4" w:space="0" w:color="auto"/>
            </w:tcBorders>
          </w:tcPr>
          <w:p w14:paraId="783F50B7" w14:textId="1B2F42B7" w:rsidR="00AD3A4B" w:rsidRPr="006532FE" w:rsidRDefault="00AD3A4B" w:rsidP="00B320CB">
            <w:pPr>
              <w:pStyle w:val="Tabletext1"/>
            </w:pPr>
            <w:r w:rsidRPr="006532FE">
              <w:t>Wysock et al. (2016)</w:t>
            </w:r>
          </w:p>
        </w:tc>
        <w:tc>
          <w:tcPr>
            <w:tcW w:w="296" w:type="pct"/>
            <w:tcBorders>
              <w:top w:val="single" w:sz="4" w:space="0" w:color="auto"/>
              <w:left w:val="single" w:sz="4" w:space="0" w:color="auto"/>
              <w:bottom w:val="single" w:sz="4" w:space="0" w:color="auto"/>
              <w:right w:val="single" w:sz="4" w:space="0" w:color="auto"/>
            </w:tcBorders>
          </w:tcPr>
          <w:p w14:paraId="3008835A" w14:textId="6900C1A0" w:rsidR="00AD3A4B" w:rsidRPr="006532FE" w:rsidRDefault="00AD3A4B" w:rsidP="00B320CB">
            <w:pPr>
              <w:pStyle w:val="Tabletext1"/>
            </w:pPr>
            <w:r w:rsidRPr="006532FE">
              <w:t>No</w:t>
            </w:r>
          </w:p>
        </w:tc>
        <w:tc>
          <w:tcPr>
            <w:tcW w:w="455" w:type="pct"/>
            <w:tcBorders>
              <w:top w:val="single" w:sz="4" w:space="0" w:color="auto"/>
              <w:left w:val="single" w:sz="4" w:space="0" w:color="auto"/>
              <w:bottom w:val="single" w:sz="4" w:space="0" w:color="auto"/>
              <w:right w:val="single" w:sz="4" w:space="0" w:color="auto"/>
            </w:tcBorders>
          </w:tcPr>
          <w:p w14:paraId="328B717D" w14:textId="77777777" w:rsidR="00AD3A4B" w:rsidRPr="006532FE" w:rsidRDefault="00AD3A4B" w:rsidP="00B320CB">
            <w:pPr>
              <w:pStyle w:val="Tabletext1"/>
            </w:pPr>
            <w:r w:rsidRPr="006532FE">
              <w:t>Case series</w:t>
            </w:r>
          </w:p>
          <w:p w14:paraId="38CD3C47" w14:textId="52245817" w:rsidR="00AD3A4B" w:rsidRPr="006532FE" w:rsidRDefault="00AD3A4B" w:rsidP="00B320CB">
            <w:pPr>
              <w:pStyle w:val="Tabletext1"/>
            </w:pPr>
            <w:r w:rsidRPr="006532FE">
              <w:t>Prospective</w:t>
            </w:r>
          </w:p>
          <w:p w14:paraId="05854511" w14:textId="5754567A" w:rsidR="00AD3A4B" w:rsidRPr="006532FE" w:rsidRDefault="00AD3A4B" w:rsidP="00B320CB">
            <w:pPr>
              <w:pStyle w:val="Tabletext1"/>
            </w:pPr>
            <w:r w:rsidRPr="006532FE">
              <w:t>Consecutive</w:t>
            </w:r>
          </w:p>
        </w:tc>
        <w:tc>
          <w:tcPr>
            <w:tcW w:w="327" w:type="pct"/>
            <w:tcBorders>
              <w:top w:val="single" w:sz="4" w:space="0" w:color="auto"/>
              <w:left w:val="single" w:sz="4" w:space="0" w:color="auto"/>
              <w:bottom w:val="single" w:sz="4" w:space="0" w:color="auto"/>
              <w:right w:val="single" w:sz="4" w:space="0" w:color="auto"/>
            </w:tcBorders>
          </w:tcPr>
          <w:p w14:paraId="64B76268" w14:textId="0C2C479C" w:rsidR="00AD3A4B" w:rsidRPr="006532FE" w:rsidRDefault="00AD3A4B" w:rsidP="00B320CB">
            <w:pPr>
              <w:pStyle w:val="Tabletext1"/>
            </w:pPr>
            <w:r w:rsidRPr="006532FE">
              <w:t>III-2</w:t>
            </w:r>
          </w:p>
        </w:tc>
        <w:tc>
          <w:tcPr>
            <w:tcW w:w="354" w:type="pct"/>
            <w:tcBorders>
              <w:top w:val="single" w:sz="4" w:space="0" w:color="auto"/>
              <w:left w:val="single" w:sz="4" w:space="0" w:color="auto"/>
              <w:bottom w:val="single" w:sz="4" w:space="0" w:color="auto"/>
              <w:right w:val="single" w:sz="4" w:space="0" w:color="auto"/>
            </w:tcBorders>
          </w:tcPr>
          <w:p w14:paraId="2EC18665" w14:textId="77777777" w:rsidR="00AD3A4B" w:rsidRDefault="00AD3A4B" w:rsidP="00B320CB">
            <w:pPr>
              <w:pStyle w:val="Tabletext1"/>
            </w:pPr>
            <w:r w:rsidRPr="006532FE">
              <w:t>USA</w:t>
            </w:r>
          </w:p>
          <w:p w14:paraId="6A4729B0" w14:textId="514D8F7B" w:rsidR="00955DD1" w:rsidRPr="006532FE" w:rsidRDefault="00955DD1" w:rsidP="00B320CB">
            <w:pPr>
              <w:pStyle w:val="Tabletext1"/>
            </w:pPr>
            <w:r>
              <w:t>Tertiary hospital</w:t>
            </w:r>
          </w:p>
        </w:tc>
        <w:tc>
          <w:tcPr>
            <w:tcW w:w="949" w:type="pct"/>
            <w:tcBorders>
              <w:top w:val="single" w:sz="4" w:space="0" w:color="auto"/>
              <w:left w:val="single" w:sz="4" w:space="0" w:color="auto"/>
              <w:bottom w:val="single" w:sz="4" w:space="0" w:color="auto"/>
              <w:right w:val="single" w:sz="4" w:space="0" w:color="auto"/>
            </w:tcBorders>
          </w:tcPr>
          <w:p w14:paraId="535DF50A" w14:textId="4F977430" w:rsidR="00AD3A4B" w:rsidRPr="006532FE" w:rsidRDefault="00AB582A" w:rsidP="00B320CB">
            <w:pPr>
              <w:pStyle w:val="Tabletext1"/>
            </w:pPr>
            <w:r>
              <w:t>n</w:t>
            </w:r>
            <w:r w:rsidR="00AD3A4B" w:rsidRPr="006532FE">
              <w:t>: 73</w:t>
            </w:r>
          </w:p>
          <w:p w14:paraId="568E6BA1" w14:textId="60125239" w:rsidR="00AD3A4B" w:rsidRPr="006532FE" w:rsidRDefault="00AD3A4B" w:rsidP="00B320CB">
            <w:pPr>
              <w:pStyle w:val="Tabletext1"/>
            </w:pPr>
            <w:r w:rsidRPr="006532FE">
              <w:t>Age: median 63 (IQR 57-68)</w:t>
            </w:r>
          </w:p>
          <w:p w14:paraId="30C3E804" w14:textId="7706529C" w:rsidR="00AD3A4B" w:rsidRPr="006532FE" w:rsidRDefault="00AD3A4B" w:rsidP="00B320CB">
            <w:pPr>
              <w:pStyle w:val="Tabletext1"/>
            </w:pPr>
            <w:r w:rsidRPr="006532FE">
              <w:t>PSA: median 5.4 (IQR 1.7-6.5)</w:t>
            </w:r>
          </w:p>
          <w:p w14:paraId="797A346F" w14:textId="463BEAFE" w:rsidR="00AD3A4B" w:rsidRPr="006532FE" w:rsidRDefault="00AD3A4B" w:rsidP="00B320CB">
            <w:pPr>
              <w:pStyle w:val="Tabletext1"/>
            </w:pPr>
            <w:r w:rsidRPr="006532FE">
              <w:t>Gleason: 6</w:t>
            </w:r>
          </w:p>
        </w:tc>
        <w:tc>
          <w:tcPr>
            <w:tcW w:w="477" w:type="pct"/>
            <w:tcBorders>
              <w:top w:val="single" w:sz="4" w:space="0" w:color="auto"/>
              <w:left w:val="single" w:sz="4" w:space="0" w:color="auto"/>
              <w:bottom w:val="single" w:sz="4" w:space="0" w:color="auto"/>
              <w:right w:val="single" w:sz="4" w:space="0" w:color="auto"/>
            </w:tcBorders>
          </w:tcPr>
          <w:p w14:paraId="68FA6F1A" w14:textId="00DD4C03" w:rsidR="00AD3A4B" w:rsidRPr="006532FE" w:rsidRDefault="00AD3A4B" w:rsidP="00B320CB">
            <w:pPr>
              <w:pStyle w:val="Tabletext1"/>
            </w:pPr>
            <w:r w:rsidRPr="006532FE">
              <w:t>3.0T</w:t>
            </w:r>
          </w:p>
          <w:p w14:paraId="6A853832" w14:textId="77777777" w:rsidR="00AD3A4B" w:rsidRPr="006532FE" w:rsidRDefault="00AD3A4B" w:rsidP="00B320CB">
            <w:pPr>
              <w:pStyle w:val="Tabletext1"/>
            </w:pPr>
            <w:r w:rsidRPr="006532FE">
              <w:t>Coil: PPAC</w:t>
            </w:r>
          </w:p>
          <w:p w14:paraId="4271238A" w14:textId="3694EA46" w:rsidR="00AD3A4B" w:rsidRPr="006532FE" w:rsidRDefault="00AD3A4B" w:rsidP="00B320CB">
            <w:pPr>
              <w:pStyle w:val="Tabletext1"/>
            </w:pPr>
            <w:r w:rsidRPr="006532FE">
              <w:t>Contrast: NR</w:t>
            </w:r>
          </w:p>
        </w:tc>
        <w:tc>
          <w:tcPr>
            <w:tcW w:w="517" w:type="pct"/>
            <w:tcBorders>
              <w:top w:val="single" w:sz="4" w:space="0" w:color="auto"/>
              <w:left w:val="single" w:sz="4" w:space="0" w:color="auto"/>
              <w:bottom w:val="single" w:sz="4" w:space="0" w:color="auto"/>
              <w:right w:val="single" w:sz="4" w:space="0" w:color="auto"/>
            </w:tcBorders>
          </w:tcPr>
          <w:p w14:paraId="096D2AE5" w14:textId="69A2F5A1" w:rsidR="00AD3A4B" w:rsidRPr="006532FE" w:rsidRDefault="00AD3A4B" w:rsidP="00B320CB">
            <w:pPr>
              <w:pStyle w:val="Tabletext1"/>
            </w:pPr>
            <w:r w:rsidRPr="006532FE">
              <w:t xml:space="preserve">Single fellowship trained radiologist with </w:t>
            </w:r>
            <w:r w:rsidR="00001747" w:rsidRPr="006532FE">
              <w:t>expertise</w:t>
            </w:r>
            <w:r w:rsidRPr="006532FE">
              <w:t xml:space="preserve"> in prostate imaging</w:t>
            </w:r>
          </w:p>
        </w:tc>
        <w:tc>
          <w:tcPr>
            <w:tcW w:w="394" w:type="pct"/>
            <w:tcBorders>
              <w:top w:val="single" w:sz="4" w:space="0" w:color="auto"/>
              <w:left w:val="single" w:sz="4" w:space="0" w:color="auto"/>
              <w:bottom w:val="single" w:sz="4" w:space="0" w:color="auto"/>
              <w:right w:val="single" w:sz="4" w:space="0" w:color="auto"/>
            </w:tcBorders>
          </w:tcPr>
          <w:p w14:paraId="3C134ACA" w14:textId="15AB0DEA" w:rsidR="00AD3A4B" w:rsidRPr="006532FE" w:rsidRDefault="00AD230C" w:rsidP="00B320CB">
            <w:pPr>
              <w:pStyle w:val="Tabletext1"/>
            </w:pPr>
            <w:r>
              <w:t>TRUSGB</w:t>
            </w:r>
          </w:p>
        </w:tc>
        <w:tc>
          <w:tcPr>
            <w:tcW w:w="359" w:type="pct"/>
            <w:tcBorders>
              <w:top w:val="single" w:sz="4" w:space="0" w:color="auto"/>
              <w:left w:val="single" w:sz="4" w:space="0" w:color="auto"/>
              <w:bottom w:val="single" w:sz="4" w:space="0" w:color="auto"/>
              <w:right w:val="single" w:sz="4" w:space="0" w:color="auto"/>
            </w:tcBorders>
          </w:tcPr>
          <w:p w14:paraId="4B28F8AE" w14:textId="02E815FD" w:rsidR="00AD3A4B" w:rsidRPr="006532FE" w:rsidRDefault="00AD3A4B" w:rsidP="00B320CB">
            <w:pPr>
              <w:pStyle w:val="Tabletext1"/>
            </w:pPr>
            <w:r w:rsidRPr="006532FE">
              <w:rPr>
                <w:snapToGrid w:val="0"/>
              </w:rPr>
              <w:t>TN, FN</w:t>
            </w:r>
          </w:p>
        </w:tc>
        <w:tc>
          <w:tcPr>
            <w:tcW w:w="458" w:type="pct"/>
            <w:tcBorders>
              <w:top w:val="single" w:sz="4" w:space="0" w:color="auto"/>
              <w:left w:val="single" w:sz="4" w:space="0" w:color="auto"/>
              <w:bottom w:val="single" w:sz="4" w:space="0" w:color="auto"/>
              <w:right w:val="single" w:sz="4" w:space="0" w:color="auto"/>
            </w:tcBorders>
          </w:tcPr>
          <w:p w14:paraId="7DD9081E" w14:textId="3F3F2AA1" w:rsidR="00AD3A4B" w:rsidRPr="006532FE" w:rsidRDefault="00AD3A4B" w:rsidP="00B320CB">
            <w:pPr>
              <w:pStyle w:val="Tabletext1"/>
            </w:pPr>
            <w:r w:rsidRPr="006532FE">
              <w:t>1</w:t>
            </w:r>
          </w:p>
        </w:tc>
      </w:tr>
    </w:tbl>
    <w:p w14:paraId="6FADE422" w14:textId="77777777" w:rsidR="00C45F11" w:rsidRDefault="00C45F11" w:rsidP="00B320CB">
      <w:pPr>
        <w:pStyle w:val="TableNotes"/>
      </w:pPr>
      <w:r w:rsidRPr="00C45F11">
        <w:rPr>
          <w:vertAlign w:val="superscript"/>
        </w:rPr>
        <w:t>a</w:t>
      </w:r>
      <w:r>
        <w:t>: D</w:t>
      </w:r>
      <w:r w:rsidR="00A71E4D" w:rsidRPr="00C45F11">
        <w:t>escribes</w:t>
      </w:r>
      <w:r w:rsidR="00A71E4D">
        <w:t xml:space="preserve"> consecutive or non-consecutive enrolment. </w:t>
      </w:r>
    </w:p>
    <w:p w14:paraId="2780581E" w14:textId="435C2403" w:rsidR="00C45F11" w:rsidRDefault="00C45F11" w:rsidP="00B320CB">
      <w:pPr>
        <w:pStyle w:val="TableNotes"/>
      </w:pPr>
      <w:r>
        <w:rPr>
          <w:vertAlign w:val="superscript"/>
        </w:rPr>
        <w:t>b</w:t>
      </w:r>
      <w:r w:rsidRPr="00C45F11">
        <w:t>:</w:t>
      </w:r>
      <w:r>
        <w:rPr>
          <w:vertAlign w:val="superscript"/>
        </w:rPr>
        <w:t xml:space="preserve"> </w:t>
      </w:r>
      <w:r>
        <w:t>D</w:t>
      </w:r>
      <w:r w:rsidR="00A71E4D">
        <w:t xml:space="preserve">escribes a retrospective or prospective study design. </w:t>
      </w:r>
    </w:p>
    <w:p w14:paraId="49CDFB9D" w14:textId="7323815E" w:rsidR="00C45F11" w:rsidRDefault="00A71E4D" w:rsidP="00B320CB">
      <w:pPr>
        <w:pStyle w:val="TableNotes"/>
        <w:rPr>
          <w:rStyle w:val="Hyperlink"/>
          <w:vanish/>
          <w:sz w:val="20"/>
        </w:rPr>
      </w:pPr>
      <w:r w:rsidRPr="00B83FA3">
        <w:rPr>
          <w:vertAlign w:val="superscript"/>
        </w:rPr>
        <w:t>c</w:t>
      </w:r>
      <w:r w:rsidR="00C45F11">
        <w:t>: S</w:t>
      </w:r>
      <w:r>
        <w:t>ource:</w:t>
      </w:r>
      <w:r w:rsidRPr="00183E4D">
        <w:t xml:space="preserve"> </w:t>
      </w:r>
      <w:hyperlink r:id="rId61" w:history="1">
        <w:r>
          <w:rPr>
            <w:rStyle w:val="Hyperlink"/>
          </w:rPr>
          <w:t>NHMRC hierarchy of evidence</w:t>
        </w:r>
      </w:hyperlink>
      <w:r w:rsidR="00C45F11">
        <w:rPr>
          <w:rStyle w:val="Hyperlink"/>
        </w:rPr>
        <w:t>.</w:t>
      </w:r>
      <w:r>
        <w:rPr>
          <w:rStyle w:val="Hyperlink"/>
          <w:vanish/>
          <w:sz w:val="20"/>
        </w:rPr>
        <w:t xml:space="preserve"> </w:t>
      </w:r>
    </w:p>
    <w:p w14:paraId="0E6FAF03" w14:textId="117DDE5E" w:rsidR="007F5EC8" w:rsidRDefault="00A71E4D" w:rsidP="00B320CB">
      <w:pPr>
        <w:pStyle w:val="TableNotes"/>
      </w:pPr>
      <w:r w:rsidRPr="00C45F11">
        <w:rPr>
          <w:vertAlign w:val="superscript"/>
        </w:rPr>
        <w:t>d</w:t>
      </w:r>
      <w:r w:rsidR="00C45F11">
        <w:t>: I</w:t>
      </w:r>
      <w:r w:rsidRPr="0054069C">
        <w:t xml:space="preserve">f PI-RADS ≥4 was used by the study or was calculable by the assessment group this is denoted. For studies </w:t>
      </w:r>
      <w:r w:rsidR="000C0CCE" w:rsidRPr="0054069C">
        <w:t>that</w:t>
      </w:r>
      <w:r w:rsidRPr="0054069C">
        <w:t xml:space="preserve"> only reported data for </w:t>
      </w:r>
      <w:r w:rsidR="000C0CCE" w:rsidRPr="0054069C">
        <w:t>another</w:t>
      </w:r>
      <w:r w:rsidRPr="0054069C">
        <w:t xml:space="preserve"> PI-RADS cut</w:t>
      </w:r>
      <w:r w:rsidR="006F3F56">
        <w:t>-</w:t>
      </w:r>
      <w:r w:rsidRPr="0054069C">
        <w:t>off, e</w:t>
      </w:r>
      <w:r w:rsidR="006F3F56">
        <w:t>.</w:t>
      </w:r>
      <w:r w:rsidRPr="0054069C">
        <w:t>g</w:t>
      </w:r>
      <w:r w:rsidR="006F3F56">
        <w:t>.</w:t>
      </w:r>
      <w:r w:rsidRPr="0054069C">
        <w:t xml:space="preserve"> ≥ 3 this is listed. For studies that did not use the PI-RADS system, this is denoted not applicable (NA)</w:t>
      </w:r>
      <w:r w:rsidR="001A56F9">
        <w:t>.</w:t>
      </w:r>
      <w:r>
        <w:br/>
        <w:t xml:space="preserve">NR = not reported, TP = true positive, </w:t>
      </w:r>
      <w:r w:rsidR="00F8244A">
        <w:t xml:space="preserve"> FP = false positive, </w:t>
      </w:r>
      <w:r>
        <w:t>TN = true negative, FN = false negative, PPAC = pelvic phased array coil, ERC = endorectal coil, mpMRI = multiparametric- M</w:t>
      </w:r>
      <w:r w:rsidR="0029690D">
        <w:t>RI, TRUSGB = trans</w:t>
      </w:r>
      <w:r w:rsidR="006F3F56">
        <w:t>-</w:t>
      </w:r>
      <w:r>
        <w:t>rectal ultrasound-guided biopsy, FGB = fusion guided biopsy, MRI = magnetic resonance imaging, IQR = interquartile range, PSA = prostate specific antigen, cog-MRI = cognitive –guided MRI biopsy</w:t>
      </w:r>
      <w:r w:rsidR="00F26535">
        <w:t xml:space="preserve">, </w:t>
      </w:r>
      <w:r w:rsidR="00F26535" w:rsidRPr="0054069C">
        <w:t>PI-RADS</w:t>
      </w:r>
      <w:r w:rsidR="00F26535">
        <w:t xml:space="preserve"> = </w:t>
      </w:r>
      <w:r w:rsidR="00F26535" w:rsidRPr="000C2D22">
        <w:t>Prostate Imaging Reporting and Data System</w:t>
      </w:r>
      <w:r w:rsidR="00A4761C">
        <w:t>.</w:t>
      </w:r>
    </w:p>
    <w:p w14:paraId="5CE8CA7B" w14:textId="32F0DA50" w:rsidR="00512E7A" w:rsidRDefault="00361313" w:rsidP="00EE20F9">
      <w:pPr>
        <w:pStyle w:val="Heading2"/>
      </w:pPr>
      <w:r>
        <w:br w:type="page"/>
      </w:r>
      <w:bookmarkStart w:id="783" w:name="_Toc460514015"/>
      <w:r w:rsidR="00EE20F9">
        <w:lastRenderedPageBreak/>
        <w:t xml:space="preserve">Profiles of studies reporting patient </w:t>
      </w:r>
      <w:r w:rsidR="00154A3C">
        <w:t>outcomes</w:t>
      </w:r>
      <w:bookmarkEnd w:id="783"/>
    </w:p>
    <w:p w14:paraId="3A760415" w14:textId="49FA959C" w:rsidR="000B1DB4" w:rsidRPr="000B1DB4" w:rsidRDefault="000B1DB4" w:rsidP="009A220C">
      <w:pPr>
        <w:pStyle w:val="Caption"/>
      </w:pPr>
      <w:bookmarkStart w:id="784" w:name="_Toc460514572"/>
      <w:r>
        <w:t xml:space="preserve">Table </w:t>
      </w:r>
      <w:fldSimple w:instr=" SEQ Table \* ARABIC ">
        <w:r w:rsidR="0029649D">
          <w:rPr>
            <w:noProof/>
          </w:rPr>
          <w:t>72</w:t>
        </w:r>
      </w:fldSimple>
      <w:r w:rsidR="00125163">
        <w:rPr>
          <w:noProof/>
        </w:rPr>
        <w:tab/>
        <w:t>Studies reprting patinet outcomes due to delayed treatment of PCa</w:t>
      </w:r>
      <w:bookmarkEnd w:id="784"/>
    </w:p>
    <w:tbl>
      <w:tblPr>
        <w:tblW w:w="5000" w:type="pct"/>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679"/>
        <w:gridCol w:w="1649"/>
        <w:gridCol w:w="1317"/>
        <w:gridCol w:w="1428"/>
        <w:gridCol w:w="3826"/>
        <w:gridCol w:w="1925"/>
        <w:gridCol w:w="2082"/>
        <w:gridCol w:w="1446"/>
      </w:tblGrid>
      <w:tr w:rsidR="005B2FD3" w:rsidRPr="006532FE" w14:paraId="63D3591E" w14:textId="77777777" w:rsidTr="00E078FE">
        <w:trPr>
          <w:cantSplit/>
          <w:trHeight w:val="624"/>
          <w:tblHeader/>
        </w:trPr>
        <w:tc>
          <w:tcPr>
            <w:tcW w:w="547" w:type="pct"/>
            <w:tcBorders>
              <w:top w:val="single" w:sz="4" w:space="0" w:color="auto"/>
              <w:left w:val="single" w:sz="4" w:space="0" w:color="auto"/>
              <w:bottom w:val="single" w:sz="4" w:space="0" w:color="auto"/>
              <w:right w:val="single" w:sz="4" w:space="0" w:color="auto"/>
            </w:tcBorders>
          </w:tcPr>
          <w:p w14:paraId="078B730B" w14:textId="77777777" w:rsidR="005B2FD3" w:rsidRPr="006532FE" w:rsidRDefault="005B2FD3" w:rsidP="00012CD9">
            <w:pPr>
              <w:pStyle w:val="TableHeading"/>
            </w:pPr>
            <w:r w:rsidRPr="006532FE">
              <w:t>Study ID</w:t>
            </w:r>
          </w:p>
        </w:tc>
        <w:tc>
          <w:tcPr>
            <w:tcW w:w="537" w:type="pct"/>
            <w:tcBorders>
              <w:top w:val="single" w:sz="4" w:space="0" w:color="auto"/>
              <w:left w:val="single" w:sz="4" w:space="0" w:color="auto"/>
              <w:bottom w:val="single" w:sz="4" w:space="0" w:color="auto"/>
              <w:right w:val="single" w:sz="4" w:space="0" w:color="auto"/>
            </w:tcBorders>
          </w:tcPr>
          <w:p w14:paraId="3C4626C5" w14:textId="77777777" w:rsidR="005B2FD3" w:rsidRPr="006532FE" w:rsidRDefault="005B2FD3" w:rsidP="00012CD9">
            <w:pPr>
              <w:pStyle w:val="TableHeading"/>
            </w:pPr>
            <w:r w:rsidRPr="006532FE">
              <w:t>Study type</w:t>
            </w:r>
          </w:p>
          <w:p w14:paraId="6A4A290F" w14:textId="5EF9E708" w:rsidR="005B2FD3" w:rsidRPr="006532FE" w:rsidRDefault="000C0CCE" w:rsidP="00012CD9">
            <w:pPr>
              <w:pStyle w:val="TableHeading"/>
            </w:pPr>
            <w:r w:rsidRPr="006532FE">
              <w:t>Enrolment</w:t>
            </w:r>
            <w:r w:rsidRPr="000C0CCE">
              <w:rPr>
                <w:vertAlign w:val="superscript"/>
              </w:rPr>
              <w:t>a</w:t>
            </w:r>
          </w:p>
          <w:p w14:paraId="3A1607F4" w14:textId="77777777" w:rsidR="005B2FD3" w:rsidRPr="006532FE" w:rsidRDefault="005B2FD3" w:rsidP="00012CD9">
            <w:pPr>
              <w:pStyle w:val="TableHeading"/>
            </w:pPr>
            <w:r w:rsidRPr="006532FE">
              <w:t>Design</w:t>
            </w:r>
            <w:r w:rsidRPr="006532FE">
              <w:rPr>
                <w:vertAlign w:val="superscript"/>
              </w:rPr>
              <w:t>b</w:t>
            </w:r>
          </w:p>
          <w:p w14:paraId="7A3BFDDE" w14:textId="77777777" w:rsidR="005B2FD3" w:rsidRPr="006532FE" w:rsidRDefault="005B2FD3" w:rsidP="00012CD9">
            <w:pPr>
              <w:pStyle w:val="TableHeading"/>
            </w:pPr>
          </w:p>
        </w:tc>
        <w:tc>
          <w:tcPr>
            <w:tcW w:w="429" w:type="pct"/>
            <w:tcBorders>
              <w:top w:val="single" w:sz="4" w:space="0" w:color="auto"/>
              <w:left w:val="single" w:sz="4" w:space="0" w:color="auto"/>
              <w:bottom w:val="single" w:sz="4" w:space="0" w:color="auto"/>
              <w:right w:val="single" w:sz="4" w:space="0" w:color="auto"/>
            </w:tcBorders>
          </w:tcPr>
          <w:p w14:paraId="6A8732DE" w14:textId="77777777" w:rsidR="005B2FD3" w:rsidRPr="006532FE" w:rsidRDefault="005B2FD3" w:rsidP="00012CD9">
            <w:pPr>
              <w:pStyle w:val="TableHeading"/>
            </w:pPr>
            <w:r w:rsidRPr="006532FE">
              <w:t>Level of evidence</w:t>
            </w:r>
            <w:r w:rsidRPr="006532FE">
              <w:rPr>
                <w:vertAlign w:val="superscript"/>
              </w:rPr>
              <w:t>c</w:t>
            </w:r>
          </w:p>
        </w:tc>
        <w:tc>
          <w:tcPr>
            <w:tcW w:w="465" w:type="pct"/>
            <w:tcBorders>
              <w:top w:val="single" w:sz="4" w:space="0" w:color="auto"/>
              <w:left w:val="single" w:sz="4" w:space="0" w:color="auto"/>
              <w:bottom w:val="single" w:sz="4" w:space="0" w:color="auto"/>
              <w:right w:val="single" w:sz="4" w:space="0" w:color="auto"/>
            </w:tcBorders>
          </w:tcPr>
          <w:p w14:paraId="5FB76D33" w14:textId="77777777" w:rsidR="005B2FD3" w:rsidRPr="006532FE" w:rsidRDefault="005B2FD3" w:rsidP="00012CD9">
            <w:pPr>
              <w:pStyle w:val="TableHeading"/>
            </w:pPr>
            <w:r w:rsidRPr="006532FE">
              <w:t>Location</w:t>
            </w:r>
          </w:p>
          <w:p w14:paraId="1AE535B7" w14:textId="77777777" w:rsidR="005B2FD3" w:rsidRPr="006532FE" w:rsidRDefault="005B2FD3" w:rsidP="00012CD9">
            <w:pPr>
              <w:pStyle w:val="TableHeading"/>
            </w:pPr>
            <w:r w:rsidRPr="006532FE">
              <w:t>Setting</w:t>
            </w:r>
          </w:p>
          <w:p w14:paraId="664A6E71" w14:textId="77777777" w:rsidR="005B2FD3" w:rsidRPr="006532FE" w:rsidRDefault="005B2FD3" w:rsidP="00012CD9">
            <w:pPr>
              <w:pStyle w:val="TableHeading"/>
            </w:pPr>
          </w:p>
        </w:tc>
        <w:tc>
          <w:tcPr>
            <w:tcW w:w="1246" w:type="pct"/>
            <w:tcBorders>
              <w:top w:val="single" w:sz="4" w:space="0" w:color="auto"/>
              <w:left w:val="single" w:sz="4" w:space="0" w:color="auto"/>
              <w:bottom w:val="single" w:sz="4" w:space="0" w:color="auto"/>
              <w:right w:val="single" w:sz="4" w:space="0" w:color="auto"/>
            </w:tcBorders>
          </w:tcPr>
          <w:p w14:paraId="507BD165" w14:textId="77777777" w:rsidR="005B2FD3" w:rsidRPr="006532FE" w:rsidRDefault="005B2FD3" w:rsidP="00012CD9">
            <w:pPr>
              <w:pStyle w:val="TableHeading"/>
            </w:pPr>
            <w:r w:rsidRPr="006532FE">
              <w:t>Study population characteristics:</w:t>
            </w:r>
          </w:p>
          <w:p w14:paraId="391D028F" w14:textId="64A1C36B" w:rsidR="005B2FD3" w:rsidRPr="006532FE" w:rsidRDefault="00F26535" w:rsidP="00012CD9">
            <w:pPr>
              <w:pStyle w:val="TableHeading"/>
            </w:pPr>
            <w:r>
              <w:t>n</w:t>
            </w:r>
          </w:p>
          <w:p w14:paraId="28F7ECE3" w14:textId="77777777" w:rsidR="005B2FD3" w:rsidRPr="006532FE" w:rsidRDefault="005B2FD3" w:rsidP="00012CD9">
            <w:pPr>
              <w:pStyle w:val="TableHeading"/>
            </w:pPr>
            <w:r w:rsidRPr="006532FE">
              <w:t>Age years</w:t>
            </w:r>
          </w:p>
          <w:p w14:paraId="32D8AEFB" w14:textId="69CFCBFF" w:rsidR="005B2FD3" w:rsidRPr="006532FE" w:rsidRDefault="00B65326" w:rsidP="00012CD9">
            <w:pPr>
              <w:pStyle w:val="TableHeading"/>
            </w:pPr>
            <w:r>
              <w:t>Risk</w:t>
            </w:r>
            <w:r w:rsidR="004B78DF">
              <w:t xml:space="preserve"> of disease</w:t>
            </w:r>
          </w:p>
        </w:tc>
        <w:tc>
          <w:tcPr>
            <w:tcW w:w="627" w:type="pct"/>
            <w:tcBorders>
              <w:top w:val="single" w:sz="4" w:space="0" w:color="auto"/>
              <w:left w:val="single" w:sz="4" w:space="0" w:color="auto"/>
              <w:bottom w:val="single" w:sz="4" w:space="0" w:color="auto"/>
              <w:right w:val="single" w:sz="4" w:space="0" w:color="auto"/>
            </w:tcBorders>
          </w:tcPr>
          <w:p w14:paraId="6FD3E9E0" w14:textId="3BA97BB3" w:rsidR="005B2FD3" w:rsidRPr="006532FE" w:rsidRDefault="005B2FD3" w:rsidP="00012CD9">
            <w:pPr>
              <w:pStyle w:val="TableHeading"/>
            </w:pPr>
            <w:r>
              <w:t>Type of treatment</w:t>
            </w:r>
          </w:p>
        </w:tc>
        <w:tc>
          <w:tcPr>
            <w:tcW w:w="678" w:type="pct"/>
            <w:tcBorders>
              <w:top w:val="single" w:sz="4" w:space="0" w:color="auto"/>
              <w:left w:val="single" w:sz="4" w:space="0" w:color="auto"/>
              <w:bottom w:val="single" w:sz="4" w:space="0" w:color="auto"/>
              <w:right w:val="single" w:sz="4" w:space="0" w:color="auto"/>
            </w:tcBorders>
          </w:tcPr>
          <w:p w14:paraId="7B81E2F1" w14:textId="57AD50C3" w:rsidR="005B2FD3" w:rsidRPr="006532FE" w:rsidRDefault="005B2FD3" w:rsidP="00012CD9">
            <w:pPr>
              <w:pStyle w:val="TableHeading"/>
            </w:pPr>
            <w:r>
              <w:t>Length of delay</w:t>
            </w:r>
          </w:p>
        </w:tc>
        <w:tc>
          <w:tcPr>
            <w:tcW w:w="471" w:type="pct"/>
            <w:tcBorders>
              <w:top w:val="single" w:sz="4" w:space="0" w:color="auto"/>
              <w:left w:val="single" w:sz="4" w:space="0" w:color="auto"/>
              <w:bottom w:val="single" w:sz="4" w:space="0" w:color="auto"/>
              <w:right w:val="single" w:sz="4" w:space="0" w:color="auto"/>
            </w:tcBorders>
          </w:tcPr>
          <w:p w14:paraId="3F4F2DDE" w14:textId="77777777" w:rsidR="005B2FD3" w:rsidRPr="006532FE" w:rsidRDefault="005B2FD3" w:rsidP="00012CD9">
            <w:pPr>
              <w:pStyle w:val="TableHeading"/>
            </w:pPr>
            <w:r w:rsidRPr="006532FE">
              <w:t xml:space="preserve">Relevant outcomes assessed </w:t>
            </w:r>
          </w:p>
        </w:tc>
      </w:tr>
      <w:tr w:rsidR="005B2FD3" w:rsidRPr="006532FE" w14:paraId="2B1EE469" w14:textId="77777777" w:rsidTr="00E078FE">
        <w:trPr>
          <w:cantSplit/>
          <w:trHeight w:val="319"/>
        </w:trPr>
        <w:tc>
          <w:tcPr>
            <w:tcW w:w="547" w:type="pct"/>
            <w:tcBorders>
              <w:top w:val="single" w:sz="4" w:space="0" w:color="auto"/>
              <w:left w:val="single" w:sz="4" w:space="0" w:color="auto"/>
              <w:bottom w:val="single" w:sz="4" w:space="0" w:color="auto"/>
              <w:right w:val="single" w:sz="4" w:space="0" w:color="auto"/>
            </w:tcBorders>
          </w:tcPr>
          <w:p w14:paraId="3E0EB4EE" w14:textId="375EC020" w:rsidR="005B2FD3" w:rsidRPr="006532FE" w:rsidRDefault="00AD230C" w:rsidP="00012CD9">
            <w:pPr>
              <w:pStyle w:val="Tabletext1"/>
            </w:pPr>
            <w:r>
              <w:t>Van den bergh et al. (2013)</w:t>
            </w:r>
          </w:p>
        </w:tc>
        <w:tc>
          <w:tcPr>
            <w:tcW w:w="537" w:type="pct"/>
            <w:tcBorders>
              <w:top w:val="single" w:sz="4" w:space="0" w:color="auto"/>
              <w:left w:val="single" w:sz="4" w:space="0" w:color="auto"/>
              <w:bottom w:val="single" w:sz="4" w:space="0" w:color="auto"/>
              <w:right w:val="single" w:sz="4" w:space="0" w:color="auto"/>
            </w:tcBorders>
          </w:tcPr>
          <w:p w14:paraId="7CA7F46B" w14:textId="04F6FB1D" w:rsidR="005B2FD3" w:rsidRPr="006532FE" w:rsidRDefault="00AD230C" w:rsidP="00012CD9">
            <w:pPr>
              <w:pStyle w:val="Tabletext1"/>
            </w:pPr>
            <w:r>
              <w:t>Systematic review of level III studies</w:t>
            </w:r>
          </w:p>
        </w:tc>
        <w:tc>
          <w:tcPr>
            <w:tcW w:w="429" w:type="pct"/>
            <w:tcBorders>
              <w:top w:val="single" w:sz="4" w:space="0" w:color="auto"/>
              <w:left w:val="single" w:sz="4" w:space="0" w:color="auto"/>
              <w:bottom w:val="single" w:sz="4" w:space="0" w:color="auto"/>
              <w:right w:val="single" w:sz="4" w:space="0" w:color="auto"/>
            </w:tcBorders>
          </w:tcPr>
          <w:p w14:paraId="5258AFFF" w14:textId="38CBFEB3" w:rsidR="005B2FD3" w:rsidRPr="006532FE" w:rsidRDefault="00AD230C" w:rsidP="00012CD9">
            <w:pPr>
              <w:pStyle w:val="Tabletext1"/>
            </w:pPr>
            <w:r>
              <w:t>Level III</w:t>
            </w:r>
          </w:p>
        </w:tc>
        <w:tc>
          <w:tcPr>
            <w:tcW w:w="465" w:type="pct"/>
            <w:tcBorders>
              <w:top w:val="single" w:sz="4" w:space="0" w:color="auto"/>
              <w:left w:val="single" w:sz="4" w:space="0" w:color="auto"/>
              <w:bottom w:val="single" w:sz="4" w:space="0" w:color="auto"/>
              <w:right w:val="single" w:sz="4" w:space="0" w:color="auto"/>
            </w:tcBorders>
          </w:tcPr>
          <w:p w14:paraId="42229987" w14:textId="120C3219" w:rsidR="005B2FD3" w:rsidRPr="006532FE" w:rsidRDefault="00AD230C" w:rsidP="00012CD9">
            <w:pPr>
              <w:pStyle w:val="Tabletext1"/>
            </w:pPr>
            <w:r>
              <w:t>NA</w:t>
            </w:r>
          </w:p>
        </w:tc>
        <w:tc>
          <w:tcPr>
            <w:tcW w:w="1246" w:type="pct"/>
            <w:tcBorders>
              <w:top w:val="single" w:sz="4" w:space="0" w:color="auto"/>
              <w:left w:val="single" w:sz="4" w:space="0" w:color="auto"/>
              <w:bottom w:val="single" w:sz="4" w:space="0" w:color="auto"/>
              <w:right w:val="single" w:sz="4" w:space="0" w:color="auto"/>
            </w:tcBorders>
          </w:tcPr>
          <w:p w14:paraId="4A18B1FD" w14:textId="59021C84" w:rsidR="00E32B4A" w:rsidRDefault="00E32B4A" w:rsidP="00012CD9">
            <w:pPr>
              <w:pStyle w:val="Tabletext1"/>
            </w:pPr>
            <w:r>
              <w:t xml:space="preserve">The review included studies with patients diagnosed with </w:t>
            </w:r>
            <w:r w:rsidR="006818E1">
              <w:t>PCa</w:t>
            </w:r>
            <w:r>
              <w:t>.</w:t>
            </w:r>
          </w:p>
          <w:p w14:paraId="07304834" w14:textId="6B22703A" w:rsidR="00E32B4A" w:rsidRDefault="00E32B4A" w:rsidP="00012CD9">
            <w:pPr>
              <w:pStyle w:val="Tabletext1"/>
            </w:pPr>
            <w:r>
              <w:t>A total of 17 studies with 34,517 patients were included.</w:t>
            </w:r>
          </w:p>
          <w:p w14:paraId="1223A534" w14:textId="7A0FC580" w:rsidR="005B2FD3" w:rsidRPr="006532FE" w:rsidRDefault="00E32B4A" w:rsidP="00012CD9">
            <w:pPr>
              <w:pStyle w:val="Tabletext1"/>
            </w:pPr>
            <w:r>
              <w:t>Patient baseline characteristics were not reported by the review</w:t>
            </w:r>
          </w:p>
        </w:tc>
        <w:tc>
          <w:tcPr>
            <w:tcW w:w="627" w:type="pct"/>
            <w:tcBorders>
              <w:top w:val="single" w:sz="4" w:space="0" w:color="auto"/>
              <w:left w:val="single" w:sz="4" w:space="0" w:color="auto"/>
              <w:bottom w:val="single" w:sz="4" w:space="0" w:color="auto"/>
              <w:right w:val="single" w:sz="4" w:space="0" w:color="auto"/>
            </w:tcBorders>
          </w:tcPr>
          <w:p w14:paraId="7D0795C5" w14:textId="233855BC" w:rsidR="005B2FD3" w:rsidRPr="006532FE" w:rsidRDefault="00E32B4A" w:rsidP="00012CD9">
            <w:pPr>
              <w:pStyle w:val="Tabletext1"/>
            </w:pPr>
            <w:r>
              <w:t>Radical prostatectomy and/or radiation therapy</w:t>
            </w:r>
          </w:p>
        </w:tc>
        <w:tc>
          <w:tcPr>
            <w:tcW w:w="678" w:type="pct"/>
            <w:tcBorders>
              <w:top w:val="single" w:sz="4" w:space="0" w:color="auto"/>
              <w:left w:val="single" w:sz="4" w:space="0" w:color="auto"/>
              <w:bottom w:val="single" w:sz="4" w:space="0" w:color="auto"/>
              <w:right w:val="single" w:sz="4" w:space="0" w:color="auto"/>
            </w:tcBorders>
          </w:tcPr>
          <w:p w14:paraId="2709971C" w14:textId="3195EA7B" w:rsidR="005B2FD3" w:rsidRPr="006532FE" w:rsidRDefault="00E32B4A" w:rsidP="00012CD9">
            <w:pPr>
              <w:pStyle w:val="Tabletext1"/>
            </w:pPr>
            <w:r>
              <w:t>Ra</w:t>
            </w:r>
            <w:r w:rsidR="00012CD9">
              <w:t>nged from &lt;3months to &gt;2 years delay</w:t>
            </w:r>
          </w:p>
        </w:tc>
        <w:tc>
          <w:tcPr>
            <w:tcW w:w="471" w:type="pct"/>
            <w:tcBorders>
              <w:top w:val="single" w:sz="4" w:space="0" w:color="auto"/>
              <w:left w:val="single" w:sz="4" w:space="0" w:color="auto"/>
              <w:bottom w:val="single" w:sz="4" w:space="0" w:color="auto"/>
              <w:right w:val="single" w:sz="4" w:space="0" w:color="auto"/>
            </w:tcBorders>
          </w:tcPr>
          <w:p w14:paraId="5B067B66" w14:textId="046BEA9C" w:rsidR="005B2FD3" w:rsidRPr="006532FE" w:rsidRDefault="00830CB4" w:rsidP="00012CD9">
            <w:pPr>
              <w:pStyle w:val="Tabletext1"/>
            </w:pPr>
            <w:r>
              <w:t>OS, CSS, BCR, MF, LNI, ECE, PSM, TU</w:t>
            </w:r>
          </w:p>
        </w:tc>
      </w:tr>
      <w:tr w:rsidR="005B2FD3" w:rsidRPr="006532FE" w14:paraId="1F95027C" w14:textId="77777777" w:rsidTr="00E078FE">
        <w:trPr>
          <w:cantSplit/>
          <w:trHeight w:val="319"/>
        </w:trPr>
        <w:tc>
          <w:tcPr>
            <w:tcW w:w="547" w:type="pct"/>
            <w:tcBorders>
              <w:top w:val="single" w:sz="4" w:space="0" w:color="auto"/>
              <w:left w:val="single" w:sz="4" w:space="0" w:color="auto"/>
              <w:bottom w:val="single" w:sz="4" w:space="0" w:color="auto"/>
              <w:right w:val="single" w:sz="4" w:space="0" w:color="auto"/>
            </w:tcBorders>
          </w:tcPr>
          <w:p w14:paraId="5B2D65F0" w14:textId="503E5C04" w:rsidR="005B2FD3" w:rsidRPr="006532FE" w:rsidRDefault="00E32B4A" w:rsidP="00012CD9">
            <w:pPr>
              <w:pStyle w:val="Tabletext1"/>
            </w:pPr>
            <w:r>
              <w:t>Redaniel et al. (2013)</w:t>
            </w:r>
          </w:p>
        </w:tc>
        <w:tc>
          <w:tcPr>
            <w:tcW w:w="537" w:type="pct"/>
            <w:tcBorders>
              <w:top w:val="single" w:sz="4" w:space="0" w:color="auto"/>
              <w:left w:val="single" w:sz="4" w:space="0" w:color="auto"/>
              <w:bottom w:val="single" w:sz="4" w:space="0" w:color="auto"/>
              <w:right w:val="single" w:sz="4" w:space="0" w:color="auto"/>
            </w:tcBorders>
          </w:tcPr>
          <w:p w14:paraId="0D0949FD" w14:textId="77777777" w:rsidR="005B2FD3" w:rsidRDefault="00E32B4A" w:rsidP="00012CD9">
            <w:pPr>
              <w:pStyle w:val="Tabletext1"/>
            </w:pPr>
            <w:r>
              <w:t>Cohort study</w:t>
            </w:r>
          </w:p>
          <w:p w14:paraId="45CC5378" w14:textId="77777777" w:rsidR="00E32B4A" w:rsidRDefault="004B78DF" w:rsidP="00012CD9">
            <w:pPr>
              <w:pStyle w:val="Tabletext1"/>
            </w:pPr>
            <w:r>
              <w:t>Consecutive</w:t>
            </w:r>
          </w:p>
          <w:p w14:paraId="4DA1AB60" w14:textId="1C414465" w:rsidR="004B78DF" w:rsidRPr="006532FE" w:rsidRDefault="004B78DF" w:rsidP="00012CD9">
            <w:pPr>
              <w:pStyle w:val="Tabletext1"/>
            </w:pPr>
            <w:r>
              <w:t>Retrospective</w:t>
            </w:r>
          </w:p>
        </w:tc>
        <w:tc>
          <w:tcPr>
            <w:tcW w:w="429" w:type="pct"/>
            <w:tcBorders>
              <w:top w:val="single" w:sz="4" w:space="0" w:color="auto"/>
              <w:left w:val="single" w:sz="4" w:space="0" w:color="auto"/>
              <w:bottom w:val="single" w:sz="4" w:space="0" w:color="auto"/>
              <w:right w:val="single" w:sz="4" w:space="0" w:color="auto"/>
            </w:tcBorders>
          </w:tcPr>
          <w:p w14:paraId="4E38703E" w14:textId="4EF80F44" w:rsidR="005B2FD3" w:rsidRPr="006532FE" w:rsidRDefault="00E32B4A" w:rsidP="00012CD9">
            <w:pPr>
              <w:pStyle w:val="Tabletext1"/>
            </w:pPr>
            <w:r>
              <w:t>Level III</w:t>
            </w:r>
            <w:r w:rsidR="00DB69B6">
              <w:t>-3</w:t>
            </w:r>
          </w:p>
        </w:tc>
        <w:tc>
          <w:tcPr>
            <w:tcW w:w="465" w:type="pct"/>
            <w:tcBorders>
              <w:top w:val="single" w:sz="4" w:space="0" w:color="auto"/>
              <w:left w:val="single" w:sz="4" w:space="0" w:color="auto"/>
              <w:bottom w:val="single" w:sz="4" w:space="0" w:color="auto"/>
              <w:right w:val="single" w:sz="4" w:space="0" w:color="auto"/>
            </w:tcBorders>
          </w:tcPr>
          <w:p w14:paraId="0EE9A2BF" w14:textId="77777777" w:rsidR="005B2FD3" w:rsidRDefault="004B78DF" w:rsidP="00012CD9">
            <w:pPr>
              <w:pStyle w:val="Tabletext1"/>
            </w:pPr>
            <w:r>
              <w:t>UK</w:t>
            </w:r>
          </w:p>
          <w:p w14:paraId="63B10099" w14:textId="13A27CA2" w:rsidR="004B78DF" w:rsidRPr="006532FE" w:rsidRDefault="004B78DF" w:rsidP="004B78DF">
            <w:pPr>
              <w:pStyle w:val="Tabletext1"/>
            </w:pPr>
            <w:r>
              <w:t>Review of all cases registered in national cancer registry</w:t>
            </w:r>
          </w:p>
        </w:tc>
        <w:tc>
          <w:tcPr>
            <w:tcW w:w="1246" w:type="pct"/>
            <w:tcBorders>
              <w:top w:val="single" w:sz="4" w:space="0" w:color="auto"/>
              <w:left w:val="single" w:sz="4" w:space="0" w:color="auto"/>
              <w:bottom w:val="single" w:sz="4" w:space="0" w:color="auto"/>
              <w:right w:val="single" w:sz="4" w:space="0" w:color="auto"/>
            </w:tcBorders>
          </w:tcPr>
          <w:p w14:paraId="5B940C9F" w14:textId="2E3369DF" w:rsidR="005B2FD3" w:rsidRDefault="00F26535" w:rsidP="00012CD9">
            <w:pPr>
              <w:pStyle w:val="Tabletext1"/>
            </w:pPr>
            <w:r>
              <w:t>n</w:t>
            </w:r>
            <w:r w:rsidR="004B78DF">
              <w:t>: 17,043</w:t>
            </w:r>
          </w:p>
          <w:p w14:paraId="56E55121" w14:textId="7215B3AE" w:rsidR="004B78DF" w:rsidRDefault="004B78DF" w:rsidP="004B78DF">
            <w:pPr>
              <w:pStyle w:val="Tabletext1"/>
            </w:pPr>
            <w:r>
              <w:t>Age: 15-54 years – 11.68%, 55-64 years – 51.86%, &gt;65 years – 36.46%</w:t>
            </w:r>
          </w:p>
          <w:p w14:paraId="50215770" w14:textId="343D190A" w:rsidR="004B78DF" w:rsidRPr="006532FE" w:rsidRDefault="004B78DF" w:rsidP="006A0BDA">
            <w:pPr>
              <w:pStyle w:val="Tabletext1"/>
              <w:ind w:left="0"/>
            </w:pPr>
            <w:r>
              <w:t xml:space="preserve">Risk: </w:t>
            </w:r>
            <w:r w:rsidR="006A0BDA">
              <w:t>NR</w:t>
            </w:r>
            <w:r>
              <w:t xml:space="preserve"> </w:t>
            </w:r>
          </w:p>
        </w:tc>
        <w:tc>
          <w:tcPr>
            <w:tcW w:w="627" w:type="pct"/>
            <w:tcBorders>
              <w:top w:val="single" w:sz="4" w:space="0" w:color="auto"/>
              <w:left w:val="single" w:sz="4" w:space="0" w:color="auto"/>
              <w:bottom w:val="single" w:sz="4" w:space="0" w:color="auto"/>
              <w:right w:val="single" w:sz="4" w:space="0" w:color="auto"/>
            </w:tcBorders>
          </w:tcPr>
          <w:p w14:paraId="1EBC0930" w14:textId="39E49C08" w:rsidR="005B2FD3" w:rsidRPr="006532FE" w:rsidRDefault="004B78DF" w:rsidP="00012CD9">
            <w:pPr>
              <w:pStyle w:val="Tabletext1"/>
            </w:pPr>
            <w:r>
              <w:t>Prostatectomy</w:t>
            </w:r>
          </w:p>
        </w:tc>
        <w:tc>
          <w:tcPr>
            <w:tcW w:w="678" w:type="pct"/>
            <w:tcBorders>
              <w:top w:val="single" w:sz="4" w:space="0" w:color="auto"/>
              <w:left w:val="single" w:sz="4" w:space="0" w:color="auto"/>
              <w:bottom w:val="single" w:sz="4" w:space="0" w:color="auto"/>
              <w:right w:val="single" w:sz="4" w:space="0" w:color="auto"/>
            </w:tcBorders>
          </w:tcPr>
          <w:p w14:paraId="080495DB" w14:textId="77777777" w:rsidR="005B2FD3" w:rsidRDefault="004B78DF" w:rsidP="00012CD9">
            <w:pPr>
              <w:pStyle w:val="Tabletext1"/>
            </w:pPr>
            <w:r>
              <w:t>Median 95 days (IQR 70-125).</w:t>
            </w:r>
          </w:p>
          <w:p w14:paraId="2EB931C8" w14:textId="00E70E6E" w:rsidR="004B78DF" w:rsidRPr="006532FE" w:rsidRDefault="004B78DF" w:rsidP="00012CD9">
            <w:pPr>
              <w:pStyle w:val="Tabletext1"/>
            </w:pPr>
            <w:r>
              <w:t>Study compared delay 0-3 months with 4-6 months</w:t>
            </w:r>
            <w:r w:rsidR="00012CD9">
              <w:t xml:space="preserve"> delay</w:t>
            </w:r>
          </w:p>
        </w:tc>
        <w:tc>
          <w:tcPr>
            <w:tcW w:w="471" w:type="pct"/>
            <w:tcBorders>
              <w:top w:val="single" w:sz="4" w:space="0" w:color="auto"/>
              <w:left w:val="single" w:sz="4" w:space="0" w:color="auto"/>
              <w:bottom w:val="single" w:sz="4" w:space="0" w:color="auto"/>
              <w:right w:val="single" w:sz="4" w:space="0" w:color="auto"/>
            </w:tcBorders>
          </w:tcPr>
          <w:p w14:paraId="4B9FA61F" w14:textId="41D8A3FC" w:rsidR="005B2FD3" w:rsidRPr="006532FE" w:rsidRDefault="00830CB4" w:rsidP="00012CD9">
            <w:pPr>
              <w:pStyle w:val="Tabletext1"/>
            </w:pPr>
            <w:r>
              <w:t>OS</w:t>
            </w:r>
          </w:p>
        </w:tc>
      </w:tr>
      <w:tr w:rsidR="005B2FD3" w:rsidRPr="006532FE" w14:paraId="77D43226" w14:textId="77777777" w:rsidTr="00E078FE">
        <w:trPr>
          <w:cantSplit/>
          <w:trHeight w:val="319"/>
        </w:trPr>
        <w:tc>
          <w:tcPr>
            <w:tcW w:w="547" w:type="pct"/>
            <w:tcBorders>
              <w:top w:val="single" w:sz="4" w:space="0" w:color="auto"/>
              <w:left w:val="single" w:sz="4" w:space="0" w:color="auto"/>
              <w:bottom w:val="single" w:sz="4" w:space="0" w:color="auto"/>
              <w:right w:val="single" w:sz="4" w:space="0" w:color="auto"/>
            </w:tcBorders>
          </w:tcPr>
          <w:p w14:paraId="328D0BD1" w14:textId="3A5797E5" w:rsidR="005B2FD3" w:rsidRPr="006532FE" w:rsidRDefault="0028006E" w:rsidP="00012CD9">
            <w:pPr>
              <w:pStyle w:val="Tabletext1"/>
            </w:pPr>
            <w:r>
              <w:t>Eroglu et al. (2014)</w:t>
            </w:r>
          </w:p>
        </w:tc>
        <w:tc>
          <w:tcPr>
            <w:tcW w:w="537" w:type="pct"/>
            <w:tcBorders>
              <w:top w:val="single" w:sz="4" w:space="0" w:color="auto"/>
              <w:left w:val="single" w:sz="4" w:space="0" w:color="auto"/>
              <w:bottom w:val="single" w:sz="4" w:space="0" w:color="auto"/>
              <w:right w:val="single" w:sz="4" w:space="0" w:color="auto"/>
            </w:tcBorders>
          </w:tcPr>
          <w:p w14:paraId="3E653466" w14:textId="77777777" w:rsidR="005B2FD3" w:rsidRDefault="00DB69B6" w:rsidP="00012CD9">
            <w:pPr>
              <w:pStyle w:val="Tabletext1"/>
            </w:pPr>
            <w:r>
              <w:t>Cohort study</w:t>
            </w:r>
          </w:p>
          <w:p w14:paraId="2289AE26" w14:textId="77777777" w:rsidR="00DB69B6" w:rsidRDefault="00DB69B6" w:rsidP="00012CD9">
            <w:pPr>
              <w:pStyle w:val="Tabletext1"/>
            </w:pPr>
            <w:r>
              <w:t>NR</w:t>
            </w:r>
          </w:p>
          <w:p w14:paraId="7B1F99D9" w14:textId="4589DA55" w:rsidR="00DB69B6" w:rsidRPr="006532FE" w:rsidRDefault="00DB69B6" w:rsidP="00012CD9">
            <w:pPr>
              <w:pStyle w:val="Tabletext1"/>
            </w:pPr>
            <w:r>
              <w:t>Retrospective</w:t>
            </w:r>
          </w:p>
        </w:tc>
        <w:tc>
          <w:tcPr>
            <w:tcW w:w="429" w:type="pct"/>
            <w:tcBorders>
              <w:top w:val="single" w:sz="4" w:space="0" w:color="auto"/>
              <w:left w:val="single" w:sz="4" w:space="0" w:color="auto"/>
              <w:bottom w:val="single" w:sz="4" w:space="0" w:color="auto"/>
              <w:right w:val="single" w:sz="4" w:space="0" w:color="auto"/>
            </w:tcBorders>
          </w:tcPr>
          <w:p w14:paraId="065E1B89" w14:textId="6DFE4709" w:rsidR="005B2FD3" w:rsidRPr="006532FE" w:rsidRDefault="00DB69B6" w:rsidP="00012CD9">
            <w:pPr>
              <w:pStyle w:val="Tabletext1"/>
            </w:pPr>
            <w:r>
              <w:t>Level III-3</w:t>
            </w:r>
          </w:p>
        </w:tc>
        <w:tc>
          <w:tcPr>
            <w:tcW w:w="465" w:type="pct"/>
            <w:tcBorders>
              <w:top w:val="single" w:sz="4" w:space="0" w:color="auto"/>
              <w:left w:val="single" w:sz="4" w:space="0" w:color="auto"/>
              <w:bottom w:val="single" w:sz="4" w:space="0" w:color="auto"/>
              <w:right w:val="single" w:sz="4" w:space="0" w:color="auto"/>
            </w:tcBorders>
          </w:tcPr>
          <w:p w14:paraId="4110707A" w14:textId="77777777" w:rsidR="005B2FD3" w:rsidRDefault="00DB69B6" w:rsidP="00012CD9">
            <w:pPr>
              <w:pStyle w:val="Tabletext1"/>
            </w:pPr>
            <w:r>
              <w:t>Turkey</w:t>
            </w:r>
          </w:p>
          <w:p w14:paraId="0629C8A1" w14:textId="27D2CD17" w:rsidR="00DB69B6" w:rsidRPr="006532FE" w:rsidRDefault="00DB69B6" w:rsidP="00012CD9">
            <w:pPr>
              <w:pStyle w:val="Tabletext1"/>
            </w:pPr>
            <w:r>
              <w:t xml:space="preserve">Tertiary </w:t>
            </w:r>
            <w:r w:rsidR="000C0CCE">
              <w:t>hospital</w:t>
            </w:r>
          </w:p>
        </w:tc>
        <w:tc>
          <w:tcPr>
            <w:tcW w:w="1246" w:type="pct"/>
            <w:tcBorders>
              <w:top w:val="single" w:sz="4" w:space="0" w:color="auto"/>
              <w:left w:val="single" w:sz="4" w:space="0" w:color="auto"/>
              <w:bottom w:val="single" w:sz="4" w:space="0" w:color="auto"/>
              <w:right w:val="single" w:sz="4" w:space="0" w:color="auto"/>
            </w:tcBorders>
          </w:tcPr>
          <w:p w14:paraId="5489BD67" w14:textId="6ADFA2E6" w:rsidR="005B2FD3" w:rsidRDefault="00F26535" w:rsidP="00012CD9">
            <w:pPr>
              <w:pStyle w:val="Tabletext1"/>
            </w:pPr>
            <w:r>
              <w:t>n</w:t>
            </w:r>
            <w:r w:rsidR="00DB69B6">
              <w:t>: 290</w:t>
            </w:r>
          </w:p>
          <w:p w14:paraId="3CF287DA" w14:textId="1BDF5371" w:rsidR="00DB69B6" w:rsidRDefault="00DB69B6" w:rsidP="00012CD9">
            <w:pPr>
              <w:pStyle w:val="Tabletext1"/>
            </w:pPr>
            <w:r>
              <w:t xml:space="preserve">Age: G1 </w:t>
            </w:r>
            <w:r w:rsidR="00B85D3E">
              <w:t xml:space="preserve">mean </w:t>
            </w:r>
            <w:r>
              <w:t xml:space="preserve">66.0 (SD 7.2), G2 </w:t>
            </w:r>
            <w:r w:rsidR="00B85D3E">
              <w:t xml:space="preserve">mean </w:t>
            </w:r>
            <w:r>
              <w:t>65.0 (SD 5.6)</w:t>
            </w:r>
          </w:p>
          <w:p w14:paraId="58DD291E" w14:textId="5EB42C32" w:rsidR="00DB69B6" w:rsidRPr="006532FE" w:rsidRDefault="00DB69B6" w:rsidP="00012CD9">
            <w:pPr>
              <w:pStyle w:val="Tabletext1"/>
            </w:pPr>
            <w:r>
              <w:t>Risk: NR</w:t>
            </w:r>
          </w:p>
        </w:tc>
        <w:tc>
          <w:tcPr>
            <w:tcW w:w="627" w:type="pct"/>
            <w:tcBorders>
              <w:top w:val="single" w:sz="4" w:space="0" w:color="auto"/>
              <w:left w:val="single" w:sz="4" w:space="0" w:color="auto"/>
              <w:bottom w:val="single" w:sz="4" w:space="0" w:color="auto"/>
              <w:right w:val="single" w:sz="4" w:space="0" w:color="auto"/>
            </w:tcBorders>
          </w:tcPr>
          <w:p w14:paraId="35324261" w14:textId="350675D2" w:rsidR="005B2FD3" w:rsidRPr="006532FE" w:rsidRDefault="00DB69B6" w:rsidP="00012CD9">
            <w:pPr>
              <w:pStyle w:val="Tabletext1"/>
            </w:pPr>
            <w:r>
              <w:t>Radical prostatectomy</w:t>
            </w:r>
          </w:p>
        </w:tc>
        <w:tc>
          <w:tcPr>
            <w:tcW w:w="678" w:type="pct"/>
            <w:tcBorders>
              <w:top w:val="single" w:sz="4" w:space="0" w:color="auto"/>
              <w:left w:val="single" w:sz="4" w:space="0" w:color="auto"/>
              <w:bottom w:val="single" w:sz="4" w:space="0" w:color="auto"/>
              <w:right w:val="single" w:sz="4" w:space="0" w:color="auto"/>
            </w:tcBorders>
          </w:tcPr>
          <w:p w14:paraId="64294420" w14:textId="53E2D094" w:rsidR="005B2FD3" w:rsidRPr="006532FE" w:rsidRDefault="00DB69B6" w:rsidP="00012CD9">
            <w:pPr>
              <w:pStyle w:val="Tabletext1"/>
            </w:pPr>
            <w:r>
              <w:t>NR</w:t>
            </w:r>
          </w:p>
        </w:tc>
        <w:tc>
          <w:tcPr>
            <w:tcW w:w="471" w:type="pct"/>
            <w:tcBorders>
              <w:top w:val="single" w:sz="4" w:space="0" w:color="auto"/>
              <w:left w:val="single" w:sz="4" w:space="0" w:color="auto"/>
              <w:bottom w:val="single" w:sz="4" w:space="0" w:color="auto"/>
              <w:right w:val="single" w:sz="4" w:space="0" w:color="auto"/>
            </w:tcBorders>
          </w:tcPr>
          <w:p w14:paraId="685AA7FC" w14:textId="53EF12F7" w:rsidR="005B2FD3" w:rsidRPr="006532FE" w:rsidRDefault="00830CB4" w:rsidP="00012CD9">
            <w:pPr>
              <w:pStyle w:val="Tabletext1"/>
            </w:pPr>
            <w:r>
              <w:t>TU</w:t>
            </w:r>
          </w:p>
        </w:tc>
      </w:tr>
      <w:tr w:rsidR="005B2FD3" w:rsidRPr="006532FE" w14:paraId="6BB79247" w14:textId="77777777" w:rsidTr="00E078FE">
        <w:trPr>
          <w:cantSplit/>
          <w:trHeight w:val="319"/>
        </w:trPr>
        <w:tc>
          <w:tcPr>
            <w:tcW w:w="547" w:type="pct"/>
            <w:tcBorders>
              <w:top w:val="single" w:sz="4" w:space="0" w:color="auto"/>
              <w:left w:val="single" w:sz="4" w:space="0" w:color="auto"/>
              <w:bottom w:val="single" w:sz="4" w:space="0" w:color="auto"/>
              <w:right w:val="single" w:sz="4" w:space="0" w:color="auto"/>
            </w:tcBorders>
          </w:tcPr>
          <w:p w14:paraId="2294C8AD" w14:textId="4BE7F137" w:rsidR="005B2FD3" w:rsidRPr="006532FE" w:rsidRDefault="00B85D3E" w:rsidP="00012CD9">
            <w:pPr>
              <w:pStyle w:val="Tabletext1"/>
            </w:pPr>
            <w:r>
              <w:t>Dong et al. (2016)</w:t>
            </w:r>
          </w:p>
        </w:tc>
        <w:tc>
          <w:tcPr>
            <w:tcW w:w="537" w:type="pct"/>
            <w:tcBorders>
              <w:top w:val="single" w:sz="4" w:space="0" w:color="auto"/>
              <w:left w:val="single" w:sz="4" w:space="0" w:color="auto"/>
              <w:bottom w:val="single" w:sz="4" w:space="0" w:color="auto"/>
              <w:right w:val="single" w:sz="4" w:space="0" w:color="auto"/>
            </w:tcBorders>
          </w:tcPr>
          <w:p w14:paraId="65416D55" w14:textId="77777777" w:rsidR="005B2FD3" w:rsidRDefault="00B85D3E" w:rsidP="00012CD9">
            <w:pPr>
              <w:pStyle w:val="Tabletext1"/>
            </w:pPr>
            <w:r>
              <w:t>Cohort study</w:t>
            </w:r>
          </w:p>
          <w:p w14:paraId="621C25AB" w14:textId="77777777" w:rsidR="00B85D3E" w:rsidRDefault="00B85D3E" w:rsidP="00012CD9">
            <w:pPr>
              <w:pStyle w:val="Tabletext1"/>
            </w:pPr>
            <w:r>
              <w:t>NR</w:t>
            </w:r>
          </w:p>
          <w:p w14:paraId="46D3FD68" w14:textId="197D262E" w:rsidR="00B85D3E" w:rsidRPr="006532FE" w:rsidRDefault="00B85D3E" w:rsidP="00012CD9">
            <w:pPr>
              <w:pStyle w:val="Tabletext1"/>
            </w:pPr>
            <w:r>
              <w:t>Retrospective</w:t>
            </w:r>
          </w:p>
        </w:tc>
        <w:tc>
          <w:tcPr>
            <w:tcW w:w="429" w:type="pct"/>
            <w:tcBorders>
              <w:top w:val="single" w:sz="4" w:space="0" w:color="auto"/>
              <w:left w:val="single" w:sz="4" w:space="0" w:color="auto"/>
              <w:bottom w:val="single" w:sz="4" w:space="0" w:color="auto"/>
              <w:right w:val="single" w:sz="4" w:space="0" w:color="auto"/>
            </w:tcBorders>
          </w:tcPr>
          <w:p w14:paraId="4DAD643C" w14:textId="50DA642A" w:rsidR="005B2FD3" w:rsidRPr="006532FE" w:rsidRDefault="00B85D3E" w:rsidP="00012CD9">
            <w:pPr>
              <w:pStyle w:val="Tabletext1"/>
            </w:pPr>
            <w:r>
              <w:t>Level III-3</w:t>
            </w:r>
          </w:p>
        </w:tc>
        <w:tc>
          <w:tcPr>
            <w:tcW w:w="465" w:type="pct"/>
            <w:tcBorders>
              <w:top w:val="single" w:sz="4" w:space="0" w:color="auto"/>
              <w:left w:val="single" w:sz="4" w:space="0" w:color="auto"/>
              <w:bottom w:val="single" w:sz="4" w:space="0" w:color="auto"/>
              <w:right w:val="single" w:sz="4" w:space="0" w:color="auto"/>
            </w:tcBorders>
          </w:tcPr>
          <w:p w14:paraId="1C1DB6BB" w14:textId="77777777" w:rsidR="005B2FD3" w:rsidRDefault="00B85D3E" w:rsidP="00012CD9">
            <w:pPr>
              <w:pStyle w:val="Tabletext1"/>
            </w:pPr>
            <w:r>
              <w:t>USA</w:t>
            </w:r>
          </w:p>
          <w:p w14:paraId="4B9FA1C4" w14:textId="5234DBA0" w:rsidR="00B85D3E" w:rsidRPr="006532FE" w:rsidRDefault="00B85D3E" w:rsidP="00012CD9">
            <w:pPr>
              <w:pStyle w:val="Tabletext1"/>
            </w:pPr>
            <w:r>
              <w:t>Secondary clinic</w:t>
            </w:r>
          </w:p>
        </w:tc>
        <w:tc>
          <w:tcPr>
            <w:tcW w:w="1246" w:type="pct"/>
            <w:tcBorders>
              <w:top w:val="single" w:sz="4" w:space="0" w:color="auto"/>
              <w:left w:val="single" w:sz="4" w:space="0" w:color="auto"/>
              <w:bottom w:val="single" w:sz="4" w:space="0" w:color="auto"/>
              <w:right w:val="single" w:sz="4" w:space="0" w:color="auto"/>
            </w:tcBorders>
          </w:tcPr>
          <w:p w14:paraId="6190C687" w14:textId="68621B4F" w:rsidR="005B2FD3" w:rsidRDefault="00F26535" w:rsidP="00012CD9">
            <w:pPr>
              <w:pStyle w:val="Tabletext1"/>
            </w:pPr>
            <w:r>
              <w:t>n</w:t>
            </w:r>
            <w:r w:rsidR="00B85D3E">
              <w:t>: 4,064</w:t>
            </w:r>
          </w:p>
          <w:p w14:paraId="1903E73F" w14:textId="77777777" w:rsidR="00B85D3E" w:rsidRDefault="00B85D3E" w:rsidP="00012CD9">
            <w:pPr>
              <w:pStyle w:val="Tabletext1"/>
            </w:pPr>
            <w:r>
              <w:t>Age: median 68</w:t>
            </w:r>
          </w:p>
          <w:p w14:paraId="5DED37B6" w14:textId="5C4C3519" w:rsidR="00B85D3E" w:rsidRPr="006532FE" w:rsidRDefault="00B85D3E" w:rsidP="00012CD9">
            <w:pPr>
              <w:pStyle w:val="Tabletext1"/>
            </w:pPr>
            <w:r>
              <w:t>Risk: low – 57.9%, intermediate – 29.9%, high – 12.2%</w:t>
            </w:r>
          </w:p>
        </w:tc>
        <w:tc>
          <w:tcPr>
            <w:tcW w:w="627" w:type="pct"/>
            <w:tcBorders>
              <w:top w:val="single" w:sz="4" w:space="0" w:color="auto"/>
              <w:left w:val="single" w:sz="4" w:space="0" w:color="auto"/>
              <w:bottom w:val="single" w:sz="4" w:space="0" w:color="auto"/>
              <w:right w:val="single" w:sz="4" w:space="0" w:color="auto"/>
            </w:tcBorders>
          </w:tcPr>
          <w:p w14:paraId="6B8AD000" w14:textId="2EC95E37" w:rsidR="005B2FD3" w:rsidRPr="006532FE" w:rsidRDefault="00A5214D" w:rsidP="00012CD9">
            <w:pPr>
              <w:pStyle w:val="Tabletext1"/>
            </w:pPr>
            <w:r>
              <w:t>Radiation therapy</w:t>
            </w:r>
          </w:p>
        </w:tc>
        <w:tc>
          <w:tcPr>
            <w:tcW w:w="678" w:type="pct"/>
            <w:tcBorders>
              <w:top w:val="single" w:sz="4" w:space="0" w:color="auto"/>
              <w:left w:val="single" w:sz="4" w:space="0" w:color="auto"/>
              <w:bottom w:val="single" w:sz="4" w:space="0" w:color="auto"/>
              <w:right w:val="single" w:sz="4" w:space="0" w:color="auto"/>
            </w:tcBorders>
          </w:tcPr>
          <w:p w14:paraId="475A7501" w14:textId="411294E6" w:rsidR="005B2FD3" w:rsidRPr="006532FE" w:rsidRDefault="00A5214D" w:rsidP="00012CD9">
            <w:pPr>
              <w:pStyle w:val="Tabletext1"/>
            </w:pPr>
            <w:r>
              <w:t>Up to 24 months</w:t>
            </w:r>
            <w:r w:rsidR="00012CD9">
              <w:t xml:space="preserve"> delay</w:t>
            </w:r>
          </w:p>
        </w:tc>
        <w:tc>
          <w:tcPr>
            <w:tcW w:w="471" w:type="pct"/>
            <w:tcBorders>
              <w:top w:val="single" w:sz="4" w:space="0" w:color="auto"/>
              <w:left w:val="single" w:sz="4" w:space="0" w:color="auto"/>
              <w:bottom w:val="single" w:sz="4" w:space="0" w:color="auto"/>
              <w:right w:val="single" w:sz="4" w:space="0" w:color="auto"/>
            </w:tcBorders>
          </w:tcPr>
          <w:p w14:paraId="755A0363" w14:textId="44A3D801" w:rsidR="005B2FD3" w:rsidRPr="006532FE" w:rsidRDefault="00830CB4" w:rsidP="00830CB4">
            <w:pPr>
              <w:pStyle w:val="Tabletext1"/>
            </w:pPr>
            <w:r>
              <w:t>BCR, MF, OS</w:t>
            </w:r>
          </w:p>
        </w:tc>
      </w:tr>
      <w:tr w:rsidR="005B2FD3" w:rsidRPr="006532FE" w14:paraId="7E6E517F" w14:textId="77777777" w:rsidTr="00E078FE">
        <w:trPr>
          <w:cantSplit/>
          <w:trHeight w:val="319"/>
        </w:trPr>
        <w:tc>
          <w:tcPr>
            <w:tcW w:w="547" w:type="pct"/>
            <w:tcBorders>
              <w:top w:val="single" w:sz="4" w:space="0" w:color="auto"/>
              <w:left w:val="single" w:sz="4" w:space="0" w:color="auto"/>
              <w:bottom w:val="single" w:sz="4" w:space="0" w:color="auto"/>
              <w:right w:val="single" w:sz="4" w:space="0" w:color="auto"/>
            </w:tcBorders>
          </w:tcPr>
          <w:p w14:paraId="7C73A5F9" w14:textId="3AA9123D" w:rsidR="005B2FD3" w:rsidRPr="006532FE" w:rsidRDefault="00727D7F" w:rsidP="00012CD9">
            <w:pPr>
              <w:pStyle w:val="Tabletext1"/>
            </w:pPr>
            <w:r>
              <w:t>Boorjian et al. (2005)</w:t>
            </w:r>
          </w:p>
        </w:tc>
        <w:tc>
          <w:tcPr>
            <w:tcW w:w="537" w:type="pct"/>
            <w:tcBorders>
              <w:top w:val="single" w:sz="4" w:space="0" w:color="auto"/>
              <w:left w:val="single" w:sz="4" w:space="0" w:color="auto"/>
              <w:bottom w:val="single" w:sz="4" w:space="0" w:color="auto"/>
              <w:right w:val="single" w:sz="4" w:space="0" w:color="auto"/>
            </w:tcBorders>
          </w:tcPr>
          <w:p w14:paraId="019C9E25" w14:textId="77777777" w:rsidR="005B2FD3" w:rsidRDefault="00727D7F" w:rsidP="00012CD9">
            <w:pPr>
              <w:pStyle w:val="Tabletext1"/>
            </w:pPr>
            <w:r>
              <w:t>Cohort study</w:t>
            </w:r>
          </w:p>
          <w:p w14:paraId="706BAFB5" w14:textId="77777777" w:rsidR="00727D7F" w:rsidRDefault="00727D7F" w:rsidP="00012CD9">
            <w:pPr>
              <w:pStyle w:val="Tabletext1"/>
            </w:pPr>
            <w:r>
              <w:t>Consecutive</w:t>
            </w:r>
          </w:p>
          <w:p w14:paraId="16363A2A" w14:textId="407D5778" w:rsidR="00727D7F" w:rsidRPr="006532FE" w:rsidRDefault="00727D7F" w:rsidP="00012CD9">
            <w:pPr>
              <w:pStyle w:val="Tabletext1"/>
            </w:pPr>
            <w:r>
              <w:t>Retrospective</w:t>
            </w:r>
          </w:p>
        </w:tc>
        <w:tc>
          <w:tcPr>
            <w:tcW w:w="429" w:type="pct"/>
            <w:tcBorders>
              <w:top w:val="single" w:sz="4" w:space="0" w:color="auto"/>
              <w:left w:val="single" w:sz="4" w:space="0" w:color="auto"/>
              <w:bottom w:val="single" w:sz="4" w:space="0" w:color="auto"/>
              <w:right w:val="single" w:sz="4" w:space="0" w:color="auto"/>
            </w:tcBorders>
          </w:tcPr>
          <w:p w14:paraId="3962112F" w14:textId="23916918" w:rsidR="005B2FD3" w:rsidRPr="006532FE" w:rsidRDefault="00727D7F" w:rsidP="00012CD9">
            <w:pPr>
              <w:pStyle w:val="Tabletext1"/>
            </w:pPr>
            <w:r>
              <w:t>Level III-3</w:t>
            </w:r>
          </w:p>
        </w:tc>
        <w:tc>
          <w:tcPr>
            <w:tcW w:w="465" w:type="pct"/>
            <w:tcBorders>
              <w:top w:val="single" w:sz="4" w:space="0" w:color="auto"/>
              <w:left w:val="single" w:sz="4" w:space="0" w:color="auto"/>
              <w:bottom w:val="single" w:sz="4" w:space="0" w:color="auto"/>
              <w:right w:val="single" w:sz="4" w:space="0" w:color="auto"/>
            </w:tcBorders>
          </w:tcPr>
          <w:p w14:paraId="1C7970AC" w14:textId="77777777" w:rsidR="005B2FD3" w:rsidRDefault="00727D7F" w:rsidP="00012CD9">
            <w:pPr>
              <w:pStyle w:val="Tabletext1"/>
            </w:pPr>
            <w:r>
              <w:t>USA</w:t>
            </w:r>
          </w:p>
          <w:p w14:paraId="0818F7D5" w14:textId="442171E6" w:rsidR="00727D7F" w:rsidRPr="006532FE" w:rsidRDefault="00727D7F" w:rsidP="00012CD9">
            <w:pPr>
              <w:pStyle w:val="Tabletext1"/>
            </w:pPr>
            <w:r>
              <w:t>Secondary clinic</w:t>
            </w:r>
          </w:p>
        </w:tc>
        <w:tc>
          <w:tcPr>
            <w:tcW w:w="1246" w:type="pct"/>
            <w:tcBorders>
              <w:top w:val="single" w:sz="4" w:space="0" w:color="auto"/>
              <w:left w:val="single" w:sz="4" w:space="0" w:color="auto"/>
              <w:bottom w:val="single" w:sz="4" w:space="0" w:color="auto"/>
              <w:right w:val="single" w:sz="4" w:space="0" w:color="auto"/>
            </w:tcBorders>
          </w:tcPr>
          <w:p w14:paraId="521B5028" w14:textId="28575E77" w:rsidR="005B2FD3" w:rsidRDefault="00F26535" w:rsidP="00012CD9">
            <w:pPr>
              <w:pStyle w:val="Tabletext1"/>
            </w:pPr>
            <w:r>
              <w:t>n</w:t>
            </w:r>
            <w:r w:rsidR="00727D7F">
              <w:t>: 3,149</w:t>
            </w:r>
          </w:p>
          <w:p w14:paraId="101AA3F4" w14:textId="77777777" w:rsidR="00727D7F" w:rsidRDefault="00727D7F" w:rsidP="00012CD9">
            <w:pPr>
              <w:pStyle w:val="Tabletext1"/>
            </w:pPr>
            <w:r>
              <w:t>Age: median 61 (IQR 56-65)</w:t>
            </w:r>
          </w:p>
          <w:p w14:paraId="08CF06C8" w14:textId="5E5E5C5D" w:rsidR="00727D7F" w:rsidRPr="006532FE" w:rsidRDefault="00727D7F" w:rsidP="00012CD9">
            <w:pPr>
              <w:pStyle w:val="Tabletext1"/>
            </w:pPr>
            <w:r>
              <w:t>Risk: low – 70%, intermediate – 25%, high – 5%</w:t>
            </w:r>
          </w:p>
        </w:tc>
        <w:tc>
          <w:tcPr>
            <w:tcW w:w="627" w:type="pct"/>
            <w:tcBorders>
              <w:top w:val="single" w:sz="4" w:space="0" w:color="auto"/>
              <w:left w:val="single" w:sz="4" w:space="0" w:color="auto"/>
              <w:bottom w:val="single" w:sz="4" w:space="0" w:color="auto"/>
              <w:right w:val="single" w:sz="4" w:space="0" w:color="auto"/>
            </w:tcBorders>
          </w:tcPr>
          <w:p w14:paraId="6C440E79" w14:textId="368ED1E0" w:rsidR="005B2FD3" w:rsidRPr="006532FE" w:rsidRDefault="00727D7F" w:rsidP="00012CD9">
            <w:pPr>
              <w:pStyle w:val="Tabletext1"/>
            </w:pPr>
            <w:r>
              <w:t>Radical prostatectomy</w:t>
            </w:r>
          </w:p>
        </w:tc>
        <w:tc>
          <w:tcPr>
            <w:tcW w:w="678" w:type="pct"/>
            <w:tcBorders>
              <w:top w:val="single" w:sz="4" w:space="0" w:color="auto"/>
              <w:left w:val="single" w:sz="4" w:space="0" w:color="auto"/>
              <w:bottom w:val="single" w:sz="4" w:space="0" w:color="auto"/>
              <w:right w:val="single" w:sz="4" w:space="0" w:color="auto"/>
            </w:tcBorders>
          </w:tcPr>
          <w:p w14:paraId="09EC304C" w14:textId="4DC6074B" w:rsidR="005B2FD3" w:rsidRPr="006532FE" w:rsidRDefault="00727D7F" w:rsidP="00012CD9">
            <w:pPr>
              <w:pStyle w:val="Tabletext1"/>
            </w:pPr>
            <w:r>
              <w:t>Study compared &lt;3 months to &gt;3 months</w:t>
            </w:r>
            <w:r w:rsidR="00012CD9">
              <w:t xml:space="preserve"> delay</w:t>
            </w:r>
          </w:p>
        </w:tc>
        <w:tc>
          <w:tcPr>
            <w:tcW w:w="471" w:type="pct"/>
            <w:tcBorders>
              <w:top w:val="single" w:sz="4" w:space="0" w:color="auto"/>
              <w:left w:val="single" w:sz="4" w:space="0" w:color="auto"/>
              <w:bottom w:val="single" w:sz="4" w:space="0" w:color="auto"/>
              <w:right w:val="single" w:sz="4" w:space="0" w:color="auto"/>
            </w:tcBorders>
          </w:tcPr>
          <w:p w14:paraId="7E787B8B" w14:textId="7C4C1D65" w:rsidR="005B2FD3" w:rsidRPr="006532FE" w:rsidRDefault="00830CB4" w:rsidP="00012CD9">
            <w:pPr>
              <w:pStyle w:val="Tabletext1"/>
            </w:pPr>
            <w:r>
              <w:t>BCR</w:t>
            </w:r>
          </w:p>
        </w:tc>
      </w:tr>
      <w:tr w:rsidR="005B2FD3" w:rsidRPr="006532FE" w14:paraId="52B4AAB7" w14:textId="77777777" w:rsidTr="00E078FE">
        <w:trPr>
          <w:cantSplit/>
          <w:trHeight w:val="319"/>
        </w:trPr>
        <w:tc>
          <w:tcPr>
            <w:tcW w:w="547" w:type="pct"/>
            <w:tcBorders>
              <w:top w:val="single" w:sz="4" w:space="0" w:color="auto"/>
              <w:left w:val="single" w:sz="4" w:space="0" w:color="auto"/>
              <w:bottom w:val="single" w:sz="4" w:space="0" w:color="auto"/>
              <w:right w:val="single" w:sz="4" w:space="0" w:color="auto"/>
            </w:tcBorders>
          </w:tcPr>
          <w:p w14:paraId="69397DBB" w14:textId="6DAF1703" w:rsidR="005B2FD3" w:rsidRPr="006532FE" w:rsidRDefault="006E1379" w:rsidP="00012CD9">
            <w:pPr>
              <w:pStyle w:val="Tabletext1"/>
            </w:pPr>
            <w:r>
              <w:lastRenderedPageBreak/>
              <w:t>O’Kelly et al. (2013)</w:t>
            </w:r>
          </w:p>
        </w:tc>
        <w:tc>
          <w:tcPr>
            <w:tcW w:w="537" w:type="pct"/>
            <w:tcBorders>
              <w:top w:val="single" w:sz="4" w:space="0" w:color="auto"/>
              <w:left w:val="single" w:sz="4" w:space="0" w:color="auto"/>
              <w:bottom w:val="single" w:sz="4" w:space="0" w:color="auto"/>
              <w:right w:val="single" w:sz="4" w:space="0" w:color="auto"/>
            </w:tcBorders>
          </w:tcPr>
          <w:p w14:paraId="4C575B1B" w14:textId="77777777" w:rsidR="00012CD9" w:rsidRDefault="00012CD9" w:rsidP="00012CD9">
            <w:pPr>
              <w:pStyle w:val="Tabletext1"/>
            </w:pPr>
            <w:r>
              <w:t>Cohort study</w:t>
            </w:r>
          </w:p>
          <w:p w14:paraId="4E4F02CF" w14:textId="77777777" w:rsidR="00012CD9" w:rsidRDefault="00012CD9" w:rsidP="00012CD9">
            <w:pPr>
              <w:pStyle w:val="Tabletext1"/>
            </w:pPr>
            <w:r>
              <w:t>Consecutive</w:t>
            </w:r>
          </w:p>
          <w:p w14:paraId="0E7DA542" w14:textId="482B9D89" w:rsidR="005B2FD3" w:rsidRPr="006532FE" w:rsidRDefault="00012CD9" w:rsidP="00012CD9">
            <w:pPr>
              <w:pStyle w:val="Tabletext1"/>
            </w:pPr>
            <w:r>
              <w:t>Retrospective</w:t>
            </w:r>
          </w:p>
        </w:tc>
        <w:tc>
          <w:tcPr>
            <w:tcW w:w="429" w:type="pct"/>
            <w:tcBorders>
              <w:top w:val="single" w:sz="4" w:space="0" w:color="auto"/>
              <w:left w:val="single" w:sz="4" w:space="0" w:color="auto"/>
              <w:bottom w:val="single" w:sz="4" w:space="0" w:color="auto"/>
              <w:right w:val="single" w:sz="4" w:space="0" w:color="auto"/>
            </w:tcBorders>
          </w:tcPr>
          <w:p w14:paraId="05399771" w14:textId="0298197A" w:rsidR="005B2FD3" w:rsidRPr="006532FE" w:rsidRDefault="00012CD9" w:rsidP="00012CD9">
            <w:pPr>
              <w:pStyle w:val="Tabletext1"/>
            </w:pPr>
            <w:r>
              <w:t>Level III-3</w:t>
            </w:r>
          </w:p>
        </w:tc>
        <w:tc>
          <w:tcPr>
            <w:tcW w:w="465" w:type="pct"/>
            <w:tcBorders>
              <w:top w:val="single" w:sz="4" w:space="0" w:color="auto"/>
              <w:left w:val="single" w:sz="4" w:space="0" w:color="auto"/>
              <w:bottom w:val="single" w:sz="4" w:space="0" w:color="auto"/>
              <w:right w:val="single" w:sz="4" w:space="0" w:color="auto"/>
            </w:tcBorders>
          </w:tcPr>
          <w:p w14:paraId="38E57B1A" w14:textId="77777777" w:rsidR="005B2FD3" w:rsidRDefault="00012CD9" w:rsidP="00012CD9">
            <w:pPr>
              <w:pStyle w:val="Tabletext1"/>
            </w:pPr>
            <w:r>
              <w:t>Ireland</w:t>
            </w:r>
          </w:p>
          <w:p w14:paraId="234D0E16" w14:textId="49E573CB" w:rsidR="00012CD9" w:rsidRPr="006532FE" w:rsidRDefault="00012CD9" w:rsidP="00012CD9">
            <w:pPr>
              <w:pStyle w:val="Tabletext1"/>
            </w:pPr>
            <w:r>
              <w:t>Secondary clinic</w:t>
            </w:r>
          </w:p>
        </w:tc>
        <w:tc>
          <w:tcPr>
            <w:tcW w:w="1246" w:type="pct"/>
            <w:tcBorders>
              <w:top w:val="single" w:sz="4" w:space="0" w:color="auto"/>
              <w:left w:val="single" w:sz="4" w:space="0" w:color="auto"/>
              <w:bottom w:val="single" w:sz="4" w:space="0" w:color="auto"/>
              <w:right w:val="single" w:sz="4" w:space="0" w:color="auto"/>
            </w:tcBorders>
          </w:tcPr>
          <w:p w14:paraId="4C475E8B" w14:textId="510B9246" w:rsidR="005B2FD3" w:rsidRDefault="00F26535" w:rsidP="00012CD9">
            <w:pPr>
              <w:pStyle w:val="Tabletext1"/>
            </w:pPr>
            <w:r>
              <w:t>n</w:t>
            </w:r>
            <w:r w:rsidR="00012CD9">
              <w:t>: 350</w:t>
            </w:r>
          </w:p>
          <w:p w14:paraId="2FB7D4F6" w14:textId="77777777" w:rsidR="00012CD9" w:rsidRDefault="00012CD9" w:rsidP="00012CD9">
            <w:pPr>
              <w:pStyle w:val="Tabletext1"/>
            </w:pPr>
            <w:r>
              <w:t xml:space="preserve">Age: mean 62.35 </w:t>
            </w:r>
          </w:p>
          <w:p w14:paraId="69C9BA76" w14:textId="3AD64F95" w:rsidR="00012CD9" w:rsidRPr="006532FE" w:rsidRDefault="00012CD9" w:rsidP="00012CD9">
            <w:pPr>
              <w:pStyle w:val="Tabletext1"/>
            </w:pPr>
            <w:r>
              <w:t>Risk: low-78.4%, intermediate or high – 21.6%</w:t>
            </w:r>
          </w:p>
        </w:tc>
        <w:tc>
          <w:tcPr>
            <w:tcW w:w="627" w:type="pct"/>
            <w:tcBorders>
              <w:top w:val="single" w:sz="4" w:space="0" w:color="auto"/>
              <w:left w:val="single" w:sz="4" w:space="0" w:color="auto"/>
              <w:bottom w:val="single" w:sz="4" w:space="0" w:color="auto"/>
              <w:right w:val="single" w:sz="4" w:space="0" w:color="auto"/>
            </w:tcBorders>
          </w:tcPr>
          <w:p w14:paraId="6FEE9479" w14:textId="4AB7EB28" w:rsidR="005B2FD3" w:rsidRPr="006532FE" w:rsidRDefault="00012CD9" w:rsidP="00012CD9">
            <w:pPr>
              <w:pStyle w:val="Tabletext1"/>
            </w:pPr>
            <w:r>
              <w:t>Surgery or radiation</w:t>
            </w:r>
          </w:p>
        </w:tc>
        <w:tc>
          <w:tcPr>
            <w:tcW w:w="678" w:type="pct"/>
            <w:tcBorders>
              <w:top w:val="single" w:sz="4" w:space="0" w:color="auto"/>
              <w:left w:val="single" w:sz="4" w:space="0" w:color="auto"/>
              <w:bottom w:val="single" w:sz="4" w:space="0" w:color="auto"/>
              <w:right w:val="single" w:sz="4" w:space="0" w:color="auto"/>
            </w:tcBorders>
          </w:tcPr>
          <w:p w14:paraId="2EC2C784" w14:textId="426F9578" w:rsidR="005B2FD3" w:rsidRPr="006532FE" w:rsidRDefault="00012CD9" w:rsidP="00012CD9">
            <w:pPr>
              <w:pStyle w:val="Tabletext1"/>
            </w:pPr>
            <w:r>
              <w:t>Study compared &lt;12 months, 12-18 months and &gt;18 months delays</w:t>
            </w:r>
          </w:p>
        </w:tc>
        <w:tc>
          <w:tcPr>
            <w:tcW w:w="471" w:type="pct"/>
            <w:tcBorders>
              <w:top w:val="single" w:sz="4" w:space="0" w:color="auto"/>
              <w:left w:val="single" w:sz="4" w:space="0" w:color="auto"/>
              <w:bottom w:val="single" w:sz="4" w:space="0" w:color="auto"/>
              <w:right w:val="single" w:sz="4" w:space="0" w:color="auto"/>
            </w:tcBorders>
          </w:tcPr>
          <w:p w14:paraId="47DF5AC9" w14:textId="6186E200" w:rsidR="005B2FD3" w:rsidRPr="006532FE" w:rsidRDefault="00830CB4" w:rsidP="00012CD9">
            <w:pPr>
              <w:pStyle w:val="Tabletext1"/>
            </w:pPr>
            <w:r>
              <w:t>TU</w:t>
            </w:r>
          </w:p>
        </w:tc>
      </w:tr>
      <w:tr w:rsidR="005B2FD3" w:rsidRPr="006532FE" w14:paraId="3261E60B" w14:textId="77777777" w:rsidTr="00E078FE">
        <w:trPr>
          <w:cantSplit/>
          <w:trHeight w:val="319"/>
        </w:trPr>
        <w:tc>
          <w:tcPr>
            <w:tcW w:w="547" w:type="pct"/>
            <w:tcBorders>
              <w:top w:val="single" w:sz="4" w:space="0" w:color="auto"/>
              <w:left w:val="single" w:sz="4" w:space="0" w:color="auto"/>
              <w:bottom w:val="single" w:sz="4" w:space="0" w:color="auto"/>
              <w:right w:val="single" w:sz="4" w:space="0" w:color="auto"/>
            </w:tcBorders>
          </w:tcPr>
          <w:p w14:paraId="78060C70" w14:textId="4D6DFF4C" w:rsidR="005B2FD3" w:rsidRPr="006532FE" w:rsidRDefault="00012CD9" w:rsidP="00012CD9">
            <w:pPr>
              <w:pStyle w:val="Tabletext1"/>
            </w:pPr>
            <w:r>
              <w:t>Loeb et al. (2016)</w:t>
            </w:r>
          </w:p>
        </w:tc>
        <w:tc>
          <w:tcPr>
            <w:tcW w:w="537" w:type="pct"/>
            <w:tcBorders>
              <w:top w:val="single" w:sz="4" w:space="0" w:color="auto"/>
              <w:left w:val="single" w:sz="4" w:space="0" w:color="auto"/>
              <w:bottom w:val="single" w:sz="4" w:space="0" w:color="auto"/>
              <w:right w:val="single" w:sz="4" w:space="0" w:color="auto"/>
            </w:tcBorders>
          </w:tcPr>
          <w:p w14:paraId="0FE7F26F" w14:textId="77777777" w:rsidR="005B2FD3" w:rsidRDefault="00012CD9" w:rsidP="00012CD9">
            <w:pPr>
              <w:pStyle w:val="Tabletext1"/>
            </w:pPr>
            <w:r>
              <w:t>Cohort study</w:t>
            </w:r>
          </w:p>
          <w:p w14:paraId="1A68F3EE" w14:textId="77777777" w:rsidR="00012CD9" w:rsidRDefault="00012CD9" w:rsidP="00012CD9">
            <w:pPr>
              <w:pStyle w:val="Tabletext1"/>
            </w:pPr>
            <w:r>
              <w:t>Consecutive</w:t>
            </w:r>
          </w:p>
          <w:p w14:paraId="48AEC6D4" w14:textId="2E9ABA25" w:rsidR="00012CD9" w:rsidRPr="006532FE" w:rsidRDefault="00012CD9" w:rsidP="00012CD9">
            <w:pPr>
              <w:pStyle w:val="Tabletext1"/>
            </w:pPr>
            <w:r>
              <w:t>Retrospective</w:t>
            </w:r>
          </w:p>
        </w:tc>
        <w:tc>
          <w:tcPr>
            <w:tcW w:w="429" w:type="pct"/>
            <w:tcBorders>
              <w:top w:val="single" w:sz="4" w:space="0" w:color="auto"/>
              <w:left w:val="single" w:sz="4" w:space="0" w:color="auto"/>
              <w:bottom w:val="single" w:sz="4" w:space="0" w:color="auto"/>
              <w:right w:val="single" w:sz="4" w:space="0" w:color="auto"/>
            </w:tcBorders>
          </w:tcPr>
          <w:p w14:paraId="740E90F9" w14:textId="396B3163" w:rsidR="005B2FD3" w:rsidRPr="006532FE" w:rsidRDefault="00E34308" w:rsidP="00012CD9">
            <w:pPr>
              <w:pStyle w:val="Tabletext1"/>
            </w:pPr>
            <w:r>
              <w:t>Level III-3</w:t>
            </w:r>
          </w:p>
        </w:tc>
        <w:tc>
          <w:tcPr>
            <w:tcW w:w="465" w:type="pct"/>
            <w:tcBorders>
              <w:top w:val="single" w:sz="4" w:space="0" w:color="auto"/>
              <w:left w:val="single" w:sz="4" w:space="0" w:color="auto"/>
              <w:bottom w:val="single" w:sz="4" w:space="0" w:color="auto"/>
              <w:right w:val="single" w:sz="4" w:space="0" w:color="auto"/>
            </w:tcBorders>
          </w:tcPr>
          <w:p w14:paraId="0B06E72C" w14:textId="77777777" w:rsidR="005B2FD3" w:rsidRDefault="005D4113" w:rsidP="00012CD9">
            <w:pPr>
              <w:pStyle w:val="Tabletext1"/>
            </w:pPr>
            <w:r>
              <w:t>Sweden</w:t>
            </w:r>
          </w:p>
          <w:p w14:paraId="42C493E2" w14:textId="22DF4479" w:rsidR="005D4113" w:rsidRPr="006532FE" w:rsidRDefault="005D4113" w:rsidP="00012CD9">
            <w:pPr>
              <w:pStyle w:val="Tabletext1"/>
            </w:pPr>
            <w:r>
              <w:t>Review of all cases registered in national cancer registry</w:t>
            </w:r>
          </w:p>
        </w:tc>
        <w:tc>
          <w:tcPr>
            <w:tcW w:w="1246" w:type="pct"/>
            <w:tcBorders>
              <w:top w:val="single" w:sz="4" w:space="0" w:color="auto"/>
              <w:left w:val="single" w:sz="4" w:space="0" w:color="auto"/>
              <w:bottom w:val="single" w:sz="4" w:space="0" w:color="auto"/>
              <w:right w:val="single" w:sz="4" w:space="0" w:color="auto"/>
            </w:tcBorders>
          </w:tcPr>
          <w:p w14:paraId="6A52A65A" w14:textId="036CD07A" w:rsidR="005B2FD3" w:rsidRDefault="00F26535" w:rsidP="00012CD9">
            <w:pPr>
              <w:pStyle w:val="Tabletext1"/>
            </w:pPr>
            <w:r>
              <w:t>n</w:t>
            </w:r>
            <w:r w:rsidR="005D4113">
              <w:t>: 7,608</w:t>
            </w:r>
          </w:p>
          <w:p w14:paraId="3B1611D3" w14:textId="77777777" w:rsidR="005D4113" w:rsidRDefault="005D4113" w:rsidP="00012CD9">
            <w:pPr>
              <w:pStyle w:val="Tabletext1"/>
            </w:pPr>
            <w:r>
              <w:t>Age: median 62.0 (IQR 58.3-65.5)</w:t>
            </w:r>
          </w:p>
          <w:p w14:paraId="00DA29B4" w14:textId="58F5143E" w:rsidR="005D4113" w:rsidRPr="006532FE" w:rsidRDefault="005D4113" w:rsidP="00012CD9">
            <w:pPr>
              <w:pStyle w:val="Tabletext1"/>
            </w:pPr>
            <w:r>
              <w:t>Risk: low – 68%, intermediate – 27%, high – 2%, NR – 3%</w:t>
            </w:r>
          </w:p>
        </w:tc>
        <w:tc>
          <w:tcPr>
            <w:tcW w:w="627" w:type="pct"/>
            <w:tcBorders>
              <w:top w:val="single" w:sz="4" w:space="0" w:color="auto"/>
              <w:left w:val="single" w:sz="4" w:space="0" w:color="auto"/>
              <w:bottom w:val="single" w:sz="4" w:space="0" w:color="auto"/>
              <w:right w:val="single" w:sz="4" w:space="0" w:color="auto"/>
            </w:tcBorders>
          </w:tcPr>
          <w:p w14:paraId="6BE18A4C" w14:textId="4D1684D6" w:rsidR="005B2FD3" w:rsidRPr="006532FE" w:rsidRDefault="005D4113" w:rsidP="00012CD9">
            <w:pPr>
              <w:pStyle w:val="Tabletext1"/>
            </w:pPr>
            <w:r>
              <w:t>Radical prostatectomy</w:t>
            </w:r>
          </w:p>
        </w:tc>
        <w:tc>
          <w:tcPr>
            <w:tcW w:w="678" w:type="pct"/>
            <w:tcBorders>
              <w:top w:val="single" w:sz="4" w:space="0" w:color="auto"/>
              <w:left w:val="single" w:sz="4" w:space="0" w:color="auto"/>
              <w:bottom w:val="single" w:sz="4" w:space="0" w:color="auto"/>
              <w:right w:val="single" w:sz="4" w:space="0" w:color="auto"/>
            </w:tcBorders>
          </w:tcPr>
          <w:p w14:paraId="46836FEF" w14:textId="7A7BB5C2" w:rsidR="005B2FD3" w:rsidRPr="006532FE" w:rsidRDefault="00135C7E" w:rsidP="00135C7E">
            <w:pPr>
              <w:pStyle w:val="Tabletext1"/>
            </w:pPr>
            <w:r>
              <w:t>Study compared &lt;12 months, 2-24 months</w:t>
            </w:r>
            <w:r w:rsidR="00FD5BE0">
              <w:t xml:space="preserve"> </w:t>
            </w:r>
            <w:r>
              <w:t>and &gt;24 months delays</w:t>
            </w:r>
          </w:p>
        </w:tc>
        <w:tc>
          <w:tcPr>
            <w:tcW w:w="471" w:type="pct"/>
            <w:tcBorders>
              <w:top w:val="single" w:sz="4" w:space="0" w:color="auto"/>
              <w:left w:val="single" w:sz="4" w:space="0" w:color="auto"/>
              <w:bottom w:val="single" w:sz="4" w:space="0" w:color="auto"/>
              <w:right w:val="single" w:sz="4" w:space="0" w:color="auto"/>
            </w:tcBorders>
          </w:tcPr>
          <w:p w14:paraId="6AC544FB" w14:textId="2044A8F2" w:rsidR="005B2FD3" w:rsidRPr="006532FE" w:rsidRDefault="00830CB4" w:rsidP="00830CB4">
            <w:pPr>
              <w:pStyle w:val="Tabletext1"/>
            </w:pPr>
            <w:r>
              <w:t xml:space="preserve">CSS, ECE, PSM </w:t>
            </w:r>
          </w:p>
        </w:tc>
      </w:tr>
      <w:tr w:rsidR="005B2FD3" w:rsidRPr="006532FE" w14:paraId="4E484D70" w14:textId="77777777" w:rsidTr="00E078FE">
        <w:trPr>
          <w:cantSplit/>
          <w:trHeight w:val="319"/>
        </w:trPr>
        <w:tc>
          <w:tcPr>
            <w:tcW w:w="547" w:type="pct"/>
            <w:tcBorders>
              <w:top w:val="single" w:sz="4" w:space="0" w:color="auto"/>
              <w:left w:val="single" w:sz="4" w:space="0" w:color="auto"/>
              <w:bottom w:val="single" w:sz="4" w:space="0" w:color="auto"/>
              <w:right w:val="single" w:sz="4" w:space="0" w:color="auto"/>
            </w:tcBorders>
          </w:tcPr>
          <w:p w14:paraId="70C2FD20" w14:textId="2D3D7B39" w:rsidR="005B2FD3" w:rsidRPr="006532FE" w:rsidRDefault="003F4073" w:rsidP="00012CD9">
            <w:pPr>
              <w:pStyle w:val="Tabletext1"/>
            </w:pPr>
            <w:r>
              <w:t>Hussein et al. (2015)</w:t>
            </w:r>
          </w:p>
        </w:tc>
        <w:tc>
          <w:tcPr>
            <w:tcW w:w="537" w:type="pct"/>
            <w:tcBorders>
              <w:top w:val="single" w:sz="4" w:space="0" w:color="auto"/>
              <w:left w:val="single" w:sz="4" w:space="0" w:color="auto"/>
              <w:bottom w:val="single" w:sz="4" w:space="0" w:color="auto"/>
              <w:right w:val="single" w:sz="4" w:space="0" w:color="auto"/>
            </w:tcBorders>
          </w:tcPr>
          <w:p w14:paraId="2AACFF3E" w14:textId="77777777" w:rsidR="005B2FD3" w:rsidRDefault="003F4073" w:rsidP="00012CD9">
            <w:pPr>
              <w:pStyle w:val="Tabletext1"/>
            </w:pPr>
            <w:r>
              <w:t>Cohort study</w:t>
            </w:r>
          </w:p>
          <w:p w14:paraId="3411296D" w14:textId="77777777" w:rsidR="003F4073" w:rsidRDefault="003F4073" w:rsidP="00012CD9">
            <w:pPr>
              <w:pStyle w:val="Tabletext1"/>
            </w:pPr>
            <w:r>
              <w:t>NR</w:t>
            </w:r>
          </w:p>
          <w:p w14:paraId="080E8304" w14:textId="30FD5627" w:rsidR="003F4073" w:rsidRPr="006532FE" w:rsidRDefault="003F4073" w:rsidP="00012CD9">
            <w:pPr>
              <w:pStyle w:val="Tabletext1"/>
            </w:pPr>
            <w:r>
              <w:t>Retrospective</w:t>
            </w:r>
          </w:p>
        </w:tc>
        <w:tc>
          <w:tcPr>
            <w:tcW w:w="429" w:type="pct"/>
            <w:tcBorders>
              <w:top w:val="single" w:sz="4" w:space="0" w:color="auto"/>
              <w:left w:val="single" w:sz="4" w:space="0" w:color="auto"/>
              <w:bottom w:val="single" w:sz="4" w:space="0" w:color="auto"/>
              <w:right w:val="single" w:sz="4" w:space="0" w:color="auto"/>
            </w:tcBorders>
          </w:tcPr>
          <w:p w14:paraId="2FC4F444" w14:textId="01DEDB7B" w:rsidR="005B2FD3" w:rsidRPr="006532FE" w:rsidRDefault="003F4073" w:rsidP="00012CD9">
            <w:pPr>
              <w:pStyle w:val="Tabletext1"/>
            </w:pPr>
            <w:r>
              <w:t>Level III-3</w:t>
            </w:r>
          </w:p>
        </w:tc>
        <w:tc>
          <w:tcPr>
            <w:tcW w:w="465" w:type="pct"/>
            <w:tcBorders>
              <w:top w:val="single" w:sz="4" w:space="0" w:color="auto"/>
              <w:left w:val="single" w:sz="4" w:space="0" w:color="auto"/>
              <w:bottom w:val="single" w:sz="4" w:space="0" w:color="auto"/>
              <w:right w:val="single" w:sz="4" w:space="0" w:color="auto"/>
            </w:tcBorders>
          </w:tcPr>
          <w:p w14:paraId="5D96B1D5" w14:textId="77777777" w:rsidR="005B2FD3" w:rsidRDefault="003F4073" w:rsidP="00012CD9">
            <w:pPr>
              <w:pStyle w:val="Tabletext1"/>
            </w:pPr>
            <w:r>
              <w:t>USA</w:t>
            </w:r>
          </w:p>
          <w:p w14:paraId="503A64E8" w14:textId="6D01BB15" w:rsidR="003F4073" w:rsidRPr="006532FE" w:rsidRDefault="003F4073" w:rsidP="00012CD9">
            <w:pPr>
              <w:pStyle w:val="Tabletext1"/>
            </w:pPr>
            <w:r>
              <w:t>Tertiary hospital</w:t>
            </w:r>
          </w:p>
        </w:tc>
        <w:tc>
          <w:tcPr>
            <w:tcW w:w="1246" w:type="pct"/>
            <w:tcBorders>
              <w:top w:val="single" w:sz="4" w:space="0" w:color="auto"/>
              <w:left w:val="single" w:sz="4" w:space="0" w:color="auto"/>
              <w:bottom w:val="single" w:sz="4" w:space="0" w:color="auto"/>
              <w:right w:val="single" w:sz="4" w:space="0" w:color="auto"/>
            </w:tcBorders>
          </w:tcPr>
          <w:p w14:paraId="76730398" w14:textId="4421091E" w:rsidR="005B2FD3" w:rsidRDefault="00F26535" w:rsidP="00012CD9">
            <w:pPr>
              <w:pStyle w:val="Tabletext1"/>
            </w:pPr>
            <w:r>
              <w:t>n</w:t>
            </w:r>
            <w:r w:rsidR="003F4073">
              <w:t>: 219</w:t>
            </w:r>
          </w:p>
          <w:p w14:paraId="6D3BE634" w14:textId="77777777" w:rsidR="003F4073" w:rsidRDefault="003F4073" w:rsidP="00012CD9">
            <w:pPr>
              <w:pStyle w:val="Tabletext1"/>
            </w:pPr>
            <w:r>
              <w:t>Age: mean 61.6 (range 42-82)</w:t>
            </w:r>
          </w:p>
          <w:p w14:paraId="31932C08" w14:textId="6763B150" w:rsidR="003F4073" w:rsidRPr="003F4073" w:rsidRDefault="003F4073" w:rsidP="00012CD9">
            <w:pPr>
              <w:pStyle w:val="Tabletext1"/>
              <w:rPr>
                <w:vertAlign w:val="superscript"/>
              </w:rPr>
            </w:pPr>
            <w:r>
              <w:t>Risk: NA</w:t>
            </w:r>
            <w:r>
              <w:rPr>
                <w:vertAlign w:val="superscript"/>
              </w:rPr>
              <w:t>d</w:t>
            </w:r>
          </w:p>
        </w:tc>
        <w:tc>
          <w:tcPr>
            <w:tcW w:w="627" w:type="pct"/>
            <w:tcBorders>
              <w:top w:val="single" w:sz="4" w:space="0" w:color="auto"/>
              <w:left w:val="single" w:sz="4" w:space="0" w:color="auto"/>
              <w:bottom w:val="single" w:sz="4" w:space="0" w:color="auto"/>
              <w:right w:val="single" w:sz="4" w:space="0" w:color="auto"/>
            </w:tcBorders>
          </w:tcPr>
          <w:p w14:paraId="341DE6E5" w14:textId="70F25D1A" w:rsidR="005B2FD3" w:rsidRPr="006532FE" w:rsidRDefault="003F4073" w:rsidP="00012CD9">
            <w:pPr>
              <w:pStyle w:val="Tabletext1"/>
            </w:pPr>
            <w:r>
              <w:t>Radical prostatectomy</w:t>
            </w:r>
          </w:p>
        </w:tc>
        <w:tc>
          <w:tcPr>
            <w:tcW w:w="678" w:type="pct"/>
            <w:tcBorders>
              <w:top w:val="single" w:sz="4" w:space="0" w:color="auto"/>
              <w:left w:val="single" w:sz="4" w:space="0" w:color="auto"/>
              <w:bottom w:val="single" w:sz="4" w:space="0" w:color="auto"/>
              <w:right w:val="single" w:sz="4" w:space="0" w:color="auto"/>
            </w:tcBorders>
          </w:tcPr>
          <w:p w14:paraId="7A2FBFC5" w14:textId="718D0CB6" w:rsidR="005B2FD3" w:rsidRPr="006532FE" w:rsidRDefault="003F4073" w:rsidP="00012CD9">
            <w:pPr>
              <w:pStyle w:val="Tabletext1"/>
            </w:pPr>
            <w:r>
              <w:t xml:space="preserve">Study compared </w:t>
            </w:r>
            <w:r w:rsidR="00E31626">
              <w:t>median delay of 28 month (IQR 16-52 months)</w:t>
            </w:r>
          </w:p>
        </w:tc>
        <w:tc>
          <w:tcPr>
            <w:tcW w:w="471" w:type="pct"/>
            <w:tcBorders>
              <w:top w:val="single" w:sz="4" w:space="0" w:color="auto"/>
              <w:left w:val="single" w:sz="4" w:space="0" w:color="auto"/>
              <w:bottom w:val="single" w:sz="4" w:space="0" w:color="auto"/>
              <w:right w:val="single" w:sz="4" w:space="0" w:color="auto"/>
            </w:tcBorders>
          </w:tcPr>
          <w:p w14:paraId="7AA0F650" w14:textId="1D31FFE1" w:rsidR="005B2FD3" w:rsidRPr="006532FE" w:rsidRDefault="00830CB4" w:rsidP="00012CD9">
            <w:pPr>
              <w:pStyle w:val="Tabletext1"/>
            </w:pPr>
            <w:r>
              <w:t>PSM</w:t>
            </w:r>
          </w:p>
        </w:tc>
      </w:tr>
    </w:tbl>
    <w:p w14:paraId="2F8527F5" w14:textId="13C6184D" w:rsidR="00C45F11" w:rsidRDefault="00C45F11" w:rsidP="00830CB4">
      <w:pPr>
        <w:pStyle w:val="TableNotes"/>
      </w:pPr>
      <w:r>
        <w:rPr>
          <w:vertAlign w:val="superscript"/>
        </w:rPr>
        <w:t>a</w:t>
      </w:r>
      <w:r>
        <w:t>: D</w:t>
      </w:r>
      <w:r w:rsidR="00E078FE" w:rsidRPr="00C45F11">
        <w:t>escribes</w:t>
      </w:r>
      <w:r w:rsidR="00E078FE">
        <w:t xml:space="preserve"> consecutive or non-consecutive enrolment. </w:t>
      </w:r>
    </w:p>
    <w:p w14:paraId="09F70C69" w14:textId="737A7EA0" w:rsidR="00C45F11" w:rsidRDefault="00C45F11" w:rsidP="00830CB4">
      <w:pPr>
        <w:pStyle w:val="TableNotes"/>
      </w:pPr>
      <w:r w:rsidRPr="00C45F11">
        <w:rPr>
          <w:vertAlign w:val="superscript"/>
        </w:rPr>
        <w:t>b</w:t>
      </w:r>
      <w:r>
        <w:t>: D</w:t>
      </w:r>
      <w:r w:rsidR="00E078FE" w:rsidRPr="00C45F11">
        <w:t>escribes</w:t>
      </w:r>
      <w:r w:rsidR="00E078FE">
        <w:t xml:space="preserve"> a retrospective or prospective study design. </w:t>
      </w:r>
    </w:p>
    <w:p w14:paraId="5565FFDA" w14:textId="6C34AE47" w:rsidR="00C45F11" w:rsidRDefault="00E078FE" w:rsidP="00830CB4">
      <w:pPr>
        <w:pStyle w:val="TableNotes"/>
        <w:rPr>
          <w:rStyle w:val="Hyperlink"/>
          <w:vanish/>
          <w:sz w:val="20"/>
        </w:rPr>
      </w:pPr>
      <w:r w:rsidRPr="00B83FA3">
        <w:rPr>
          <w:vertAlign w:val="superscript"/>
        </w:rPr>
        <w:t>c</w:t>
      </w:r>
      <w:r w:rsidR="00C45F11">
        <w:t>: S</w:t>
      </w:r>
      <w:r>
        <w:t>ource:</w:t>
      </w:r>
      <w:r w:rsidRPr="00183E4D">
        <w:t xml:space="preserve"> </w:t>
      </w:r>
      <w:hyperlink r:id="rId62" w:history="1">
        <w:r>
          <w:rPr>
            <w:rStyle w:val="Hyperlink"/>
          </w:rPr>
          <w:t>NHMRC hierarchy of evidence</w:t>
        </w:r>
      </w:hyperlink>
      <w:r w:rsidR="00C45F11">
        <w:rPr>
          <w:rStyle w:val="Hyperlink"/>
          <w:vanish/>
          <w:sz w:val="20"/>
        </w:rPr>
        <w:t>.</w:t>
      </w:r>
    </w:p>
    <w:p w14:paraId="6F267327" w14:textId="45151EE5" w:rsidR="00512E7A" w:rsidRDefault="003F4073" w:rsidP="00830CB4">
      <w:pPr>
        <w:pStyle w:val="TableNotes"/>
      </w:pPr>
      <w:r w:rsidRPr="00830CB4">
        <w:rPr>
          <w:vertAlign w:val="superscript"/>
        </w:rPr>
        <w:t>d</w:t>
      </w:r>
      <w:r w:rsidRPr="003F4073">
        <w:t xml:space="preserve"> This study included </w:t>
      </w:r>
      <w:r w:rsidR="000C0CCE" w:rsidRPr="003F4073">
        <w:t>patients</w:t>
      </w:r>
      <w:r w:rsidRPr="003F4073">
        <w:t xml:space="preserve"> on AS who were upgraded to intermediate or high risk cancer</w:t>
      </w:r>
      <w:r w:rsidR="000C0CCE">
        <w:t>.</w:t>
      </w:r>
    </w:p>
    <w:p w14:paraId="2232163C" w14:textId="768BB7D0" w:rsidR="00830CB4" w:rsidRDefault="00830CB4" w:rsidP="00830CB4">
      <w:pPr>
        <w:pStyle w:val="TableNotes"/>
      </w:pPr>
      <w:r>
        <w:t>IQR = interquartile range, NR = not reported, NA = not applicable, G1 = group 1, G2 = group 2, OS = overall survival, CSS = cancer specific survival, BCR = biochemical recurrence, MF = metastases formation, LNI = lymph node involvement, ECE = extracapsular extension, PSM = positive surgical margins, TU = tumour upgrade.</w:t>
      </w:r>
    </w:p>
    <w:p w14:paraId="2075DF45" w14:textId="77777777" w:rsidR="00E078FE" w:rsidRDefault="00E078FE" w:rsidP="00E078FE">
      <w:pPr>
        <w:pStyle w:val="Heading2"/>
      </w:pPr>
      <w:bookmarkStart w:id="785" w:name="_Toc460514016"/>
      <w:r w:rsidRPr="00183E4D">
        <w:lastRenderedPageBreak/>
        <w:t xml:space="preserve">Profiles of studies on </w:t>
      </w:r>
      <w:r>
        <w:t>the safety of the TRUSGB</w:t>
      </w:r>
      <w:r w:rsidRPr="00183E4D">
        <w:t xml:space="preserve"> included in the systematic literature review</w:t>
      </w:r>
      <w:bookmarkEnd w:id="785"/>
    </w:p>
    <w:p w14:paraId="2C5674DF" w14:textId="6362C098" w:rsidR="000B1DB4" w:rsidRPr="000B1DB4" w:rsidRDefault="000B1DB4" w:rsidP="009A220C">
      <w:pPr>
        <w:pStyle w:val="Caption"/>
      </w:pPr>
      <w:bookmarkStart w:id="786" w:name="_Toc460514573"/>
      <w:r>
        <w:t xml:space="preserve">Table </w:t>
      </w:r>
      <w:fldSimple w:instr=" SEQ Table \* ARABIC ">
        <w:r w:rsidR="0029649D">
          <w:rPr>
            <w:noProof/>
          </w:rPr>
          <w:t>73</w:t>
        </w:r>
      </w:fldSimple>
      <w:r w:rsidR="003E6D7D">
        <w:rPr>
          <w:noProof/>
        </w:rPr>
        <w:tab/>
        <w:t>Studies rpeorting safety outcomes associated with TRUSGB</w:t>
      </w:r>
      <w:bookmarkEnd w:id="786"/>
    </w:p>
    <w:tbl>
      <w:tblPr>
        <w:tblW w:w="5000" w:type="pct"/>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879"/>
        <w:gridCol w:w="1376"/>
        <w:gridCol w:w="1888"/>
        <w:gridCol w:w="1253"/>
        <w:gridCol w:w="1443"/>
        <w:gridCol w:w="2932"/>
        <w:gridCol w:w="2014"/>
        <w:gridCol w:w="2567"/>
      </w:tblGrid>
      <w:tr w:rsidR="00E078FE" w:rsidRPr="00832B43" w14:paraId="3EA15CD0" w14:textId="77777777" w:rsidTr="00E078FE">
        <w:trPr>
          <w:cantSplit/>
          <w:trHeight w:val="1976"/>
          <w:tblHeader/>
        </w:trPr>
        <w:tc>
          <w:tcPr>
            <w:tcW w:w="612" w:type="pct"/>
            <w:tcBorders>
              <w:top w:val="single" w:sz="4" w:space="0" w:color="auto"/>
              <w:left w:val="single" w:sz="4" w:space="0" w:color="auto"/>
              <w:bottom w:val="single" w:sz="4" w:space="0" w:color="auto"/>
              <w:right w:val="single" w:sz="4" w:space="0" w:color="auto"/>
            </w:tcBorders>
          </w:tcPr>
          <w:p w14:paraId="65031EC6" w14:textId="77777777" w:rsidR="00E078FE" w:rsidRPr="00832B43" w:rsidRDefault="00E078FE" w:rsidP="00832B43">
            <w:pPr>
              <w:pStyle w:val="TableHeading"/>
            </w:pPr>
            <w:r w:rsidRPr="00832B43">
              <w:t>Study ID</w:t>
            </w:r>
          </w:p>
        </w:tc>
        <w:tc>
          <w:tcPr>
            <w:tcW w:w="448" w:type="pct"/>
            <w:tcBorders>
              <w:top w:val="single" w:sz="4" w:space="0" w:color="auto"/>
              <w:left w:val="single" w:sz="4" w:space="0" w:color="auto"/>
              <w:bottom w:val="single" w:sz="4" w:space="0" w:color="auto"/>
              <w:right w:val="single" w:sz="4" w:space="0" w:color="auto"/>
            </w:tcBorders>
          </w:tcPr>
          <w:p w14:paraId="43C0816C" w14:textId="77777777" w:rsidR="00E078FE" w:rsidRPr="00832B43" w:rsidRDefault="00E078FE" w:rsidP="00832B43">
            <w:pPr>
              <w:pStyle w:val="TableHeading"/>
            </w:pPr>
            <w:r w:rsidRPr="00832B43">
              <w:t>Used in meta-analysis</w:t>
            </w:r>
          </w:p>
        </w:tc>
        <w:tc>
          <w:tcPr>
            <w:tcW w:w="615" w:type="pct"/>
            <w:tcBorders>
              <w:top w:val="single" w:sz="4" w:space="0" w:color="auto"/>
              <w:left w:val="single" w:sz="4" w:space="0" w:color="auto"/>
              <w:bottom w:val="single" w:sz="4" w:space="0" w:color="auto"/>
              <w:right w:val="single" w:sz="4" w:space="0" w:color="auto"/>
            </w:tcBorders>
          </w:tcPr>
          <w:p w14:paraId="4B31F0DD" w14:textId="77777777" w:rsidR="00E078FE" w:rsidRPr="00832B43" w:rsidRDefault="00E078FE" w:rsidP="00832B43">
            <w:pPr>
              <w:pStyle w:val="TableHeading"/>
            </w:pPr>
            <w:r w:rsidRPr="00832B43">
              <w:t>Study type</w:t>
            </w:r>
          </w:p>
          <w:p w14:paraId="55F225F3" w14:textId="3420F666" w:rsidR="00E078FE" w:rsidRPr="00832B43" w:rsidRDefault="000C0CCE" w:rsidP="00832B43">
            <w:pPr>
              <w:pStyle w:val="TableHeading"/>
            </w:pPr>
            <w:r w:rsidRPr="00832B43">
              <w:t>Enrolment</w:t>
            </w:r>
            <w:r w:rsidRPr="00D03D2D">
              <w:rPr>
                <w:vertAlign w:val="superscript"/>
              </w:rPr>
              <w:t>a</w:t>
            </w:r>
          </w:p>
          <w:p w14:paraId="45A6C90C" w14:textId="77777777" w:rsidR="00E078FE" w:rsidRPr="00832B43" w:rsidRDefault="00E078FE" w:rsidP="00832B43">
            <w:pPr>
              <w:pStyle w:val="TableHeading"/>
            </w:pPr>
            <w:r w:rsidRPr="00832B43">
              <w:t>Design</w:t>
            </w:r>
            <w:r w:rsidRPr="00D03D2D">
              <w:rPr>
                <w:vertAlign w:val="superscript"/>
              </w:rPr>
              <w:t>b</w:t>
            </w:r>
          </w:p>
          <w:p w14:paraId="2A7BAF2C" w14:textId="77777777" w:rsidR="00E078FE" w:rsidRPr="00832B43" w:rsidRDefault="00E078FE" w:rsidP="00832B43">
            <w:pPr>
              <w:pStyle w:val="TableHeading"/>
            </w:pPr>
          </w:p>
        </w:tc>
        <w:tc>
          <w:tcPr>
            <w:tcW w:w="408" w:type="pct"/>
            <w:tcBorders>
              <w:top w:val="single" w:sz="4" w:space="0" w:color="auto"/>
              <w:left w:val="single" w:sz="4" w:space="0" w:color="auto"/>
              <w:bottom w:val="single" w:sz="4" w:space="0" w:color="auto"/>
              <w:right w:val="single" w:sz="4" w:space="0" w:color="auto"/>
            </w:tcBorders>
          </w:tcPr>
          <w:p w14:paraId="65FBEE58" w14:textId="77777777" w:rsidR="00E078FE" w:rsidRPr="00832B43" w:rsidRDefault="00E078FE" w:rsidP="00832B43">
            <w:pPr>
              <w:pStyle w:val="TableHeading"/>
            </w:pPr>
            <w:r w:rsidRPr="00832B43">
              <w:t>Level of evidence</w:t>
            </w:r>
            <w:r w:rsidRPr="00D03D2D">
              <w:rPr>
                <w:vertAlign w:val="superscript"/>
              </w:rPr>
              <w:t>c</w:t>
            </w:r>
          </w:p>
        </w:tc>
        <w:tc>
          <w:tcPr>
            <w:tcW w:w="470" w:type="pct"/>
            <w:tcBorders>
              <w:top w:val="single" w:sz="4" w:space="0" w:color="auto"/>
              <w:left w:val="single" w:sz="4" w:space="0" w:color="auto"/>
              <w:bottom w:val="single" w:sz="4" w:space="0" w:color="auto"/>
              <w:right w:val="single" w:sz="4" w:space="0" w:color="auto"/>
            </w:tcBorders>
          </w:tcPr>
          <w:p w14:paraId="0CF38B20" w14:textId="77777777" w:rsidR="00E078FE" w:rsidRPr="00832B43" w:rsidRDefault="00E078FE" w:rsidP="00832B43">
            <w:pPr>
              <w:pStyle w:val="TableHeading"/>
            </w:pPr>
            <w:r w:rsidRPr="00832B43">
              <w:t>Location</w:t>
            </w:r>
          </w:p>
          <w:p w14:paraId="762D0657" w14:textId="77777777" w:rsidR="00E078FE" w:rsidRPr="00832B43" w:rsidRDefault="00E078FE" w:rsidP="00832B43">
            <w:pPr>
              <w:pStyle w:val="TableHeading"/>
            </w:pPr>
            <w:r w:rsidRPr="00832B43">
              <w:t>Setting</w:t>
            </w:r>
          </w:p>
          <w:p w14:paraId="38592EE4" w14:textId="77777777" w:rsidR="00E078FE" w:rsidRPr="00832B43" w:rsidRDefault="00E078FE" w:rsidP="00832B43">
            <w:pPr>
              <w:pStyle w:val="TableHeading"/>
            </w:pPr>
          </w:p>
        </w:tc>
        <w:tc>
          <w:tcPr>
            <w:tcW w:w="955" w:type="pct"/>
            <w:tcBorders>
              <w:top w:val="single" w:sz="4" w:space="0" w:color="auto"/>
              <w:left w:val="single" w:sz="4" w:space="0" w:color="auto"/>
              <w:bottom w:val="single" w:sz="4" w:space="0" w:color="auto"/>
              <w:right w:val="single" w:sz="4" w:space="0" w:color="auto"/>
            </w:tcBorders>
          </w:tcPr>
          <w:p w14:paraId="5068C143" w14:textId="77777777" w:rsidR="00E078FE" w:rsidRPr="00832B43" w:rsidRDefault="00E078FE" w:rsidP="00832B43">
            <w:pPr>
              <w:pStyle w:val="TableHeading"/>
            </w:pPr>
            <w:r w:rsidRPr="00832B43">
              <w:t>Study population characteristics</w:t>
            </w:r>
          </w:p>
          <w:p w14:paraId="5DCAF869" w14:textId="7B0224AD" w:rsidR="00E078FE" w:rsidRPr="00832B43" w:rsidRDefault="00AB582A" w:rsidP="00832B43">
            <w:pPr>
              <w:pStyle w:val="TableHeading"/>
            </w:pPr>
            <w:r>
              <w:t>n</w:t>
            </w:r>
          </w:p>
          <w:p w14:paraId="4EA8C283" w14:textId="77777777" w:rsidR="00E078FE" w:rsidRPr="00832B43" w:rsidRDefault="00E078FE" w:rsidP="00832B43">
            <w:pPr>
              <w:pStyle w:val="TableHeading"/>
            </w:pPr>
            <w:r w:rsidRPr="00832B43">
              <w:t>Age years</w:t>
            </w:r>
          </w:p>
          <w:p w14:paraId="3B3B0AC9" w14:textId="77777777" w:rsidR="00E078FE" w:rsidRPr="00832B43" w:rsidRDefault="00E078FE" w:rsidP="00832B43">
            <w:pPr>
              <w:pStyle w:val="TableHeading"/>
            </w:pPr>
            <w:r w:rsidRPr="00832B43">
              <w:t>PSA ng/ml</w:t>
            </w:r>
          </w:p>
          <w:p w14:paraId="631989C6" w14:textId="77777777" w:rsidR="00E078FE" w:rsidRPr="00832B43" w:rsidRDefault="00E078FE" w:rsidP="00832B43">
            <w:pPr>
              <w:pStyle w:val="TableHeading"/>
            </w:pPr>
            <w:r w:rsidRPr="00832B43">
              <w:t>PSA density</w:t>
            </w:r>
          </w:p>
          <w:p w14:paraId="65C75914" w14:textId="77777777" w:rsidR="00E078FE" w:rsidRPr="00832B43" w:rsidRDefault="00E078FE" w:rsidP="00832B43">
            <w:pPr>
              <w:pStyle w:val="TableHeading"/>
            </w:pPr>
            <w:r w:rsidRPr="00832B43">
              <w:t>Prior biopsy (%)</w:t>
            </w:r>
          </w:p>
        </w:tc>
        <w:tc>
          <w:tcPr>
            <w:tcW w:w="656" w:type="pct"/>
            <w:tcBorders>
              <w:top w:val="single" w:sz="4" w:space="0" w:color="auto"/>
              <w:left w:val="single" w:sz="4" w:space="0" w:color="auto"/>
              <w:bottom w:val="single" w:sz="4" w:space="0" w:color="auto"/>
              <w:right w:val="single" w:sz="4" w:space="0" w:color="auto"/>
            </w:tcBorders>
          </w:tcPr>
          <w:p w14:paraId="2BB1408A" w14:textId="77777777" w:rsidR="00E078FE" w:rsidRPr="00832B43" w:rsidRDefault="00E078FE" w:rsidP="00832B43">
            <w:pPr>
              <w:pStyle w:val="TableHeading"/>
            </w:pPr>
            <w:r w:rsidRPr="00832B43">
              <w:t xml:space="preserve">Description of </w:t>
            </w:r>
          </w:p>
          <w:p w14:paraId="4A05B3AA" w14:textId="77777777" w:rsidR="00E078FE" w:rsidRPr="00832B43" w:rsidRDefault="00E078FE" w:rsidP="00832B43">
            <w:pPr>
              <w:pStyle w:val="TableHeading"/>
            </w:pPr>
            <w:r w:rsidRPr="00832B43">
              <w:t>Biopsy type</w:t>
            </w:r>
          </w:p>
          <w:p w14:paraId="4CF6C483" w14:textId="77777777" w:rsidR="00E078FE" w:rsidRPr="00832B43" w:rsidRDefault="00E078FE" w:rsidP="00832B43">
            <w:pPr>
              <w:pStyle w:val="TableHeading"/>
            </w:pPr>
            <w:r w:rsidRPr="00832B43">
              <w:t>Cores</w:t>
            </w:r>
          </w:p>
          <w:p w14:paraId="31DDC2FD" w14:textId="77777777" w:rsidR="00E078FE" w:rsidRPr="00832B43" w:rsidRDefault="00E078FE" w:rsidP="00832B43">
            <w:pPr>
              <w:pStyle w:val="TableHeading"/>
            </w:pPr>
            <w:r w:rsidRPr="00832B43">
              <w:t>Enema (%)</w:t>
            </w:r>
          </w:p>
          <w:p w14:paraId="238E1EE1" w14:textId="77777777" w:rsidR="00E078FE" w:rsidRPr="00832B43" w:rsidRDefault="00E078FE" w:rsidP="00832B43">
            <w:pPr>
              <w:pStyle w:val="TableHeading"/>
            </w:pPr>
            <w:r w:rsidRPr="00832B43">
              <w:t>Needle thickness</w:t>
            </w:r>
          </w:p>
        </w:tc>
        <w:tc>
          <w:tcPr>
            <w:tcW w:w="836" w:type="pct"/>
            <w:tcBorders>
              <w:top w:val="single" w:sz="4" w:space="0" w:color="auto"/>
              <w:left w:val="single" w:sz="4" w:space="0" w:color="auto"/>
              <w:bottom w:val="single" w:sz="4" w:space="0" w:color="auto"/>
              <w:right w:val="single" w:sz="4" w:space="0" w:color="auto"/>
            </w:tcBorders>
          </w:tcPr>
          <w:p w14:paraId="1E4375B5" w14:textId="77777777" w:rsidR="00E078FE" w:rsidRPr="00832B43" w:rsidRDefault="00E078FE" w:rsidP="00832B43">
            <w:pPr>
              <w:pStyle w:val="TableHeading"/>
            </w:pPr>
            <w:r w:rsidRPr="00832B43">
              <w:t xml:space="preserve">Relevant outcomes assessed </w:t>
            </w:r>
          </w:p>
          <w:p w14:paraId="1D075DAC" w14:textId="1D8E081E" w:rsidR="00E078FE" w:rsidRPr="00832B43" w:rsidRDefault="00E078FE" w:rsidP="00832B43">
            <w:pPr>
              <w:pStyle w:val="TableHeading"/>
            </w:pPr>
            <w:r w:rsidRPr="00832B43">
              <w:t>(i</w:t>
            </w:r>
            <w:r w:rsidR="00F26535">
              <w:t>.</w:t>
            </w:r>
            <w:r w:rsidRPr="00832B43">
              <w:t>e</w:t>
            </w:r>
            <w:r w:rsidR="00F26535">
              <w:t>.</w:t>
            </w:r>
            <w:r w:rsidRPr="00832B43">
              <w:t xml:space="preserve"> related to outcomes specified in PICO)</w:t>
            </w:r>
          </w:p>
        </w:tc>
      </w:tr>
      <w:tr w:rsidR="00E078FE" w:rsidRPr="00183E4D" w14:paraId="1B94749E"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4F725C6C" w14:textId="77777777" w:rsidR="00E078FE" w:rsidRPr="001D0B66" w:rsidRDefault="00E078FE" w:rsidP="00E078FE">
            <w:pPr>
              <w:pStyle w:val="Tabletext1"/>
            </w:pPr>
            <w:r w:rsidRPr="001D0B66">
              <w:t>Anastasiadis et al. (2015)</w:t>
            </w:r>
            <w:r>
              <w:br/>
            </w:r>
          </w:p>
        </w:tc>
        <w:tc>
          <w:tcPr>
            <w:tcW w:w="448" w:type="pct"/>
            <w:tcBorders>
              <w:top w:val="single" w:sz="4" w:space="0" w:color="auto"/>
              <w:left w:val="single" w:sz="4" w:space="0" w:color="auto"/>
              <w:bottom w:val="single" w:sz="4" w:space="0" w:color="auto"/>
              <w:right w:val="single" w:sz="4" w:space="0" w:color="auto"/>
            </w:tcBorders>
          </w:tcPr>
          <w:p w14:paraId="7150724C"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363DD05C" w14:textId="77777777" w:rsidR="00E078FE" w:rsidRDefault="00E078FE" w:rsidP="00E078FE">
            <w:pPr>
              <w:pStyle w:val="Tabletext1"/>
            </w:pPr>
            <w:r>
              <w:t>Case series</w:t>
            </w:r>
          </w:p>
          <w:p w14:paraId="7C6F31E9" w14:textId="77777777" w:rsidR="00E078FE" w:rsidRDefault="00E078FE" w:rsidP="00E078FE">
            <w:pPr>
              <w:pStyle w:val="Tabletext1"/>
            </w:pPr>
            <w:r>
              <w:t>Non-consecutive</w:t>
            </w:r>
          </w:p>
          <w:p w14:paraId="50DAA557"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6F05D172"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4D40F042" w14:textId="77777777" w:rsidR="00E078FE" w:rsidRDefault="00E078FE" w:rsidP="00E078FE">
            <w:pPr>
              <w:pStyle w:val="Tabletext1"/>
            </w:pPr>
            <w:r>
              <w:t>UK</w:t>
            </w:r>
          </w:p>
          <w:p w14:paraId="4F4DF8C1" w14:textId="77777777"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7D4CE9B6" w14:textId="413F0887" w:rsidR="00E078FE" w:rsidRDefault="00AB582A" w:rsidP="00E078FE">
            <w:pPr>
              <w:pStyle w:val="Tabletext1"/>
            </w:pPr>
            <w:r>
              <w:t>n</w:t>
            </w:r>
            <w:r w:rsidR="00E078FE">
              <w:t>: 198,361</w:t>
            </w:r>
          </w:p>
          <w:p w14:paraId="0AAEF703" w14:textId="77777777" w:rsidR="00E078FE" w:rsidRDefault="00E078FE" w:rsidP="00E078FE">
            <w:pPr>
              <w:pStyle w:val="Tabletext1"/>
            </w:pPr>
            <w:r>
              <w:t>Age:</w:t>
            </w:r>
          </w:p>
          <w:p w14:paraId="7546E65C" w14:textId="77777777" w:rsidR="00E078FE" w:rsidRPr="00AE7616" w:rsidRDefault="00E078FE" w:rsidP="00E078FE">
            <w:pPr>
              <w:pStyle w:val="Tabletext1"/>
            </w:pPr>
            <w:r w:rsidRPr="00AE7616">
              <w:t>45-54: 3.2%</w:t>
            </w:r>
            <w:r w:rsidRPr="00AE7616">
              <w:br/>
              <w:t>55-64: 21.5%</w:t>
            </w:r>
            <w:r w:rsidRPr="00AE7616">
              <w:br/>
              <w:t>65-74: 40.5%</w:t>
            </w:r>
            <w:r w:rsidRPr="00AE7616">
              <w:br/>
              <w:t>75-84: 28.9%</w:t>
            </w:r>
            <w:r w:rsidRPr="00AE7616">
              <w:br/>
              <w:t>≥85: 5.9%</w:t>
            </w:r>
          </w:p>
          <w:p w14:paraId="3C004112" w14:textId="77777777" w:rsidR="00E078FE" w:rsidRDefault="00E078FE" w:rsidP="00E078FE">
            <w:pPr>
              <w:pStyle w:val="Tabletext1"/>
            </w:pPr>
            <w:r>
              <w:t>PSA: NR</w:t>
            </w:r>
          </w:p>
          <w:p w14:paraId="70CD2DB9" w14:textId="77777777" w:rsidR="00E078FE" w:rsidRPr="00183E4D" w:rsidRDefault="00E078FE" w:rsidP="00E078FE">
            <w:pPr>
              <w:pStyle w:val="Tabletext1"/>
            </w:pPr>
            <w:r>
              <w:t>Prior biopsy: NR</w:t>
            </w:r>
          </w:p>
        </w:tc>
        <w:tc>
          <w:tcPr>
            <w:tcW w:w="656" w:type="pct"/>
            <w:tcBorders>
              <w:top w:val="single" w:sz="4" w:space="0" w:color="auto"/>
              <w:left w:val="single" w:sz="4" w:space="0" w:color="auto"/>
              <w:bottom w:val="single" w:sz="4" w:space="0" w:color="auto"/>
              <w:right w:val="single" w:sz="4" w:space="0" w:color="auto"/>
            </w:tcBorders>
          </w:tcPr>
          <w:p w14:paraId="0A5FF86A" w14:textId="4382233E" w:rsidR="00E078FE" w:rsidRDefault="00E078FE" w:rsidP="00E078FE">
            <w:pPr>
              <w:pStyle w:val="Tabletext1"/>
            </w:pPr>
            <w:r>
              <w:t>TRUS</w:t>
            </w:r>
            <w:r w:rsidR="001248B5">
              <w:t>GB</w:t>
            </w:r>
          </w:p>
          <w:p w14:paraId="1EC9A4B2" w14:textId="77777777" w:rsidR="00E078FE" w:rsidRDefault="00E078FE" w:rsidP="00E078FE">
            <w:pPr>
              <w:pStyle w:val="Tabletext1"/>
            </w:pPr>
            <w:r>
              <w:t>Cores: 10-12</w:t>
            </w:r>
          </w:p>
          <w:p w14:paraId="38BFFE42" w14:textId="77777777" w:rsidR="00E078FE" w:rsidRDefault="00E078FE" w:rsidP="00E078FE">
            <w:pPr>
              <w:pStyle w:val="Tabletext1"/>
            </w:pPr>
            <w:r>
              <w:t>Enema: NR</w:t>
            </w:r>
          </w:p>
          <w:p w14:paraId="3889E94B"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1DC7A862" w14:textId="77777777" w:rsidR="00E078FE" w:rsidRDefault="00E078FE" w:rsidP="00E078FE">
            <w:pPr>
              <w:pStyle w:val="Tabletext1"/>
            </w:pPr>
            <w:r>
              <w:t>UTI</w:t>
            </w:r>
          </w:p>
          <w:p w14:paraId="0F936BAE" w14:textId="77777777" w:rsidR="00E078FE" w:rsidRDefault="00E078FE" w:rsidP="00E078FE">
            <w:pPr>
              <w:pStyle w:val="Tabletext1"/>
            </w:pPr>
            <w:r>
              <w:t>Urinary obstruction</w:t>
            </w:r>
          </w:p>
          <w:p w14:paraId="2596AEE8" w14:textId="77777777" w:rsidR="00E078FE" w:rsidRDefault="00E078FE" w:rsidP="00E078FE">
            <w:pPr>
              <w:pStyle w:val="Tabletext1"/>
            </w:pPr>
            <w:r>
              <w:t>Haematuria</w:t>
            </w:r>
          </w:p>
          <w:p w14:paraId="20C0B2B4" w14:textId="77777777" w:rsidR="00E078FE" w:rsidRPr="00183E4D" w:rsidRDefault="00E078FE" w:rsidP="00E078FE">
            <w:pPr>
              <w:pStyle w:val="Tabletext1"/>
            </w:pPr>
            <w:r>
              <w:t>Hospitalisation</w:t>
            </w:r>
          </w:p>
        </w:tc>
      </w:tr>
      <w:tr w:rsidR="00E078FE" w:rsidRPr="00183E4D" w14:paraId="65AC28D4"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294A80FB" w14:textId="77777777" w:rsidR="00E078FE" w:rsidRPr="001D0B66" w:rsidRDefault="00E078FE" w:rsidP="00E078FE">
            <w:pPr>
              <w:pStyle w:val="Tabletext1"/>
              <w:rPr>
                <w:color w:val="000000"/>
              </w:rPr>
            </w:pPr>
            <w:r w:rsidRPr="001D0B66">
              <w:rPr>
                <w:color w:val="000000"/>
              </w:rPr>
              <w:t>Carignan et al. (2012)</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2A42DDC6"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6242BE6F" w14:textId="77777777" w:rsidR="00E078FE" w:rsidRDefault="00E078FE" w:rsidP="00E078FE">
            <w:pPr>
              <w:pStyle w:val="Tabletext1"/>
            </w:pPr>
            <w:r>
              <w:t>Case-control</w:t>
            </w:r>
          </w:p>
          <w:p w14:paraId="3590896F" w14:textId="77777777" w:rsidR="00E078FE" w:rsidRDefault="00E078FE" w:rsidP="00E078FE">
            <w:pPr>
              <w:pStyle w:val="Tabletext1"/>
            </w:pPr>
            <w:r>
              <w:t>Consecutive</w:t>
            </w:r>
          </w:p>
          <w:p w14:paraId="04F52A64" w14:textId="77777777" w:rsidR="00E078FE" w:rsidRPr="00183E4D" w:rsidRDefault="00E078FE" w:rsidP="00E078FE">
            <w:pPr>
              <w:pStyle w:val="Tabletext1"/>
            </w:pPr>
            <w:r>
              <w:t>Retrospective</w:t>
            </w:r>
          </w:p>
        </w:tc>
        <w:tc>
          <w:tcPr>
            <w:tcW w:w="408" w:type="pct"/>
            <w:tcBorders>
              <w:top w:val="single" w:sz="4" w:space="0" w:color="auto"/>
              <w:left w:val="single" w:sz="4" w:space="0" w:color="auto"/>
              <w:bottom w:val="single" w:sz="4" w:space="0" w:color="auto"/>
              <w:right w:val="single" w:sz="4" w:space="0" w:color="auto"/>
            </w:tcBorders>
          </w:tcPr>
          <w:p w14:paraId="4C67E13F" w14:textId="77777777" w:rsidR="00E078FE" w:rsidRPr="00183E4D" w:rsidRDefault="00E078FE" w:rsidP="00E078FE">
            <w:pPr>
              <w:pStyle w:val="Tabletext1"/>
            </w:pPr>
            <w:r>
              <w:t>III-2</w:t>
            </w:r>
          </w:p>
        </w:tc>
        <w:tc>
          <w:tcPr>
            <w:tcW w:w="470" w:type="pct"/>
            <w:tcBorders>
              <w:top w:val="single" w:sz="4" w:space="0" w:color="auto"/>
              <w:left w:val="single" w:sz="4" w:space="0" w:color="auto"/>
              <w:bottom w:val="single" w:sz="4" w:space="0" w:color="auto"/>
              <w:right w:val="single" w:sz="4" w:space="0" w:color="auto"/>
            </w:tcBorders>
          </w:tcPr>
          <w:p w14:paraId="433AF579" w14:textId="77777777" w:rsidR="00E078FE" w:rsidRDefault="00E078FE" w:rsidP="00E078FE">
            <w:pPr>
              <w:pStyle w:val="Tabletext1"/>
            </w:pPr>
            <w:r>
              <w:t xml:space="preserve">Canada </w:t>
            </w:r>
          </w:p>
          <w:p w14:paraId="4838FA17" w14:textId="47E7ECD6"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4CDF13C7" w14:textId="18543583" w:rsidR="00E078FE" w:rsidRDefault="00AB582A" w:rsidP="00E078FE">
            <w:pPr>
              <w:pStyle w:val="Tabletext1"/>
            </w:pPr>
            <w:r>
              <w:t>n</w:t>
            </w:r>
            <w:r w:rsidR="00E078FE">
              <w:t>: 5,798</w:t>
            </w:r>
          </w:p>
          <w:p w14:paraId="2506A7D0" w14:textId="77777777" w:rsidR="00E078FE" w:rsidRPr="00D9055B" w:rsidRDefault="00E078FE" w:rsidP="00E078FE">
            <w:pPr>
              <w:pStyle w:val="Tabletext1"/>
            </w:pPr>
            <w:r>
              <w:t xml:space="preserve">Age: </w:t>
            </w:r>
            <w:r w:rsidRPr="00D9055B">
              <w:t>66.7 [61.8-72.0]</w:t>
            </w:r>
          </w:p>
          <w:p w14:paraId="0B60AD55" w14:textId="77777777" w:rsidR="00E078FE" w:rsidRDefault="00E078FE" w:rsidP="00E078FE">
            <w:pPr>
              <w:pStyle w:val="Tabletext1"/>
            </w:pPr>
            <w:r>
              <w:t>PSA: NR</w:t>
            </w:r>
          </w:p>
          <w:p w14:paraId="16E65665" w14:textId="77777777" w:rsidR="00E078FE" w:rsidRPr="00183E4D" w:rsidRDefault="00E078FE" w:rsidP="00E078FE">
            <w:pPr>
              <w:pStyle w:val="Tabletext1"/>
            </w:pPr>
            <w:r>
              <w:t>Prior biopsy: NR</w:t>
            </w:r>
          </w:p>
        </w:tc>
        <w:tc>
          <w:tcPr>
            <w:tcW w:w="656" w:type="pct"/>
            <w:tcBorders>
              <w:top w:val="single" w:sz="4" w:space="0" w:color="auto"/>
              <w:left w:val="single" w:sz="4" w:space="0" w:color="auto"/>
              <w:bottom w:val="single" w:sz="4" w:space="0" w:color="auto"/>
              <w:right w:val="single" w:sz="4" w:space="0" w:color="auto"/>
            </w:tcBorders>
          </w:tcPr>
          <w:p w14:paraId="1D8D233B" w14:textId="728ECA93" w:rsidR="00E078FE" w:rsidRDefault="00E078FE" w:rsidP="00E078FE">
            <w:pPr>
              <w:pStyle w:val="Tabletext1"/>
            </w:pPr>
            <w:r>
              <w:t>TRUS</w:t>
            </w:r>
            <w:r w:rsidR="001248B5">
              <w:t>GB</w:t>
            </w:r>
          </w:p>
          <w:p w14:paraId="4A8D4D4C" w14:textId="77777777" w:rsidR="00E078FE" w:rsidRDefault="00E078FE" w:rsidP="00E078FE">
            <w:pPr>
              <w:pStyle w:val="Tabletext1"/>
            </w:pPr>
            <w:r>
              <w:t>Cores: 12</w:t>
            </w:r>
          </w:p>
          <w:p w14:paraId="29DB45A9" w14:textId="77777777" w:rsidR="00E078FE" w:rsidRDefault="00E078FE" w:rsidP="00E078FE">
            <w:pPr>
              <w:pStyle w:val="Tabletext1"/>
            </w:pPr>
            <w:r>
              <w:t>Enema: 28</w:t>
            </w:r>
          </w:p>
          <w:p w14:paraId="5C0C3132"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5AC82BF8" w14:textId="77777777" w:rsidR="00E078FE" w:rsidRDefault="00E078FE" w:rsidP="00E078FE">
            <w:pPr>
              <w:pStyle w:val="Tabletext1"/>
            </w:pPr>
            <w:r>
              <w:t>Major infection</w:t>
            </w:r>
          </w:p>
          <w:p w14:paraId="4C4BBD02" w14:textId="77777777" w:rsidR="00E078FE" w:rsidRDefault="00E078FE" w:rsidP="00E078FE">
            <w:pPr>
              <w:pStyle w:val="Tabletext1"/>
            </w:pPr>
            <w:r>
              <w:t>UTI</w:t>
            </w:r>
          </w:p>
          <w:p w14:paraId="109ECF7E" w14:textId="77777777" w:rsidR="00E078FE" w:rsidRDefault="00E078FE" w:rsidP="00E078FE">
            <w:pPr>
              <w:pStyle w:val="Tabletext1"/>
            </w:pPr>
            <w:r>
              <w:t>Hospitalisation</w:t>
            </w:r>
          </w:p>
          <w:p w14:paraId="378ADF7A" w14:textId="77777777" w:rsidR="00E078FE" w:rsidRPr="00183E4D" w:rsidRDefault="00E078FE" w:rsidP="00E078FE">
            <w:pPr>
              <w:pStyle w:val="Tabletext1"/>
            </w:pPr>
            <w:r>
              <w:t>Bacteraemia</w:t>
            </w:r>
          </w:p>
        </w:tc>
      </w:tr>
      <w:tr w:rsidR="00E078FE" w:rsidRPr="00183E4D" w14:paraId="2C0014A3"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18A7413B" w14:textId="77777777" w:rsidR="00E078FE" w:rsidRPr="001D0B66" w:rsidRDefault="00E078FE" w:rsidP="00E078FE">
            <w:pPr>
              <w:pStyle w:val="Tabletext1"/>
              <w:rPr>
                <w:color w:val="000000"/>
              </w:rPr>
            </w:pPr>
            <w:r w:rsidRPr="001D0B66">
              <w:rPr>
                <w:color w:val="000000"/>
              </w:rPr>
              <w:t>Nam et al. (2013)</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637E43B5"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7DF85755" w14:textId="77777777" w:rsidR="00E078FE" w:rsidRDefault="00E078FE" w:rsidP="00E078FE">
            <w:pPr>
              <w:pStyle w:val="Tabletext1"/>
            </w:pPr>
            <w:r>
              <w:t>Case series</w:t>
            </w:r>
          </w:p>
          <w:p w14:paraId="3B3B5D40" w14:textId="77777777" w:rsidR="00E078FE" w:rsidRDefault="00E078FE" w:rsidP="00E078FE">
            <w:pPr>
              <w:pStyle w:val="Tabletext1"/>
            </w:pPr>
            <w:r>
              <w:t>Non-consecutive</w:t>
            </w:r>
          </w:p>
          <w:p w14:paraId="6F754660" w14:textId="77777777" w:rsidR="00E078FE" w:rsidRPr="00183E4D" w:rsidRDefault="00E078FE" w:rsidP="00E078FE">
            <w:pPr>
              <w:pStyle w:val="Tabletext1"/>
            </w:pPr>
            <w:r>
              <w:t>Retrospective</w:t>
            </w:r>
          </w:p>
        </w:tc>
        <w:tc>
          <w:tcPr>
            <w:tcW w:w="408" w:type="pct"/>
            <w:tcBorders>
              <w:top w:val="single" w:sz="4" w:space="0" w:color="auto"/>
              <w:left w:val="single" w:sz="4" w:space="0" w:color="auto"/>
              <w:bottom w:val="single" w:sz="4" w:space="0" w:color="auto"/>
              <w:right w:val="single" w:sz="4" w:space="0" w:color="auto"/>
            </w:tcBorders>
          </w:tcPr>
          <w:p w14:paraId="0119C0D2"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25D06F88" w14:textId="77777777" w:rsidR="00E078FE" w:rsidRDefault="00E078FE" w:rsidP="00E078FE">
            <w:pPr>
              <w:pStyle w:val="Tabletext1"/>
            </w:pPr>
            <w:r>
              <w:t xml:space="preserve">Canada </w:t>
            </w:r>
          </w:p>
          <w:p w14:paraId="5406FA00" w14:textId="48536AF4"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2AB1B74E" w14:textId="14C463AB" w:rsidR="00E078FE" w:rsidRDefault="00AB582A" w:rsidP="00E078FE">
            <w:pPr>
              <w:pStyle w:val="Tabletext1"/>
            </w:pPr>
            <w:r>
              <w:t>n</w:t>
            </w:r>
            <w:r w:rsidR="00E078FE">
              <w:t>: 75,190</w:t>
            </w:r>
          </w:p>
          <w:p w14:paraId="7ED20073" w14:textId="77777777" w:rsidR="00E078FE" w:rsidRDefault="00E078FE" w:rsidP="00E078FE">
            <w:pPr>
              <w:pStyle w:val="Tabletext1"/>
            </w:pPr>
            <w:r>
              <w:t>Age:</w:t>
            </w:r>
          </w:p>
          <w:p w14:paraId="5968492A" w14:textId="77777777" w:rsidR="00E078FE" w:rsidRPr="00AE7616" w:rsidRDefault="00E078FE" w:rsidP="00E078FE">
            <w:pPr>
              <w:pStyle w:val="Tabletext1"/>
            </w:pPr>
            <w:r w:rsidRPr="00AE7616">
              <w:t>&lt;50=3.1</w:t>
            </w:r>
            <w:r w:rsidRPr="00AE7616">
              <w:br/>
              <w:t>51-59=21.1</w:t>
            </w:r>
            <w:r w:rsidRPr="00AE7616">
              <w:br/>
              <w:t>70-79=41.6</w:t>
            </w:r>
            <w:r w:rsidRPr="00AE7616">
              <w:br/>
              <w:t>≥80=4.7</w:t>
            </w:r>
          </w:p>
          <w:p w14:paraId="10CBC72C" w14:textId="77777777" w:rsidR="00E078FE" w:rsidRDefault="00E078FE" w:rsidP="00E078FE">
            <w:pPr>
              <w:pStyle w:val="Tabletext1"/>
            </w:pPr>
            <w:r>
              <w:t>PSA: NR</w:t>
            </w:r>
          </w:p>
          <w:p w14:paraId="74A4A093" w14:textId="77777777" w:rsidR="00E078FE" w:rsidRPr="00183E4D" w:rsidRDefault="00E078FE" w:rsidP="00E078FE">
            <w:pPr>
              <w:pStyle w:val="Tabletext1"/>
            </w:pPr>
            <w:r>
              <w:t>Prior biopsy: 0</w:t>
            </w:r>
          </w:p>
        </w:tc>
        <w:tc>
          <w:tcPr>
            <w:tcW w:w="656" w:type="pct"/>
            <w:tcBorders>
              <w:top w:val="single" w:sz="4" w:space="0" w:color="auto"/>
              <w:left w:val="single" w:sz="4" w:space="0" w:color="auto"/>
              <w:bottom w:val="single" w:sz="4" w:space="0" w:color="auto"/>
              <w:right w:val="single" w:sz="4" w:space="0" w:color="auto"/>
            </w:tcBorders>
          </w:tcPr>
          <w:p w14:paraId="6AB10D14" w14:textId="6AFE6D6C" w:rsidR="00E078FE" w:rsidRDefault="00E078FE" w:rsidP="00E078FE">
            <w:pPr>
              <w:pStyle w:val="Tabletext1"/>
            </w:pPr>
            <w:r>
              <w:t>TRUS</w:t>
            </w:r>
            <w:r w:rsidR="001248B5">
              <w:t>GB</w:t>
            </w:r>
          </w:p>
          <w:p w14:paraId="254FA4D7" w14:textId="77777777" w:rsidR="00E078FE" w:rsidRDefault="00E078FE" w:rsidP="00E078FE">
            <w:pPr>
              <w:pStyle w:val="Tabletext1"/>
            </w:pPr>
            <w:r>
              <w:t>Cores: NR</w:t>
            </w:r>
          </w:p>
          <w:p w14:paraId="7B738725" w14:textId="77777777" w:rsidR="00E078FE" w:rsidRDefault="00E078FE" w:rsidP="00E078FE">
            <w:pPr>
              <w:pStyle w:val="Tabletext1"/>
            </w:pPr>
            <w:r>
              <w:t>Enema: NR</w:t>
            </w:r>
          </w:p>
          <w:p w14:paraId="1A149BBE"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23A780E5" w14:textId="77777777" w:rsidR="00E078FE" w:rsidRDefault="00E078FE" w:rsidP="00E078FE">
            <w:pPr>
              <w:pStyle w:val="Tabletext1"/>
            </w:pPr>
            <w:r>
              <w:t>Minor infection</w:t>
            </w:r>
          </w:p>
          <w:p w14:paraId="6C08A5DC" w14:textId="77777777" w:rsidR="00E078FE" w:rsidRDefault="00E078FE" w:rsidP="00E078FE">
            <w:pPr>
              <w:pStyle w:val="Tabletext1"/>
            </w:pPr>
            <w:r>
              <w:t>Urinary obstruction</w:t>
            </w:r>
          </w:p>
          <w:p w14:paraId="22CFCC81" w14:textId="77777777" w:rsidR="00E078FE" w:rsidRDefault="00E078FE" w:rsidP="00E078FE">
            <w:pPr>
              <w:pStyle w:val="Tabletext1"/>
            </w:pPr>
            <w:r>
              <w:t>Hospitalisation</w:t>
            </w:r>
          </w:p>
          <w:p w14:paraId="18E533C7" w14:textId="77777777" w:rsidR="00E078FE" w:rsidRPr="00183E4D" w:rsidRDefault="00E078FE" w:rsidP="00E078FE">
            <w:pPr>
              <w:pStyle w:val="Tabletext1"/>
            </w:pPr>
            <w:r>
              <w:t>bleeding</w:t>
            </w:r>
          </w:p>
        </w:tc>
      </w:tr>
      <w:tr w:rsidR="00E078FE" w:rsidRPr="00183E4D" w14:paraId="25B9FB3D"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1A2485A9" w14:textId="77777777" w:rsidR="00E078FE" w:rsidRPr="001D0B66" w:rsidRDefault="00E078FE" w:rsidP="00E078FE">
            <w:pPr>
              <w:pStyle w:val="Tabletext1"/>
              <w:rPr>
                <w:color w:val="000000"/>
              </w:rPr>
            </w:pPr>
            <w:r w:rsidRPr="001D0B66">
              <w:rPr>
                <w:color w:val="000000"/>
              </w:rPr>
              <w:lastRenderedPageBreak/>
              <w:t>Roth et al. (2015)</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06287313"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58D348BD" w14:textId="77777777" w:rsidR="00E078FE" w:rsidRDefault="00E078FE" w:rsidP="00E078FE">
            <w:pPr>
              <w:pStyle w:val="Tabletext1"/>
            </w:pPr>
            <w:r>
              <w:t>Case series</w:t>
            </w:r>
          </w:p>
          <w:p w14:paraId="3C9A5446" w14:textId="77777777" w:rsidR="00E078FE" w:rsidRDefault="00E078FE" w:rsidP="00E078FE">
            <w:pPr>
              <w:pStyle w:val="Tabletext1"/>
            </w:pPr>
            <w:r>
              <w:t>Non-consecutive</w:t>
            </w:r>
          </w:p>
          <w:p w14:paraId="079FE490" w14:textId="77777777" w:rsidR="00E078FE" w:rsidRPr="00183E4D" w:rsidRDefault="00E078FE" w:rsidP="00E078FE">
            <w:pPr>
              <w:pStyle w:val="Tabletext1"/>
            </w:pPr>
            <w:r>
              <w:t>Retrospective</w:t>
            </w:r>
          </w:p>
        </w:tc>
        <w:tc>
          <w:tcPr>
            <w:tcW w:w="408" w:type="pct"/>
            <w:tcBorders>
              <w:top w:val="single" w:sz="4" w:space="0" w:color="auto"/>
              <w:left w:val="single" w:sz="4" w:space="0" w:color="auto"/>
              <w:bottom w:val="single" w:sz="4" w:space="0" w:color="auto"/>
              <w:right w:val="single" w:sz="4" w:space="0" w:color="auto"/>
            </w:tcBorders>
          </w:tcPr>
          <w:p w14:paraId="1C1027B4"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32CFF17E" w14:textId="77777777" w:rsidR="00E078FE" w:rsidRDefault="00E078FE" w:rsidP="00E078FE">
            <w:pPr>
              <w:pStyle w:val="Tabletext1"/>
            </w:pPr>
            <w:r>
              <w:t>Australia</w:t>
            </w:r>
          </w:p>
          <w:p w14:paraId="6E704517" w14:textId="77777777"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641766C9" w14:textId="501AE7B8" w:rsidR="00E078FE" w:rsidRDefault="00AB582A" w:rsidP="00E078FE">
            <w:pPr>
              <w:pStyle w:val="Tabletext1"/>
            </w:pPr>
            <w:r>
              <w:t>n</w:t>
            </w:r>
            <w:r w:rsidR="00E078FE">
              <w:t>: 34,865</w:t>
            </w:r>
          </w:p>
          <w:p w14:paraId="70CF085B" w14:textId="77777777" w:rsidR="00E078FE" w:rsidRDefault="00E078FE" w:rsidP="00E078FE">
            <w:pPr>
              <w:pStyle w:val="Tabletext1"/>
            </w:pPr>
            <w:r>
              <w:t>Age: mean 64</w:t>
            </w:r>
          </w:p>
          <w:p w14:paraId="51807502" w14:textId="77777777" w:rsidR="00E078FE" w:rsidRDefault="00E078FE" w:rsidP="00E078FE">
            <w:pPr>
              <w:pStyle w:val="Tabletext1"/>
            </w:pPr>
            <w:r>
              <w:t>PSA: NR</w:t>
            </w:r>
          </w:p>
          <w:p w14:paraId="4815A16C" w14:textId="77777777" w:rsidR="00E078FE" w:rsidRPr="00183E4D" w:rsidRDefault="00E078FE" w:rsidP="00E078FE">
            <w:pPr>
              <w:pStyle w:val="Tabletext1"/>
            </w:pPr>
            <w:r>
              <w:t>Prior biopsy: mix</w:t>
            </w:r>
          </w:p>
        </w:tc>
        <w:tc>
          <w:tcPr>
            <w:tcW w:w="656" w:type="pct"/>
            <w:tcBorders>
              <w:top w:val="single" w:sz="4" w:space="0" w:color="auto"/>
              <w:left w:val="single" w:sz="4" w:space="0" w:color="auto"/>
              <w:bottom w:val="single" w:sz="4" w:space="0" w:color="auto"/>
              <w:right w:val="single" w:sz="4" w:space="0" w:color="auto"/>
            </w:tcBorders>
          </w:tcPr>
          <w:p w14:paraId="00DE81F5" w14:textId="3DB8CA63" w:rsidR="00E078FE" w:rsidRDefault="00E078FE" w:rsidP="00E078FE">
            <w:pPr>
              <w:pStyle w:val="Tabletext1"/>
            </w:pPr>
            <w:r>
              <w:t>TRUS</w:t>
            </w:r>
            <w:r w:rsidR="001248B5">
              <w:t>GB</w:t>
            </w:r>
          </w:p>
          <w:p w14:paraId="732C3FAF" w14:textId="77777777" w:rsidR="00E078FE" w:rsidRDefault="00E078FE" w:rsidP="00E078FE">
            <w:pPr>
              <w:pStyle w:val="Tabletext1"/>
            </w:pPr>
            <w:r>
              <w:t>Cores: NR</w:t>
            </w:r>
          </w:p>
          <w:p w14:paraId="039418CF" w14:textId="77777777" w:rsidR="00E078FE" w:rsidRDefault="00E078FE" w:rsidP="00E078FE">
            <w:pPr>
              <w:pStyle w:val="Tabletext1"/>
            </w:pPr>
            <w:r>
              <w:t>Enema: NR</w:t>
            </w:r>
          </w:p>
          <w:p w14:paraId="6388825B"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06FDD001" w14:textId="77777777" w:rsidR="00E078FE" w:rsidRDefault="00E078FE" w:rsidP="00E078FE">
            <w:pPr>
              <w:pStyle w:val="Tabletext1"/>
            </w:pPr>
            <w:r>
              <w:t>Minor infection</w:t>
            </w:r>
          </w:p>
          <w:p w14:paraId="52215BE7" w14:textId="77777777" w:rsidR="00E078FE" w:rsidRDefault="00E078FE" w:rsidP="00E078FE">
            <w:pPr>
              <w:pStyle w:val="Tabletext1"/>
            </w:pPr>
            <w:r>
              <w:t>Major infection</w:t>
            </w:r>
          </w:p>
          <w:p w14:paraId="64CF86D4" w14:textId="77777777" w:rsidR="00E078FE" w:rsidRDefault="00E078FE" w:rsidP="00E078FE">
            <w:pPr>
              <w:pStyle w:val="Tabletext1"/>
            </w:pPr>
            <w:r>
              <w:t>UTI</w:t>
            </w:r>
          </w:p>
          <w:p w14:paraId="08747206" w14:textId="77777777" w:rsidR="00E078FE" w:rsidRDefault="00E078FE" w:rsidP="00E078FE">
            <w:pPr>
              <w:pStyle w:val="Tabletext1"/>
            </w:pPr>
            <w:r>
              <w:t>Urinary obstruction</w:t>
            </w:r>
          </w:p>
          <w:p w14:paraId="7646FF15" w14:textId="77777777" w:rsidR="00E078FE" w:rsidRDefault="00E078FE" w:rsidP="00E078FE">
            <w:pPr>
              <w:pStyle w:val="Tabletext1"/>
            </w:pPr>
            <w:r>
              <w:t>Haematuria</w:t>
            </w:r>
          </w:p>
          <w:p w14:paraId="1CB4BD98" w14:textId="77777777" w:rsidR="00E078FE" w:rsidRDefault="00E078FE" w:rsidP="00E078FE">
            <w:pPr>
              <w:pStyle w:val="Tabletext1"/>
            </w:pPr>
            <w:r>
              <w:t>Hospitalisation</w:t>
            </w:r>
          </w:p>
          <w:p w14:paraId="5CDA3886" w14:textId="77777777" w:rsidR="00E078FE" w:rsidRDefault="00E078FE" w:rsidP="00E078FE">
            <w:pPr>
              <w:pStyle w:val="Tabletext1"/>
            </w:pPr>
            <w:r w:rsidRPr="001D0B66">
              <w:t>Prostatitis</w:t>
            </w:r>
          </w:p>
          <w:p w14:paraId="3AB75162" w14:textId="77777777" w:rsidR="00E078FE" w:rsidRPr="00183E4D" w:rsidRDefault="00E078FE" w:rsidP="00E078FE">
            <w:pPr>
              <w:pStyle w:val="Tabletext1"/>
            </w:pPr>
            <w:r>
              <w:t xml:space="preserve">Fever </w:t>
            </w:r>
          </w:p>
        </w:tc>
      </w:tr>
      <w:tr w:rsidR="00E078FE" w:rsidRPr="00183E4D" w14:paraId="39EEED4F"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6AE81672" w14:textId="77777777" w:rsidR="00E078FE" w:rsidRPr="001D0B66" w:rsidRDefault="00E078FE" w:rsidP="00E078FE">
            <w:pPr>
              <w:pStyle w:val="Tabletext1"/>
              <w:rPr>
                <w:color w:val="000000"/>
              </w:rPr>
            </w:pPr>
            <w:r w:rsidRPr="001D0B66">
              <w:rPr>
                <w:color w:val="000000"/>
              </w:rPr>
              <w:t>Pinksy et al. (2014)</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64B1F199"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198E60DD" w14:textId="77777777" w:rsidR="00E078FE" w:rsidRDefault="00E078FE" w:rsidP="00E078FE">
            <w:pPr>
              <w:pStyle w:val="Tabletext1"/>
            </w:pPr>
            <w:r>
              <w:t>Cohort study</w:t>
            </w:r>
          </w:p>
          <w:p w14:paraId="0626AF71" w14:textId="77777777" w:rsidR="00E078FE" w:rsidRDefault="00E078FE" w:rsidP="00E078FE">
            <w:pPr>
              <w:pStyle w:val="Tabletext1"/>
            </w:pPr>
            <w:r>
              <w:t>Consecutive</w:t>
            </w:r>
          </w:p>
          <w:p w14:paraId="15253B86"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5069435E" w14:textId="77777777" w:rsidR="00E078FE" w:rsidRPr="00183E4D" w:rsidRDefault="00E078FE" w:rsidP="00E078FE">
            <w:pPr>
              <w:pStyle w:val="Tabletext1"/>
            </w:pPr>
            <w:r>
              <w:t>III-2</w:t>
            </w:r>
          </w:p>
        </w:tc>
        <w:tc>
          <w:tcPr>
            <w:tcW w:w="470" w:type="pct"/>
            <w:tcBorders>
              <w:top w:val="single" w:sz="4" w:space="0" w:color="auto"/>
              <w:left w:val="single" w:sz="4" w:space="0" w:color="auto"/>
              <w:bottom w:val="single" w:sz="4" w:space="0" w:color="auto"/>
              <w:right w:val="single" w:sz="4" w:space="0" w:color="auto"/>
            </w:tcBorders>
          </w:tcPr>
          <w:p w14:paraId="714A561F" w14:textId="77777777" w:rsidR="00E078FE" w:rsidRDefault="00E078FE" w:rsidP="00E078FE">
            <w:pPr>
              <w:pStyle w:val="Tabletext1"/>
            </w:pPr>
            <w:r>
              <w:t>USA</w:t>
            </w:r>
          </w:p>
          <w:p w14:paraId="4BD6CF75" w14:textId="77777777"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0AE1A070" w14:textId="15998E74" w:rsidR="00E078FE" w:rsidRDefault="00AB582A" w:rsidP="00E078FE">
            <w:pPr>
              <w:pStyle w:val="Tabletext1"/>
            </w:pPr>
            <w:r>
              <w:t>n</w:t>
            </w:r>
            <w:r w:rsidR="00E078FE">
              <w:t>: 4,836</w:t>
            </w:r>
          </w:p>
          <w:p w14:paraId="0CD48F81" w14:textId="77777777" w:rsidR="00E078FE" w:rsidRPr="00E0184F" w:rsidRDefault="00E078FE" w:rsidP="00E078FE">
            <w:pPr>
              <w:pStyle w:val="Tabletext1"/>
            </w:pPr>
            <w:r>
              <w:t xml:space="preserve">Age: </w:t>
            </w:r>
            <w:r w:rsidRPr="00E0184F">
              <w:t>65.5 (5.3)</w:t>
            </w:r>
          </w:p>
          <w:p w14:paraId="5191FEC9" w14:textId="77777777" w:rsidR="00E078FE" w:rsidRDefault="00E078FE" w:rsidP="00E078FE">
            <w:pPr>
              <w:pStyle w:val="Tabletext1"/>
            </w:pPr>
            <w:r>
              <w:t>PSA: NR</w:t>
            </w:r>
          </w:p>
          <w:p w14:paraId="68E84453" w14:textId="77777777" w:rsidR="00E078FE" w:rsidRPr="00183E4D" w:rsidRDefault="00E078FE" w:rsidP="00E078FE">
            <w:pPr>
              <w:pStyle w:val="Tabletext1"/>
            </w:pPr>
            <w:r>
              <w:t>Prior biopsy: mix</w:t>
            </w:r>
          </w:p>
        </w:tc>
        <w:tc>
          <w:tcPr>
            <w:tcW w:w="656" w:type="pct"/>
            <w:tcBorders>
              <w:top w:val="single" w:sz="4" w:space="0" w:color="auto"/>
              <w:left w:val="single" w:sz="4" w:space="0" w:color="auto"/>
              <w:bottom w:val="single" w:sz="4" w:space="0" w:color="auto"/>
              <w:right w:val="single" w:sz="4" w:space="0" w:color="auto"/>
            </w:tcBorders>
          </w:tcPr>
          <w:p w14:paraId="31922627" w14:textId="77777777" w:rsidR="00E078FE" w:rsidRDefault="00E078FE" w:rsidP="00E078FE">
            <w:pPr>
              <w:pStyle w:val="Tabletext1"/>
            </w:pPr>
            <w:r>
              <w:t>Route: NR</w:t>
            </w:r>
          </w:p>
          <w:p w14:paraId="4ECE85A0" w14:textId="77777777" w:rsidR="00E078FE" w:rsidRDefault="00E078FE" w:rsidP="00E078FE">
            <w:pPr>
              <w:pStyle w:val="Tabletext1"/>
            </w:pPr>
            <w:r>
              <w:t>Guidance: NR</w:t>
            </w:r>
          </w:p>
          <w:p w14:paraId="63E934B2" w14:textId="77777777" w:rsidR="00E078FE" w:rsidRDefault="00E078FE" w:rsidP="00E078FE">
            <w:pPr>
              <w:pStyle w:val="Tabletext1"/>
            </w:pPr>
            <w:r>
              <w:t>Cores: NR</w:t>
            </w:r>
          </w:p>
          <w:p w14:paraId="04978E3F" w14:textId="77777777" w:rsidR="00E078FE" w:rsidRDefault="00E078FE" w:rsidP="00E078FE">
            <w:pPr>
              <w:pStyle w:val="Tabletext1"/>
            </w:pPr>
            <w:r>
              <w:t>Enema: NR</w:t>
            </w:r>
          </w:p>
          <w:p w14:paraId="4538CAD9"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2ECAB702" w14:textId="77777777" w:rsidR="00E078FE" w:rsidRDefault="00E078FE" w:rsidP="00E078FE">
            <w:pPr>
              <w:pStyle w:val="Tabletext1"/>
            </w:pPr>
            <w:r>
              <w:t>Minor infection</w:t>
            </w:r>
          </w:p>
          <w:p w14:paraId="31DB88D7" w14:textId="77777777" w:rsidR="00E078FE" w:rsidRDefault="00E078FE" w:rsidP="00E078FE">
            <w:pPr>
              <w:pStyle w:val="Tabletext1"/>
            </w:pPr>
            <w:r>
              <w:t>Urinary obstruction</w:t>
            </w:r>
          </w:p>
          <w:p w14:paraId="4E1D7406" w14:textId="77777777" w:rsidR="00E078FE" w:rsidRDefault="00E078FE" w:rsidP="00E078FE">
            <w:pPr>
              <w:pStyle w:val="Tabletext1"/>
            </w:pPr>
            <w:r>
              <w:t>Rectal bleeding</w:t>
            </w:r>
          </w:p>
          <w:p w14:paraId="5AF8F4CD" w14:textId="77777777" w:rsidR="00E078FE" w:rsidRDefault="00E078FE" w:rsidP="00E078FE">
            <w:pPr>
              <w:pStyle w:val="Tabletext1"/>
            </w:pPr>
            <w:r>
              <w:t xml:space="preserve">Death </w:t>
            </w:r>
          </w:p>
          <w:p w14:paraId="1BD44886" w14:textId="77777777" w:rsidR="00E078FE" w:rsidRPr="00183E4D" w:rsidRDefault="00E078FE" w:rsidP="00E078FE">
            <w:pPr>
              <w:pStyle w:val="Tabletext1"/>
            </w:pPr>
          </w:p>
        </w:tc>
      </w:tr>
      <w:tr w:rsidR="00E078FE" w:rsidRPr="00183E4D" w14:paraId="29091A13"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1E12C51F" w14:textId="77777777" w:rsidR="00E078FE" w:rsidRPr="001D0B66" w:rsidRDefault="00E078FE" w:rsidP="00E078FE">
            <w:pPr>
              <w:pStyle w:val="Tabletext1"/>
              <w:rPr>
                <w:color w:val="000000"/>
              </w:rPr>
            </w:pPr>
            <w:r w:rsidRPr="001D0B66">
              <w:rPr>
                <w:color w:val="000000"/>
              </w:rPr>
              <w:t>Roberts et al. (2002)</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5120EC6F"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771B44AC" w14:textId="77777777" w:rsidR="00E078FE" w:rsidRDefault="00E078FE" w:rsidP="00E078FE">
            <w:pPr>
              <w:pStyle w:val="Tabletext1"/>
            </w:pPr>
            <w:r>
              <w:t>Case series</w:t>
            </w:r>
          </w:p>
          <w:p w14:paraId="6C267F54" w14:textId="77777777" w:rsidR="00E078FE" w:rsidRDefault="00E078FE" w:rsidP="00E078FE">
            <w:pPr>
              <w:pStyle w:val="Tabletext1"/>
            </w:pPr>
            <w:r>
              <w:t>Non-consecutive</w:t>
            </w:r>
          </w:p>
          <w:p w14:paraId="1BEFBBAB" w14:textId="77777777" w:rsidR="00E078FE" w:rsidRPr="00183E4D" w:rsidRDefault="00E078FE" w:rsidP="00E078FE">
            <w:pPr>
              <w:pStyle w:val="Tabletext1"/>
            </w:pPr>
            <w:r>
              <w:t>retrospective</w:t>
            </w:r>
          </w:p>
        </w:tc>
        <w:tc>
          <w:tcPr>
            <w:tcW w:w="408" w:type="pct"/>
            <w:tcBorders>
              <w:top w:val="single" w:sz="4" w:space="0" w:color="auto"/>
              <w:left w:val="single" w:sz="4" w:space="0" w:color="auto"/>
              <w:bottom w:val="single" w:sz="4" w:space="0" w:color="auto"/>
              <w:right w:val="single" w:sz="4" w:space="0" w:color="auto"/>
            </w:tcBorders>
          </w:tcPr>
          <w:p w14:paraId="56FF563A"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1C9BD75F" w14:textId="77777777" w:rsidR="00E078FE" w:rsidRDefault="00E078FE" w:rsidP="00E078FE">
            <w:pPr>
              <w:pStyle w:val="Tabletext1"/>
            </w:pPr>
            <w:r>
              <w:t>USA</w:t>
            </w:r>
          </w:p>
          <w:p w14:paraId="21A22B5C" w14:textId="77777777"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656625B6" w14:textId="32DE4F54" w:rsidR="00E078FE" w:rsidRDefault="00AB582A" w:rsidP="00E078FE">
            <w:pPr>
              <w:pStyle w:val="Tabletext1"/>
            </w:pPr>
            <w:r>
              <w:t>n</w:t>
            </w:r>
            <w:r w:rsidR="00E078FE">
              <w:t>: 1,776</w:t>
            </w:r>
          </w:p>
          <w:p w14:paraId="1AC1A74A" w14:textId="77777777" w:rsidR="00E078FE" w:rsidRDefault="00E078FE" w:rsidP="00E078FE">
            <w:pPr>
              <w:pStyle w:val="Tabletext1"/>
            </w:pPr>
            <w:r>
              <w:t xml:space="preserve">Age: </w:t>
            </w:r>
          </w:p>
          <w:p w14:paraId="123B7224" w14:textId="77777777" w:rsidR="00E078FE" w:rsidRPr="00B90255" w:rsidRDefault="00E078FE" w:rsidP="00E078FE">
            <w:pPr>
              <w:pStyle w:val="Tabletext1"/>
            </w:pPr>
            <w:r w:rsidRPr="00B90255">
              <w:t>&lt;60=23%</w:t>
            </w:r>
            <w:r w:rsidRPr="00B90255">
              <w:br/>
              <w:t>60-69=36%</w:t>
            </w:r>
            <w:r w:rsidRPr="00B90255">
              <w:br/>
              <w:t>70-79=32%</w:t>
            </w:r>
            <w:r w:rsidRPr="00B90255">
              <w:br/>
              <w:t>&gt;80=9%</w:t>
            </w:r>
          </w:p>
          <w:p w14:paraId="0D9681A8" w14:textId="77777777" w:rsidR="00E078FE" w:rsidRDefault="00E078FE" w:rsidP="00E078FE">
            <w:pPr>
              <w:pStyle w:val="Tabletext1"/>
            </w:pPr>
            <w:r>
              <w:t>PSA:</w:t>
            </w:r>
          </w:p>
          <w:p w14:paraId="61F8D4CF" w14:textId="77777777" w:rsidR="00E078FE" w:rsidRPr="00B90255" w:rsidRDefault="00E078FE" w:rsidP="00E078FE">
            <w:pPr>
              <w:pStyle w:val="Tabletext1"/>
            </w:pPr>
            <w:r w:rsidRPr="00B90255">
              <w:t>≤4.0=1%</w:t>
            </w:r>
            <w:r w:rsidRPr="00B90255">
              <w:br/>
              <w:t>4.1-10.0=30%</w:t>
            </w:r>
            <w:r w:rsidRPr="00B90255">
              <w:br/>
              <w:t>≥10.1=20%</w:t>
            </w:r>
            <w:r w:rsidRPr="00B90255">
              <w:br/>
              <w:t>unknown=49%</w:t>
            </w:r>
          </w:p>
          <w:p w14:paraId="2208EDAE" w14:textId="77777777" w:rsidR="00E078FE" w:rsidRPr="00183E4D" w:rsidRDefault="00E078FE" w:rsidP="00E078FE">
            <w:pPr>
              <w:pStyle w:val="Tabletext1"/>
            </w:pPr>
            <w:r>
              <w:t>Prior biopsy: mix</w:t>
            </w:r>
          </w:p>
        </w:tc>
        <w:tc>
          <w:tcPr>
            <w:tcW w:w="656" w:type="pct"/>
            <w:tcBorders>
              <w:top w:val="single" w:sz="4" w:space="0" w:color="auto"/>
              <w:left w:val="single" w:sz="4" w:space="0" w:color="auto"/>
              <w:bottom w:val="single" w:sz="4" w:space="0" w:color="auto"/>
              <w:right w:val="single" w:sz="4" w:space="0" w:color="auto"/>
            </w:tcBorders>
          </w:tcPr>
          <w:p w14:paraId="4B92F5F1" w14:textId="77777777" w:rsidR="00E078FE" w:rsidRDefault="00E078FE" w:rsidP="00E078FE">
            <w:pPr>
              <w:pStyle w:val="Tabletext1"/>
            </w:pPr>
            <w:r>
              <w:t>Route: mix</w:t>
            </w:r>
          </w:p>
          <w:p w14:paraId="5FF1EE33" w14:textId="77777777" w:rsidR="00E078FE" w:rsidRDefault="00E078FE" w:rsidP="00E078FE">
            <w:pPr>
              <w:pStyle w:val="Tabletext1"/>
            </w:pPr>
            <w:r>
              <w:t>Guidance: NR</w:t>
            </w:r>
          </w:p>
          <w:p w14:paraId="5F4BF796" w14:textId="77777777" w:rsidR="00E078FE" w:rsidRDefault="00E078FE" w:rsidP="00E078FE">
            <w:pPr>
              <w:pStyle w:val="Tabletext1"/>
            </w:pPr>
            <w:r>
              <w:t>Cores:</w:t>
            </w:r>
          </w:p>
          <w:p w14:paraId="00662643" w14:textId="77777777" w:rsidR="00E078FE" w:rsidRPr="005B387A" w:rsidRDefault="00E078FE" w:rsidP="00E078FE">
            <w:pPr>
              <w:pStyle w:val="Tabletext1"/>
            </w:pPr>
            <w:r w:rsidRPr="005B387A">
              <w:t>1-5=46%</w:t>
            </w:r>
            <w:r w:rsidRPr="005B387A">
              <w:br/>
              <w:t>6=17%</w:t>
            </w:r>
            <w:r w:rsidRPr="005B387A">
              <w:br/>
              <w:t>≥7=19%</w:t>
            </w:r>
            <w:r w:rsidRPr="005B387A">
              <w:br/>
              <w:t>unknown=18%</w:t>
            </w:r>
          </w:p>
          <w:p w14:paraId="69D699FA" w14:textId="77777777" w:rsidR="00E078FE" w:rsidRDefault="00E078FE" w:rsidP="00E078FE">
            <w:pPr>
              <w:pStyle w:val="Tabletext1"/>
            </w:pPr>
            <w:r>
              <w:t>Enema: 0</w:t>
            </w:r>
          </w:p>
          <w:p w14:paraId="68DDEA28" w14:textId="77777777" w:rsidR="00E078FE" w:rsidRPr="00183E4D" w:rsidRDefault="00E078FE" w:rsidP="00E078FE">
            <w:pPr>
              <w:pStyle w:val="Tabletext1"/>
            </w:pPr>
            <w:r>
              <w:t>Needle: 18G</w:t>
            </w:r>
          </w:p>
        </w:tc>
        <w:tc>
          <w:tcPr>
            <w:tcW w:w="836" w:type="pct"/>
            <w:tcBorders>
              <w:top w:val="single" w:sz="4" w:space="0" w:color="auto"/>
              <w:left w:val="single" w:sz="4" w:space="0" w:color="auto"/>
              <w:bottom w:val="single" w:sz="4" w:space="0" w:color="auto"/>
              <w:right w:val="single" w:sz="4" w:space="0" w:color="auto"/>
            </w:tcBorders>
          </w:tcPr>
          <w:p w14:paraId="246CDCB2" w14:textId="77777777" w:rsidR="00E078FE" w:rsidRDefault="00E078FE" w:rsidP="00E078FE">
            <w:pPr>
              <w:pStyle w:val="Tabletext1"/>
            </w:pPr>
            <w:r>
              <w:t>Minor infection</w:t>
            </w:r>
          </w:p>
          <w:p w14:paraId="7F5B5C2C" w14:textId="77777777" w:rsidR="00E078FE" w:rsidRDefault="00E078FE" w:rsidP="00E078FE">
            <w:pPr>
              <w:pStyle w:val="Tabletext1"/>
            </w:pPr>
            <w:r>
              <w:t>UTI</w:t>
            </w:r>
          </w:p>
          <w:p w14:paraId="6EEBF712" w14:textId="77777777" w:rsidR="00E078FE" w:rsidRDefault="00E078FE" w:rsidP="00E078FE">
            <w:pPr>
              <w:pStyle w:val="Tabletext1"/>
            </w:pPr>
            <w:r>
              <w:t>Urinary obstruction</w:t>
            </w:r>
          </w:p>
          <w:p w14:paraId="6D726DBD" w14:textId="77777777" w:rsidR="00E078FE" w:rsidRDefault="00E078FE" w:rsidP="00E078FE">
            <w:pPr>
              <w:pStyle w:val="Tabletext1"/>
            </w:pPr>
            <w:r>
              <w:t>Haematuria</w:t>
            </w:r>
          </w:p>
          <w:p w14:paraId="59E8E3C5" w14:textId="77777777" w:rsidR="00E078FE" w:rsidRDefault="00E078FE" w:rsidP="00E078FE">
            <w:pPr>
              <w:pStyle w:val="Tabletext1"/>
            </w:pPr>
            <w:r w:rsidRPr="001D0B66">
              <w:t xml:space="preserve">Rectal bleeding </w:t>
            </w:r>
            <w:r>
              <w:br/>
              <w:t>Blood in ejaculate</w:t>
            </w:r>
            <w:r>
              <w:br/>
              <w:t>Pain</w:t>
            </w:r>
            <w:r>
              <w:br/>
              <w:t>Bacteraemia</w:t>
            </w:r>
          </w:p>
          <w:p w14:paraId="5676DD00" w14:textId="77777777" w:rsidR="00E078FE" w:rsidRPr="00183E4D" w:rsidRDefault="00E078FE" w:rsidP="00E078FE">
            <w:pPr>
              <w:pStyle w:val="Tabletext1"/>
            </w:pPr>
            <w:r>
              <w:t>Hospitalisation</w:t>
            </w:r>
          </w:p>
        </w:tc>
      </w:tr>
      <w:tr w:rsidR="00E078FE" w:rsidRPr="00183E4D" w14:paraId="06A5D122"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5D3A12E8" w14:textId="77777777" w:rsidR="00E078FE" w:rsidRPr="001D0B66" w:rsidRDefault="00E078FE" w:rsidP="00E078FE">
            <w:pPr>
              <w:pStyle w:val="Tabletext1"/>
              <w:rPr>
                <w:color w:val="000000"/>
              </w:rPr>
            </w:pPr>
            <w:r w:rsidRPr="001D0B66">
              <w:rPr>
                <w:color w:val="000000"/>
              </w:rPr>
              <w:lastRenderedPageBreak/>
              <w:t>Rosario et al. (2012)</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17F43D7A"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0FE73A14" w14:textId="77777777" w:rsidR="00E078FE" w:rsidRDefault="00E078FE" w:rsidP="00E078FE">
            <w:pPr>
              <w:pStyle w:val="Tabletext1"/>
            </w:pPr>
            <w:r>
              <w:t>Comparative study with concurrent controls</w:t>
            </w:r>
          </w:p>
          <w:p w14:paraId="34ABD30E" w14:textId="77777777" w:rsidR="00E078FE" w:rsidRDefault="00E078FE" w:rsidP="00E078FE">
            <w:pPr>
              <w:pStyle w:val="Tabletext1"/>
            </w:pPr>
            <w:r>
              <w:t>Non-consecutive</w:t>
            </w:r>
          </w:p>
          <w:p w14:paraId="3ECC85FF"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473D4D2C" w14:textId="77777777" w:rsidR="00E078FE" w:rsidRPr="00183E4D" w:rsidRDefault="00E078FE" w:rsidP="00E078FE">
            <w:pPr>
              <w:pStyle w:val="Tabletext1"/>
            </w:pPr>
            <w:r>
              <w:t>III-2</w:t>
            </w:r>
          </w:p>
        </w:tc>
        <w:tc>
          <w:tcPr>
            <w:tcW w:w="470" w:type="pct"/>
            <w:tcBorders>
              <w:top w:val="single" w:sz="4" w:space="0" w:color="auto"/>
              <w:left w:val="single" w:sz="4" w:space="0" w:color="auto"/>
              <w:bottom w:val="single" w:sz="4" w:space="0" w:color="auto"/>
              <w:right w:val="single" w:sz="4" w:space="0" w:color="auto"/>
            </w:tcBorders>
          </w:tcPr>
          <w:p w14:paraId="15C65A0B" w14:textId="77777777" w:rsidR="00E078FE" w:rsidRDefault="00E078FE" w:rsidP="00E078FE">
            <w:pPr>
              <w:pStyle w:val="Tabletext1"/>
            </w:pPr>
            <w:r>
              <w:t>UK</w:t>
            </w:r>
          </w:p>
          <w:p w14:paraId="75790F4A" w14:textId="77777777"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404C8C09" w14:textId="3A5BBCCD" w:rsidR="00E078FE" w:rsidRDefault="00AB582A" w:rsidP="00E078FE">
            <w:pPr>
              <w:pStyle w:val="Tabletext1"/>
            </w:pPr>
            <w:r>
              <w:t>n</w:t>
            </w:r>
            <w:r w:rsidR="00E078FE">
              <w:t>: 1,147</w:t>
            </w:r>
          </w:p>
          <w:p w14:paraId="53A4FC60" w14:textId="77777777" w:rsidR="00E078FE" w:rsidRPr="009151FF" w:rsidRDefault="00E078FE" w:rsidP="00E078FE">
            <w:pPr>
              <w:pStyle w:val="Tabletext1"/>
            </w:pPr>
            <w:r>
              <w:t xml:space="preserve">Age: </w:t>
            </w:r>
            <w:r w:rsidRPr="009151FF">
              <w:t>62.1 (5.1)</w:t>
            </w:r>
          </w:p>
          <w:p w14:paraId="7B72D72C" w14:textId="77777777" w:rsidR="00E078FE" w:rsidRPr="009151FF" w:rsidRDefault="00E078FE" w:rsidP="00E078FE">
            <w:pPr>
              <w:pStyle w:val="Tabletext1"/>
            </w:pPr>
            <w:r>
              <w:t xml:space="preserve">PSA: </w:t>
            </w:r>
            <w:r w:rsidRPr="009151FF">
              <w:t>4.2 (3.5-5.8)</w:t>
            </w:r>
          </w:p>
          <w:p w14:paraId="7FB5AD30" w14:textId="77777777" w:rsidR="00E078FE" w:rsidRPr="00183E4D" w:rsidRDefault="00E078FE" w:rsidP="00E078FE">
            <w:pPr>
              <w:pStyle w:val="Tabletext1"/>
            </w:pPr>
            <w:r>
              <w:t>Prior biopsy: 0</w:t>
            </w:r>
          </w:p>
        </w:tc>
        <w:tc>
          <w:tcPr>
            <w:tcW w:w="656" w:type="pct"/>
            <w:tcBorders>
              <w:top w:val="single" w:sz="4" w:space="0" w:color="auto"/>
              <w:left w:val="single" w:sz="4" w:space="0" w:color="auto"/>
              <w:bottom w:val="single" w:sz="4" w:space="0" w:color="auto"/>
              <w:right w:val="single" w:sz="4" w:space="0" w:color="auto"/>
            </w:tcBorders>
          </w:tcPr>
          <w:p w14:paraId="77C21487" w14:textId="7538FF12" w:rsidR="00E078FE" w:rsidRDefault="00E078FE" w:rsidP="00E078FE">
            <w:pPr>
              <w:pStyle w:val="Tabletext1"/>
            </w:pPr>
            <w:r>
              <w:t>TRUS</w:t>
            </w:r>
            <w:r w:rsidR="001248B5">
              <w:t>GB</w:t>
            </w:r>
          </w:p>
          <w:p w14:paraId="6B9A7640" w14:textId="77777777" w:rsidR="00E078FE" w:rsidRDefault="00E078FE" w:rsidP="00E078FE">
            <w:pPr>
              <w:pStyle w:val="Tabletext1"/>
            </w:pPr>
            <w:r>
              <w:t>Cores: NR</w:t>
            </w:r>
          </w:p>
          <w:p w14:paraId="1FB77528" w14:textId="77777777" w:rsidR="00E078FE" w:rsidRDefault="00E078FE" w:rsidP="00E078FE">
            <w:pPr>
              <w:pStyle w:val="Tabletext1"/>
            </w:pPr>
            <w:r>
              <w:t>Enema: NR</w:t>
            </w:r>
          </w:p>
          <w:p w14:paraId="5C163567"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5B0BA142" w14:textId="77777777" w:rsidR="00E078FE" w:rsidRDefault="00E078FE" w:rsidP="00E078FE">
            <w:pPr>
              <w:pStyle w:val="Tabletext1"/>
            </w:pPr>
            <w:r>
              <w:t>Haematuria</w:t>
            </w:r>
          </w:p>
          <w:p w14:paraId="68364FF1" w14:textId="6366764B" w:rsidR="00E078FE" w:rsidRPr="00183E4D" w:rsidRDefault="00E078FE" w:rsidP="00E078FE">
            <w:pPr>
              <w:pStyle w:val="Tabletext1"/>
            </w:pPr>
            <w:r w:rsidRPr="001D0B66">
              <w:t xml:space="preserve">Rectal bleeding </w:t>
            </w:r>
            <w:r>
              <w:br/>
            </w:r>
            <w:r w:rsidR="00FF3A0A" w:rsidRPr="00E475DD">
              <w:t>Haematospermia</w:t>
            </w:r>
            <w:r>
              <w:br/>
              <w:t>Pain</w:t>
            </w:r>
            <w:r>
              <w:br/>
              <w:t>Fever</w:t>
            </w:r>
          </w:p>
        </w:tc>
      </w:tr>
      <w:tr w:rsidR="00E078FE" w:rsidRPr="00183E4D" w14:paraId="3EF8F37A"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2254AD24" w14:textId="77777777" w:rsidR="00E078FE" w:rsidRPr="001D0B66" w:rsidRDefault="00E078FE" w:rsidP="00E078FE">
            <w:pPr>
              <w:pStyle w:val="Tabletext1"/>
              <w:rPr>
                <w:color w:val="000000"/>
              </w:rPr>
            </w:pPr>
            <w:r w:rsidRPr="001D0B66">
              <w:rPr>
                <w:color w:val="000000"/>
              </w:rPr>
              <w:t>Simsir et al. (2010)</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258302DD"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2E11A863" w14:textId="77777777" w:rsidR="00E078FE" w:rsidRDefault="00E078FE" w:rsidP="00E078FE">
            <w:pPr>
              <w:pStyle w:val="Tabletext1"/>
            </w:pPr>
            <w:r>
              <w:t>Case series</w:t>
            </w:r>
          </w:p>
          <w:p w14:paraId="7675981B" w14:textId="77777777" w:rsidR="00E078FE" w:rsidRDefault="00E078FE" w:rsidP="00E078FE">
            <w:pPr>
              <w:pStyle w:val="Tabletext1"/>
            </w:pPr>
            <w:r>
              <w:t>Consecutive</w:t>
            </w:r>
          </w:p>
          <w:p w14:paraId="18594237" w14:textId="77777777" w:rsidR="00E078FE" w:rsidRPr="00183E4D" w:rsidRDefault="00E078FE" w:rsidP="00E078FE">
            <w:pPr>
              <w:pStyle w:val="Tabletext1"/>
            </w:pPr>
            <w:r>
              <w:t>Retrospective</w:t>
            </w:r>
          </w:p>
        </w:tc>
        <w:tc>
          <w:tcPr>
            <w:tcW w:w="408" w:type="pct"/>
            <w:tcBorders>
              <w:top w:val="single" w:sz="4" w:space="0" w:color="auto"/>
              <w:left w:val="single" w:sz="4" w:space="0" w:color="auto"/>
              <w:bottom w:val="single" w:sz="4" w:space="0" w:color="auto"/>
              <w:right w:val="single" w:sz="4" w:space="0" w:color="auto"/>
            </w:tcBorders>
          </w:tcPr>
          <w:p w14:paraId="334DFBF1"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51C71CB9" w14:textId="77777777" w:rsidR="00E078FE" w:rsidRDefault="00E078FE" w:rsidP="00E078FE">
            <w:pPr>
              <w:pStyle w:val="Tabletext1"/>
            </w:pPr>
            <w:r>
              <w:t>Turkey</w:t>
            </w:r>
          </w:p>
          <w:p w14:paraId="5EA5CCAE"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19AA297F" w14:textId="4262A99D" w:rsidR="00E078FE" w:rsidRDefault="00AB582A" w:rsidP="00E078FE">
            <w:pPr>
              <w:pStyle w:val="Tabletext1"/>
            </w:pPr>
            <w:r>
              <w:t>n</w:t>
            </w:r>
            <w:r w:rsidR="00E078FE">
              <w:t>: 2,023</w:t>
            </w:r>
          </w:p>
          <w:p w14:paraId="3006B166" w14:textId="77777777" w:rsidR="00E078FE" w:rsidRPr="00B90255" w:rsidRDefault="00E078FE" w:rsidP="00E078FE">
            <w:pPr>
              <w:pStyle w:val="Tabletext1"/>
            </w:pPr>
            <w:r>
              <w:t xml:space="preserve">Age: </w:t>
            </w:r>
            <w:r w:rsidRPr="00B90255">
              <w:t>64.3 (10.1)</w:t>
            </w:r>
          </w:p>
          <w:p w14:paraId="0BD05BBE" w14:textId="77777777" w:rsidR="00E078FE" w:rsidRPr="00B90255" w:rsidRDefault="00E078FE" w:rsidP="00E078FE">
            <w:pPr>
              <w:pStyle w:val="Tabletext1"/>
            </w:pPr>
            <w:r>
              <w:t xml:space="preserve">PSA: </w:t>
            </w:r>
            <w:r w:rsidRPr="00B90255">
              <w:t>26.7</w:t>
            </w:r>
          </w:p>
          <w:p w14:paraId="535C38A7" w14:textId="77777777" w:rsidR="00E078FE" w:rsidRPr="00183E4D" w:rsidRDefault="00E078FE" w:rsidP="00E078FE">
            <w:pPr>
              <w:pStyle w:val="Tabletext1"/>
            </w:pPr>
            <w:r>
              <w:t>Prior biopsy: mix</w:t>
            </w:r>
          </w:p>
        </w:tc>
        <w:tc>
          <w:tcPr>
            <w:tcW w:w="656" w:type="pct"/>
            <w:tcBorders>
              <w:top w:val="single" w:sz="4" w:space="0" w:color="auto"/>
              <w:left w:val="single" w:sz="4" w:space="0" w:color="auto"/>
              <w:bottom w:val="single" w:sz="4" w:space="0" w:color="auto"/>
              <w:right w:val="single" w:sz="4" w:space="0" w:color="auto"/>
            </w:tcBorders>
          </w:tcPr>
          <w:p w14:paraId="13F63417" w14:textId="269E3DD7" w:rsidR="00E078FE" w:rsidRDefault="00E078FE" w:rsidP="00E078FE">
            <w:pPr>
              <w:pStyle w:val="Tabletext1"/>
            </w:pPr>
            <w:r>
              <w:t>TRUS</w:t>
            </w:r>
            <w:r w:rsidR="001248B5">
              <w:t>GB</w:t>
            </w:r>
          </w:p>
          <w:p w14:paraId="67390C87" w14:textId="77777777" w:rsidR="00E078FE" w:rsidRDefault="00E078FE" w:rsidP="00E078FE">
            <w:pPr>
              <w:pStyle w:val="Tabletext1"/>
            </w:pPr>
            <w:r>
              <w:t>Cores: 12 [10-20]</w:t>
            </w:r>
          </w:p>
          <w:p w14:paraId="12A27D66" w14:textId="77777777" w:rsidR="00E078FE" w:rsidRDefault="00E078FE" w:rsidP="00E078FE">
            <w:pPr>
              <w:pStyle w:val="Tabletext1"/>
            </w:pPr>
            <w:r>
              <w:t>Enema: 100</w:t>
            </w:r>
          </w:p>
          <w:p w14:paraId="7EB16A2C"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77431C0F" w14:textId="77777777" w:rsidR="00E078FE" w:rsidRDefault="00E078FE" w:rsidP="00E078FE">
            <w:pPr>
              <w:pStyle w:val="Tabletext1"/>
            </w:pPr>
            <w:r>
              <w:t>Major infection</w:t>
            </w:r>
          </w:p>
          <w:p w14:paraId="649851E0" w14:textId="77777777" w:rsidR="00E078FE" w:rsidRDefault="00E078FE" w:rsidP="00E078FE">
            <w:pPr>
              <w:pStyle w:val="Tabletext1"/>
            </w:pPr>
            <w:r>
              <w:t xml:space="preserve">Death </w:t>
            </w:r>
          </w:p>
          <w:p w14:paraId="4289E3E7" w14:textId="77777777" w:rsidR="00E078FE" w:rsidRPr="00183E4D" w:rsidRDefault="00E078FE" w:rsidP="00E078FE">
            <w:pPr>
              <w:pStyle w:val="Tabletext1"/>
            </w:pPr>
          </w:p>
        </w:tc>
      </w:tr>
      <w:tr w:rsidR="00E078FE" w:rsidRPr="00183E4D" w14:paraId="4929D49E"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6FA17200" w14:textId="77777777" w:rsidR="00E078FE" w:rsidRPr="001D0B66" w:rsidRDefault="00E078FE" w:rsidP="00E078FE">
            <w:pPr>
              <w:pStyle w:val="Tabletext1"/>
              <w:rPr>
                <w:color w:val="000000"/>
              </w:rPr>
            </w:pPr>
            <w:r w:rsidRPr="001D0B66">
              <w:rPr>
                <w:color w:val="000000"/>
              </w:rPr>
              <w:t>Zaytoun et al. (2011)</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1F9F4C4F"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3D3F322A" w14:textId="77777777" w:rsidR="00E078FE" w:rsidRDefault="00E078FE" w:rsidP="00E078FE">
            <w:pPr>
              <w:pStyle w:val="Tabletext1"/>
            </w:pPr>
            <w:r>
              <w:t>Case series</w:t>
            </w:r>
          </w:p>
          <w:p w14:paraId="3C744954" w14:textId="77777777" w:rsidR="00E078FE" w:rsidRDefault="00E078FE" w:rsidP="00E078FE">
            <w:pPr>
              <w:pStyle w:val="Tabletext1"/>
            </w:pPr>
            <w:r>
              <w:t>Non-consecutive</w:t>
            </w:r>
          </w:p>
          <w:p w14:paraId="542DEDB6" w14:textId="77777777" w:rsidR="00E078FE" w:rsidRPr="00183E4D" w:rsidRDefault="00E078FE" w:rsidP="00E078FE">
            <w:pPr>
              <w:pStyle w:val="Tabletext1"/>
            </w:pPr>
            <w:r>
              <w:t>Retrospective</w:t>
            </w:r>
          </w:p>
        </w:tc>
        <w:tc>
          <w:tcPr>
            <w:tcW w:w="408" w:type="pct"/>
            <w:tcBorders>
              <w:top w:val="single" w:sz="4" w:space="0" w:color="auto"/>
              <w:left w:val="single" w:sz="4" w:space="0" w:color="auto"/>
              <w:bottom w:val="single" w:sz="4" w:space="0" w:color="auto"/>
              <w:right w:val="single" w:sz="4" w:space="0" w:color="auto"/>
            </w:tcBorders>
          </w:tcPr>
          <w:p w14:paraId="010542ED"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41E52F7A" w14:textId="77777777" w:rsidR="00E078FE" w:rsidRDefault="00E078FE" w:rsidP="00E078FE">
            <w:pPr>
              <w:pStyle w:val="Tabletext1"/>
            </w:pPr>
            <w:r>
              <w:t>USA</w:t>
            </w:r>
          </w:p>
          <w:p w14:paraId="105B29B3"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145B76D2" w14:textId="69710499" w:rsidR="00E078FE" w:rsidRDefault="00AB582A" w:rsidP="00E078FE">
            <w:pPr>
              <w:pStyle w:val="Tabletext1"/>
            </w:pPr>
            <w:r>
              <w:t>n</w:t>
            </w:r>
            <w:r w:rsidR="00E078FE">
              <w:t>: 1,348</w:t>
            </w:r>
          </w:p>
          <w:p w14:paraId="13EA1203" w14:textId="77777777" w:rsidR="00E078FE" w:rsidRPr="009151FF" w:rsidRDefault="00E078FE" w:rsidP="00E078FE">
            <w:pPr>
              <w:pStyle w:val="Tabletext1"/>
            </w:pPr>
            <w:r>
              <w:t xml:space="preserve">Age: </w:t>
            </w:r>
            <w:r w:rsidRPr="009151FF">
              <w:t>64.4 (8.7)</w:t>
            </w:r>
          </w:p>
          <w:p w14:paraId="15C1A7A7" w14:textId="77777777" w:rsidR="00E078FE" w:rsidRPr="009151FF" w:rsidRDefault="00E078FE" w:rsidP="00E078FE">
            <w:pPr>
              <w:pStyle w:val="Tabletext1"/>
            </w:pPr>
            <w:r>
              <w:t xml:space="preserve">PSA: </w:t>
            </w:r>
            <w:r w:rsidRPr="009151FF">
              <w:t>8.0 (4.0-8.1)</w:t>
            </w:r>
          </w:p>
          <w:p w14:paraId="41496BBD" w14:textId="77777777" w:rsidR="00E078FE" w:rsidRPr="00183E4D" w:rsidRDefault="00E078FE" w:rsidP="00E078FE">
            <w:pPr>
              <w:pStyle w:val="Tabletext1"/>
            </w:pPr>
            <w:r>
              <w:t>Prior biopsy: NR</w:t>
            </w:r>
          </w:p>
        </w:tc>
        <w:tc>
          <w:tcPr>
            <w:tcW w:w="656" w:type="pct"/>
            <w:tcBorders>
              <w:top w:val="single" w:sz="4" w:space="0" w:color="auto"/>
              <w:left w:val="single" w:sz="4" w:space="0" w:color="auto"/>
              <w:bottom w:val="single" w:sz="4" w:space="0" w:color="auto"/>
              <w:right w:val="single" w:sz="4" w:space="0" w:color="auto"/>
            </w:tcBorders>
          </w:tcPr>
          <w:p w14:paraId="38B702BC" w14:textId="1FB734F4" w:rsidR="00E078FE" w:rsidRDefault="00E078FE" w:rsidP="00E078FE">
            <w:pPr>
              <w:pStyle w:val="Tabletext1"/>
            </w:pPr>
            <w:r>
              <w:t>TRUS</w:t>
            </w:r>
            <w:r w:rsidR="001248B5">
              <w:t>GB</w:t>
            </w:r>
          </w:p>
          <w:p w14:paraId="5FF0AE4D" w14:textId="77777777" w:rsidR="00E078FE" w:rsidRPr="009151FF" w:rsidRDefault="00E078FE" w:rsidP="00E078FE">
            <w:pPr>
              <w:pStyle w:val="Tabletext1"/>
            </w:pPr>
            <w:r>
              <w:t xml:space="preserve">Cores: </w:t>
            </w:r>
            <w:r w:rsidRPr="009151FF">
              <w:t>12 [10-20]</w:t>
            </w:r>
          </w:p>
          <w:p w14:paraId="2F5BAF2B" w14:textId="77777777" w:rsidR="00E078FE" w:rsidRDefault="00E078FE" w:rsidP="00E078FE">
            <w:pPr>
              <w:pStyle w:val="Tabletext1"/>
            </w:pPr>
            <w:r>
              <w:t>Enema: 35</w:t>
            </w:r>
          </w:p>
          <w:p w14:paraId="6B5BCD60"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3BE2C407" w14:textId="77777777" w:rsidR="00E078FE" w:rsidRDefault="00E078FE" w:rsidP="00E078FE">
            <w:pPr>
              <w:pStyle w:val="Tabletext1"/>
            </w:pPr>
            <w:r>
              <w:t>Minor infection</w:t>
            </w:r>
          </w:p>
          <w:p w14:paraId="05870674" w14:textId="77777777" w:rsidR="00E078FE" w:rsidRDefault="00E078FE" w:rsidP="00E078FE">
            <w:pPr>
              <w:pStyle w:val="Tabletext1"/>
            </w:pPr>
            <w:r>
              <w:t>Major infection</w:t>
            </w:r>
          </w:p>
          <w:p w14:paraId="280F55AD" w14:textId="77777777" w:rsidR="00E078FE" w:rsidRDefault="00E078FE" w:rsidP="00E078FE">
            <w:pPr>
              <w:pStyle w:val="Tabletext1"/>
            </w:pPr>
            <w:r>
              <w:t>Urinary obstruction</w:t>
            </w:r>
          </w:p>
          <w:p w14:paraId="6F5696E6" w14:textId="77777777" w:rsidR="00E078FE" w:rsidRDefault="00E078FE" w:rsidP="00E078FE">
            <w:pPr>
              <w:pStyle w:val="Tabletext1"/>
            </w:pPr>
            <w:r>
              <w:t>Haematuria</w:t>
            </w:r>
          </w:p>
          <w:p w14:paraId="67E7F994" w14:textId="4CC9A0F6" w:rsidR="00E078FE" w:rsidRDefault="00E078FE" w:rsidP="00E078FE">
            <w:pPr>
              <w:pStyle w:val="Tabletext1"/>
            </w:pPr>
            <w:r w:rsidRPr="001D0B66">
              <w:t xml:space="preserve">Rectal </w:t>
            </w:r>
            <w:r>
              <w:t>bleeding</w:t>
            </w:r>
            <w:r>
              <w:br/>
            </w:r>
            <w:r w:rsidR="00FF3A0A" w:rsidRPr="00E475DD">
              <w:t>Haematospermia</w:t>
            </w:r>
          </w:p>
          <w:p w14:paraId="495E7E8D" w14:textId="77777777" w:rsidR="00E078FE" w:rsidRPr="00183E4D" w:rsidRDefault="00E078FE" w:rsidP="00E078FE">
            <w:pPr>
              <w:pStyle w:val="Tabletext1"/>
            </w:pPr>
          </w:p>
        </w:tc>
      </w:tr>
      <w:tr w:rsidR="00E078FE" w:rsidRPr="00183E4D" w14:paraId="5B21D1C9"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64CE92BA" w14:textId="77777777" w:rsidR="00E078FE" w:rsidRPr="001D0B66" w:rsidRDefault="00E078FE" w:rsidP="00E078FE">
            <w:pPr>
              <w:pStyle w:val="Tabletext1"/>
              <w:rPr>
                <w:color w:val="000000"/>
              </w:rPr>
            </w:pPr>
            <w:r w:rsidRPr="001D0B66">
              <w:rPr>
                <w:color w:val="000000"/>
              </w:rPr>
              <w:t>Helfand et al. (2012)</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63DFE7E6"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1FD045D6" w14:textId="77777777" w:rsidR="00E078FE" w:rsidRDefault="00E078FE" w:rsidP="00E078FE">
            <w:pPr>
              <w:pStyle w:val="Tabletext1"/>
            </w:pPr>
            <w:r>
              <w:t>Case series</w:t>
            </w:r>
          </w:p>
          <w:p w14:paraId="1413F012" w14:textId="77777777" w:rsidR="00E078FE" w:rsidRDefault="00E078FE" w:rsidP="00E078FE">
            <w:pPr>
              <w:pStyle w:val="Tabletext1"/>
            </w:pPr>
            <w:r>
              <w:t>Non-consecutive</w:t>
            </w:r>
          </w:p>
          <w:p w14:paraId="5BEDA766"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473BCB1F"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5BEC40A6" w14:textId="77777777" w:rsidR="00E078FE" w:rsidRDefault="00E078FE" w:rsidP="00E078FE">
            <w:pPr>
              <w:pStyle w:val="Tabletext1"/>
            </w:pPr>
            <w:r>
              <w:t>USA</w:t>
            </w:r>
          </w:p>
          <w:p w14:paraId="1178F8B9"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68EA9191" w14:textId="0094FF06" w:rsidR="00E078FE" w:rsidRDefault="00AB582A" w:rsidP="00E078FE">
            <w:pPr>
              <w:pStyle w:val="Tabletext1"/>
            </w:pPr>
            <w:r>
              <w:t>n</w:t>
            </w:r>
            <w:r w:rsidR="00E078FE">
              <w:t>: 85</w:t>
            </w:r>
          </w:p>
          <w:p w14:paraId="09DF6901" w14:textId="77777777" w:rsidR="00E078FE" w:rsidRPr="00AE7616" w:rsidRDefault="00E078FE" w:rsidP="00E078FE">
            <w:pPr>
              <w:pStyle w:val="Tabletext1"/>
            </w:pPr>
            <w:r>
              <w:t>Age:</w:t>
            </w:r>
            <w:r w:rsidRPr="00AE7616">
              <w:t>61.0 (8.3)</w:t>
            </w:r>
          </w:p>
          <w:p w14:paraId="5ACC1278" w14:textId="77777777" w:rsidR="00E078FE" w:rsidRDefault="00E078FE" w:rsidP="00E078FE">
            <w:pPr>
              <w:pStyle w:val="Tabletext1"/>
            </w:pPr>
            <w:r>
              <w:t>PSA: 52 (3.4)</w:t>
            </w:r>
          </w:p>
          <w:p w14:paraId="61ED6DE4" w14:textId="77777777" w:rsidR="00E078FE" w:rsidRPr="00183E4D" w:rsidRDefault="00E078FE" w:rsidP="00E078FE">
            <w:pPr>
              <w:pStyle w:val="Tabletext1"/>
            </w:pPr>
            <w:r>
              <w:t>Prior biopsy: 0</w:t>
            </w:r>
          </w:p>
        </w:tc>
        <w:tc>
          <w:tcPr>
            <w:tcW w:w="656" w:type="pct"/>
            <w:tcBorders>
              <w:top w:val="single" w:sz="4" w:space="0" w:color="auto"/>
              <w:left w:val="single" w:sz="4" w:space="0" w:color="auto"/>
              <w:bottom w:val="single" w:sz="4" w:space="0" w:color="auto"/>
              <w:right w:val="single" w:sz="4" w:space="0" w:color="auto"/>
            </w:tcBorders>
          </w:tcPr>
          <w:p w14:paraId="6C9DBE09" w14:textId="527731EE" w:rsidR="00E078FE" w:rsidRDefault="00E078FE" w:rsidP="00E078FE">
            <w:pPr>
              <w:pStyle w:val="Tabletext1"/>
            </w:pPr>
            <w:r>
              <w:t>TRUS</w:t>
            </w:r>
            <w:r w:rsidR="001248B5">
              <w:t>GB</w:t>
            </w:r>
          </w:p>
          <w:p w14:paraId="7A9042EC" w14:textId="77777777" w:rsidR="00E078FE" w:rsidRDefault="00E078FE" w:rsidP="00E078FE">
            <w:pPr>
              <w:pStyle w:val="Tabletext1"/>
            </w:pPr>
            <w:r>
              <w:t>Cores: 12</w:t>
            </w:r>
          </w:p>
          <w:p w14:paraId="0B6447E8" w14:textId="77777777" w:rsidR="00E078FE" w:rsidRDefault="00E078FE" w:rsidP="00E078FE">
            <w:pPr>
              <w:pStyle w:val="Tabletext1"/>
            </w:pPr>
            <w:r>
              <w:t>Enema: NR</w:t>
            </w:r>
          </w:p>
          <w:p w14:paraId="21273F9D"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79C02394" w14:textId="77777777" w:rsidR="00E078FE" w:rsidRPr="00183E4D" w:rsidRDefault="00E078FE" w:rsidP="00E078FE">
            <w:pPr>
              <w:pStyle w:val="Tabletext1"/>
            </w:pPr>
            <w:r w:rsidRPr="001D0B66">
              <w:t>Erectile dysfunction</w:t>
            </w:r>
          </w:p>
        </w:tc>
      </w:tr>
      <w:tr w:rsidR="00E078FE" w:rsidRPr="00183E4D" w14:paraId="253287FA"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3B79F0F3" w14:textId="77777777" w:rsidR="00E078FE" w:rsidRPr="001D0B66" w:rsidRDefault="00E078FE" w:rsidP="00E078FE">
            <w:pPr>
              <w:pStyle w:val="Tabletext1"/>
              <w:rPr>
                <w:color w:val="000000"/>
              </w:rPr>
            </w:pPr>
            <w:r w:rsidRPr="001D0B66">
              <w:rPr>
                <w:color w:val="000000"/>
              </w:rPr>
              <w:t>Kariotis et al. (2010)</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501D6774"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1316AA6E" w14:textId="77777777" w:rsidR="00E078FE" w:rsidRDefault="00E078FE" w:rsidP="00E078FE">
            <w:pPr>
              <w:pStyle w:val="Tabletext1"/>
            </w:pPr>
            <w:r>
              <w:t>Comparative study with concurrent controls</w:t>
            </w:r>
          </w:p>
          <w:p w14:paraId="6794F6E8" w14:textId="77777777" w:rsidR="00E078FE" w:rsidRDefault="00E078FE" w:rsidP="00E078FE">
            <w:pPr>
              <w:pStyle w:val="Tabletext1"/>
            </w:pPr>
            <w:r>
              <w:t>Non-consecutive</w:t>
            </w:r>
          </w:p>
          <w:p w14:paraId="58D0FDEB"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64A9FFD4" w14:textId="77777777" w:rsidR="00E078FE" w:rsidRPr="00183E4D" w:rsidRDefault="00E078FE" w:rsidP="00E078FE">
            <w:pPr>
              <w:pStyle w:val="Tabletext1"/>
            </w:pPr>
            <w:r>
              <w:t>III-2</w:t>
            </w:r>
          </w:p>
        </w:tc>
        <w:tc>
          <w:tcPr>
            <w:tcW w:w="470" w:type="pct"/>
            <w:tcBorders>
              <w:top w:val="single" w:sz="4" w:space="0" w:color="auto"/>
              <w:left w:val="single" w:sz="4" w:space="0" w:color="auto"/>
              <w:bottom w:val="single" w:sz="4" w:space="0" w:color="auto"/>
              <w:right w:val="single" w:sz="4" w:space="0" w:color="auto"/>
            </w:tcBorders>
          </w:tcPr>
          <w:p w14:paraId="68C85196" w14:textId="77777777" w:rsidR="00E078FE" w:rsidRDefault="00E078FE" w:rsidP="00E078FE">
            <w:pPr>
              <w:pStyle w:val="Tabletext1"/>
            </w:pPr>
            <w:r>
              <w:t>Greece</w:t>
            </w:r>
          </w:p>
          <w:p w14:paraId="67EEE512"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52D6CDDD" w14:textId="2C3F315C" w:rsidR="00E078FE" w:rsidRDefault="00AB582A" w:rsidP="00E078FE">
            <w:pPr>
              <w:pStyle w:val="Tabletext1"/>
            </w:pPr>
            <w:r>
              <w:t>n</w:t>
            </w:r>
            <w:r w:rsidR="00E078FE">
              <w:t>: 434</w:t>
            </w:r>
          </w:p>
          <w:p w14:paraId="15A46776" w14:textId="77777777" w:rsidR="00E078FE" w:rsidRDefault="00E078FE" w:rsidP="00E078FE">
            <w:pPr>
              <w:pStyle w:val="Tabletext1"/>
            </w:pPr>
            <w:r>
              <w:t>Age: 65.4</w:t>
            </w:r>
          </w:p>
          <w:p w14:paraId="5F21DAFA" w14:textId="77777777" w:rsidR="00E078FE" w:rsidRDefault="00E078FE" w:rsidP="00E078FE">
            <w:pPr>
              <w:pStyle w:val="Tabletext1"/>
            </w:pPr>
            <w:r>
              <w:t>PSA: 7.4</w:t>
            </w:r>
          </w:p>
          <w:p w14:paraId="30DAA31B" w14:textId="77777777" w:rsidR="00E078FE" w:rsidRPr="00183E4D" w:rsidRDefault="00E078FE" w:rsidP="00E078FE">
            <w:pPr>
              <w:pStyle w:val="Tabletext1"/>
            </w:pPr>
            <w:r>
              <w:t>Prior biopsy: 0</w:t>
            </w:r>
          </w:p>
        </w:tc>
        <w:tc>
          <w:tcPr>
            <w:tcW w:w="656" w:type="pct"/>
            <w:tcBorders>
              <w:top w:val="single" w:sz="4" w:space="0" w:color="auto"/>
              <w:left w:val="single" w:sz="4" w:space="0" w:color="auto"/>
              <w:bottom w:val="single" w:sz="4" w:space="0" w:color="auto"/>
              <w:right w:val="single" w:sz="4" w:space="0" w:color="auto"/>
            </w:tcBorders>
          </w:tcPr>
          <w:p w14:paraId="4EB00711" w14:textId="41C367A1" w:rsidR="00E078FE" w:rsidRDefault="00E078FE" w:rsidP="00E078FE">
            <w:pPr>
              <w:pStyle w:val="Tabletext1"/>
            </w:pPr>
            <w:r>
              <w:t>TRUS</w:t>
            </w:r>
            <w:r w:rsidR="001248B5">
              <w:t>GB</w:t>
            </w:r>
          </w:p>
          <w:p w14:paraId="520C0339" w14:textId="77777777" w:rsidR="00E078FE" w:rsidRDefault="00E078FE" w:rsidP="00E078FE">
            <w:pPr>
              <w:pStyle w:val="Tabletext1"/>
            </w:pPr>
            <w:r>
              <w:t>Cores: 12 + targeted</w:t>
            </w:r>
          </w:p>
          <w:p w14:paraId="31E478B3" w14:textId="77777777" w:rsidR="00E078FE" w:rsidRDefault="00E078FE" w:rsidP="00E078FE">
            <w:pPr>
              <w:pStyle w:val="Tabletext1"/>
            </w:pPr>
            <w:r>
              <w:t>Enema: NR</w:t>
            </w:r>
          </w:p>
          <w:p w14:paraId="24F74073" w14:textId="77777777" w:rsidR="00E078FE" w:rsidRPr="00183E4D" w:rsidRDefault="00E078FE" w:rsidP="00E078FE">
            <w:pPr>
              <w:pStyle w:val="Tabletext1"/>
            </w:pPr>
            <w:r>
              <w:t>Needle: 18G</w:t>
            </w:r>
          </w:p>
        </w:tc>
        <w:tc>
          <w:tcPr>
            <w:tcW w:w="836" w:type="pct"/>
            <w:tcBorders>
              <w:top w:val="single" w:sz="4" w:space="0" w:color="auto"/>
              <w:left w:val="single" w:sz="4" w:space="0" w:color="auto"/>
              <w:bottom w:val="single" w:sz="4" w:space="0" w:color="auto"/>
              <w:right w:val="single" w:sz="4" w:space="0" w:color="auto"/>
            </w:tcBorders>
          </w:tcPr>
          <w:p w14:paraId="3C7031F3" w14:textId="77777777" w:rsidR="00E078FE" w:rsidRDefault="00E078FE" w:rsidP="00E078FE">
            <w:pPr>
              <w:pStyle w:val="Tabletext1"/>
            </w:pPr>
            <w:r>
              <w:t>Haematuria</w:t>
            </w:r>
          </w:p>
          <w:p w14:paraId="37391DA1" w14:textId="2FCF073D" w:rsidR="00E078FE" w:rsidRPr="00183E4D" w:rsidRDefault="00E078FE" w:rsidP="00E078FE">
            <w:pPr>
              <w:pStyle w:val="Tabletext1"/>
            </w:pPr>
            <w:r>
              <w:t>Rectal bleeding</w:t>
            </w:r>
            <w:r>
              <w:br/>
            </w:r>
            <w:r w:rsidR="00FF3A0A" w:rsidRPr="00E475DD">
              <w:t>Haematospermia</w:t>
            </w:r>
          </w:p>
        </w:tc>
      </w:tr>
      <w:tr w:rsidR="00E078FE" w:rsidRPr="00183E4D" w14:paraId="62F5D9C5"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1E97372C" w14:textId="77777777" w:rsidR="00E078FE" w:rsidRPr="001D0B66" w:rsidRDefault="00E078FE" w:rsidP="00E078FE">
            <w:pPr>
              <w:pStyle w:val="Tabletext1"/>
              <w:rPr>
                <w:color w:val="000000"/>
              </w:rPr>
            </w:pPr>
            <w:r w:rsidRPr="001D0B66">
              <w:rPr>
                <w:color w:val="000000"/>
              </w:rPr>
              <w:lastRenderedPageBreak/>
              <w:t>Marino et al. (2015)</w:t>
            </w:r>
          </w:p>
        </w:tc>
        <w:tc>
          <w:tcPr>
            <w:tcW w:w="448" w:type="pct"/>
            <w:tcBorders>
              <w:top w:val="single" w:sz="4" w:space="0" w:color="auto"/>
              <w:left w:val="single" w:sz="4" w:space="0" w:color="auto"/>
              <w:bottom w:val="single" w:sz="4" w:space="0" w:color="auto"/>
              <w:right w:val="single" w:sz="4" w:space="0" w:color="auto"/>
            </w:tcBorders>
          </w:tcPr>
          <w:p w14:paraId="2A2C530D"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017AD8D1" w14:textId="77777777" w:rsidR="00E078FE" w:rsidRDefault="00E078FE" w:rsidP="00E078FE">
            <w:pPr>
              <w:pStyle w:val="Tabletext1"/>
            </w:pPr>
            <w:r>
              <w:t>Cohort study with concurrent controls</w:t>
            </w:r>
          </w:p>
          <w:p w14:paraId="60DC7B27" w14:textId="77777777" w:rsidR="00E078FE" w:rsidRDefault="00E078FE" w:rsidP="00E078FE">
            <w:pPr>
              <w:pStyle w:val="Tabletext1"/>
            </w:pPr>
            <w:r>
              <w:t>Non-consecutive</w:t>
            </w:r>
          </w:p>
          <w:p w14:paraId="056D6DFA" w14:textId="77777777" w:rsidR="00E078FE" w:rsidRPr="00183E4D" w:rsidRDefault="00E078FE" w:rsidP="00E078FE">
            <w:pPr>
              <w:pStyle w:val="Tabletext1"/>
            </w:pPr>
            <w:r>
              <w:t>Retrospective</w:t>
            </w:r>
          </w:p>
        </w:tc>
        <w:tc>
          <w:tcPr>
            <w:tcW w:w="408" w:type="pct"/>
            <w:tcBorders>
              <w:top w:val="single" w:sz="4" w:space="0" w:color="auto"/>
              <w:left w:val="single" w:sz="4" w:space="0" w:color="auto"/>
              <w:bottom w:val="single" w:sz="4" w:space="0" w:color="auto"/>
              <w:right w:val="single" w:sz="4" w:space="0" w:color="auto"/>
            </w:tcBorders>
          </w:tcPr>
          <w:p w14:paraId="5220B07D" w14:textId="77777777" w:rsidR="00E078FE" w:rsidRPr="00183E4D" w:rsidRDefault="00E078FE" w:rsidP="00E078FE">
            <w:pPr>
              <w:pStyle w:val="Tabletext1"/>
            </w:pPr>
            <w:r>
              <w:t>III-2</w:t>
            </w:r>
          </w:p>
        </w:tc>
        <w:tc>
          <w:tcPr>
            <w:tcW w:w="470" w:type="pct"/>
            <w:tcBorders>
              <w:top w:val="single" w:sz="4" w:space="0" w:color="auto"/>
              <w:left w:val="single" w:sz="4" w:space="0" w:color="auto"/>
              <w:bottom w:val="single" w:sz="4" w:space="0" w:color="auto"/>
              <w:right w:val="single" w:sz="4" w:space="0" w:color="auto"/>
            </w:tcBorders>
          </w:tcPr>
          <w:p w14:paraId="4B1F8CBE" w14:textId="77777777" w:rsidR="00E078FE" w:rsidRDefault="00E078FE" w:rsidP="00E078FE">
            <w:pPr>
              <w:pStyle w:val="Tabletext1"/>
            </w:pPr>
            <w:r>
              <w:t>USA</w:t>
            </w:r>
          </w:p>
          <w:p w14:paraId="14672CFE"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5535C930" w14:textId="5759BEB5" w:rsidR="00E078FE" w:rsidRDefault="00AB582A" w:rsidP="00E078FE">
            <w:pPr>
              <w:pStyle w:val="Tabletext1"/>
            </w:pPr>
            <w:r>
              <w:t>n</w:t>
            </w:r>
            <w:r w:rsidR="00E078FE">
              <w:t>: 455</w:t>
            </w:r>
          </w:p>
          <w:p w14:paraId="0B742A21" w14:textId="77777777" w:rsidR="00E078FE" w:rsidRDefault="00E078FE" w:rsidP="00E078FE">
            <w:pPr>
              <w:pStyle w:val="Tabletext1"/>
            </w:pPr>
            <w:r>
              <w:t>Age: median 65</w:t>
            </w:r>
          </w:p>
          <w:p w14:paraId="0280F8DA" w14:textId="77777777" w:rsidR="00E078FE" w:rsidRDefault="00E078FE" w:rsidP="00E078FE">
            <w:pPr>
              <w:pStyle w:val="Tabletext1"/>
            </w:pPr>
            <w:r>
              <w:t>PSA: NR</w:t>
            </w:r>
          </w:p>
          <w:p w14:paraId="28D773E7" w14:textId="77777777" w:rsidR="00E078FE" w:rsidRPr="00183E4D" w:rsidRDefault="00E078FE" w:rsidP="00E078FE">
            <w:pPr>
              <w:pStyle w:val="Tabletext1"/>
            </w:pPr>
            <w:r>
              <w:t>Prior biopsy: NR</w:t>
            </w:r>
          </w:p>
        </w:tc>
        <w:tc>
          <w:tcPr>
            <w:tcW w:w="656" w:type="pct"/>
            <w:tcBorders>
              <w:top w:val="single" w:sz="4" w:space="0" w:color="auto"/>
              <w:left w:val="single" w:sz="4" w:space="0" w:color="auto"/>
              <w:bottom w:val="single" w:sz="4" w:space="0" w:color="auto"/>
              <w:right w:val="single" w:sz="4" w:space="0" w:color="auto"/>
            </w:tcBorders>
          </w:tcPr>
          <w:p w14:paraId="6C861AF1" w14:textId="006B621C" w:rsidR="00E078FE" w:rsidRDefault="00E078FE" w:rsidP="00E078FE">
            <w:pPr>
              <w:pStyle w:val="Tabletext1"/>
            </w:pPr>
            <w:r>
              <w:t>TRUS</w:t>
            </w:r>
            <w:r w:rsidR="001248B5">
              <w:t>GB</w:t>
            </w:r>
          </w:p>
          <w:p w14:paraId="6FC47EF7" w14:textId="77777777" w:rsidR="00E078FE" w:rsidRDefault="00E078FE" w:rsidP="00E078FE">
            <w:pPr>
              <w:pStyle w:val="Tabletext1"/>
            </w:pPr>
            <w:r>
              <w:t>Cores: NR</w:t>
            </w:r>
          </w:p>
          <w:p w14:paraId="6047CDD4" w14:textId="77777777" w:rsidR="00E078FE" w:rsidRDefault="00E078FE" w:rsidP="00E078FE">
            <w:pPr>
              <w:pStyle w:val="Tabletext1"/>
            </w:pPr>
            <w:r>
              <w:t>Enema: NR</w:t>
            </w:r>
          </w:p>
          <w:p w14:paraId="3DB020D9"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28E8EEB7" w14:textId="77777777" w:rsidR="00E078FE" w:rsidRDefault="00E078FE" w:rsidP="00E078FE">
            <w:pPr>
              <w:pStyle w:val="Tabletext1"/>
            </w:pPr>
            <w:r>
              <w:t>Major infection</w:t>
            </w:r>
          </w:p>
          <w:p w14:paraId="0B1A99B5" w14:textId="77777777" w:rsidR="00E078FE" w:rsidRDefault="00E078FE" w:rsidP="00E078FE">
            <w:pPr>
              <w:pStyle w:val="Tabletext1"/>
            </w:pPr>
            <w:r>
              <w:t>UTI</w:t>
            </w:r>
          </w:p>
          <w:p w14:paraId="16876336" w14:textId="77777777" w:rsidR="00E078FE" w:rsidRPr="00183E4D" w:rsidRDefault="00E078FE" w:rsidP="00E078FE">
            <w:pPr>
              <w:pStyle w:val="Tabletext1"/>
            </w:pPr>
          </w:p>
        </w:tc>
      </w:tr>
      <w:tr w:rsidR="00E078FE" w:rsidRPr="00183E4D" w14:paraId="3D1FE439"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0CB03B87" w14:textId="77777777" w:rsidR="00E078FE" w:rsidRPr="001D0B66" w:rsidRDefault="00E078FE" w:rsidP="00E078FE">
            <w:pPr>
              <w:pStyle w:val="Tabletext1"/>
              <w:rPr>
                <w:color w:val="000000"/>
              </w:rPr>
            </w:pPr>
            <w:r w:rsidRPr="001D0B66">
              <w:rPr>
                <w:color w:val="000000"/>
              </w:rPr>
              <w:t>Mohammed et al. (2016)</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5FE85F2A"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7097C624" w14:textId="77777777" w:rsidR="00E078FE" w:rsidRDefault="00E078FE" w:rsidP="00E078FE">
            <w:pPr>
              <w:pStyle w:val="Tabletext1"/>
            </w:pPr>
            <w:r>
              <w:t>Comparative study with historical controls</w:t>
            </w:r>
          </w:p>
          <w:p w14:paraId="099944E6" w14:textId="77777777" w:rsidR="00E078FE" w:rsidRDefault="00E078FE" w:rsidP="00E078FE">
            <w:pPr>
              <w:pStyle w:val="Tabletext1"/>
            </w:pPr>
            <w:r>
              <w:t>Consecutive</w:t>
            </w:r>
          </w:p>
          <w:p w14:paraId="57F4DBBC" w14:textId="77777777" w:rsidR="00E078FE" w:rsidRPr="00183E4D" w:rsidRDefault="00E078FE" w:rsidP="00E078FE">
            <w:pPr>
              <w:pStyle w:val="Tabletext1"/>
            </w:pPr>
            <w:r>
              <w:t xml:space="preserve">Retrospective </w:t>
            </w:r>
          </w:p>
        </w:tc>
        <w:tc>
          <w:tcPr>
            <w:tcW w:w="408" w:type="pct"/>
            <w:tcBorders>
              <w:top w:val="single" w:sz="4" w:space="0" w:color="auto"/>
              <w:left w:val="single" w:sz="4" w:space="0" w:color="auto"/>
              <w:bottom w:val="single" w:sz="4" w:space="0" w:color="auto"/>
              <w:right w:val="single" w:sz="4" w:space="0" w:color="auto"/>
            </w:tcBorders>
          </w:tcPr>
          <w:p w14:paraId="679E8D44" w14:textId="77777777" w:rsidR="00E078FE" w:rsidRPr="00183E4D" w:rsidRDefault="00E078FE" w:rsidP="00E078FE">
            <w:pPr>
              <w:pStyle w:val="Tabletext1"/>
            </w:pPr>
            <w:r>
              <w:t>III-3</w:t>
            </w:r>
          </w:p>
        </w:tc>
        <w:tc>
          <w:tcPr>
            <w:tcW w:w="470" w:type="pct"/>
            <w:tcBorders>
              <w:top w:val="single" w:sz="4" w:space="0" w:color="auto"/>
              <w:left w:val="single" w:sz="4" w:space="0" w:color="auto"/>
              <w:bottom w:val="single" w:sz="4" w:space="0" w:color="auto"/>
              <w:right w:val="single" w:sz="4" w:space="0" w:color="auto"/>
            </w:tcBorders>
          </w:tcPr>
          <w:p w14:paraId="489E5EF7" w14:textId="77777777" w:rsidR="00E078FE" w:rsidRDefault="00E078FE" w:rsidP="00E078FE">
            <w:pPr>
              <w:pStyle w:val="Tabletext1"/>
            </w:pPr>
            <w:r>
              <w:t>Ireland</w:t>
            </w:r>
          </w:p>
          <w:p w14:paraId="7EAE0DD5"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765597FE" w14:textId="00EAF56E" w:rsidR="00E078FE" w:rsidRDefault="00AB582A" w:rsidP="00E078FE">
            <w:pPr>
              <w:pStyle w:val="Tabletext1"/>
            </w:pPr>
            <w:r>
              <w:t>n</w:t>
            </w:r>
            <w:r w:rsidR="00E078FE">
              <w:t>: 286</w:t>
            </w:r>
          </w:p>
          <w:p w14:paraId="4CB4CF9A" w14:textId="77777777" w:rsidR="00E078FE" w:rsidRDefault="00E078FE" w:rsidP="00E078FE">
            <w:pPr>
              <w:pStyle w:val="Tabletext1"/>
            </w:pPr>
            <w:r>
              <w:t xml:space="preserve">Age: </w:t>
            </w:r>
          </w:p>
          <w:p w14:paraId="4F8D292D" w14:textId="77777777" w:rsidR="00E078FE" w:rsidRPr="00E0184F" w:rsidRDefault="00E078FE" w:rsidP="00E078FE">
            <w:pPr>
              <w:pStyle w:val="Tabletext1"/>
            </w:pPr>
            <w:r>
              <w:t xml:space="preserve">Group </w:t>
            </w:r>
            <w:r w:rsidRPr="00E0184F">
              <w:t>A: 59.6 (6.6)</w:t>
            </w:r>
            <w:r w:rsidRPr="00E0184F">
              <w:br/>
            </w:r>
            <w:r>
              <w:t xml:space="preserve">Group </w:t>
            </w:r>
            <w:r w:rsidRPr="00E0184F">
              <w:t>B: 61 (6.2)</w:t>
            </w:r>
          </w:p>
          <w:p w14:paraId="75718234" w14:textId="77777777" w:rsidR="00E078FE" w:rsidRDefault="00E078FE" w:rsidP="00E078FE">
            <w:pPr>
              <w:pStyle w:val="Tabletext1"/>
            </w:pPr>
            <w:r>
              <w:t>PSA:</w:t>
            </w:r>
          </w:p>
          <w:p w14:paraId="1E9D0372" w14:textId="77777777" w:rsidR="00E078FE" w:rsidRPr="00E0184F" w:rsidRDefault="00E078FE" w:rsidP="00E078FE">
            <w:pPr>
              <w:pStyle w:val="Tabletext1"/>
            </w:pPr>
            <w:r>
              <w:t xml:space="preserve">Group </w:t>
            </w:r>
            <w:r w:rsidRPr="00E0184F">
              <w:t>A: 9 (5.1)</w:t>
            </w:r>
            <w:r w:rsidRPr="00E0184F">
              <w:br/>
            </w:r>
            <w:r>
              <w:t xml:space="preserve">Group </w:t>
            </w:r>
            <w:r w:rsidRPr="00E0184F">
              <w:t>B: 8.5 (4.6)</w:t>
            </w:r>
          </w:p>
          <w:p w14:paraId="0899FE50" w14:textId="77777777" w:rsidR="00E078FE" w:rsidRPr="00183E4D" w:rsidRDefault="00E078FE" w:rsidP="00E078FE">
            <w:pPr>
              <w:pStyle w:val="Tabletext1"/>
            </w:pPr>
            <w:r>
              <w:t>Prior biopsy: mix</w:t>
            </w:r>
          </w:p>
        </w:tc>
        <w:tc>
          <w:tcPr>
            <w:tcW w:w="656" w:type="pct"/>
            <w:tcBorders>
              <w:top w:val="single" w:sz="4" w:space="0" w:color="auto"/>
              <w:left w:val="single" w:sz="4" w:space="0" w:color="auto"/>
              <w:bottom w:val="single" w:sz="4" w:space="0" w:color="auto"/>
              <w:right w:val="single" w:sz="4" w:space="0" w:color="auto"/>
            </w:tcBorders>
          </w:tcPr>
          <w:p w14:paraId="16BE0AFF" w14:textId="329F7EC0" w:rsidR="00E078FE" w:rsidRDefault="00E078FE" w:rsidP="00E078FE">
            <w:pPr>
              <w:pStyle w:val="Tabletext1"/>
            </w:pPr>
            <w:r>
              <w:t>TRUS</w:t>
            </w:r>
            <w:r w:rsidR="001248B5">
              <w:t>GB</w:t>
            </w:r>
          </w:p>
          <w:p w14:paraId="13B89A80" w14:textId="77777777" w:rsidR="00E078FE" w:rsidRDefault="00E078FE" w:rsidP="00E078FE">
            <w:pPr>
              <w:pStyle w:val="Tabletext1"/>
            </w:pPr>
            <w:r>
              <w:t>Cores: 6/12</w:t>
            </w:r>
          </w:p>
          <w:p w14:paraId="2C0BED61" w14:textId="77777777" w:rsidR="00E078FE" w:rsidRDefault="00E078FE" w:rsidP="00E078FE">
            <w:pPr>
              <w:pStyle w:val="Tabletext1"/>
            </w:pPr>
            <w:r>
              <w:t>Enema: 100</w:t>
            </w:r>
          </w:p>
          <w:p w14:paraId="609E63A6"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3761C719" w14:textId="77777777" w:rsidR="00E078FE" w:rsidRPr="00183E4D" w:rsidRDefault="00E078FE" w:rsidP="00E078FE">
            <w:pPr>
              <w:pStyle w:val="Tabletext1"/>
            </w:pPr>
            <w:r>
              <w:t>Bacteraemia</w:t>
            </w:r>
            <w:r>
              <w:br/>
              <w:t>Hospitalisation</w:t>
            </w:r>
          </w:p>
        </w:tc>
      </w:tr>
      <w:tr w:rsidR="00E078FE" w:rsidRPr="00183E4D" w14:paraId="294566A0"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0B8325E4" w14:textId="77777777" w:rsidR="00E078FE" w:rsidRPr="001D0B66" w:rsidRDefault="00E078FE" w:rsidP="00E078FE">
            <w:pPr>
              <w:pStyle w:val="Tabletext1"/>
              <w:rPr>
                <w:color w:val="000000"/>
              </w:rPr>
            </w:pPr>
            <w:r w:rsidRPr="001D0B66">
              <w:rPr>
                <w:color w:val="000000"/>
              </w:rPr>
              <w:t>Petteffi et al. (2002)</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415164BC"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6A925005" w14:textId="77777777" w:rsidR="00E078FE" w:rsidRDefault="00E078FE" w:rsidP="00E078FE">
            <w:pPr>
              <w:pStyle w:val="Tabletext1"/>
            </w:pPr>
            <w:r>
              <w:t>RCT</w:t>
            </w:r>
          </w:p>
          <w:p w14:paraId="0A14B3D9" w14:textId="77777777" w:rsidR="00E078FE" w:rsidRDefault="00E078FE" w:rsidP="00E078FE">
            <w:pPr>
              <w:pStyle w:val="Tabletext1"/>
            </w:pPr>
            <w:r>
              <w:t>Consecutive</w:t>
            </w:r>
          </w:p>
          <w:p w14:paraId="5744521D"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730F0AE8" w14:textId="77777777" w:rsidR="00E078FE" w:rsidRPr="00183E4D" w:rsidRDefault="00E078FE" w:rsidP="00E078FE">
            <w:pPr>
              <w:pStyle w:val="Tabletext1"/>
            </w:pPr>
            <w:r>
              <w:t>II</w:t>
            </w:r>
          </w:p>
        </w:tc>
        <w:tc>
          <w:tcPr>
            <w:tcW w:w="470" w:type="pct"/>
            <w:tcBorders>
              <w:top w:val="single" w:sz="4" w:space="0" w:color="auto"/>
              <w:left w:val="single" w:sz="4" w:space="0" w:color="auto"/>
              <w:bottom w:val="single" w:sz="4" w:space="0" w:color="auto"/>
              <w:right w:val="single" w:sz="4" w:space="0" w:color="auto"/>
            </w:tcBorders>
          </w:tcPr>
          <w:p w14:paraId="23226776" w14:textId="77777777" w:rsidR="00E078FE" w:rsidRDefault="00E078FE" w:rsidP="00E078FE">
            <w:pPr>
              <w:pStyle w:val="Tabletext1"/>
            </w:pPr>
            <w:r>
              <w:t>Brazil</w:t>
            </w:r>
          </w:p>
          <w:p w14:paraId="79E7D309" w14:textId="77777777"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4D97F0D0" w14:textId="41D9A3B5" w:rsidR="00E078FE" w:rsidRDefault="00AB582A" w:rsidP="00E078FE">
            <w:pPr>
              <w:pStyle w:val="Tabletext1"/>
            </w:pPr>
            <w:r>
              <w:t>n</w:t>
            </w:r>
            <w:r w:rsidR="00E078FE">
              <w:t>: 105</w:t>
            </w:r>
          </w:p>
          <w:p w14:paraId="58FE2EA8" w14:textId="77777777" w:rsidR="00E078FE" w:rsidRDefault="00E078FE" w:rsidP="00E078FE">
            <w:pPr>
              <w:pStyle w:val="Tabletext1"/>
            </w:pPr>
            <w:r>
              <w:t>Age:</w:t>
            </w:r>
          </w:p>
          <w:p w14:paraId="2A50CDBB" w14:textId="77777777" w:rsidR="00E078FE" w:rsidRPr="00B90255" w:rsidRDefault="00E078FE" w:rsidP="00E078FE">
            <w:pPr>
              <w:pStyle w:val="Tabletext1"/>
            </w:pPr>
            <w:r>
              <w:t xml:space="preserve">Group </w:t>
            </w:r>
            <w:r w:rsidRPr="00B90255">
              <w:t>A: 65 (7)</w:t>
            </w:r>
            <w:r w:rsidRPr="00B90255">
              <w:br/>
            </w:r>
            <w:r>
              <w:t xml:space="preserve">Group </w:t>
            </w:r>
            <w:r w:rsidRPr="00B90255">
              <w:t>B: 64 (8)</w:t>
            </w:r>
          </w:p>
          <w:p w14:paraId="78F14B95" w14:textId="77777777" w:rsidR="00E078FE" w:rsidRDefault="00E078FE" w:rsidP="00E078FE">
            <w:pPr>
              <w:pStyle w:val="Tabletext1"/>
            </w:pPr>
            <w:r>
              <w:t>PSA: NR</w:t>
            </w:r>
          </w:p>
          <w:p w14:paraId="5BED8C5D" w14:textId="77777777" w:rsidR="00E078FE" w:rsidRPr="00183E4D" w:rsidRDefault="00E078FE" w:rsidP="00E078FE">
            <w:pPr>
              <w:pStyle w:val="Tabletext1"/>
            </w:pPr>
            <w:r>
              <w:t>Prior biopsy: NR</w:t>
            </w:r>
          </w:p>
        </w:tc>
        <w:tc>
          <w:tcPr>
            <w:tcW w:w="656" w:type="pct"/>
            <w:tcBorders>
              <w:top w:val="single" w:sz="4" w:space="0" w:color="auto"/>
              <w:left w:val="single" w:sz="4" w:space="0" w:color="auto"/>
              <w:bottom w:val="single" w:sz="4" w:space="0" w:color="auto"/>
              <w:right w:val="single" w:sz="4" w:space="0" w:color="auto"/>
            </w:tcBorders>
          </w:tcPr>
          <w:p w14:paraId="432EA194" w14:textId="2BCE5688" w:rsidR="00E078FE" w:rsidRDefault="00E078FE" w:rsidP="00E078FE">
            <w:pPr>
              <w:pStyle w:val="Tabletext1"/>
            </w:pPr>
            <w:r>
              <w:t>TRUS</w:t>
            </w:r>
            <w:r w:rsidR="001248B5">
              <w:t>GB</w:t>
            </w:r>
          </w:p>
          <w:p w14:paraId="6EF983C7" w14:textId="77777777" w:rsidR="00E078FE" w:rsidRDefault="00E078FE" w:rsidP="00E078FE">
            <w:pPr>
              <w:pStyle w:val="Tabletext1"/>
            </w:pPr>
            <w:r>
              <w:t>Cores: NR</w:t>
            </w:r>
          </w:p>
          <w:p w14:paraId="75416166" w14:textId="77777777" w:rsidR="00E078FE" w:rsidRDefault="00E078FE" w:rsidP="00E078FE">
            <w:pPr>
              <w:pStyle w:val="Tabletext1"/>
            </w:pPr>
            <w:r>
              <w:t>Enema: 100</w:t>
            </w:r>
          </w:p>
          <w:p w14:paraId="68428CD9" w14:textId="77777777" w:rsidR="00E078FE" w:rsidRPr="00183E4D" w:rsidRDefault="00E078FE" w:rsidP="00E078FE">
            <w:pPr>
              <w:pStyle w:val="Tabletext1"/>
            </w:pPr>
            <w:r>
              <w:t>Needle: 18G</w:t>
            </w:r>
          </w:p>
        </w:tc>
        <w:tc>
          <w:tcPr>
            <w:tcW w:w="836" w:type="pct"/>
            <w:tcBorders>
              <w:top w:val="single" w:sz="4" w:space="0" w:color="auto"/>
              <w:left w:val="single" w:sz="4" w:space="0" w:color="auto"/>
              <w:bottom w:val="single" w:sz="4" w:space="0" w:color="auto"/>
              <w:right w:val="single" w:sz="4" w:space="0" w:color="auto"/>
            </w:tcBorders>
          </w:tcPr>
          <w:p w14:paraId="5C225857" w14:textId="77777777" w:rsidR="00E078FE" w:rsidRDefault="00E078FE" w:rsidP="00E078FE">
            <w:pPr>
              <w:pStyle w:val="Tabletext1"/>
            </w:pPr>
            <w:r>
              <w:t>UTI</w:t>
            </w:r>
          </w:p>
          <w:p w14:paraId="2CA3F6F2" w14:textId="77777777" w:rsidR="00E078FE" w:rsidRPr="00183E4D" w:rsidRDefault="00E078FE" w:rsidP="00E078FE">
            <w:pPr>
              <w:pStyle w:val="Tabletext1"/>
            </w:pPr>
            <w:r>
              <w:t>Fever</w:t>
            </w:r>
            <w:r>
              <w:br/>
              <w:t>Hospitalisation</w:t>
            </w:r>
          </w:p>
        </w:tc>
      </w:tr>
      <w:tr w:rsidR="00E078FE" w:rsidRPr="00183E4D" w14:paraId="78A599E8"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667ED141" w14:textId="77777777" w:rsidR="00E078FE" w:rsidRPr="001D0B66" w:rsidRDefault="00E078FE" w:rsidP="00E078FE">
            <w:pPr>
              <w:pStyle w:val="Tabletext1"/>
              <w:rPr>
                <w:color w:val="000000"/>
              </w:rPr>
            </w:pPr>
            <w:r w:rsidRPr="001D0B66">
              <w:rPr>
                <w:color w:val="000000"/>
              </w:rPr>
              <w:t>Sahin et al. (2015)</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2A2E8F3E"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573A1530" w14:textId="77777777" w:rsidR="00E078FE" w:rsidRDefault="00E078FE" w:rsidP="00E078FE">
            <w:pPr>
              <w:pStyle w:val="Tabletext1"/>
            </w:pPr>
            <w:r>
              <w:t>Comparative study with concurrent controls</w:t>
            </w:r>
          </w:p>
          <w:p w14:paraId="6A4BC035" w14:textId="77777777" w:rsidR="00E078FE" w:rsidRDefault="00E078FE" w:rsidP="00E078FE">
            <w:pPr>
              <w:pStyle w:val="Tabletext1"/>
            </w:pPr>
            <w:r>
              <w:t>Non-consecutive</w:t>
            </w:r>
          </w:p>
          <w:p w14:paraId="77198F10"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2A92428A" w14:textId="77777777" w:rsidR="00E078FE" w:rsidRPr="00183E4D" w:rsidRDefault="00E078FE" w:rsidP="00E078FE">
            <w:pPr>
              <w:pStyle w:val="Tabletext1"/>
            </w:pPr>
            <w:r>
              <w:t>III-2</w:t>
            </w:r>
          </w:p>
        </w:tc>
        <w:tc>
          <w:tcPr>
            <w:tcW w:w="470" w:type="pct"/>
            <w:tcBorders>
              <w:top w:val="single" w:sz="4" w:space="0" w:color="auto"/>
              <w:left w:val="single" w:sz="4" w:space="0" w:color="auto"/>
              <w:bottom w:val="single" w:sz="4" w:space="0" w:color="auto"/>
              <w:right w:val="single" w:sz="4" w:space="0" w:color="auto"/>
            </w:tcBorders>
          </w:tcPr>
          <w:p w14:paraId="480F66FF" w14:textId="77777777" w:rsidR="00E078FE" w:rsidRPr="00183E4D" w:rsidRDefault="00E078FE" w:rsidP="00E078FE">
            <w:pPr>
              <w:pStyle w:val="Tabletext1"/>
            </w:pPr>
            <w:r>
              <w:t>Turkey Tertiary hospital</w:t>
            </w:r>
          </w:p>
        </w:tc>
        <w:tc>
          <w:tcPr>
            <w:tcW w:w="955" w:type="pct"/>
            <w:tcBorders>
              <w:top w:val="single" w:sz="4" w:space="0" w:color="auto"/>
              <w:left w:val="single" w:sz="4" w:space="0" w:color="auto"/>
              <w:bottom w:val="single" w:sz="4" w:space="0" w:color="auto"/>
              <w:right w:val="single" w:sz="4" w:space="0" w:color="auto"/>
            </w:tcBorders>
          </w:tcPr>
          <w:p w14:paraId="11EF2DB0" w14:textId="67CE1242" w:rsidR="00E078FE" w:rsidRDefault="00AB582A" w:rsidP="00E078FE">
            <w:pPr>
              <w:pStyle w:val="Tabletext1"/>
            </w:pPr>
            <w:r>
              <w:t>n</w:t>
            </w:r>
            <w:r w:rsidR="00E078FE">
              <w:t>: 480</w:t>
            </w:r>
          </w:p>
          <w:p w14:paraId="1FB885BE" w14:textId="77777777" w:rsidR="00E078FE" w:rsidRPr="00454A7E" w:rsidRDefault="00E078FE" w:rsidP="00E078FE">
            <w:pPr>
              <w:pStyle w:val="Tabletext1"/>
            </w:pPr>
            <w:r>
              <w:t xml:space="preserve">Age: </w:t>
            </w:r>
            <w:r w:rsidRPr="00454A7E">
              <w:t>65.9 (7.8)</w:t>
            </w:r>
          </w:p>
          <w:p w14:paraId="04EF8479" w14:textId="77777777" w:rsidR="00E078FE" w:rsidRDefault="00E078FE" w:rsidP="00E078FE">
            <w:pPr>
              <w:pStyle w:val="Tabletext1"/>
            </w:pPr>
            <w:r>
              <w:t xml:space="preserve">PSA: </w:t>
            </w:r>
            <w:r w:rsidRPr="00454A7E">
              <w:t>12.5 (18.8)</w:t>
            </w:r>
          </w:p>
          <w:p w14:paraId="73B9BD24" w14:textId="77777777" w:rsidR="00E078FE" w:rsidRPr="00183E4D" w:rsidRDefault="00E078FE" w:rsidP="00E078FE">
            <w:pPr>
              <w:pStyle w:val="Tabletext1"/>
            </w:pPr>
            <w:r>
              <w:t>Prior biopsy: 28</w:t>
            </w:r>
          </w:p>
        </w:tc>
        <w:tc>
          <w:tcPr>
            <w:tcW w:w="656" w:type="pct"/>
            <w:tcBorders>
              <w:top w:val="single" w:sz="4" w:space="0" w:color="auto"/>
              <w:left w:val="single" w:sz="4" w:space="0" w:color="auto"/>
              <w:bottom w:val="single" w:sz="4" w:space="0" w:color="auto"/>
              <w:right w:val="single" w:sz="4" w:space="0" w:color="auto"/>
            </w:tcBorders>
          </w:tcPr>
          <w:p w14:paraId="379A0E35" w14:textId="25DA6906" w:rsidR="00E078FE" w:rsidRDefault="00E078FE" w:rsidP="00E078FE">
            <w:pPr>
              <w:pStyle w:val="Tabletext1"/>
            </w:pPr>
            <w:r>
              <w:t>TRUS</w:t>
            </w:r>
            <w:r w:rsidR="001248B5">
              <w:t>GB</w:t>
            </w:r>
          </w:p>
          <w:p w14:paraId="2C1FD1F5" w14:textId="77777777" w:rsidR="00E078FE" w:rsidRDefault="00E078FE" w:rsidP="00E078FE">
            <w:pPr>
              <w:pStyle w:val="Tabletext1"/>
            </w:pPr>
            <w:r>
              <w:t>Cores: 12</w:t>
            </w:r>
          </w:p>
          <w:p w14:paraId="5BC68183" w14:textId="77777777" w:rsidR="00E078FE" w:rsidRDefault="00E078FE" w:rsidP="00E078FE">
            <w:pPr>
              <w:pStyle w:val="Tabletext1"/>
            </w:pPr>
            <w:r>
              <w:t>Enema: 100</w:t>
            </w:r>
          </w:p>
          <w:p w14:paraId="696372CD" w14:textId="77777777" w:rsidR="00E078FE" w:rsidRPr="00183E4D" w:rsidRDefault="00E078FE" w:rsidP="00E078FE">
            <w:pPr>
              <w:pStyle w:val="Tabletext1"/>
            </w:pPr>
            <w:r>
              <w:t>Needle: 18G</w:t>
            </w:r>
          </w:p>
        </w:tc>
        <w:tc>
          <w:tcPr>
            <w:tcW w:w="836" w:type="pct"/>
            <w:tcBorders>
              <w:top w:val="single" w:sz="4" w:space="0" w:color="auto"/>
              <w:left w:val="single" w:sz="4" w:space="0" w:color="auto"/>
              <w:bottom w:val="single" w:sz="4" w:space="0" w:color="auto"/>
              <w:right w:val="single" w:sz="4" w:space="0" w:color="auto"/>
            </w:tcBorders>
          </w:tcPr>
          <w:p w14:paraId="2738181D" w14:textId="77777777" w:rsidR="00E078FE" w:rsidRDefault="00E078FE" w:rsidP="00E078FE">
            <w:pPr>
              <w:pStyle w:val="Tabletext1"/>
            </w:pPr>
            <w:r>
              <w:t>Minor infection</w:t>
            </w:r>
          </w:p>
          <w:p w14:paraId="2E01CAC2" w14:textId="77777777" w:rsidR="00E078FE" w:rsidRDefault="00E078FE" w:rsidP="00E078FE">
            <w:pPr>
              <w:pStyle w:val="Tabletext1"/>
            </w:pPr>
            <w:r>
              <w:t>Major infection</w:t>
            </w:r>
          </w:p>
          <w:p w14:paraId="15CC2D20" w14:textId="77777777" w:rsidR="00E078FE" w:rsidRDefault="00E078FE" w:rsidP="00E078FE">
            <w:pPr>
              <w:pStyle w:val="Tabletext1"/>
            </w:pPr>
            <w:r>
              <w:t>UTI</w:t>
            </w:r>
          </w:p>
          <w:p w14:paraId="54EBE463" w14:textId="77777777" w:rsidR="00E078FE" w:rsidRPr="00183E4D" w:rsidRDefault="00E078FE" w:rsidP="00E078FE">
            <w:pPr>
              <w:pStyle w:val="Tabletext1"/>
            </w:pPr>
          </w:p>
        </w:tc>
      </w:tr>
      <w:tr w:rsidR="00E078FE" w:rsidRPr="00183E4D" w14:paraId="6E0F6D65"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040E415C" w14:textId="77777777" w:rsidR="00E078FE" w:rsidRPr="001D0B66" w:rsidRDefault="00E078FE" w:rsidP="00E078FE">
            <w:pPr>
              <w:pStyle w:val="Tabletext1"/>
              <w:rPr>
                <w:color w:val="000000"/>
              </w:rPr>
            </w:pPr>
            <w:r w:rsidRPr="001D0B66">
              <w:rPr>
                <w:color w:val="000000"/>
              </w:rPr>
              <w:lastRenderedPageBreak/>
              <w:t>Solberg et al. (2011)</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31EE2570"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181F0A50" w14:textId="77777777" w:rsidR="00E078FE" w:rsidRDefault="00E078FE" w:rsidP="00E078FE">
            <w:pPr>
              <w:pStyle w:val="Tabletext1"/>
            </w:pPr>
            <w:r>
              <w:t>RCT</w:t>
            </w:r>
          </w:p>
          <w:p w14:paraId="79DB639E" w14:textId="77777777" w:rsidR="00E078FE" w:rsidRDefault="00E078FE" w:rsidP="00E078FE">
            <w:pPr>
              <w:pStyle w:val="Tabletext1"/>
            </w:pPr>
            <w:r>
              <w:t>Consecutive</w:t>
            </w:r>
          </w:p>
          <w:p w14:paraId="7089AC51"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6CA48C4B" w14:textId="77777777" w:rsidR="00E078FE" w:rsidRPr="00183E4D" w:rsidRDefault="00E078FE" w:rsidP="00E078FE">
            <w:pPr>
              <w:pStyle w:val="Tabletext1"/>
            </w:pPr>
            <w:r>
              <w:t>II</w:t>
            </w:r>
          </w:p>
        </w:tc>
        <w:tc>
          <w:tcPr>
            <w:tcW w:w="470" w:type="pct"/>
            <w:tcBorders>
              <w:top w:val="single" w:sz="4" w:space="0" w:color="auto"/>
              <w:left w:val="single" w:sz="4" w:space="0" w:color="auto"/>
              <w:bottom w:val="single" w:sz="4" w:space="0" w:color="auto"/>
              <w:right w:val="single" w:sz="4" w:space="0" w:color="auto"/>
            </w:tcBorders>
          </w:tcPr>
          <w:p w14:paraId="7FA71699" w14:textId="77777777" w:rsidR="00E078FE" w:rsidRPr="00183E4D" w:rsidRDefault="00E078FE" w:rsidP="00E078FE">
            <w:pPr>
              <w:pStyle w:val="Tabletext1"/>
            </w:pPr>
            <w:r w:rsidRPr="001D0B66">
              <w:rPr>
                <w:color w:val="000000"/>
              </w:rPr>
              <w:t>Norway, Sweden</w:t>
            </w:r>
            <w:r>
              <w:t xml:space="preserve"> Multiple hospitals</w:t>
            </w:r>
          </w:p>
        </w:tc>
        <w:tc>
          <w:tcPr>
            <w:tcW w:w="955" w:type="pct"/>
            <w:tcBorders>
              <w:top w:val="single" w:sz="4" w:space="0" w:color="auto"/>
              <w:left w:val="single" w:sz="4" w:space="0" w:color="auto"/>
              <w:bottom w:val="single" w:sz="4" w:space="0" w:color="auto"/>
              <w:right w:val="single" w:sz="4" w:space="0" w:color="auto"/>
            </w:tcBorders>
          </w:tcPr>
          <w:p w14:paraId="481AE770" w14:textId="65A9C20D" w:rsidR="00E078FE" w:rsidRDefault="00AB582A" w:rsidP="00E078FE">
            <w:pPr>
              <w:pStyle w:val="Tabletext1"/>
            </w:pPr>
            <w:r>
              <w:t>n</w:t>
            </w:r>
            <w:r w:rsidR="00E078FE">
              <w:t>: 875</w:t>
            </w:r>
          </w:p>
          <w:p w14:paraId="4B2D9744" w14:textId="77777777" w:rsidR="00E078FE" w:rsidRDefault="00E078FE" w:rsidP="00E078FE">
            <w:pPr>
              <w:pStyle w:val="Tabletext1"/>
            </w:pPr>
            <w:r>
              <w:t>Age: 66.1 (5.9)</w:t>
            </w:r>
          </w:p>
          <w:p w14:paraId="2F10F4E7" w14:textId="77777777" w:rsidR="00E078FE" w:rsidRDefault="00E078FE" w:rsidP="00E078FE">
            <w:pPr>
              <w:pStyle w:val="Tabletext1"/>
            </w:pPr>
            <w:r>
              <w:t>PSA: 16 (8-27)</w:t>
            </w:r>
          </w:p>
          <w:p w14:paraId="38901CA8" w14:textId="77777777" w:rsidR="00E078FE" w:rsidRPr="00183E4D" w:rsidRDefault="00E078FE" w:rsidP="00E078FE">
            <w:pPr>
              <w:pStyle w:val="Tabletext1"/>
            </w:pPr>
            <w:r>
              <w:t>Prior biopsy: 100</w:t>
            </w:r>
          </w:p>
        </w:tc>
        <w:tc>
          <w:tcPr>
            <w:tcW w:w="656" w:type="pct"/>
            <w:tcBorders>
              <w:top w:val="single" w:sz="4" w:space="0" w:color="auto"/>
              <w:left w:val="single" w:sz="4" w:space="0" w:color="auto"/>
              <w:bottom w:val="single" w:sz="4" w:space="0" w:color="auto"/>
              <w:right w:val="single" w:sz="4" w:space="0" w:color="auto"/>
            </w:tcBorders>
          </w:tcPr>
          <w:p w14:paraId="0BA8319A" w14:textId="46FBE38F" w:rsidR="00E078FE" w:rsidRDefault="00E078FE" w:rsidP="00E078FE">
            <w:pPr>
              <w:pStyle w:val="Tabletext1"/>
            </w:pPr>
            <w:r>
              <w:t>TRUS</w:t>
            </w:r>
            <w:r w:rsidR="001248B5">
              <w:t>GB</w:t>
            </w:r>
          </w:p>
          <w:p w14:paraId="4E8388E2" w14:textId="77777777" w:rsidR="00E078FE" w:rsidRDefault="00E078FE" w:rsidP="00E078FE">
            <w:pPr>
              <w:pStyle w:val="Tabletext1"/>
            </w:pPr>
            <w:r>
              <w:t>Cores: NR</w:t>
            </w:r>
          </w:p>
          <w:p w14:paraId="272718D3" w14:textId="77777777" w:rsidR="00E078FE" w:rsidRDefault="00E078FE" w:rsidP="00E078FE">
            <w:pPr>
              <w:pStyle w:val="Tabletext1"/>
            </w:pPr>
            <w:r>
              <w:t>Enema: 0</w:t>
            </w:r>
          </w:p>
          <w:p w14:paraId="21F01E83"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13CF427D" w14:textId="77777777" w:rsidR="00E078FE" w:rsidRDefault="00E078FE" w:rsidP="00E078FE">
            <w:pPr>
              <w:pStyle w:val="Tabletext1"/>
            </w:pPr>
            <w:r>
              <w:t>Urinary obstruction</w:t>
            </w:r>
          </w:p>
          <w:p w14:paraId="1136600C" w14:textId="77777777" w:rsidR="00E078FE" w:rsidRPr="00183E4D" w:rsidRDefault="00E078FE" w:rsidP="00E078FE">
            <w:pPr>
              <w:pStyle w:val="Tabletext1"/>
            </w:pPr>
            <w:r>
              <w:t>Pain</w:t>
            </w:r>
          </w:p>
        </w:tc>
      </w:tr>
      <w:tr w:rsidR="00E078FE" w:rsidRPr="00183E4D" w14:paraId="66FC8D35"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60E4AF01" w14:textId="77777777" w:rsidR="00E078FE" w:rsidRPr="001D0B66" w:rsidRDefault="00E078FE" w:rsidP="00E078FE">
            <w:pPr>
              <w:pStyle w:val="Tabletext1"/>
              <w:rPr>
                <w:color w:val="000000"/>
              </w:rPr>
            </w:pPr>
            <w:r w:rsidRPr="001D0B66">
              <w:rPr>
                <w:color w:val="000000"/>
              </w:rPr>
              <w:t>Utrera et al. (2011a)</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401AA82F"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59B2DF5A" w14:textId="77777777" w:rsidR="00E078FE" w:rsidRDefault="00E078FE" w:rsidP="00E078FE">
            <w:pPr>
              <w:pStyle w:val="Tabletext1"/>
            </w:pPr>
            <w:r>
              <w:t>Case series</w:t>
            </w:r>
          </w:p>
          <w:p w14:paraId="3E2F5617" w14:textId="77777777" w:rsidR="00E078FE" w:rsidRDefault="00E078FE" w:rsidP="00E078FE">
            <w:pPr>
              <w:pStyle w:val="Tabletext1"/>
            </w:pPr>
            <w:r>
              <w:t>Non-consecutive</w:t>
            </w:r>
          </w:p>
          <w:p w14:paraId="39067464" w14:textId="77777777" w:rsidR="00E078FE" w:rsidRPr="00183E4D" w:rsidRDefault="00E078FE" w:rsidP="00E078FE">
            <w:pPr>
              <w:pStyle w:val="Tabletext1"/>
            </w:pPr>
            <w:r>
              <w:t>Prospective</w:t>
            </w:r>
          </w:p>
        </w:tc>
        <w:tc>
          <w:tcPr>
            <w:tcW w:w="408" w:type="pct"/>
            <w:tcBorders>
              <w:top w:val="single" w:sz="4" w:space="0" w:color="auto"/>
              <w:left w:val="single" w:sz="4" w:space="0" w:color="auto"/>
              <w:bottom w:val="single" w:sz="4" w:space="0" w:color="auto"/>
              <w:right w:val="single" w:sz="4" w:space="0" w:color="auto"/>
            </w:tcBorders>
          </w:tcPr>
          <w:p w14:paraId="47ABF778"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2B4199F3" w14:textId="77777777" w:rsidR="00E078FE" w:rsidRDefault="00E078FE" w:rsidP="00E078FE">
            <w:pPr>
              <w:pStyle w:val="Tabletext1"/>
            </w:pPr>
            <w:r>
              <w:t>Spain</w:t>
            </w:r>
          </w:p>
          <w:p w14:paraId="0EBBD393"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56B06F24" w14:textId="09924E5B" w:rsidR="00E078FE" w:rsidRPr="009151FF" w:rsidRDefault="00AB582A" w:rsidP="00E078FE">
            <w:pPr>
              <w:pStyle w:val="Tabletext1"/>
            </w:pPr>
            <w:r>
              <w:t>n</w:t>
            </w:r>
            <w:r w:rsidR="00E078FE">
              <w:t>: 220</w:t>
            </w:r>
          </w:p>
          <w:p w14:paraId="49A48F85" w14:textId="77777777" w:rsidR="00E078FE" w:rsidRDefault="00E078FE" w:rsidP="00E078FE">
            <w:pPr>
              <w:pStyle w:val="Tabletext1"/>
            </w:pPr>
            <w:r>
              <w:t xml:space="preserve">Age: </w:t>
            </w:r>
            <w:r w:rsidRPr="009151FF">
              <w:t>69.5 (7.9)</w:t>
            </w:r>
          </w:p>
          <w:p w14:paraId="4922BA2E" w14:textId="77777777" w:rsidR="00E078FE" w:rsidRDefault="00E078FE" w:rsidP="00E078FE">
            <w:pPr>
              <w:pStyle w:val="Tabletext1"/>
            </w:pPr>
            <w:r>
              <w:t xml:space="preserve">PSA: </w:t>
            </w:r>
            <w:r w:rsidRPr="009151FF">
              <w:t>12.7 (28.7)</w:t>
            </w:r>
          </w:p>
          <w:p w14:paraId="544D60E2" w14:textId="77777777" w:rsidR="00E078FE" w:rsidRPr="00183E4D" w:rsidRDefault="00E078FE" w:rsidP="00E078FE">
            <w:pPr>
              <w:pStyle w:val="Tabletext1"/>
            </w:pPr>
            <w:r>
              <w:t>Prior biopsy: mix</w:t>
            </w:r>
          </w:p>
        </w:tc>
        <w:tc>
          <w:tcPr>
            <w:tcW w:w="656" w:type="pct"/>
            <w:tcBorders>
              <w:top w:val="single" w:sz="4" w:space="0" w:color="auto"/>
              <w:left w:val="single" w:sz="4" w:space="0" w:color="auto"/>
              <w:bottom w:val="single" w:sz="4" w:space="0" w:color="auto"/>
              <w:right w:val="single" w:sz="4" w:space="0" w:color="auto"/>
            </w:tcBorders>
          </w:tcPr>
          <w:p w14:paraId="378AA6B4" w14:textId="4855B503" w:rsidR="00E078FE" w:rsidRDefault="00E078FE" w:rsidP="00E078FE">
            <w:pPr>
              <w:pStyle w:val="Tabletext1"/>
            </w:pPr>
            <w:r>
              <w:t>TRUS</w:t>
            </w:r>
            <w:r w:rsidR="001248B5">
              <w:t>GB</w:t>
            </w:r>
          </w:p>
          <w:p w14:paraId="5D2A10BE" w14:textId="77777777" w:rsidR="00E078FE" w:rsidRDefault="00E078FE" w:rsidP="00E078FE">
            <w:pPr>
              <w:pStyle w:val="Tabletext1"/>
            </w:pPr>
            <w:r>
              <w:t>Cores: 13.5 (1.7)</w:t>
            </w:r>
          </w:p>
          <w:p w14:paraId="31D1428F" w14:textId="77777777" w:rsidR="00E078FE" w:rsidRDefault="00E078FE" w:rsidP="00E078FE">
            <w:pPr>
              <w:pStyle w:val="Tabletext1"/>
            </w:pPr>
            <w:r>
              <w:t>Enema: 100</w:t>
            </w:r>
          </w:p>
          <w:p w14:paraId="43F33341"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64020D24" w14:textId="77777777" w:rsidR="00E078FE" w:rsidRDefault="00E078FE" w:rsidP="00E078FE">
            <w:pPr>
              <w:pStyle w:val="Tabletext1"/>
            </w:pPr>
            <w:r>
              <w:t>Urinary obstruction</w:t>
            </w:r>
          </w:p>
          <w:p w14:paraId="3DBF17B0" w14:textId="77777777" w:rsidR="00E078FE" w:rsidRPr="00183E4D" w:rsidRDefault="00E078FE" w:rsidP="00E078FE">
            <w:pPr>
              <w:pStyle w:val="Tabletext1"/>
            </w:pPr>
            <w:r>
              <w:t>Bacteraemia</w:t>
            </w:r>
            <w:r>
              <w:br/>
              <w:t>Bacteriuria</w:t>
            </w:r>
            <w:r>
              <w:br/>
              <w:t>Fever</w:t>
            </w:r>
            <w:r>
              <w:br/>
              <w:t>Hospitalisation</w:t>
            </w:r>
          </w:p>
        </w:tc>
      </w:tr>
      <w:tr w:rsidR="00E078FE" w:rsidRPr="00183E4D" w14:paraId="7E6AA040"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01C21508" w14:textId="77777777" w:rsidR="00E078FE" w:rsidRPr="001D0B66" w:rsidRDefault="00E078FE" w:rsidP="00E078FE">
            <w:pPr>
              <w:pStyle w:val="Tabletext1"/>
              <w:rPr>
                <w:color w:val="000000"/>
              </w:rPr>
            </w:pPr>
            <w:r w:rsidRPr="001D0B66">
              <w:rPr>
                <w:color w:val="000000"/>
              </w:rPr>
              <w:t>Utrera et al. (2011b)</w:t>
            </w:r>
            <w:r>
              <w:rPr>
                <w:color w:val="000000"/>
              </w:rPr>
              <w:br/>
            </w:r>
          </w:p>
        </w:tc>
        <w:tc>
          <w:tcPr>
            <w:tcW w:w="448" w:type="pct"/>
            <w:tcBorders>
              <w:top w:val="single" w:sz="4" w:space="0" w:color="auto"/>
              <w:left w:val="single" w:sz="4" w:space="0" w:color="auto"/>
              <w:bottom w:val="single" w:sz="4" w:space="0" w:color="auto"/>
              <w:right w:val="single" w:sz="4" w:space="0" w:color="auto"/>
            </w:tcBorders>
          </w:tcPr>
          <w:p w14:paraId="0DAD812B"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5440F702" w14:textId="77777777" w:rsidR="00E078FE" w:rsidRDefault="00E078FE" w:rsidP="00E078FE">
            <w:pPr>
              <w:pStyle w:val="Tabletext1"/>
            </w:pPr>
            <w:r>
              <w:t>Case series</w:t>
            </w:r>
          </w:p>
          <w:p w14:paraId="5B50F4E5" w14:textId="77777777" w:rsidR="00E078FE" w:rsidRDefault="00E078FE" w:rsidP="00E078FE">
            <w:pPr>
              <w:pStyle w:val="Tabletext1"/>
            </w:pPr>
            <w:r>
              <w:t>Non-consecutive</w:t>
            </w:r>
          </w:p>
          <w:p w14:paraId="4BCFE7FB" w14:textId="77777777" w:rsidR="00E078FE" w:rsidRPr="00183E4D" w:rsidRDefault="00E078FE" w:rsidP="00E078FE">
            <w:pPr>
              <w:pStyle w:val="Tabletext1"/>
            </w:pPr>
            <w:r>
              <w:t>Retrospective</w:t>
            </w:r>
          </w:p>
        </w:tc>
        <w:tc>
          <w:tcPr>
            <w:tcW w:w="408" w:type="pct"/>
            <w:tcBorders>
              <w:top w:val="single" w:sz="4" w:space="0" w:color="auto"/>
              <w:left w:val="single" w:sz="4" w:space="0" w:color="auto"/>
              <w:bottom w:val="single" w:sz="4" w:space="0" w:color="auto"/>
              <w:right w:val="single" w:sz="4" w:space="0" w:color="auto"/>
            </w:tcBorders>
          </w:tcPr>
          <w:p w14:paraId="02036C84"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5866BFBF" w14:textId="77777777" w:rsidR="00E078FE" w:rsidRDefault="00E078FE" w:rsidP="00E078FE">
            <w:pPr>
              <w:pStyle w:val="Tabletext1"/>
            </w:pPr>
            <w:r>
              <w:t>Spain</w:t>
            </w:r>
          </w:p>
          <w:p w14:paraId="78D6DA47"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6580C91B" w14:textId="145C476C" w:rsidR="00E078FE" w:rsidRDefault="00AB582A" w:rsidP="00E078FE">
            <w:pPr>
              <w:pStyle w:val="Tabletext1"/>
            </w:pPr>
            <w:r>
              <w:t>n</w:t>
            </w:r>
            <w:r w:rsidR="00E078FE">
              <w:t>: 144</w:t>
            </w:r>
          </w:p>
          <w:p w14:paraId="18AFFFA1" w14:textId="77777777" w:rsidR="00E078FE" w:rsidRPr="000C4222" w:rsidRDefault="00E078FE" w:rsidP="00E078FE">
            <w:pPr>
              <w:pStyle w:val="Tabletext1"/>
            </w:pPr>
            <w:r>
              <w:t xml:space="preserve">Age: </w:t>
            </w:r>
            <w:r w:rsidRPr="000C4222">
              <w:t>66 (6.4)</w:t>
            </w:r>
          </w:p>
          <w:p w14:paraId="32EE8FC4" w14:textId="77777777" w:rsidR="00E078FE" w:rsidRPr="000C4222" w:rsidRDefault="00E078FE" w:rsidP="00E078FE">
            <w:pPr>
              <w:pStyle w:val="Tabletext1"/>
            </w:pPr>
            <w:r>
              <w:t xml:space="preserve">PSA: </w:t>
            </w:r>
            <w:r w:rsidRPr="000C4222">
              <w:t>14.4 (12.6)</w:t>
            </w:r>
          </w:p>
          <w:p w14:paraId="050E2899" w14:textId="77777777" w:rsidR="00E078FE" w:rsidRPr="00183E4D" w:rsidRDefault="00E078FE" w:rsidP="00E078FE">
            <w:pPr>
              <w:pStyle w:val="Tabletext1"/>
            </w:pPr>
            <w:r>
              <w:t>Prior biopsy: 100</w:t>
            </w:r>
          </w:p>
        </w:tc>
        <w:tc>
          <w:tcPr>
            <w:tcW w:w="656" w:type="pct"/>
            <w:tcBorders>
              <w:top w:val="single" w:sz="4" w:space="0" w:color="auto"/>
              <w:left w:val="single" w:sz="4" w:space="0" w:color="auto"/>
              <w:bottom w:val="single" w:sz="4" w:space="0" w:color="auto"/>
              <w:right w:val="single" w:sz="4" w:space="0" w:color="auto"/>
            </w:tcBorders>
          </w:tcPr>
          <w:p w14:paraId="0B38399F" w14:textId="1B0DFDF9" w:rsidR="00E078FE" w:rsidRDefault="00E078FE" w:rsidP="00E078FE">
            <w:pPr>
              <w:pStyle w:val="Tabletext1"/>
            </w:pPr>
            <w:r>
              <w:t>TRUS</w:t>
            </w:r>
            <w:r w:rsidR="001248B5">
              <w:t>GB</w:t>
            </w:r>
          </w:p>
          <w:p w14:paraId="0707398B" w14:textId="77777777" w:rsidR="00E078FE" w:rsidRDefault="00E078FE" w:rsidP="00E078FE">
            <w:pPr>
              <w:pStyle w:val="Tabletext1"/>
            </w:pPr>
            <w:r>
              <w:t>Cores: 30.4 (3.8)</w:t>
            </w:r>
          </w:p>
          <w:p w14:paraId="3B37467D" w14:textId="77777777" w:rsidR="00E078FE" w:rsidRDefault="00E078FE" w:rsidP="00E078FE">
            <w:pPr>
              <w:pStyle w:val="Tabletext1"/>
            </w:pPr>
            <w:r>
              <w:t>Enema: 100</w:t>
            </w:r>
          </w:p>
          <w:p w14:paraId="5297FDB4"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2BECC97E" w14:textId="77777777" w:rsidR="00E078FE" w:rsidRDefault="00E078FE" w:rsidP="00E078FE">
            <w:pPr>
              <w:pStyle w:val="Tabletext1"/>
            </w:pPr>
            <w:r>
              <w:t>Major infection</w:t>
            </w:r>
          </w:p>
          <w:p w14:paraId="35FABE37" w14:textId="77777777" w:rsidR="00E078FE" w:rsidRDefault="00E078FE" w:rsidP="00E078FE">
            <w:pPr>
              <w:pStyle w:val="Tabletext1"/>
            </w:pPr>
            <w:r>
              <w:t>Urinary obstruction</w:t>
            </w:r>
          </w:p>
          <w:p w14:paraId="6F601CD8" w14:textId="77777777" w:rsidR="00E078FE" w:rsidRDefault="00E078FE" w:rsidP="00E078FE">
            <w:pPr>
              <w:pStyle w:val="Tabletext1"/>
            </w:pPr>
            <w:r>
              <w:t>Haematuria</w:t>
            </w:r>
          </w:p>
          <w:p w14:paraId="553F74A4" w14:textId="77777777" w:rsidR="00E078FE" w:rsidRPr="00183E4D" w:rsidRDefault="00E078FE" w:rsidP="00E078FE">
            <w:pPr>
              <w:pStyle w:val="Tabletext1"/>
            </w:pPr>
            <w:r>
              <w:t>Prostatitis</w:t>
            </w:r>
            <w:r>
              <w:br/>
              <w:t>Rectal bleeding</w:t>
            </w:r>
          </w:p>
        </w:tc>
      </w:tr>
      <w:tr w:rsidR="00E078FE" w:rsidRPr="00183E4D" w14:paraId="3B82B4D6" w14:textId="77777777" w:rsidTr="00E078FE">
        <w:trPr>
          <w:cantSplit/>
          <w:trHeight w:val="319"/>
        </w:trPr>
        <w:tc>
          <w:tcPr>
            <w:tcW w:w="612" w:type="pct"/>
            <w:tcBorders>
              <w:top w:val="single" w:sz="4" w:space="0" w:color="auto"/>
              <w:left w:val="single" w:sz="4" w:space="0" w:color="auto"/>
              <w:bottom w:val="single" w:sz="4" w:space="0" w:color="auto"/>
              <w:right w:val="single" w:sz="4" w:space="0" w:color="auto"/>
            </w:tcBorders>
          </w:tcPr>
          <w:p w14:paraId="5B92ADEF" w14:textId="77777777" w:rsidR="00E078FE" w:rsidRPr="001D0B66" w:rsidRDefault="00E078FE" w:rsidP="00E078FE">
            <w:pPr>
              <w:pStyle w:val="Tabletext1"/>
              <w:rPr>
                <w:color w:val="000000"/>
              </w:rPr>
            </w:pPr>
            <w:r w:rsidRPr="001D0B66">
              <w:rPr>
                <w:color w:val="000000" w:themeColor="text1"/>
              </w:rPr>
              <w:t>Loeb et al. (2013)</w:t>
            </w:r>
            <w:r>
              <w:rPr>
                <w:color w:val="000000" w:themeColor="text1"/>
              </w:rPr>
              <w:br/>
            </w:r>
          </w:p>
        </w:tc>
        <w:tc>
          <w:tcPr>
            <w:tcW w:w="448" w:type="pct"/>
            <w:tcBorders>
              <w:top w:val="single" w:sz="4" w:space="0" w:color="auto"/>
              <w:left w:val="single" w:sz="4" w:space="0" w:color="auto"/>
              <w:bottom w:val="single" w:sz="4" w:space="0" w:color="auto"/>
              <w:right w:val="single" w:sz="4" w:space="0" w:color="auto"/>
            </w:tcBorders>
          </w:tcPr>
          <w:p w14:paraId="25279F3D"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7C14B2D6" w14:textId="77777777" w:rsidR="00E078FE" w:rsidRDefault="00E078FE" w:rsidP="00E078FE">
            <w:pPr>
              <w:pStyle w:val="Tabletext1"/>
            </w:pPr>
            <w:r>
              <w:t>Systematic review</w:t>
            </w:r>
          </w:p>
          <w:p w14:paraId="411DA71D" w14:textId="77777777" w:rsidR="00E078FE" w:rsidRDefault="00E078FE" w:rsidP="00E078FE">
            <w:pPr>
              <w:pStyle w:val="Tabletext1"/>
            </w:pPr>
            <w:r>
              <w:t>NR</w:t>
            </w:r>
          </w:p>
          <w:p w14:paraId="29A0E89D" w14:textId="77777777" w:rsidR="00E078FE" w:rsidRPr="00183E4D" w:rsidRDefault="00E078FE" w:rsidP="00E078FE">
            <w:pPr>
              <w:pStyle w:val="Tabletext1"/>
            </w:pPr>
            <w:r>
              <w:t>NR</w:t>
            </w:r>
          </w:p>
        </w:tc>
        <w:tc>
          <w:tcPr>
            <w:tcW w:w="408" w:type="pct"/>
            <w:tcBorders>
              <w:top w:val="single" w:sz="4" w:space="0" w:color="auto"/>
              <w:left w:val="single" w:sz="4" w:space="0" w:color="auto"/>
              <w:bottom w:val="single" w:sz="4" w:space="0" w:color="auto"/>
              <w:right w:val="single" w:sz="4" w:space="0" w:color="auto"/>
            </w:tcBorders>
          </w:tcPr>
          <w:p w14:paraId="1D08AA27"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707448D8" w14:textId="77777777" w:rsidR="00E078FE" w:rsidRDefault="00E078FE" w:rsidP="00E078FE">
            <w:pPr>
              <w:pStyle w:val="Tabletext1"/>
            </w:pPr>
            <w:r>
              <w:t>USA</w:t>
            </w:r>
          </w:p>
          <w:p w14:paraId="381B8CE4" w14:textId="77777777"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13F8DB6D" w14:textId="43487F74" w:rsidR="00E078FE" w:rsidRDefault="00AE3CA0" w:rsidP="00E078FE">
            <w:pPr>
              <w:pStyle w:val="Tabletext1"/>
            </w:pPr>
            <w:r>
              <w:t>n</w:t>
            </w:r>
            <w:r w:rsidR="00E078FE">
              <w:t xml:space="preserve">: 11 studies, 2,705 </w:t>
            </w:r>
            <w:r w:rsidR="00CE60C4">
              <w:t>patients</w:t>
            </w:r>
          </w:p>
          <w:p w14:paraId="4D069AD8" w14:textId="77777777" w:rsidR="00E078FE" w:rsidRDefault="00E078FE" w:rsidP="00E078FE">
            <w:pPr>
              <w:pStyle w:val="Tabletext1"/>
            </w:pPr>
            <w:r>
              <w:t>Age: NR</w:t>
            </w:r>
          </w:p>
          <w:p w14:paraId="116F3DCB" w14:textId="77777777" w:rsidR="00E078FE" w:rsidRDefault="00E078FE" w:rsidP="00E078FE">
            <w:pPr>
              <w:pStyle w:val="Tabletext1"/>
            </w:pPr>
            <w:r w:rsidRPr="004A77EB">
              <w:t xml:space="preserve">PSA: </w:t>
            </w:r>
            <w:r>
              <w:t>NR</w:t>
            </w:r>
          </w:p>
          <w:p w14:paraId="73A248BE" w14:textId="77777777" w:rsidR="00E078FE" w:rsidRDefault="00E078FE" w:rsidP="00E078FE">
            <w:pPr>
              <w:pStyle w:val="Tabletext1"/>
            </w:pPr>
            <w:r w:rsidRPr="004A77EB">
              <w:t xml:space="preserve">Prior biopsy: </w:t>
            </w:r>
            <w:r>
              <w:t>NR</w:t>
            </w:r>
          </w:p>
          <w:p w14:paraId="33CDA37A" w14:textId="77777777" w:rsidR="00E078FE" w:rsidRPr="00183E4D" w:rsidRDefault="00E078FE" w:rsidP="00E078FE">
            <w:pPr>
              <w:pStyle w:val="Tabletext1"/>
            </w:pPr>
          </w:p>
        </w:tc>
        <w:tc>
          <w:tcPr>
            <w:tcW w:w="656" w:type="pct"/>
            <w:tcBorders>
              <w:top w:val="single" w:sz="4" w:space="0" w:color="auto"/>
              <w:left w:val="single" w:sz="4" w:space="0" w:color="auto"/>
              <w:bottom w:val="single" w:sz="4" w:space="0" w:color="auto"/>
              <w:right w:val="single" w:sz="4" w:space="0" w:color="auto"/>
            </w:tcBorders>
          </w:tcPr>
          <w:p w14:paraId="73053BEF" w14:textId="02D4F0AF" w:rsidR="00E078FE" w:rsidRDefault="00E078FE" w:rsidP="00E078FE">
            <w:pPr>
              <w:pStyle w:val="Tabletext1"/>
            </w:pPr>
            <w:r>
              <w:t>TRUS</w:t>
            </w:r>
            <w:r w:rsidR="001248B5">
              <w:t>GB</w:t>
            </w:r>
          </w:p>
          <w:p w14:paraId="2AD93E01" w14:textId="77777777" w:rsidR="00E078FE" w:rsidRDefault="00E078FE" w:rsidP="00E078FE">
            <w:pPr>
              <w:pStyle w:val="Tabletext1"/>
            </w:pPr>
            <w:r>
              <w:t>Cores: NR</w:t>
            </w:r>
          </w:p>
          <w:p w14:paraId="6B2C81B4" w14:textId="77777777" w:rsidR="00E078FE" w:rsidRDefault="00E078FE" w:rsidP="00E078FE">
            <w:pPr>
              <w:pStyle w:val="Tabletext1"/>
            </w:pPr>
            <w:r>
              <w:t>Enema: NR</w:t>
            </w:r>
          </w:p>
          <w:p w14:paraId="2578D253"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27297E44" w14:textId="77777777" w:rsidR="00E078FE" w:rsidRDefault="00E078FE" w:rsidP="00E078FE">
            <w:pPr>
              <w:pStyle w:val="Tabletext1"/>
            </w:pPr>
            <w:r>
              <w:t>Haematuria</w:t>
            </w:r>
          </w:p>
          <w:p w14:paraId="7DDDAE72" w14:textId="45C08684" w:rsidR="00E078FE" w:rsidRDefault="00FF3A0A" w:rsidP="00E078FE">
            <w:pPr>
              <w:pStyle w:val="Tabletext1"/>
            </w:pPr>
            <w:r w:rsidRPr="00E475DD">
              <w:t>Haematospermia</w:t>
            </w:r>
            <w:r w:rsidR="00E078FE">
              <w:br/>
              <w:t>Rectal bleeding</w:t>
            </w:r>
            <w:r w:rsidR="00E078FE">
              <w:br/>
              <w:t>Erectile dysfunction</w:t>
            </w:r>
          </w:p>
          <w:p w14:paraId="3C7A5103" w14:textId="77777777" w:rsidR="00E078FE" w:rsidRPr="00183E4D" w:rsidRDefault="00E078FE" w:rsidP="00E078FE">
            <w:pPr>
              <w:pStyle w:val="Tabletext1"/>
            </w:pPr>
          </w:p>
        </w:tc>
      </w:tr>
    </w:tbl>
    <w:p w14:paraId="319EEDE2" w14:textId="5B340C2A" w:rsidR="00C45F11" w:rsidRDefault="00C45F11" w:rsidP="00E846BC">
      <w:pPr>
        <w:pStyle w:val="TableNotes"/>
      </w:pPr>
      <w:r w:rsidRPr="00C45F11">
        <w:rPr>
          <w:vertAlign w:val="superscript"/>
        </w:rPr>
        <w:t>a</w:t>
      </w:r>
      <w:r>
        <w:t>: D</w:t>
      </w:r>
      <w:r w:rsidR="00E078FE" w:rsidRPr="00C45F11">
        <w:t>escribes</w:t>
      </w:r>
      <w:r w:rsidR="00E078FE">
        <w:t xml:space="preserve"> consecutive or non-consecutive enrolment. </w:t>
      </w:r>
    </w:p>
    <w:p w14:paraId="04DE6437" w14:textId="0BF35B0A" w:rsidR="00C45F11" w:rsidRDefault="00C45F11" w:rsidP="00E846BC">
      <w:pPr>
        <w:pStyle w:val="TableNotes"/>
      </w:pPr>
      <w:r>
        <w:rPr>
          <w:vertAlign w:val="superscript"/>
        </w:rPr>
        <w:t>b</w:t>
      </w:r>
      <w:r w:rsidRPr="00C45F11">
        <w:t>:</w:t>
      </w:r>
      <w:r>
        <w:rPr>
          <w:vertAlign w:val="superscript"/>
        </w:rPr>
        <w:t xml:space="preserve"> </w:t>
      </w:r>
      <w:r>
        <w:t>D</w:t>
      </w:r>
      <w:r w:rsidR="00E078FE">
        <w:t xml:space="preserve">escribes a retrospective or prospective study design. </w:t>
      </w:r>
    </w:p>
    <w:p w14:paraId="206039EE" w14:textId="30A328F2" w:rsidR="00E078FE" w:rsidRDefault="00E078FE" w:rsidP="00E846BC">
      <w:pPr>
        <w:pStyle w:val="TableNotes"/>
        <w:rPr>
          <w:rStyle w:val="Hyperlink"/>
          <w:vanish/>
          <w:sz w:val="20"/>
        </w:rPr>
      </w:pPr>
      <w:r w:rsidRPr="00B83FA3">
        <w:rPr>
          <w:vertAlign w:val="superscript"/>
        </w:rPr>
        <w:t>c</w:t>
      </w:r>
      <w:r w:rsidR="00C45F11">
        <w:t>: S</w:t>
      </w:r>
      <w:r>
        <w:t>ource:</w:t>
      </w:r>
      <w:r w:rsidRPr="00183E4D">
        <w:t xml:space="preserve"> </w:t>
      </w:r>
      <w:hyperlink r:id="rId63" w:history="1">
        <w:r>
          <w:rPr>
            <w:rStyle w:val="Hyperlink"/>
          </w:rPr>
          <w:t>NHMRC hierarchy of evidence</w:t>
        </w:r>
      </w:hyperlink>
      <w:r w:rsidR="00A4761C">
        <w:rPr>
          <w:rStyle w:val="Hyperlink"/>
          <w:vanish/>
          <w:sz w:val="20"/>
        </w:rPr>
        <w:t>.</w:t>
      </w:r>
    </w:p>
    <w:p w14:paraId="284EA52E" w14:textId="3E221808" w:rsidR="005776D0" w:rsidRPr="00E846BC" w:rsidRDefault="005776D0" w:rsidP="00E846BC">
      <w:pPr>
        <w:pStyle w:val="TableNotes"/>
      </w:pPr>
      <w:r w:rsidRPr="00E846BC">
        <w:rPr>
          <w:rStyle w:val="Hyperlink"/>
          <w:color w:val="auto"/>
          <w:u w:val="none"/>
        </w:rPr>
        <w:t>NR = not reported, PSA = prostate specific antigen, TRUS</w:t>
      </w:r>
      <w:r w:rsidR="001248B5">
        <w:rPr>
          <w:rStyle w:val="Hyperlink"/>
          <w:color w:val="auto"/>
          <w:u w:val="none"/>
        </w:rPr>
        <w:t>GB</w:t>
      </w:r>
      <w:r w:rsidRPr="00E846BC">
        <w:rPr>
          <w:rStyle w:val="Hyperlink"/>
          <w:color w:val="auto"/>
          <w:u w:val="none"/>
        </w:rPr>
        <w:t xml:space="preserve"> = trans</w:t>
      </w:r>
      <w:r w:rsidR="006F3F56">
        <w:rPr>
          <w:rStyle w:val="Hyperlink"/>
          <w:color w:val="auto"/>
          <w:u w:val="none"/>
        </w:rPr>
        <w:t>-</w:t>
      </w:r>
      <w:r w:rsidRPr="00E846BC">
        <w:rPr>
          <w:rStyle w:val="Hyperlink"/>
          <w:color w:val="auto"/>
          <w:u w:val="none"/>
        </w:rPr>
        <w:t>rectal ultrasound</w:t>
      </w:r>
      <w:r w:rsidR="0099369C">
        <w:rPr>
          <w:rStyle w:val="Hyperlink"/>
          <w:color w:val="auto"/>
          <w:u w:val="none"/>
        </w:rPr>
        <w:t xml:space="preserve"> guided biopsy</w:t>
      </w:r>
      <w:r w:rsidRPr="00E846BC">
        <w:rPr>
          <w:rStyle w:val="Hyperlink"/>
          <w:color w:val="auto"/>
          <w:u w:val="none"/>
        </w:rPr>
        <w:t>, RCT = randomised controlled trial</w:t>
      </w:r>
      <w:r w:rsidR="00AE3CA0">
        <w:rPr>
          <w:rStyle w:val="Hyperlink"/>
          <w:color w:val="auto"/>
          <w:u w:val="none"/>
        </w:rPr>
        <w:t>, UTI = urinary tract infection</w:t>
      </w:r>
      <w:r w:rsidR="00F26535">
        <w:rPr>
          <w:rStyle w:val="Hyperlink"/>
          <w:color w:val="auto"/>
          <w:u w:val="none"/>
        </w:rPr>
        <w:t>, PICO = participant intervention comparator outcome</w:t>
      </w:r>
      <w:r w:rsidR="00A4761C">
        <w:rPr>
          <w:rStyle w:val="Hyperlink"/>
          <w:color w:val="auto"/>
          <w:u w:val="none"/>
        </w:rPr>
        <w:t>.</w:t>
      </w:r>
    </w:p>
    <w:p w14:paraId="27E17F76" w14:textId="77777777" w:rsidR="00E078FE" w:rsidRDefault="00E078FE" w:rsidP="00E078FE">
      <w:pPr>
        <w:pStyle w:val="Heading2"/>
      </w:pPr>
      <w:bookmarkStart w:id="787" w:name="_Toc460514017"/>
      <w:r w:rsidRPr="00183E4D">
        <w:lastRenderedPageBreak/>
        <w:t xml:space="preserve">Profiles of studies on </w:t>
      </w:r>
      <w:r>
        <w:t>the safety of the TPUSGB</w:t>
      </w:r>
      <w:r w:rsidRPr="00183E4D">
        <w:t xml:space="preserve"> included in the systematic literature review</w:t>
      </w:r>
      <w:bookmarkEnd w:id="787"/>
    </w:p>
    <w:p w14:paraId="2AF6A14B" w14:textId="5A490DCC" w:rsidR="000B1DB4" w:rsidRPr="000B1DB4" w:rsidRDefault="000B1DB4" w:rsidP="009A220C">
      <w:pPr>
        <w:pStyle w:val="Caption"/>
      </w:pPr>
      <w:bookmarkStart w:id="788" w:name="_Toc460514574"/>
      <w:r>
        <w:t xml:space="preserve">Table </w:t>
      </w:r>
      <w:fldSimple w:instr=" SEQ Table \* ARABIC ">
        <w:r w:rsidR="0029649D">
          <w:rPr>
            <w:noProof/>
          </w:rPr>
          <w:t>74</w:t>
        </w:r>
      </w:fldSimple>
      <w:r w:rsidR="00D03D2D">
        <w:rPr>
          <w:noProof/>
        </w:rPr>
        <w:tab/>
        <w:t>Studies rpeorting safety outcomes associated with TPUSGB</w:t>
      </w:r>
      <w:bookmarkEnd w:id="788"/>
    </w:p>
    <w:tbl>
      <w:tblPr>
        <w:tblW w:w="5000" w:type="pct"/>
        <w:tblLook w:val="04A0" w:firstRow="1" w:lastRow="0" w:firstColumn="1" w:lastColumn="0" w:noHBand="0" w:noVBand="1"/>
        <w:tblCaption w:val="Profiles of studies on XXXX included in the systematic literature review"/>
        <w:tblDescription w:val="Description of each of the studies included in the systematic literature review."/>
      </w:tblPr>
      <w:tblGrid>
        <w:gridCol w:w="1879"/>
        <w:gridCol w:w="1376"/>
        <w:gridCol w:w="1888"/>
        <w:gridCol w:w="1253"/>
        <w:gridCol w:w="1443"/>
        <w:gridCol w:w="2932"/>
        <w:gridCol w:w="2014"/>
        <w:gridCol w:w="2567"/>
      </w:tblGrid>
      <w:tr w:rsidR="00E078FE" w:rsidRPr="00E078FE" w14:paraId="6E8E5DE8" w14:textId="77777777" w:rsidTr="00E078FE">
        <w:trPr>
          <w:trHeight w:val="1785"/>
          <w:tblHeader/>
        </w:trPr>
        <w:tc>
          <w:tcPr>
            <w:tcW w:w="612" w:type="pct"/>
            <w:tcBorders>
              <w:top w:val="single" w:sz="4" w:space="0" w:color="auto"/>
              <w:left w:val="single" w:sz="4" w:space="0" w:color="auto"/>
              <w:bottom w:val="single" w:sz="4" w:space="0" w:color="auto"/>
              <w:right w:val="single" w:sz="4" w:space="0" w:color="auto"/>
            </w:tcBorders>
          </w:tcPr>
          <w:p w14:paraId="10E3A6EA" w14:textId="77777777" w:rsidR="00E078FE" w:rsidRPr="00E078FE" w:rsidRDefault="00E078FE" w:rsidP="00E078FE">
            <w:pPr>
              <w:pStyle w:val="TableHeading"/>
            </w:pPr>
            <w:r w:rsidRPr="00E078FE">
              <w:t>Study ID</w:t>
            </w:r>
          </w:p>
        </w:tc>
        <w:tc>
          <w:tcPr>
            <w:tcW w:w="448" w:type="pct"/>
            <w:tcBorders>
              <w:top w:val="single" w:sz="4" w:space="0" w:color="auto"/>
              <w:left w:val="single" w:sz="4" w:space="0" w:color="auto"/>
              <w:bottom w:val="single" w:sz="4" w:space="0" w:color="auto"/>
              <w:right w:val="single" w:sz="4" w:space="0" w:color="auto"/>
            </w:tcBorders>
          </w:tcPr>
          <w:p w14:paraId="088718B5" w14:textId="77777777" w:rsidR="00E078FE" w:rsidRPr="00E078FE" w:rsidRDefault="00E078FE" w:rsidP="00E078FE">
            <w:pPr>
              <w:pStyle w:val="TableHeading"/>
            </w:pPr>
            <w:r w:rsidRPr="00E078FE">
              <w:t>Used in meta-analysis</w:t>
            </w:r>
          </w:p>
        </w:tc>
        <w:tc>
          <w:tcPr>
            <w:tcW w:w="615" w:type="pct"/>
            <w:tcBorders>
              <w:top w:val="single" w:sz="4" w:space="0" w:color="auto"/>
              <w:left w:val="single" w:sz="4" w:space="0" w:color="auto"/>
              <w:bottom w:val="single" w:sz="4" w:space="0" w:color="auto"/>
              <w:right w:val="single" w:sz="4" w:space="0" w:color="auto"/>
            </w:tcBorders>
          </w:tcPr>
          <w:p w14:paraId="41CB85FC" w14:textId="77777777" w:rsidR="00E078FE" w:rsidRPr="00E078FE" w:rsidRDefault="00E078FE" w:rsidP="00E078FE">
            <w:pPr>
              <w:pStyle w:val="TableHeading"/>
            </w:pPr>
            <w:r w:rsidRPr="00E078FE">
              <w:t>Study type</w:t>
            </w:r>
          </w:p>
          <w:p w14:paraId="37DFF129" w14:textId="77777777" w:rsidR="00E078FE" w:rsidRPr="00E078FE" w:rsidRDefault="00E078FE" w:rsidP="00E078FE">
            <w:pPr>
              <w:pStyle w:val="TableHeading"/>
            </w:pPr>
            <w:r w:rsidRPr="00E078FE">
              <w:t>Enrolement</w:t>
            </w:r>
            <w:r w:rsidRPr="000C0CCE">
              <w:rPr>
                <w:vertAlign w:val="superscript"/>
              </w:rPr>
              <w:t>a</w:t>
            </w:r>
          </w:p>
          <w:p w14:paraId="253378DB" w14:textId="77777777" w:rsidR="00E078FE" w:rsidRPr="00E078FE" w:rsidRDefault="00E078FE" w:rsidP="00E078FE">
            <w:pPr>
              <w:pStyle w:val="TableHeading"/>
            </w:pPr>
            <w:r w:rsidRPr="00E078FE">
              <w:t>Design</w:t>
            </w:r>
            <w:r w:rsidRPr="000C0CCE">
              <w:rPr>
                <w:vertAlign w:val="superscript"/>
              </w:rPr>
              <w:t>b</w:t>
            </w:r>
          </w:p>
          <w:p w14:paraId="42B01D8F" w14:textId="77777777" w:rsidR="00E078FE" w:rsidRPr="00E078FE" w:rsidRDefault="00E078FE" w:rsidP="00E078FE">
            <w:pPr>
              <w:pStyle w:val="TableHeading"/>
            </w:pPr>
          </w:p>
        </w:tc>
        <w:tc>
          <w:tcPr>
            <w:tcW w:w="408" w:type="pct"/>
            <w:tcBorders>
              <w:top w:val="single" w:sz="4" w:space="0" w:color="auto"/>
              <w:left w:val="single" w:sz="4" w:space="0" w:color="auto"/>
              <w:bottom w:val="single" w:sz="4" w:space="0" w:color="auto"/>
              <w:right w:val="single" w:sz="4" w:space="0" w:color="auto"/>
            </w:tcBorders>
          </w:tcPr>
          <w:p w14:paraId="796AD308" w14:textId="77777777" w:rsidR="00E078FE" w:rsidRPr="00E078FE" w:rsidRDefault="00E078FE" w:rsidP="00E078FE">
            <w:pPr>
              <w:pStyle w:val="TableHeading"/>
            </w:pPr>
            <w:r w:rsidRPr="00E078FE">
              <w:t>Level of evidence</w:t>
            </w:r>
            <w:r w:rsidRPr="000C0CCE">
              <w:rPr>
                <w:vertAlign w:val="superscript"/>
              </w:rPr>
              <w:t>c</w:t>
            </w:r>
          </w:p>
        </w:tc>
        <w:tc>
          <w:tcPr>
            <w:tcW w:w="470" w:type="pct"/>
            <w:tcBorders>
              <w:top w:val="single" w:sz="4" w:space="0" w:color="auto"/>
              <w:left w:val="single" w:sz="4" w:space="0" w:color="auto"/>
              <w:bottom w:val="single" w:sz="4" w:space="0" w:color="auto"/>
              <w:right w:val="single" w:sz="4" w:space="0" w:color="auto"/>
            </w:tcBorders>
          </w:tcPr>
          <w:p w14:paraId="122EE32E" w14:textId="77777777" w:rsidR="00E078FE" w:rsidRPr="00E078FE" w:rsidRDefault="00E078FE" w:rsidP="00E078FE">
            <w:pPr>
              <w:pStyle w:val="TableHeading"/>
            </w:pPr>
            <w:r w:rsidRPr="00E078FE">
              <w:t>Location</w:t>
            </w:r>
          </w:p>
          <w:p w14:paraId="2BCE0632" w14:textId="77777777" w:rsidR="00E078FE" w:rsidRPr="00E078FE" w:rsidRDefault="00E078FE" w:rsidP="00E078FE">
            <w:pPr>
              <w:pStyle w:val="TableHeading"/>
            </w:pPr>
            <w:r w:rsidRPr="00E078FE">
              <w:t>Setting</w:t>
            </w:r>
          </w:p>
          <w:p w14:paraId="19D085A2" w14:textId="77777777" w:rsidR="00E078FE" w:rsidRPr="00E078FE" w:rsidRDefault="00E078FE" w:rsidP="00E078FE">
            <w:pPr>
              <w:pStyle w:val="TableHeading"/>
            </w:pPr>
          </w:p>
        </w:tc>
        <w:tc>
          <w:tcPr>
            <w:tcW w:w="955" w:type="pct"/>
            <w:tcBorders>
              <w:top w:val="single" w:sz="4" w:space="0" w:color="auto"/>
              <w:left w:val="single" w:sz="4" w:space="0" w:color="auto"/>
              <w:bottom w:val="single" w:sz="4" w:space="0" w:color="auto"/>
              <w:right w:val="single" w:sz="4" w:space="0" w:color="auto"/>
            </w:tcBorders>
          </w:tcPr>
          <w:p w14:paraId="6FA346AE" w14:textId="77777777" w:rsidR="00E078FE" w:rsidRPr="00E078FE" w:rsidRDefault="00E078FE" w:rsidP="00E078FE">
            <w:pPr>
              <w:pStyle w:val="TableHeading"/>
            </w:pPr>
            <w:r w:rsidRPr="00E078FE">
              <w:t>Study population characteristics</w:t>
            </w:r>
          </w:p>
          <w:p w14:paraId="65DB6F34" w14:textId="3D5EBC3A" w:rsidR="00E078FE" w:rsidRPr="00E078FE" w:rsidRDefault="00AE3CA0" w:rsidP="00E078FE">
            <w:pPr>
              <w:pStyle w:val="TableHeading"/>
            </w:pPr>
            <w:r>
              <w:t>n</w:t>
            </w:r>
          </w:p>
          <w:p w14:paraId="2E46109B" w14:textId="77777777" w:rsidR="00E078FE" w:rsidRPr="00E078FE" w:rsidRDefault="00E078FE" w:rsidP="00E078FE">
            <w:pPr>
              <w:pStyle w:val="TableHeading"/>
            </w:pPr>
            <w:r w:rsidRPr="00E078FE">
              <w:t>Age years</w:t>
            </w:r>
          </w:p>
          <w:p w14:paraId="50F7E7AB" w14:textId="77777777" w:rsidR="00E078FE" w:rsidRPr="00E078FE" w:rsidRDefault="00E078FE" w:rsidP="00E078FE">
            <w:pPr>
              <w:pStyle w:val="TableHeading"/>
            </w:pPr>
            <w:r w:rsidRPr="00E078FE">
              <w:t>PSA ng/ml</w:t>
            </w:r>
          </w:p>
          <w:p w14:paraId="517F7166" w14:textId="77777777" w:rsidR="00E078FE" w:rsidRPr="00E078FE" w:rsidRDefault="00E078FE" w:rsidP="00E078FE">
            <w:pPr>
              <w:pStyle w:val="TableHeading"/>
            </w:pPr>
            <w:r w:rsidRPr="00E078FE">
              <w:t>PSA density</w:t>
            </w:r>
          </w:p>
          <w:p w14:paraId="212E2D93" w14:textId="77777777" w:rsidR="00E078FE" w:rsidRPr="00E078FE" w:rsidRDefault="00E078FE" w:rsidP="00E078FE">
            <w:pPr>
              <w:pStyle w:val="TableHeading"/>
            </w:pPr>
            <w:r w:rsidRPr="00E078FE">
              <w:t>Prior biopsy (%)</w:t>
            </w:r>
          </w:p>
        </w:tc>
        <w:tc>
          <w:tcPr>
            <w:tcW w:w="656" w:type="pct"/>
            <w:tcBorders>
              <w:top w:val="single" w:sz="4" w:space="0" w:color="auto"/>
              <w:left w:val="single" w:sz="4" w:space="0" w:color="auto"/>
              <w:bottom w:val="single" w:sz="4" w:space="0" w:color="auto"/>
              <w:right w:val="single" w:sz="4" w:space="0" w:color="auto"/>
            </w:tcBorders>
          </w:tcPr>
          <w:p w14:paraId="039719E0" w14:textId="77777777" w:rsidR="00E078FE" w:rsidRPr="00E078FE" w:rsidRDefault="00E078FE" w:rsidP="00E078FE">
            <w:pPr>
              <w:pStyle w:val="TableHeading"/>
            </w:pPr>
            <w:r w:rsidRPr="00E078FE">
              <w:t xml:space="preserve">Description of </w:t>
            </w:r>
          </w:p>
          <w:p w14:paraId="56C86610" w14:textId="77777777" w:rsidR="00E078FE" w:rsidRPr="00E078FE" w:rsidRDefault="00E078FE" w:rsidP="00E078FE">
            <w:pPr>
              <w:pStyle w:val="TableHeading"/>
            </w:pPr>
            <w:r w:rsidRPr="00E078FE">
              <w:t>Biopsy type</w:t>
            </w:r>
          </w:p>
        </w:tc>
        <w:tc>
          <w:tcPr>
            <w:tcW w:w="836" w:type="pct"/>
            <w:tcBorders>
              <w:top w:val="single" w:sz="4" w:space="0" w:color="auto"/>
              <w:left w:val="single" w:sz="4" w:space="0" w:color="auto"/>
              <w:bottom w:val="single" w:sz="4" w:space="0" w:color="auto"/>
              <w:right w:val="single" w:sz="4" w:space="0" w:color="auto"/>
            </w:tcBorders>
          </w:tcPr>
          <w:p w14:paraId="61005CC9" w14:textId="77777777" w:rsidR="00E078FE" w:rsidRPr="00E078FE" w:rsidRDefault="00E078FE" w:rsidP="00E078FE">
            <w:pPr>
              <w:pStyle w:val="TableHeading"/>
            </w:pPr>
            <w:r w:rsidRPr="00E078FE">
              <w:t xml:space="preserve">Relevant outcomes assessed </w:t>
            </w:r>
          </w:p>
          <w:p w14:paraId="65F47737" w14:textId="43E36DBD" w:rsidR="00E078FE" w:rsidRPr="00E078FE" w:rsidRDefault="00E078FE" w:rsidP="00E078FE">
            <w:pPr>
              <w:pStyle w:val="TableHeading"/>
            </w:pPr>
            <w:r w:rsidRPr="00E078FE">
              <w:t>(i</w:t>
            </w:r>
            <w:r w:rsidR="00AE3CA0">
              <w:t>.</w:t>
            </w:r>
            <w:r w:rsidRPr="00E078FE">
              <w:t>e</w:t>
            </w:r>
            <w:r w:rsidR="00AE3CA0">
              <w:t>.</w:t>
            </w:r>
            <w:r w:rsidRPr="00E078FE">
              <w:t xml:space="preserve"> related to outcomes specified in PICO)</w:t>
            </w:r>
          </w:p>
        </w:tc>
      </w:tr>
      <w:tr w:rsidR="00E078FE" w:rsidRPr="00183E4D" w14:paraId="5DC0371B" w14:textId="77777777" w:rsidTr="00E078FE">
        <w:trPr>
          <w:trHeight w:val="1359"/>
        </w:trPr>
        <w:tc>
          <w:tcPr>
            <w:tcW w:w="612" w:type="pct"/>
            <w:tcBorders>
              <w:top w:val="single" w:sz="4" w:space="0" w:color="auto"/>
              <w:left w:val="single" w:sz="4" w:space="0" w:color="auto"/>
              <w:bottom w:val="single" w:sz="4" w:space="0" w:color="auto"/>
              <w:right w:val="single" w:sz="4" w:space="0" w:color="auto"/>
            </w:tcBorders>
          </w:tcPr>
          <w:p w14:paraId="66B580D2" w14:textId="77777777" w:rsidR="00E078FE" w:rsidRPr="004A5AB2" w:rsidRDefault="00E078FE" w:rsidP="00E078FE">
            <w:pPr>
              <w:pStyle w:val="Tabletext1"/>
            </w:pPr>
            <w:r w:rsidRPr="004A5AB2">
              <w:t>Mai et al. (2016)</w:t>
            </w:r>
            <w:r>
              <w:br/>
            </w:r>
          </w:p>
        </w:tc>
        <w:tc>
          <w:tcPr>
            <w:tcW w:w="448" w:type="pct"/>
            <w:tcBorders>
              <w:top w:val="single" w:sz="4" w:space="0" w:color="auto"/>
              <w:left w:val="single" w:sz="4" w:space="0" w:color="auto"/>
              <w:bottom w:val="single" w:sz="4" w:space="0" w:color="auto"/>
              <w:right w:val="single" w:sz="4" w:space="0" w:color="auto"/>
            </w:tcBorders>
          </w:tcPr>
          <w:p w14:paraId="5C1BD593"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32DD47B6" w14:textId="77777777" w:rsidR="00E078FE" w:rsidRDefault="00E078FE" w:rsidP="00E078FE">
            <w:pPr>
              <w:pStyle w:val="Tabletext1"/>
            </w:pPr>
            <w:r>
              <w:t>Case series</w:t>
            </w:r>
            <w:r>
              <w:br/>
              <w:t xml:space="preserve">Non-consecutive </w:t>
            </w:r>
          </w:p>
          <w:p w14:paraId="6E14ECC1" w14:textId="77777777" w:rsidR="00E078FE" w:rsidRPr="00183E4D" w:rsidRDefault="00E078FE" w:rsidP="00E078FE">
            <w:pPr>
              <w:pStyle w:val="Tabletext1"/>
            </w:pPr>
            <w:r>
              <w:t>NR</w:t>
            </w:r>
          </w:p>
        </w:tc>
        <w:tc>
          <w:tcPr>
            <w:tcW w:w="408" w:type="pct"/>
            <w:tcBorders>
              <w:top w:val="single" w:sz="4" w:space="0" w:color="auto"/>
              <w:left w:val="single" w:sz="4" w:space="0" w:color="auto"/>
              <w:bottom w:val="single" w:sz="4" w:space="0" w:color="auto"/>
              <w:right w:val="single" w:sz="4" w:space="0" w:color="auto"/>
            </w:tcBorders>
          </w:tcPr>
          <w:p w14:paraId="33CB8793" w14:textId="77777777" w:rsidR="00E078FE" w:rsidRPr="00183E4D" w:rsidRDefault="00E078FE" w:rsidP="00E078FE">
            <w:pPr>
              <w:pStyle w:val="Tabletext1"/>
            </w:pPr>
            <w:r w:rsidRPr="00AE25EE">
              <w:t>IV</w:t>
            </w:r>
          </w:p>
        </w:tc>
        <w:tc>
          <w:tcPr>
            <w:tcW w:w="470" w:type="pct"/>
            <w:tcBorders>
              <w:top w:val="single" w:sz="4" w:space="0" w:color="auto"/>
              <w:left w:val="single" w:sz="4" w:space="0" w:color="auto"/>
              <w:bottom w:val="single" w:sz="4" w:space="0" w:color="auto"/>
              <w:right w:val="single" w:sz="4" w:space="0" w:color="auto"/>
            </w:tcBorders>
          </w:tcPr>
          <w:p w14:paraId="221CD59D" w14:textId="77777777" w:rsidR="00E078FE" w:rsidRDefault="00E078FE" w:rsidP="00E078FE">
            <w:pPr>
              <w:pStyle w:val="Tabletext1"/>
            </w:pPr>
            <w:r w:rsidRPr="004A5AB2">
              <w:t>China</w:t>
            </w:r>
          </w:p>
          <w:p w14:paraId="473BBF40" w14:textId="77777777" w:rsidR="00E078FE" w:rsidRPr="00183E4D" w:rsidRDefault="00E078FE" w:rsidP="00E078FE">
            <w:pPr>
              <w:pStyle w:val="Tabletext1"/>
            </w:pPr>
            <w:r>
              <w:t>Tertiary hospital</w:t>
            </w:r>
          </w:p>
        </w:tc>
        <w:tc>
          <w:tcPr>
            <w:tcW w:w="955" w:type="pct"/>
            <w:tcBorders>
              <w:top w:val="single" w:sz="4" w:space="0" w:color="auto"/>
              <w:left w:val="single" w:sz="4" w:space="0" w:color="auto"/>
              <w:bottom w:val="single" w:sz="4" w:space="0" w:color="auto"/>
              <w:right w:val="single" w:sz="4" w:space="0" w:color="auto"/>
            </w:tcBorders>
          </w:tcPr>
          <w:p w14:paraId="5A24E492" w14:textId="07D4E405" w:rsidR="00E078FE" w:rsidRDefault="00AE3CA0" w:rsidP="00E078FE">
            <w:pPr>
              <w:pStyle w:val="Tabletext1"/>
            </w:pPr>
            <w:r>
              <w:t>n</w:t>
            </w:r>
            <w:r w:rsidR="00E078FE">
              <w:t>: 3,007</w:t>
            </w:r>
          </w:p>
          <w:p w14:paraId="5461AB93" w14:textId="77777777" w:rsidR="00E078FE" w:rsidRDefault="00E078FE" w:rsidP="00E078FE">
            <w:pPr>
              <w:pStyle w:val="Tabletext1"/>
            </w:pPr>
            <w:r>
              <w:t xml:space="preserve">Age: </w:t>
            </w:r>
            <w:r w:rsidRPr="00DC47DE">
              <w:t>70 [30-91]</w:t>
            </w:r>
          </w:p>
          <w:p w14:paraId="42000DE1" w14:textId="77777777" w:rsidR="00E078FE" w:rsidRPr="00DC47DE" w:rsidRDefault="00E078FE" w:rsidP="00E078FE">
            <w:pPr>
              <w:pStyle w:val="Tabletext1"/>
            </w:pPr>
            <w:r>
              <w:t xml:space="preserve">PSA: </w:t>
            </w:r>
            <w:r w:rsidRPr="00DC47DE">
              <w:t>11.0 (0.2-100)</w:t>
            </w:r>
          </w:p>
          <w:p w14:paraId="172144A9" w14:textId="77777777" w:rsidR="00E078FE" w:rsidRPr="00DC47DE" w:rsidRDefault="00E078FE" w:rsidP="00E078FE">
            <w:pPr>
              <w:pStyle w:val="Tabletext1"/>
            </w:pPr>
            <w:r>
              <w:t>Prior biopsy: 0</w:t>
            </w:r>
          </w:p>
          <w:p w14:paraId="7253CBA7" w14:textId="77777777" w:rsidR="00E078FE" w:rsidRPr="00183E4D" w:rsidRDefault="00E078FE" w:rsidP="00E078FE">
            <w:pPr>
              <w:pStyle w:val="Tabletext1"/>
            </w:pPr>
          </w:p>
        </w:tc>
        <w:tc>
          <w:tcPr>
            <w:tcW w:w="656" w:type="pct"/>
            <w:tcBorders>
              <w:top w:val="single" w:sz="4" w:space="0" w:color="auto"/>
              <w:left w:val="single" w:sz="4" w:space="0" w:color="auto"/>
              <w:bottom w:val="single" w:sz="4" w:space="0" w:color="auto"/>
              <w:right w:val="single" w:sz="4" w:space="0" w:color="auto"/>
            </w:tcBorders>
          </w:tcPr>
          <w:p w14:paraId="2F869079" w14:textId="77777777" w:rsidR="00E078FE" w:rsidRDefault="00E078FE" w:rsidP="00E078FE">
            <w:pPr>
              <w:pStyle w:val="Tabletext1"/>
            </w:pPr>
            <w:r>
              <w:t>Guidance: US</w:t>
            </w:r>
          </w:p>
          <w:p w14:paraId="58614760" w14:textId="77777777" w:rsidR="00E078FE" w:rsidRDefault="00E078FE" w:rsidP="00E078FE">
            <w:pPr>
              <w:pStyle w:val="Tabletext1"/>
            </w:pPr>
            <w:r>
              <w:t>Cores: NR</w:t>
            </w:r>
          </w:p>
          <w:p w14:paraId="26FC0A6A" w14:textId="77777777" w:rsidR="00E078FE" w:rsidRDefault="00E078FE" w:rsidP="00E078FE">
            <w:pPr>
              <w:pStyle w:val="Tabletext1"/>
            </w:pPr>
            <w:r>
              <w:t>Enema: NR</w:t>
            </w:r>
          </w:p>
          <w:p w14:paraId="2E28447F" w14:textId="77777777" w:rsidR="00E078FE" w:rsidRPr="00183E4D" w:rsidRDefault="00E078FE" w:rsidP="00E078FE">
            <w:pPr>
              <w:pStyle w:val="Tabletext1"/>
            </w:pPr>
            <w:r>
              <w:t>Needle: 18G</w:t>
            </w:r>
          </w:p>
        </w:tc>
        <w:tc>
          <w:tcPr>
            <w:tcW w:w="836" w:type="pct"/>
            <w:tcBorders>
              <w:top w:val="single" w:sz="4" w:space="0" w:color="auto"/>
              <w:left w:val="single" w:sz="4" w:space="0" w:color="auto"/>
              <w:bottom w:val="single" w:sz="4" w:space="0" w:color="auto"/>
              <w:right w:val="single" w:sz="4" w:space="0" w:color="auto"/>
            </w:tcBorders>
          </w:tcPr>
          <w:p w14:paraId="59D89A9F" w14:textId="77777777" w:rsidR="00E078FE" w:rsidRDefault="00E078FE" w:rsidP="00E078FE">
            <w:pPr>
              <w:pStyle w:val="Tabletext1"/>
            </w:pPr>
            <w:r>
              <w:t>Infection</w:t>
            </w:r>
          </w:p>
          <w:p w14:paraId="65B0A179" w14:textId="77777777" w:rsidR="00E078FE" w:rsidRDefault="00E078FE" w:rsidP="00E078FE">
            <w:pPr>
              <w:pStyle w:val="Tabletext1"/>
            </w:pPr>
            <w:r>
              <w:t>Urinary obstruction</w:t>
            </w:r>
          </w:p>
          <w:p w14:paraId="442F8562" w14:textId="77777777" w:rsidR="00E078FE" w:rsidRDefault="00E078FE" w:rsidP="00E078FE">
            <w:pPr>
              <w:pStyle w:val="Tabletext1"/>
            </w:pPr>
            <w:r>
              <w:t>Haematuria</w:t>
            </w:r>
          </w:p>
          <w:p w14:paraId="6E1CE60D" w14:textId="77777777" w:rsidR="00E078FE" w:rsidRDefault="00E078FE" w:rsidP="00E078FE">
            <w:pPr>
              <w:pStyle w:val="Tabletext1"/>
            </w:pPr>
            <w:r>
              <w:t>Hospitalisation</w:t>
            </w:r>
          </w:p>
          <w:p w14:paraId="65B27EAD" w14:textId="77777777" w:rsidR="00E078FE" w:rsidRDefault="00E078FE" w:rsidP="00E078FE">
            <w:pPr>
              <w:pStyle w:val="Tabletext1"/>
            </w:pPr>
            <w:r>
              <w:t>Mild haematuria</w:t>
            </w:r>
          </w:p>
          <w:p w14:paraId="0BB299BA" w14:textId="4F3710E5" w:rsidR="00E078FE" w:rsidRPr="00183E4D" w:rsidRDefault="00FF3A0A" w:rsidP="00E078FE">
            <w:pPr>
              <w:pStyle w:val="Tabletext1"/>
            </w:pPr>
            <w:r w:rsidRPr="00E475DD">
              <w:t>Haematospermia</w:t>
            </w:r>
            <w:r w:rsidR="00E078FE">
              <w:br/>
              <w:t>Perineal haematoma</w:t>
            </w:r>
            <w:r w:rsidR="00E078FE">
              <w:br/>
              <w:t>Rectal bleeding</w:t>
            </w:r>
          </w:p>
        </w:tc>
      </w:tr>
      <w:tr w:rsidR="00E078FE" w:rsidRPr="00183E4D" w14:paraId="0B2838C5" w14:textId="77777777" w:rsidTr="00E078FE">
        <w:trPr>
          <w:trHeight w:val="319"/>
        </w:trPr>
        <w:tc>
          <w:tcPr>
            <w:tcW w:w="612" w:type="pct"/>
            <w:tcBorders>
              <w:top w:val="single" w:sz="4" w:space="0" w:color="auto"/>
              <w:left w:val="single" w:sz="4" w:space="0" w:color="auto"/>
              <w:bottom w:val="single" w:sz="4" w:space="0" w:color="auto"/>
              <w:right w:val="single" w:sz="4" w:space="0" w:color="auto"/>
            </w:tcBorders>
          </w:tcPr>
          <w:p w14:paraId="320EEC0A" w14:textId="77777777" w:rsidR="00E078FE" w:rsidRPr="004A5AB2" w:rsidRDefault="00E078FE" w:rsidP="00E078FE">
            <w:pPr>
              <w:pStyle w:val="Tabletext1"/>
              <w:rPr>
                <w:color w:val="000000"/>
              </w:rPr>
            </w:pPr>
            <w:r w:rsidRPr="004A5AB2">
              <w:t>Chang et al. (2013)</w:t>
            </w:r>
            <w:r>
              <w:br/>
            </w:r>
          </w:p>
        </w:tc>
        <w:tc>
          <w:tcPr>
            <w:tcW w:w="448" w:type="pct"/>
            <w:tcBorders>
              <w:top w:val="single" w:sz="4" w:space="0" w:color="auto"/>
              <w:left w:val="single" w:sz="4" w:space="0" w:color="auto"/>
              <w:bottom w:val="single" w:sz="4" w:space="0" w:color="auto"/>
              <w:right w:val="single" w:sz="4" w:space="0" w:color="auto"/>
            </w:tcBorders>
          </w:tcPr>
          <w:p w14:paraId="0181FE53" w14:textId="77777777" w:rsidR="00E078FE" w:rsidRDefault="00E078FE" w:rsidP="00E078FE">
            <w:pPr>
              <w:pStyle w:val="Tabletext1"/>
            </w:pPr>
            <w:r w:rsidRPr="001E4235">
              <w:t>No</w:t>
            </w:r>
          </w:p>
        </w:tc>
        <w:tc>
          <w:tcPr>
            <w:tcW w:w="615" w:type="pct"/>
            <w:tcBorders>
              <w:top w:val="single" w:sz="4" w:space="0" w:color="auto"/>
              <w:left w:val="single" w:sz="4" w:space="0" w:color="auto"/>
              <w:bottom w:val="single" w:sz="4" w:space="0" w:color="auto"/>
              <w:right w:val="single" w:sz="4" w:space="0" w:color="auto"/>
            </w:tcBorders>
          </w:tcPr>
          <w:p w14:paraId="73065C96" w14:textId="77777777" w:rsidR="00E078FE" w:rsidRDefault="00E078FE" w:rsidP="00E078FE">
            <w:pPr>
              <w:pStyle w:val="Tabletext1"/>
            </w:pPr>
            <w:r>
              <w:t>Narrative review</w:t>
            </w:r>
          </w:p>
          <w:p w14:paraId="561AEDAA" w14:textId="77777777" w:rsidR="00E078FE" w:rsidRDefault="00E078FE" w:rsidP="00E078FE">
            <w:pPr>
              <w:pStyle w:val="Tabletext1"/>
            </w:pPr>
            <w:r>
              <w:t>NR</w:t>
            </w:r>
          </w:p>
          <w:p w14:paraId="621C6BD9" w14:textId="77777777" w:rsidR="00E078FE" w:rsidRPr="00183E4D" w:rsidRDefault="00E078FE" w:rsidP="00E078FE">
            <w:pPr>
              <w:pStyle w:val="Tabletext1"/>
            </w:pPr>
            <w:r>
              <w:t>NR</w:t>
            </w:r>
          </w:p>
        </w:tc>
        <w:tc>
          <w:tcPr>
            <w:tcW w:w="408" w:type="pct"/>
            <w:tcBorders>
              <w:top w:val="single" w:sz="4" w:space="0" w:color="auto"/>
              <w:left w:val="single" w:sz="4" w:space="0" w:color="auto"/>
              <w:bottom w:val="single" w:sz="4" w:space="0" w:color="auto"/>
              <w:right w:val="single" w:sz="4" w:space="0" w:color="auto"/>
            </w:tcBorders>
          </w:tcPr>
          <w:p w14:paraId="77623C8B" w14:textId="77777777" w:rsidR="00E078FE" w:rsidRPr="00183E4D" w:rsidRDefault="00E078FE" w:rsidP="00E078FE">
            <w:pPr>
              <w:pStyle w:val="Tabletext1"/>
            </w:pPr>
            <w:r>
              <w:t>IV</w:t>
            </w:r>
          </w:p>
        </w:tc>
        <w:tc>
          <w:tcPr>
            <w:tcW w:w="470" w:type="pct"/>
            <w:tcBorders>
              <w:top w:val="single" w:sz="4" w:space="0" w:color="auto"/>
              <w:left w:val="single" w:sz="4" w:space="0" w:color="auto"/>
              <w:bottom w:val="single" w:sz="4" w:space="0" w:color="auto"/>
              <w:right w:val="single" w:sz="4" w:space="0" w:color="auto"/>
            </w:tcBorders>
          </w:tcPr>
          <w:p w14:paraId="0EB9A319" w14:textId="38378E7D" w:rsidR="00E078FE" w:rsidRDefault="00E078FE" w:rsidP="00E078FE">
            <w:pPr>
              <w:pStyle w:val="Tabletext1"/>
            </w:pPr>
            <w:r>
              <w:t>Australia</w:t>
            </w:r>
            <w:r w:rsidR="00AE3CA0">
              <w:t>,</w:t>
            </w:r>
          </w:p>
          <w:p w14:paraId="02B2C0A4" w14:textId="77777777" w:rsidR="00E078FE" w:rsidRPr="00183E4D" w:rsidRDefault="00E078FE" w:rsidP="00E078FE">
            <w:pPr>
              <w:pStyle w:val="Tabletext1"/>
            </w:pPr>
            <w:r>
              <w:t>Multiple hospitals</w:t>
            </w:r>
          </w:p>
        </w:tc>
        <w:tc>
          <w:tcPr>
            <w:tcW w:w="955" w:type="pct"/>
            <w:tcBorders>
              <w:top w:val="single" w:sz="4" w:space="0" w:color="auto"/>
              <w:left w:val="single" w:sz="4" w:space="0" w:color="auto"/>
              <w:bottom w:val="single" w:sz="4" w:space="0" w:color="auto"/>
              <w:right w:val="single" w:sz="4" w:space="0" w:color="auto"/>
            </w:tcBorders>
          </w:tcPr>
          <w:p w14:paraId="1E94FCCB" w14:textId="5CCCD6D0" w:rsidR="00E078FE" w:rsidRDefault="00AE3CA0" w:rsidP="00E078FE">
            <w:pPr>
              <w:pStyle w:val="Tabletext1"/>
            </w:pPr>
            <w:r>
              <w:t>n</w:t>
            </w:r>
            <w:r w:rsidR="00E078FE">
              <w:t xml:space="preserve">: 34 studies, 8,044 </w:t>
            </w:r>
            <w:r w:rsidR="00CE60C4">
              <w:t>patients</w:t>
            </w:r>
          </w:p>
          <w:p w14:paraId="54B2A77A" w14:textId="77777777" w:rsidR="00E078FE" w:rsidRDefault="00E078FE" w:rsidP="00E078FE">
            <w:pPr>
              <w:pStyle w:val="Tabletext1"/>
            </w:pPr>
            <w:r>
              <w:t>Age: NR</w:t>
            </w:r>
          </w:p>
          <w:p w14:paraId="64CFD8D9" w14:textId="77777777" w:rsidR="00E078FE" w:rsidRDefault="00E078FE" w:rsidP="00E078FE">
            <w:pPr>
              <w:pStyle w:val="Tabletext1"/>
            </w:pPr>
            <w:r w:rsidRPr="004A77EB">
              <w:t xml:space="preserve">PSA: </w:t>
            </w:r>
            <w:r>
              <w:t>Mean 1.2-23.6</w:t>
            </w:r>
          </w:p>
          <w:p w14:paraId="14BEDB65" w14:textId="77777777" w:rsidR="00E078FE" w:rsidRPr="00183E4D" w:rsidRDefault="00E078FE" w:rsidP="00E078FE">
            <w:pPr>
              <w:pStyle w:val="Tabletext1"/>
            </w:pPr>
            <w:r w:rsidRPr="004A77EB">
              <w:t xml:space="preserve">Prior biopsy: </w:t>
            </w:r>
            <w:r>
              <w:t>Mixed</w:t>
            </w:r>
          </w:p>
        </w:tc>
        <w:tc>
          <w:tcPr>
            <w:tcW w:w="656" w:type="pct"/>
            <w:tcBorders>
              <w:top w:val="single" w:sz="4" w:space="0" w:color="auto"/>
              <w:left w:val="single" w:sz="4" w:space="0" w:color="auto"/>
              <w:bottom w:val="single" w:sz="4" w:space="0" w:color="auto"/>
              <w:right w:val="single" w:sz="4" w:space="0" w:color="auto"/>
            </w:tcBorders>
          </w:tcPr>
          <w:p w14:paraId="2DD02509" w14:textId="77777777" w:rsidR="00E078FE" w:rsidRDefault="00E078FE" w:rsidP="00E078FE">
            <w:pPr>
              <w:pStyle w:val="Tabletext1"/>
            </w:pPr>
            <w:r>
              <w:t>Guidance: US</w:t>
            </w:r>
          </w:p>
          <w:p w14:paraId="252989BC" w14:textId="77777777" w:rsidR="00E078FE" w:rsidRDefault="00E078FE" w:rsidP="00E078FE">
            <w:pPr>
              <w:pStyle w:val="Tabletext1"/>
            </w:pPr>
            <w:r>
              <w:t>Cores: NR</w:t>
            </w:r>
          </w:p>
          <w:p w14:paraId="4595C55E" w14:textId="77777777" w:rsidR="00E078FE" w:rsidRDefault="00E078FE" w:rsidP="00E078FE">
            <w:pPr>
              <w:pStyle w:val="Tabletext1"/>
            </w:pPr>
            <w:r>
              <w:t>Enema: NR</w:t>
            </w:r>
          </w:p>
          <w:p w14:paraId="1DC17959" w14:textId="77777777" w:rsidR="00E078FE" w:rsidRPr="00183E4D" w:rsidRDefault="00E078FE" w:rsidP="00E078FE">
            <w:pPr>
              <w:pStyle w:val="Tabletext1"/>
            </w:pPr>
            <w:r>
              <w:t>Needle: NR</w:t>
            </w:r>
          </w:p>
        </w:tc>
        <w:tc>
          <w:tcPr>
            <w:tcW w:w="836" w:type="pct"/>
            <w:tcBorders>
              <w:top w:val="single" w:sz="4" w:space="0" w:color="auto"/>
              <w:left w:val="single" w:sz="4" w:space="0" w:color="auto"/>
              <w:bottom w:val="single" w:sz="4" w:space="0" w:color="auto"/>
              <w:right w:val="single" w:sz="4" w:space="0" w:color="auto"/>
            </w:tcBorders>
          </w:tcPr>
          <w:p w14:paraId="225908C6" w14:textId="77777777" w:rsidR="00E078FE" w:rsidRDefault="00E078FE" w:rsidP="00E078FE">
            <w:pPr>
              <w:pStyle w:val="Tabletext1"/>
            </w:pPr>
            <w:r>
              <w:t>Infection</w:t>
            </w:r>
          </w:p>
          <w:p w14:paraId="4CB26BAC" w14:textId="77777777" w:rsidR="00E078FE" w:rsidRDefault="00E078FE" w:rsidP="00E078FE">
            <w:pPr>
              <w:pStyle w:val="Tabletext1"/>
            </w:pPr>
            <w:r>
              <w:t>Urinary obstruction</w:t>
            </w:r>
          </w:p>
          <w:p w14:paraId="73D973DB" w14:textId="77777777" w:rsidR="00E078FE" w:rsidRDefault="00E078FE" w:rsidP="00E078FE">
            <w:pPr>
              <w:pStyle w:val="Tabletext1"/>
            </w:pPr>
            <w:r>
              <w:t>Haematuria</w:t>
            </w:r>
          </w:p>
          <w:p w14:paraId="783E989C" w14:textId="77777777" w:rsidR="00E078FE" w:rsidRDefault="00E078FE" w:rsidP="00E078FE">
            <w:pPr>
              <w:pStyle w:val="Tabletext1"/>
            </w:pPr>
            <w:r>
              <w:t>Hospitalisation</w:t>
            </w:r>
          </w:p>
          <w:p w14:paraId="147182D9" w14:textId="77777777" w:rsidR="00E078FE" w:rsidRDefault="00E078FE" w:rsidP="00E078FE">
            <w:pPr>
              <w:pStyle w:val="Tabletext1"/>
            </w:pPr>
            <w:r>
              <w:t>UTI</w:t>
            </w:r>
          </w:p>
          <w:p w14:paraId="61B58124" w14:textId="77777777" w:rsidR="00E078FE" w:rsidRPr="00183E4D" w:rsidRDefault="00E078FE" w:rsidP="00E078FE">
            <w:pPr>
              <w:pStyle w:val="Tabletext1"/>
            </w:pPr>
            <w:r>
              <w:t>Fever</w:t>
            </w:r>
          </w:p>
        </w:tc>
      </w:tr>
    </w:tbl>
    <w:p w14:paraId="7E66A633" w14:textId="03CB5AFB" w:rsidR="00C45F11" w:rsidRDefault="00C45F11" w:rsidP="00C45F11">
      <w:pPr>
        <w:pStyle w:val="TableNotes"/>
      </w:pPr>
      <w:r w:rsidRPr="00C45F11">
        <w:rPr>
          <w:vertAlign w:val="superscript"/>
        </w:rPr>
        <w:t>a</w:t>
      </w:r>
      <w:r>
        <w:t>: D</w:t>
      </w:r>
      <w:r w:rsidR="00E078FE" w:rsidRPr="00C45F11">
        <w:t>escribes</w:t>
      </w:r>
      <w:r w:rsidR="00E078FE">
        <w:t xml:space="preserve"> consecutive or non-consecutive enrolment. </w:t>
      </w:r>
    </w:p>
    <w:p w14:paraId="6271A9C0" w14:textId="77189CC0" w:rsidR="00C45F11" w:rsidRDefault="00E078FE" w:rsidP="00C45F11">
      <w:pPr>
        <w:pStyle w:val="TableNotes"/>
      </w:pPr>
      <w:r>
        <w:rPr>
          <w:vertAlign w:val="superscript"/>
        </w:rPr>
        <w:t>b</w:t>
      </w:r>
      <w:r w:rsidR="00C45F11">
        <w:t>: D</w:t>
      </w:r>
      <w:r>
        <w:t xml:space="preserve">escribes a retrospective or prospective study design. </w:t>
      </w:r>
    </w:p>
    <w:p w14:paraId="23B0A5E8" w14:textId="70E26FE7" w:rsidR="00832B43" w:rsidRDefault="00E078FE" w:rsidP="00C45F11">
      <w:pPr>
        <w:pStyle w:val="TableNotes"/>
        <w:rPr>
          <w:rStyle w:val="Hyperlink"/>
          <w:vanish/>
        </w:rPr>
      </w:pPr>
      <w:r w:rsidRPr="00B83FA3">
        <w:rPr>
          <w:vertAlign w:val="superscript"/>
        </w:rPr>
        <w:t>c</w:t>
      </w:r>
      <w:r w:rsidR="00C45F11">
        <w:t>: S</w:t>
      </w:r>
      <w:r>
        <w:t>ource:</w:t>
      </w:r>
      <w:r>
        <w:rPr>
          <w:vanish/>
          <w:color w:val="C00000"/>
        </w:rPr>
        <w:t xml:space="preserve"> </w:t>
      </w:r>
      <w:hyperlink r:id="rId64" w:history="1">
        <w:r>
          <w:rPr>
            <w:rStyle w:val="Hyperlink"/>
          </w:rPr>
          <w:t>NHMRC hierarchy of evidence</w:t>
        </w:r>
      </w:hyperlink>
      <w:r w:rsidR="00A4761C">
        <w:rPr>
          <w:rStyle w:val="Hyperlink"/>
          <w:vanish/>
        </w:rPr>
        <w:t>.</w:t>
      </w:r>
    </w:p>
    <w:p w14:paraId="43CB8D09" w14:textId="488BF247" w:rsidR="00E846BC" w:rsidRPr="008906AD" w:rsidRDefault="00E846BC" w:rsidP="008906AD">
      <w:pPr>
        <w:pStyle w:val="TableNotes"/>
        <w:rPr>
          <w:rStyle w:val="Hyperlink"/>
          <w:color w:val="auto"/>
          <w:u w:val="none"/>
        </w:rPr>
      </w:pPr>
      <w:r w:rsidRPr="008906AD">
        <w:rPr>
          <w:rStyle w:val="Hyperlink"/>
          <w:color w:val="auto"/>
          <w:u w:val="none"/>
        </w:rPr>
        <w:t xml:space="preserve">NR = not reported, PSA = prostate specific antigen, US = ultrasound, </w:t>
      </w:r>
      <w:r w:rsidR="0099369C" w:rsidRPr="008906AD">
        <w:rPr>
          <w:rStyle w:val="Hyperlink"/>
          <w:color w:val="auto"/>
          <w:u w:val="none"/>
        </w:rPr>
        <w:t>UTI = urinary tract infection</w:t>
      </w:r>
      <w:r w:rsidR="00AE3CA0">
        <w:rPr>
          <w:rStyle w:val="Hyperlink"/>
          <w:color w:val="auto"/>
          <w:u w:val="none"/>
        </w:rPr>
        <w:t>, PICO = participant intervention comparator outcome</w:t>
      </w:r>
      <w:r w:rsidR="00A4761C" w:rsidRPr="008906AD">
        <w:rPr>
          <w:rStyle w:val="Hyperlink"/>
          <w:color w:val="auto"/>
          <w:u w:val="none"/>
        </w:rPr>
        <w:t>.</w:t>
      </w:r>
    </w:p>
    <w:p w14:paraId="33E06D3D" w14:textId="77777777" w:rsidR="00E846BC" w:rsidRDefault="00E846BC" w:rsidP="00832B43">
      <w:pPr>
        <w:pStyle w:val="Tabletext1"/>
        <w:rPr>
          <w:rStyle w:val="Hyperlink"/>
          <w:vanish/>
        </w:rPr>
      </w:pPr>
    </w:p>
    <w:p w14:paraId="121999D4" w14:textId="77777777" w:rsidR="00E75BF8" w:rsidRPr="00A869F4" w:rsidRDefault="00E75BF8" w:rsidP="00E75BF8">
      <w:pPr>
        <w:pStyle w:val="Heading1"/>
      </w:pPr>
      <w:bookmarkStart w:id="789" w:name="_Ref421611175"/>
      <w:bookmarkStart w:id="790" w:name="_Toc460514018"/>
      <w:r>
        <w:lastRenderedPageBreak/>
        <w:t xml:space="preserve">Appendix </w:t>
      </w:r>
      <w:fldSimple w:instr=" SEQ Appendix \* ALPHABETIC ">
        <w:r w:rsidR="0029649D">
          <w:rPr>
            <w:noProof/>
          </w:rPr>
          <w:t>D</w:t>
        </w:r>
      </w:fldSimple>
      <w:bookmarkEnd w:id="789"/>
      <w:r>
        <w:tab/>
        <w:t>Evidence Profile Tables</w:t>
      </w:r>
      <w:bookmarkEnd w:id="790"/>
    </w:p>
    <w:p w14:paraId="7B2F144E" w14:textId="77777777" w:rsidR="00E75BF8" w:rsidRDefault="00E75BF8" w:rsidP="00E75BF8">
      <w:pPr>
        <w:pStyle w:val="Heading2"/>
      </w:pPr>
      <w:bookmarkStart w:id="791" w:name="_Toc460514019"/>
      <w:r>
        <w:t>Population 1: Men with suspicion of prostate cancer</w:t>
      </w:r>
      <w:bookmarkEnd w:id="791"/>
    </w:p>
    <w:p w14:paraId="582B00AD" w14:textId="43C3BCE9" w:rsidR="00E75BF8" w:rsidRPr="000470F1" w:rsidRDefault="00E75BF8" w:rsidP="00E75BF8">
      <w:pPr>
        <w:pStyle w:val="Caption"/>
      </w:pPr>
      <w:bookmarkStart w:id="792" w:name="_Ref421016257"/>
      <w:bookmarkStart w:id="793" w:name="_Toc460514575"/>
      <w:r>
        <w:t xml:space="preserve">Table </w:t>
      </w:r>
      <w:fldSimple w:instr=" SEQ Table \* ARABIC ">
        <w:r w:rsidR="0029649D">
          <w:rPr>
            <w:noProof/>
          </w:rPr>
          <w:t>75</w:t>
        </w:r>
      </w:fldSimple>
      <w:bookmarkEnd w:id="792"/>
      <w:r>
        <w:tab/>
        <w:t>Evidence profile table for the accuracy of mpMRI compared to biopsy for men with suspected prostate cancer (ass</w:t>
      </w:r>
      <w:r w:rsidR="00C45F11">
        <w:t xml:space="preserve">umed prevalence 35% in men with </w:t>
      </w:r>
      <w:r w:rsidR="0058672B">
        <w:t>low-concern</w:t>
      </w:r>
      <w:r>
        <w:t xml:space="preserve"> and 50% in men with </w:t>
      </w:r>
      <w:r w:rsidR="0058672B">
        <w:t>high-concern</w:t>
      </w:r>
      <w:r>
        <w:t>). mpM</w:t>
      </w:r>
      <w:r w:rsidR="001A56F9">
        <w:t xml:space="preserve">RI has a </w:t>
      </w:r>
      <w:r w:rsidR="008F4E3A">
        <w:t xml:space="preserve">sensitivity </w:t>
      </w:r>
      <w:r w:rsidR="001A56F9">
        <w:t xml:space="preserve">of </w:t>
      </w:r>
      <w:r w:rsidR="008F4E3A">
        <w:t>73%, 95%CI [57,</w:t>
      </w:r>
      <w:r>
        <w:t xml:space="preserve"> 85</w:t>
      </w:r>
      <w:r w:rsidR="008F4E3A">
        <w:t>]</w:t>
      </w:r>
      <w:r>
        <w:t xml:space="preserve">; </w:t>
      </w:r>
      <w:r w:rsidR="001A56F9">
        <w:t xml:space="preserve">and a </w:t>
      </w:r>
      <w:r>
        <w:t xml:space="preserve">specificity </w:t>
      </w:r>
      <w:r w:rsidR="001A56F9">
        <w:t xml:space="preserve">of </w:t>
      </w:r>
      <w:r>
        <w:t>77</w:t>
      </w:r>
      <w:r w:rsidR="008F4E3A">
        <w:t>%, 95%CI [64,</w:t>
      </w:r>
      <w:r>
        <w:t xml:space="preserve"> 87</w:t>
      </w:r>
      <w:r w:rsidR="008F4E3A">
        <w:t>]</w:t>
      </w:r>
      <w:bookmarkEnd w:id="793"/>
    </w:p>
    <w:tbl>
      <w:tblPr>
        <w:tblW w:w="0" w:type="auto"/>
        <w:tblInd w:w="-72" w:type="dxa"/>
        <w:tblLook w:val="04A0" w:firstRow="1" w:lastRow="0" w:firstColumn="1" w:lastColumn="0" w:noHBand="0" w:noVBand="1"/>
        <w:tblDescription w:val="Evidence profile table for accuracy outcomes"/>
      </w:tblPr>
      <w:tblGrid>
        <w:gridCol w:w="1152"/>
        <w:gridCol w:w="1811"/>
        <w:gridCol w:w="859"/>
        <w:gridCol w:w="1367"/>
        <w:gridCol w:w="1240"/>
        <w:gridCol w:w="1194"/>
        <w:gridCol w:w="1559"/>
        <w:gridCol w:w="1931"/>
        <w:gridCol w:w="1949"/>
        <w:gridCol w:w="1205"/>
        <w:gridCol w:w="1157"/>
      </w:tblGrid>
      <w:tr w:rsidR="00E75BF8" w:rsidRPr="00BB4368" w14:paraId="2EF90BB0" w14:textId="77777777" w:rsidTr="003D0EE8">
        <w:trPr>
          <w:trHeight w:val="788"/>
        </w:trPr>
        <w:tc>
          <w:tcPr>
            <w:tcW w:w="0" w:type="auto"/>
            <w:tcBorders>
              <w:top w:val="single" w:sz="4" w:space="0" w:color="auto"/>
              <w:left w:val="single" w:sz="4" w:space="0" w:color="auto"/>
              <w:bottom w:val="single" w:sz="4" w:space="0" w:color="auto"/>
              <w:right w:val="single" w:sz="4" w:space="0" w:color="auto"/>
            </w:tcBorders>
          </w:tcPr>
          <w:p w14:paraId="04C5CEEF" w14:textId="15D4A5DA" w:rsidR="00E75BF8" w:rsidRPr="00BB4368" w:rsidRDefault="00E75BF8" w:rsidP="00BB4368">
            <w:pPr>
              <w:pStyle w:val="TableHeading"/>
            </w:pPr>
            <w:r w:rsidRPr="00BB4368">
              <w:t>Outcome</w:t>
            </w:r>
            <w:r w:rsidR="006F16DC" w:rsidRPr="006F16DC">
              <w:rPr>
                <w:b w:val="0"/>
                <w:vertAlign w:val="superscript"/>
              </w:rPr>
              <w:t>a</w:t>
            </w:r>
          </w:p>
        </w:tc>
        <w:tc>
          <w:tcPr>
            <w:tcW w:w="1811" w:type="dxa"/>
            <w:tcBorders>
              <w:top w:val="single" w:sz="4" w:space="0" w:color="auto"/>
              <w:left w:val="single" w:sz="4" w:space="0" w:color="auto"/>
              <w:bottom w:val="single" w:sz="4" w:space="0" w:color="auto"/>
              <w:right w:val="single" w:sz="4" w:space="0" w:color="auto"/>
            </w:tcBorders>
          </w:tcPr>
          <w:p w14:paraId="33A05162" w14:textId="6A593FD0" w:rsidR="00E75BF8" w:rsidRPr="00BB4368" w:rsidRDefault="003D0EE8" w:rsidP="00BB4368">
            <w:pPr>
              <w:pStyle w:val="TableHeading"/>
            </w:pPr>
            <w:r>
              <w:t>Patients/Studies</w:t>
            </w:r>
          </w:p>
        </w:tc>
        <w:tc>
          <w:tcPr>
            <w:tcW w:w="859" w:type="dxa"/>
            <w:tcBorders>
              <w:top w:val="single" w:sz="4" w:space="0" w:color="auto"/>
              <w:left w:val="single" w:sz="4" w:space="0" w:color="auto"/>
              <w:bottom w:val="single" w:sz="4" w:space="0" w:color="auto"/>
              <w:right w:val="single" w:sz="4" w:space="0" w:color="auto"/>
            </w:tcBorders>
          </w:tcPr>
          <w:p w14:paraId="285EFD09" w14:textId="77777777" w:rsidR="00E75BF8" w:rsidRPr="00BB4368" w:rsidRDefault="00E75BF8" w:rsidP="00BB4368">
            <w:pPr>
              <w:pStyle w:val="TableHeading"/>
            </w:pPr>
            <w:r w:rsidRPr="00BB4368">
              <w:t>Risk of bias</w:t>
            </w:r>
          </w:p>
        </w:tc>
        <w:tc>
          <w:tcPr>
            <w:tcW w:w="0" w:type="auto"/>
            <w:tcBorders>
              <w:top w:val="single" w:sz="4" w:space="0" w:color="auto"/>
              <w:left w:val="single" w:sz="4" w:space="0" w:color="auto"/>
              <w:bottom w:val="single" w:sz="4" w:space="0" w:color="auto"/>
              <w:right w:val="single" w:sz="4" w:space="0" w:color="auto"/>
            </w:tcBorders>
          </w:tcPr>
          <w:p w14:paraId="5F1E1357" w14:textId="77777777" w:rsidR="00E75BF8" w:rsidRPr="00BB4368" w:rsidRDefault="00E75BF8" w:rsidP="00BB4368">
            <w:pPr>
              <w:pStyle w:val="TableHeading"/>
            </w:pPr>
            <w:r w:rsidRPr="00BB4368">
              <w:t>Inconsistency</w:t>
            </w:r>
          </w:p>
        </w:tc>
        <w:tc>
          <w:tcPr>
            <w:tcW w:w="0" w:type="auto"/>
            <w:tcBorders>
              <w:top w:val="single" w:sz="4" w:space="0" w:color="auto"/>
              <w:left w:val="single" w:sz="4" w:space="0" w:color="auto"/>
              <w:bottom w:val="single" w:sz="4" w:space="0" w:color="auto"/>
              <w:right w:val="single" w:sz="4" w:space="0" w:color="auto"/>
            </w:tcBorders>
          </w:tcPr>
          <w:p w14:paraId="1FD8DEFA" w14:textId="77777777" w:rsidR="00E75BF8" w:rsidRPr="00BB4368" w:rsidRDefault="00E75BF8" w:rsidP="00BB4368">
            <w:pPr>
              <w:pStyle w:val="TableHeading"/>
            </w:pPr>
            <w:r w:rsidRPr="00BB4368">
              <w:t>Indirectness</w:t>
            </w:r>
          </w:p>
        </w:tc>
        <w:tc>
          <w:tcPr>
            <w:tcW w:w="0" w:type="auto"/>
            <w:tcBorders>
              <w:top w:val="single" w:sz="4" w:space="0" w:color="auto"/>
              <w:left w:val="single" w:sz="4" w:space="0" w:color="auto"/>
              <w:bottom w:val="single" w:sz="4" w:space="0" w:color="auto"/>
              <w:right w:val="single" w:sz="4" w:space="0" w:color="auto"/>
            </w:tcBorders>
          </w:tcPr>
          <w:p w14:paraId="5DEEE5A6" w14:textId="77777777" w:rsidR="00E75BF8" w:rsidRPr="00BB4368" w:rsidRDefault="00E75BF8" w:rsidP="00BB4368">
            <w:pPr>
              <w:pStyle w:val="TableHeading"/>
            </w:pPr>
            <w:r w:rsidRPr="00BB4368">
              <w:t>Imprecision</w:t>
            </w:r>
          </w:p>
        </w:tc>
        <w:tc>
          <w:tcPr>
            <w:tcW w:w="0" w:type="auto"/>
            <w:tcBorders>
              <w:top w:val="single" w:sz="4" w:space="0" w:color="auto"/>
              <w:left w:val="single" w:sz="4" w:space="0" w:color="auto"/>
              <w:bottom w:val="single" w:sz="4" w:space="0" w:color="auto"/>
              <w:right w:val="single" w:sz="4" w:space="0" w:color="auto"/>
            </w:tcBorders>
          </w:tcPr>
          <w:p w14:paraId="30ED006D" w14:textId="4B1412DE" w:rsidR="00E75BF8" w:rsidRPr="00BB4368" w:rsidRDefault="00E75BF8" w:rsidP="00BB4368">
            <w:pPr>
              <w:pStyle w:val="TableHeading"/>
            </w:pPr>
            <w:r w:rsidRPr="00BB4368">
              <w:t xml:space="preserve">Other considerations </w:t>
            </w:r>
          </w:p>
        </w:tc>
        <w:tc>
          <w:tcPr>
            <w:tcW w:w="0" w:type="auto"/>
            <w:tcBorders>
              <w:top w:val="single" w:sz="4" w:space="0" w:color="auto"/>
              <w:left w:val="single" w:sz="4" w:space="0" w:color="auto"/>
              <w:bottom w:val="single" w:sz="4" w:space="0" w:color="auto"/>
              <w:right w:val="single" w:sz="4" w:space="0" w:color="auto"/>
            </w:tcBorders>
          </w:tcPr>
          <w:p w14:paraId="0F361763" w14:textId="2F8E5838" w:rsidR="00E75BF8" w:rsidRPr="00BB4368" w:rsidRDefault="00E75BF8" w:rsidP="00BB4368">
            <w:pPr>
              <w:pStyle w:val="TableHeading"/>
            </w:pPr>
            <w:r w:rsidRPr="00BB4368">
              <w:t xml:space="preserve">Number of patients per 100 tested for mpMRI (low </w:t>
            </w:r>
            <w:r w:rsidR="00BB4368">
              <w:t>concern</w:t>
            </w:r>
            <w:r w:rsidRPr="00BB4368">
              <w:t>)</w:t>
            </w:r>
          </w:p>
        </w:tc>
        <w:tc>
          <w:tcPr>
            <w:tcW w:w="0" w:type="auto"/>
            <w:tcBorders>
              <w:top w:val="single" w:sz="4" w:space="0" w:color="auto"/>
              <w:left w:val="single" w:sz="4" w:space="0" w:color="auto"/>
              <w:bottom w:val="single" w:sz="4" w:space="0" w:color="auto"/>
              <w:right w:val="single" w:sz="4" w:space="0" w:color="auto"/>
            </w:tcBorders>
          </w:tcPr>
          <w:p w14:paraId="292BF6E0" w14:textId="270F8CA2" w:rsidR="00E75BF8" w:rsidRPr="00BB4368" w:rsidRDefault="00E75BF8" w:rsidP="00BB4368">
            <w:pPr>
              <w:pStyle w:val="TableHeading"/>
            </w:pPr>
            <w:r w:rsidRPr="00BB4368">
              <w:t xml:space="preserve">Number of patients per 100 tested for mpMRI (high </w:t>
            </w:r>
            <w:r w:rsidR="00BB4368">
              <w:t>concern</w:t>
            </w:r>
            <w:r w:rsidRPr="00BB4368">
              <w:t>)</w:t>
            </w:r>
          </w:p>
        </w:tc>
        <w:tc>
          <w:tcPr>
            <w:tcW w:w="0" w:type="auto"/>
            <w:tcBorders>
              <w:top w:val="single" w:sz="4" w:space="0" w:color="auto"/>
              <w:left w:val="single" w:sz="4" w:space="0" w:color="auto"/>
              <w:bottom w:val="single" w:sz="4" w:space="0" w:color="auto"/>
              <w:right w:val="single" w:sz="4" w:space="0" w:color="auto"/>
            </w:tcBorders>
          </w:tcPr>
          <w:p w14:paraId="16AAB4E9" w14:textId="77777777" w:rsidR="00E75BF8" w:rsidRPr="00BB4368" w:rsidRDefault="00E75BF8" w:rsidP="00BB4368">
            <w:pPr>
              <w:pStyle w:val="TableHeading"/>
            </w:pPr>
            <w:r w:rsidRPr="00BB4368">
              <w:t>Test accuracy QoE</w:t>
            </w:r>
          </w:p>
        </w:tc>
        <w:tc>
          <w:tcPr>
            <w:tcW w:w="0" w:type="auto"/>
            <w:tcBorders>
              <w:top w:val="single" w:sz="4" w:space="0" w:color="auto"/>
              <w:left w:val="single" w:sz="4" w:space="0" w:color="auto"/>
              <w:bottom w:val="single" w:sz="4" w:space="0" w:color="auto"/>
              <w:right w:val="single" w:sz="4" w:space="0" w:color="auto"/>
            </w:tcBorders>
          </w:tcPr>
          <w:p w14:paraId="2DEB17B3" w14:textId="77777777" w:rsidR="00E75BF8" w:rsidRPr="00BB4368" w:rsidRDefault="00E75BF8" w:rsidP="00BB4368">
            <w:pPr>
              <w:pStyle w:val="TableHeading"/>
            </w:pPr>
            <w:r w:rsidRPr="00BB4368">
              <w:t>Importance</w:t>
            </w:r>
          </w:p>
        </w:tc>
      </w:tr>
      <w:tr w:rsidR="00E75BF8" w:rsidRPr="00BB4368" w14:paraId="11961F5D" w14:textId="77777777" w:rsidTr="003D0EE8">
        <w:trPr>
          <w:trHeight w:val="319"/>
        </w:trPr>
        <w:tc>
          <w:tcPr>
            <w:tcW w:w="0" w:type="auto"/>
            <w:tcBorders>
              <w:top w:val="single" w:sz="4" w:space="0" w:color="auto"/>
              <w:left w:val="single" w:sz="4" w:space="0" w:color="auto"/>
              <w:bottom w:val="single" w:sz="4" w:space="0" w:color="auto"/>
              <w:right w:val="single" w:sz="4" w:space="0" w:color="auto"/>
            </w:tcBorders>
          </w:tcPr>
          <w:p w14:paraId="23423ABA" w14:textId="77777777" w:rsidR="00E75BF8" w:rsidRPr="00BB4368" w:rsidRDefault="00E75BF8" w:rsidP="00BB4368">
            <w:pPr>
              <w:pStyle w:val="Tabletext1"/>
            </w:pPr>
            <w:r w:rsidRPr="00BB4368">
              <w:t>True positives</w:t>
            </w:r>
          </w:p>
        </w:tc>
        <w:tc>
          <w:tcPr>
            <w:tcW w:w="1811" w:type="dxa"/>
            <w:tcBorders>
              <w:top w:val="single" w:sz="4" w:space="0" w:color="auto"/>
              <w:left w:val="single" w:sz="4" w:space="0" w:color="auto"/>
              <w:bottom w:val="single" w:sz="4" w:space="0" w:color="auto"/>
              <w:right w:val="single" w:sz="4" w:space="0" w:color="auto"/>
            </w:tcBorders>
          </w:tcPr>
          <w:p w14:paraId="52B98E0F" w14:textId="77777777" w:rsidR="003D0EE8" w:rsidRDefault="00E75BF8" w:rsidP="003D0EE8">
            <w:pPr>
              <w:pStyle w:val="Tabletext1"/>
            </w:pPr>
            <w:r w:rsidRPr="00BB4368">
              <w:t>2</w:t>
            </w:r>
            <w:r w:rsidR="00C45F11">
              <w:t>,</w:t>
            </w:r>
            <w:r w:rsidRPr="00BB4368">
              <w:t>062 patients</w:t>
            </w:r>
          </w:p>
          <w:p w14:paraId="3ED3B89A" w14:textId="1F605D40" w:rsidR="00E75BF8" w:rsidRPr="00BB4368" w:rsidRDefault="003D0EE8" w:rsidP="003D0EE8">
            <w:pPr>
              <w:pStyle w:val="Tabletext1"/>
            </w:pPr>
            <w:r>
              <w:t>(</w:t>
            </w:r>
            <w:r w:rsidRPr="00BB4368">
              <w:t>10 studies</w:t>
            </w:r>
            <w:r>
              <w:t>)</w:t>
            </w:r>
            <w:r w:rsidR="006F16DC">
              <w:t>.</w:t>
            </w:r>
            <w:r w:rsidRPr="00BB4368">
              <w:t xml:space="preserve"> </w:t>
            </w:r>
          </w:p>
        </w:tc>
        <w:tc>
          <w:tcPr>
            <w:tcW w:w="859" w:type="dxa"/>
            <w:tcBorders>
              <w:top w:val="single" w:sz="4" w:space="0" w:color="auto"/>
              <w:left w:val="single" w:sz="4" w:space="0" w:color="auto"/>
              <w:bottom w:val="single" w:sz="4" w:space="0" w:color="auto"/>
              <w:right w:val="single" w:sz="4" w:space="0" w:color="auto"/>
            </w:tcBorders>
          </w:tcPr>
          <w:p w14:paraId="5B5DCD47" w14:textId="77777777" w:rsidR="00E75BF8" w:rsidRPr="00BB4368" w:rsidRDefault="00E75BF8" w:rsidP="00BB4368">
            <w:pPr>
              <w:pStyle w:val="Tabletext1"/>
            </w:pPr>
            <w:r w:rsidRPr="00BB4368">
              <w:t>not serious</w:t>
            </w:r>
          </w:p>
        </w:tc>
        <w:tc>
          <w:tcPr>
            <w:tcW w:w="0" w:type="auto"/>
            <w:tcBorders>
              <w:top w:val="single" w:sz="4" w:space="0" w:color="auto"/>
              <w:left w:val="single" w:sz="4" w:space="0" w:color="auto"/>
              <w:bottom w:val="single" w:sz="4" w:space="0" w:color="auto"/>
              <w:right w:val="single" w:sz="4" w:space="0" w:color="auto"/>
            </w:tcBorders>
          </w:tcPr>
          <w:p w14:paraId="3898F4C2" w14:textId="2E87402B" w:rsidR="00E75BF8" w:rsidRPr="00BB4368" w:rsidRDefault="00E75BF8" w:rsidP="004E13AC">
            <w:pPr>
              <w:pStyle w:val="Tabletext1"/>
            </w:pPr>
            <w:r w:rsidRPr="00BB4368">
              <w:t>serious</w:t>
            </w:r>
            <w:r w:rsidRPr="00BB4368">
              <w:rPr>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5EF299C1" w14:textId="77777777" w:rsidR="00E75BF8" w:rsidRPr="00BB4368" w:rsidRDefault="00E75BF8" w:rsidP="00BB4368">
            <w:pPr>
              <w:pStyle w:val="Tabletext1"/>
            </w:pPr>
            <w:r w:rsidRPr="00BB4368">
              <w:t>not serious</w:t>
            </w:r>
          </w:p>
        </w:tc>
        <w:tc>
          <w:tcPr>
            <w:tcW w:w="0" w:type="auto"/>
            <w:tcBorders>
              <w:top w:val="single" w:sz="4" w:space="0" w:color="auto"/>
              <w:left w:val="single" w:sz="4" w:space="0" w:color="auto"/>
              <w:bottom w:val="single" w:sz="4" w:space="0" w:color="auto"/>
              <w:right w:val="single" w:sz="4" w:space="0" w:color="auto"/>
            </w:tcBorders>
          </w:tcPr>
          <w:p w14:paraId="1C0174CE" w14:textId="1887C563" w:rsidR="00E75BF8" w:rsidRPr="00BB4368" w:rsidRDefault="00E75BF8" w:rsidP="004E13AC">
            <w:pPr>
              <w:pStyle w:val="Tabletext1"/>
            </w:pPr>
            <w:r w:rsidRPr="00BB4368">
              <w:t>serious</w:t>
            </w:r>
            <w:r w:rsidRPr="00BB4368">
              <w:rPr>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7EEAC7B1" w14:textId="77777777" w:rsidR="00E75BF8" w:rsidRPr="00BB4368" w:rsidRDefault="00E75BF8" w:rsidP="00BB4368">
            <w:pPr>
              <w:pStyle w:val="Tabletext1"/>
            </w:pPr>
            <w:r w:rsidRPr="00BB4368">
              <w:t>none</w:t>
            </w:r>
          </w:p>
        </w:tc>
        <w:tc>
          <w:tcPr>
            <w:tcW w:w="0" w:type="auto"/>
            <w:tcBorders>
              <w:top w:val="single" w:sz="4" w:space="0" w:color="auto"/>
              <w:left w:val="single" w:sz="4" w:space="0" w:color="auto"/>
              <w:bottom w:val="single" w:sz="4" w:space="0" w:color="auto"/>
              <w:right w:val="single" w:sz="4" w:space="0" w:color="auto"/>
            </w:tcBorders>
          </w:tcPr>
          <w:p w14:paraId="0FFBCEBC" w14:textId="77777777" w:rsidR="00E75BF8" w:rsidRPr="00BB4368" w:rsidRDefault="00E75BF8" w:rsidP="00BB4368">
            <w:pPr>
              <w:pStyle w:val="Tabletext1"/>
            </w:pPr>
            <w:r w:rsidRPr="00BB4368">
              <w:t>257 (199 to 298)</w:t>
            </w:r>
          </w:p>
        </w:tc>
        <w:tc>
          <w:tcPr>
            <w:tcW w:w="0" w:type="auto"/>
            <w:tcBorders>
              <w:top w:val="single" w:sz="4" w:space="0" w:color="auto"/>
              <w:left w:val="single" w:sz="4" w:space="0" w:color="auto"/>
              <w:bottom w:val="single" w:sz="4" w:space="0" w:color="auto"/>
              <w:right w:val="single" w:sz="4" w:space="0" w:color="auto"/>
            </w:tcBorders>
          </w:tcPr>
          <w:p w14:paraId="4A36B852" w14:textId="77777777" w:rsidR="00E75BF8" w:rsidRPr="00BB4368" w:rsidRDefault="00E75BF8" w:rsidP="00BB4368">
            <w:pPr>
              <w:pStyle w:val="Tabletext1"/>
            </w:pPr>
            <w:r w:rsidRPr="00BB4368">
              <w:t>367 (285 to 426)</w:t>
            </w:r>
          </w:p>
        </w:tc>
        <w:tc>
          <w:tcPr>
            <w:tcW w:w="0" w:type="auto"/>
            <w:tcBorders>
              <w:top w:val="single" w:sz="4" w:space="0" w:color="auto"/>
              <w:left w:val="single" w:sz="4" w:space="0" w:color="auto"/>
              <w:bottom w:val="single" w:sz="4" w:space="0" w:color="auto"/>
              <w:right w:val="single" w:sz="4" w:space="0" w:color="auto"/>
            </w:tcBorders>
          </w:tcPr>
          <w:p w14:paraId="3049FA35" w14:textId="4C26586E" w:rsidR="00E75BF8" w:rsidRPr="00BB4368" w:rsidRDefault="00BB4368" w:rsidP="00BB4368">
            <w:pPr>
              <w:pStyle w:val="Tabletext1"/>
            </w:pPr>
            <w:r>
              <w:rPr>
                <w:rFonts w:ascii="Cambria Math" w:hAnsi="Cambria Math"/>
                <w:color w:val="00B050"/>
              </w:rPr>
              <w:t>⨁⨁</w:t>
            </w:r>
            <w:r w:rsidRPr="00D4733A">
              <w:rPr>
                <w:rFonts w:ascii="Cambria Math" w:hAnsi="Cambria Math" w:cs="Cambria Math"/>
                <w:color w:val="C00000"/>
              </w:rPr>
              <w:t>⨀⨀</w:t>
            </w:r>
            <w:r w:rsidR="00E75BF8" w:rsidRPr="00BB4368">
              <w:br/>
              <w:t>LOW</w:t>
            </w:r>
          </w:p>
        </w:tc>
        <w:tc>
          <w:tcPr>
            <w:tcW w:w="0" w:type="auto"/>
            <w:tcBorders>
              <w:top w:val="single" w:sz="4" w:space="0" w:color="auto"/>
              <w:left w:val="single" w:sz="4" w:space="0" w:color="auto"/>
              <w:bottom w:val="single" w:sz="4" w:space="0" w:color="auto"/>
              <w:right w:val="single" w:sz="4" w:space="0" w:color="auto"/>
            </w:tcBorders>
          </w:tcPr>
          <w:p w14:paraId="2110839F" w14:textId="77777777" w:rsidR="00E75BF8" w:rsidRPr="00BB4368" w:rsidRDefault="00E75BF8" w:rsidP="00BB4368">
            <w:pPr>
              <w:pStyle w:val="Tabletext1"/>
            </w:pPr>
            <w:r w:rsidRPr="00BB4368">
              <w:t>Critical</w:t>
            </w:r>
          </w:p>
        </w:tc>
      </w:tr>
      <w:tr w:rsidR="00F8244A" w:rsidRPr="00BB4368" w14:paraId="123CE75E" w14:textId="77777777" w:rsidTr="00201E80">
        <w:trPr>
          <w:trHeight w:val="319"/>
        </w:trPr>
        <w:tc>
          <w:tcPr>
            <w:tcW w:w="0" w:type="auto"/>
            <w:tcBorders>
              <w:top w:val="single" w:sz="4" w:space="0" w:color="auto"/>
              <w:left w:val="single" w:sz="4" w:space="0" w:color="auto"/>
              <w:bottom w:val="single" w:sz="4" w:space="0" w:color="auto"/>
              <w:right w:val="single" w:sz="4" w:space="0" w:color="auto"/>
            </w:tcBorders>
          </w:tcPr>
          <w:p w14:paraId="5DA00D24" w14:textId="77777777" w:rsidR="00F8244A" w:rsidRPr="00BB4368" w:rsidRDefault="00F8244A" w:rsidP="00201E80">
            <w:pPr>
              <w:pStyle w:val="Tabletext1"/>
            </w:pPr>
            <w:r w:rsidRPr="00BB4368">
              <w:t>False positives</w:t>
            </w:r>
          </w:p>
        </w:tc>
        <w:tc>
          <w:tcPr>
            <w:tcW w:w="1811" w:type="dxa"/>
            <w:tcBorders>
              <w:top w:val="single" w:sz="4" w:space="0" w:color="auto"/>
              <w:left w:val="single" w:sz="4" w:space="0" w:color="auto"/>
              <w:bottom w:val="single" w:sz="4" w:space="0" w:color="auto"/>
              <w:right w:val="single" w:sz="4" w:space="0" w:color="auto"/>
            </w:tcBorders>
          </w:tcPr>
          <w:p w14:paraId="6025082D" w14:textId="77777777" w:rsidR="00F8244A" w:rsidRDefault="00F8244A" w:rsidP="00201E80">
            <w:pPr>
              <w:pStyle w:val="Tabletext1"/>
            </w:pPr>
            <w:r w:rsidRPr="00BB4368">
              <w:t>2</w:t>
            </w:r>
            <w:r>
              <w:t>,</w:t>
            </w:r>
            <w:r w:rsidRPr="00BB4368">
              <w:t>062 patients</w:t>
            </w:r>
          </w:p>
          <w:p w14:paraId="07B787FC" w14:textId="77777777" w:rsidR="00F8244A" w:rsidRPr="00BB4368" w:rsidRDefault="00F8244A" w:rsidP="00201E80">
            <w:pPr>
              <w:pStyle w:val="Tabletext1"/>
            </w:pPr>
            <w:r>
              <w:t>(</w:t>
            </w:r>
            <w:r w:rsidRPr="00BB4368">
              <w:t>10 studies</w:t>
            </w:r>
            <w:r>
              <w:t>).</w:t>
            </w:r>
            <w:r w:rsidRPr="00BB4368">
              <w:t xml:space="preserve"> </w:t>
            </w:r>
          </w:p>
        </w:tc>
        <w:tc>
          <w:tcPr>
            <w:tcW w:w="859" w:type="dxa"/>
            <w:tcBorders>
              <w:top w:val="single" w:sz="4" w:space="0" w:color="auto"/>
              <w:left w:val="single" w:sz="4" w:space="0" w:color="auto"/>
              <w:bottom w:val="single" w:sz="4" w:space="0" w:color="auto"/>
              <w:right w:val="single" w:sz="4" w:space="0" w:color="auto"/>
            </w:tcBorders>
          </w:tcPr>
          <w:p w14:paraId="26E875A9" w14:textId="77777777" w:rsidR="00F8244A" w:rsidRPr="00BB4368" w:rsidRDefault="00F8244A" w:rsidP="00201E80">
            <w:pPr>
              <w:pStyle w:val="Tabletext1"/>
            </w:pPr>
            <w:r w:rsidRPr="00BB4368">
              <w:t>not serious</w:t>
            </w:r>
          </w:p>
        </w:tc>
        <w:tc>
          <w:tcPr>
            <w:tcW w:w="0" w:type="auto"/>
            <w:tcBorders>
              <w:top w:val="single" w:sz="4" w:space="0" w:color="auto"/>
              <w:left w:val="single" w:sz="4" w:space="0" w:color="auto"/>
              <w:bottom w:val="single" w:sz="4" w:space="0" w:color="auto"/>
              <w:right w:val="single" w:sz="4" w:space="0" w:color="auto"/>
            </w:tcBorders>
          </w:tcPr>
          <w:p w14:paraId="3EF6A731" w14:textId="77777777" w:rsidR="00F8244A" w:rsidRPr="00BB4368" w:rsidRDefault="00F8244A" w:rsidP="00201E80">
            <w:pPr>
              <w:pStyle w:val="Tabletext1"/>
            </w:pPr>
            <w:r w:rsidRPr="00BB4368">
              <w:t>serious</w:t>
            </w:r>
            <w:r w:rsidRPr="00BB4368">
              <w:rPr>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1778D1A1" w14:textId="77777777" w:rsidR="00F8244A" w:rsidRPr="00BB4368" w:rsidRDefault="00F8244A" w:rsidP="00201E80">
            <w:pPr>
              <w:pStyle w:val="Tabletext1"/>
            </w:pPr>
            <w:r w:rsidRPr="00BB4368">
              <w:t>not serious</w:t>
            </w:r>
          </w:p>
        </w:tc>
        <w:tc>
          <w:tcPr>
            <w:tcW w:w="0" w:type="auto"/>
            <w:tcBorders>
              <w:top w:val="single" w:sz="4" w:space="0" w:color="auto"/>
              <w:left w:val="single" w:sz="4" w:space="0" w:color="auto"/>
              <w:bottom w:val="single" w:sz="4" w:space="0" w:color="auto"/>
              <w:right w:val="single" w:sz="4" w:space="0" w:color="auto"/>
            </w:tcBorders>
          </w:tcPr>
          <w:p w14:paraId="110EC444" w14:textId="77777777" w:rsidR="00F8244A" w:rsidRPr="00BB4368" w:rsidRDefault="00F8244A" w:rsidP="00201E80">
            <w:pPr>
              <w:pStyle w:val="Tabletext1"/>
            </w:pPr>
            <w:r w:rsidRPr="00BB4368">
              <w:t>serious</w:t>
            </w:r>
            <w:r w:rsidRPr="00BB4368">
              <w:rPr>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7E8C0FB5" w14:textId="77777777" w:rsidR="00F8244A" w:rsidRPr="00BB4368" w:rsidRDefault="00F8244A" w:rsidP="00201E80">
            <w:pPr>
              <w:pStyle w:val="Tabletext1"/>
            </w:pPr>
            <w:r w:rsidRPr="00BB4368">
              <w:t>none</w:t>
            </w:r>
          </w:p>
        </w:tc>
        <w:tc>
          <w:tcPr>
            <w:tcW w:w="0" w:type="auto"/>
            <w:tcBorders>
              <w:top w:val="single" w:sz="4" w:space="0" w:color="auto"/>
              <w:left w:val="single" w:sz="4" w:space="0" w:color="auto"/>
              <w:bottom w:val="single" w:sz="4" w:space="0" w:color="auto"/>
              <w:right w:val="single" w:sz="4" w:space="0" w:color="auto"/>
            </w:tcBorders>
          </w:tcPr>
          <w:p w14:paraId="5E439CFF" w14:textId="77777777" w:rsidR="00F8244A" w:rsidRPr="00BB4368" w:rsidRDefault="00F8244A" w:rsidP="00201E80">
            <w:pPr>
              <w:pStyle w:val="Tabletext1"/>
            </w:pPr>
            <w:r w:rsidRPr="00BB4368">
              <w:t>149 (86 to 237)</w:t>
            </w:r>
          </w:p>
        </w:tc>
        <w:tc>
          <w:tcPr>
            <w:tcW w:w="0" w:type="auto"/>
            <w:tcBorders>
              <w:top w:val="single" w:sz="4" w:space="0" w:color="auto"/>
              <w:left w:val="single" w:sz="4" w:space="0" w:color="auto"/>
              <w:bottom w:val="single" w:sz="4" w:space="0" w:color="auto"/>
              <w:right w:val="single" w:sz="4" w:space="0" w:color="auto"/>
            </w:tcBorders>
          </w:tcPr>
          <w:p w14:paraId="62EAC16B" w14:textId="77777777" w:rsidR="00F8244A" w:rsidRPr="00BB4368" w:rsidRDefault="00F8244A" w:rsidP="00201E80">
            <w:pPr>
              <w:pStyle w:val="Tabletext1"/>
            </w:pPr>
            <w:r w:rsidRPr="00BB4368">
              <w:t>114 (66 to 182)</w:t>
            </w:r>
          </w:p>
        </w:tc>
        <w:tc>
          <w:tcPr>
            <w:tcW w:w="0" w:type="auto"/>
            <w:tcBorders>
              <w:top w:val="single" w:sz="4" w:space="0" w:color="auto"/>
              <w:left w:val="single" w:sz="4" w:space="0" w:color="auto"/>
              <w:bottom w:val="single" w:sz="4" w:space="0" w:color="auto"/>
              <w:right w:val="single" w:sz="4" w:space="0" w:color="auto"/>
            </w:tcBorders>
          </w:tcPr>
          <w:p w14:paraId="630B1D74" w14:textId="77777777" w:rsidR="00F8244A" w:rsidRPr="00BB4368" w:rsidRDefault="00F8244A" w:rsidP="00201E80">
            <w:pPr>
              <w:pStyle w:val="Tabletext1"/>
            </w:pPr>
            <w:r>
              <w:rPr>
                <w:rFonts w:ascii="Cambria Math" w:hAnsi="Cambria Math"/>
                <w:color w:val="00B050"/>
              </w:rPr>
              <w:t>⨁⨁</w:t>
            </w:r>
            <w:r w:rsidRPr="00D4733A">
              <w:rPr>
                <w:rFonts w:ascii="Cambria Math" w:hAnsi="Cambria Math" w:cs="Cambria Math"/>
                <w:color w:val="C00000"/>
              </w:rPr>
              <w:t>⨀⨀</w:t>
            </w:r>
            <w:r w:rsidRPr="00BB4368">
              <w:br/>
              <w:t>LOW</w:t>
            </w:r>
          </w:p>
        </w:tc>
        <w:tc>
          <w:tcPr>
            <w:tcW w:w="0" w:type="auto"/>
            <w:tcBorders>
              <w:top w:val="single" w:sz="4" w:space="0" w:color="auto"/>
              <w:left w:val="single" w:sz="4" w:space="0" w:color="auto"/>
              <w:bottom w:val="single" w:sz="4" w:space="0" w:color="auto"/>
              <w:right w:val="single" w:sz="4" w:space="0" w:color="auto"/>
            </w:tcBorders>
          </w:tcPr>
          <w:p w14:paraId="3C75E772" w14:textId="77777777" w:rsidR="00F8244A" w:rsidRPr="00BB4368" w:rsidRDefault="00F8244A" w:rsidP="00201E80">
            <w:pPr>
              <w:pStyle w:val="Tabletext1"/>
            </w:pPr>
            <w:r w:rsidRPr="00BB4368">
              <w:t>Critical</w:t>
            </w:r>
          </w:p>
        </w:tc>
      </w:tr>
      <w:tr w:rsidR="00F8244A" w:rsidRPr="00BB4368" w14:paraId="37DC64CE" w14:textId="77777777" w:rsidTr="00201E80">
        <w:trPr>
          <w:trHeight w:val="319"/>
        </w:trPr>
        <w:tc>
          <w:tcPr>
            <w:tcW w:w="0" w:type="auto"/>
            <w:tcBorders>
              <w:top w:val="single" w:sz="4" w:space="0" w:color="auto"/>
              <w:left w:val="single" w:sz="4" w:space="0" w:color="auto"/>
              <w:bottom w:val="single" w:sz="4" w:space="0" w:color="auto"/>
              <w:right w:val="single" w:sz="4" w:space="0" w:color="auto"/>
            </w:tcBorders>
          </w:tcPr>
          <w:p w14:paraId="79F987B4" w14:textId="77777777" w:rsidR="00F8244A" w:rsidRPr="00BB4368" w:rsidRDefault="00F8244A" w:rsidP="00201E80">
            <w:pPr>
              <w:pStyle w:val="Tabletext1"/>
            </w:pPr>
            <w:r w:rsidRPr="00BB4368">
              <w:t>True negatives</w:t>
            </w:r>
          </w:p>
        </w:tc>
        <w:tc>
          <w:tcPr>
            <w:tcW w:w="1811" w:type="dxa"/>
            <w:tcBorders>
              <w:top w:val="single" w:sz="4" w:space="0" w:color="auto"/>
              <w:left w:val="single" w:sz="4" w:space="0" w:color="auto"/>
              <w:bottom w:val="single" w:sz="4" w:space="0" w:color="auto"/>
              <w:right w:val="single" w:sz="4" w:space="0" w:color="auto"/>
            </w:tcBorders>
          </w:tcPr>
          <w:p w14:paraId="74D804BD" w14:textId="77777777" w:rsidR="00F8244A" w:rsidRDefault="00F8244A" w:rsidP="00201E80">
            <w:pPr>
              <w:pStyle w:val="Tabletext1"/>
            </w:pPr>
            <w:r w:rsidRPr="00BB4368">
              <w:t>2</w:t>
            </w:r>
            <w:r>
              <w:t>,</w:t>
            </w:r>
            <w:r w:rsidRPr="00BB4368">
              <w:t>062 patients</w:t>
            </w:r>
          </w:p>
          <w:p w14:paraId="1E3ACCB6" w14:textId="77777777" w:rsidR="00F8244A" w:rsidRPr="00BB4368" w:rsidRDefault="00F8244A" w:rsidP="00201E80">
            <w:pPr>
              <w:pStyle w:val="Tabletext1"/>
            </w:pPr>
            <w:r>
              <w:t>(</w:t>
            </w:r>
            <w:r w:rsidRPr="00BB4368">
              <w:t>10 studies</w:t>
            </w:r>
            <w:r>
              <w:t>).</w:t>
            </w:r>
            <w:r w:rsidRPr="00BB4368">
              <w:t xml:space="preserve"> </w:t>
            </w:r>
          </w:p>
        </w:tc>
        <w:tc>
          <w:tcPr>
            <w:tcW w:w="859" w:type="dxa"/>
            <w:tcBorders>
              <w:top w:val="single" w:sz="4" w:space="0" w:color="auto"/>
              <w:left w:val="single" w:sz="4" w:space="0" w:color="auto"/>
              <w:bottom w:val="single" w:sz="4" w:space="0" w:color="auto"/>
              <w:right w:val="single" w:sz="4" w:space="0" w:color="auto"/>
            </w:tcBorders>
          </w:tcPr>
          <w:p w14:paraId="50CC13F2" w14:textId="77777777" w:rsidR="00F8244A" w:rsidRPr="00BB4368" w:rsidRDefault="00F8244A" w:rsidP="00201E80">
            <w:pPr>
              <w:pStyle w:val="Tabletext1"/>
            </w:pPr>
            <w:r w:rsidRPr="00BB4368">
              <w:t>not serious</w:t>
            </w:r>
          </w:p>
        </w:tc>
        <w:tc>
          <w:tcPr>
            <w:tcW w:w="0" w:type="auto"/>
            <w:tcBorders>
              <w:top w:val="single" w:sz="4" w:space="0" w:color="auto"/>
              <w:left w:val="single" w:sz="4" w:space="0" w:color="auto"/>
              <w:bottom w:val="single" w:sz="4" w:space="0" w:color="auto"/>
              <w:right w:val="single" w:sz="4" w:space="0" w:color="auto"/>
            </w:tcBorders>
          </w:tcPr>
          <w:p w14:paraId="4025FCBC" w14:textId="77777777" w:rsidR="00F8244A" w:rsidRPr="00BB4368" w:rsidRDefault="00F8244A" w:rsidP="00201E80">
            <w:pPr>
              <w:pStyle w:val="Tabletext1"/>
            </w:pPr>
            <w:r w:rsidRPr="00BB4368">
              <w:t>serious</w:t>
            </w:r>
            <w:r w:rsidRPr="00BB4368">
              <w:rPr>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0C5D9FA0" w14:textId="77777777" w:rsidR="00F8244A" w:rsidRPr="00BB4368" w:rsidRDefault="00F8244A" w:rsidP="00201E80">
            <w:pPr>
              <w:pStyle w:val="Tabletext1"/>
            </w:pPr>
            <w:r w:rsidRPr="00BB4368">
              <w:t>not serious</w:t>
            </w:r>
          </w:p>
        </w:tc>
        <w:tc>
          <w:tcPr>
            <w:tcW w:w="0" w:type="auto"/>
            <w:tcBorders>
              <w:top w:val="single" w:sz="4" w:space="0" w:color="auto"/>
              <w:left w:val="single" w:sz="4" w:space="0" w:color="auto"/>
              <w:bottom w:val="single" w:sz="4" w:space="0" w:color="auto"/>
              <w:right w:val="single" w:sz="4" w:space="0" w:color="auto"/>
            </w:tcBorders>
          </w:tcPr>
          <w:p w14:paraId="7EC1831B" w14:textId="77777777" w:rsidR="00F8244A" w:rsidRPr="00BB4368" w:rsidRDefault="00F8244A" w:rsidP="00201E80">
            <w:pPr>
              <w:pStyle w:val="Tabletext1"/>
            </w:pPr>
            <w:r w:rsidRPr="00BB4368">
              <w:t>serious</w:t>
            </w:r>
            <w:r w:rsidRPr="00BB4368">
              <w:rPr>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60CF95AC" w14:textId="77777777" w:rsidR="00F8244A" w:rsidRPr="00BB4368" w:rsidRDefault="00F8244A" w:rsidP="00201E80">
            <w:pPr>
              <w:pStyle w:val="Tabletext1"/>
            </w:pPr>
            <w:r w:rsidRPr="00BB4368">
              <w:t>none</w:t>
            </w:r>
          </w:p>
        </w:tc>
        <w:tc>
          <w:tcPr>
            <w:tcW w:w="0" w:type="auto"/>
            <w:tcBorders>
              <w:top w:val="single" w:sz="4" w:space="0" w:color="auto"/>
              <w:left w:val="single" w:sz="4" w:space="0" w:color="auto"/>
              <w:bottom w:val="single" w:sz="4" w:space="0" w:color="auto"/>
              <w:right w:val="single" w:sz="4" w:space="0" w:color="auto"/>
            </w:tcBorders>
          </w:tcPr>
          <w:p w14:paraId="16ADD2DC" w14:textId="77777777" w:rsidR="00F8244A" w:rsidRPr="00BB4368" w:rsidRDefault="00F8244A" w:rsidP="00201E80">
            <w:pPr>
              <w:pStyle w:val="Tabletext1"/>
            </w:pPr>
            <w:r w:rsidRPr="00BB4368">
              <w:t>501 (413 to 564)</w:t>
            </w:r>
          </w:p>
        </w:tc>
        <w:tc>
          <w:tcPr>
            <w:tcW w:w="0" w:type="auto"/>
            <w:tcBorders>
              <w:top w:val="single" w:sz="4" w:space="0" w:color="auto"/>
              <w:left w:val="single" w:sz="4" w:space="0" w:color="auto"/>
              <w:bottom w:val="single" w:sz="4" w:space="0" w:color="auto"/>
              <w:right w:val="single" w:sz="4" w:space="0" w:color="auto"/>
            </w:tcBorders>
          </w:tcPr>
          <w:p w14:paraId="257F0090" w14:textId="77777777" w:rsidR="00F8244A" w:rsidRPr="00BB4368" w:rsidRDefault="00F8244A" w:rsidP="00201E80">
            <w:pPr>
              <w:pStyle w:val="Tabletext1"/>
            </w:pPr>
            <w:r w:rsidRPr="00BB4368">
              <w:t>386 (318 to 434)</w:t>
            </w:r>
          </w:p>
        </w:tc>
        <w:tc>
          <w:tcPr>
            <w:tcW w:w="0" w:type="auto"/>
            <w:tcBorders>
              <w:top w:val="single" w:sz="4" w:space="0" w:color="auto"/>
              <w:left w:val="single" w:sz="4" w:space="0" w:color="auto"/>
              <w:bottom w:val="single" w:sz="4" w:space="0" w:color="auto"/>
              <w:right w:val="single" w:sz="4" w:space="0" w:color="auto"/>
            </w:tcBorders>
          </w:tcPr>
          <w:p w14:paraId="14456876" w14:textId="77777777" w:rsidR="00F8244A" w:rsidRPr="00BB4368" w:rsidRDefault="00F8244A" w:rsidP="00201E80">
            <w:pPr>
              <w:pStyle w:val="Tabletext1"/>
            </w:pPr>
            <w:r>
              <w:rPr>
                <w:rFonts w:ascii="Cambria Math" w:hAnsi="Cambria Math"/>
                <w:color w:val="00B050"/>
              </w:rPr>
              <w:t>⨁⨁</w:t>
            </w:r>
            <w:r w:rsidRPr="00D4733A">
              <w:rPr>
                <w:rFonts w:ascii="Cambria Math" w:hAnsi="Cambria Math" w:cs="Cambria Math"/>
                <w:color w:val="C00000"/>
              </w:rPr>
              <w:t>⨀⨀</w:t>
            </w:r>
            <w:r w:rsidRPr="00BB4368">
              <w:br/>
              <w:t>LOW</w:t>
            </w:r>
          </w:p>
        </w:tc>
        <w:tc>
          <w:tcPr>
            <w:tcW w:w="0" w:type="auto"/>
            <w:tcBorders>
              <w:top w:val="single" w:sz="4" w:space="0" w:color="auto"/>
              <w:left w:val="single" w:sz="4" w:space="0" w:color="auto"/>
              <w:bottom w:val="single" w:sz="4" w:space="0" w:color="auto"/>
              <w:right w:val="single" w:sz="4" w:space="0" w:color="auto"/>
            </w:tcBorders>
          </w:tcPr>
          <w:p w14:paraId="45C529AB" w14:textId="77777777" w:rsidR="00F8244A" w:rsidRPr="00BB4368" w:rsidRDefault="00F8244A" w:rsidP="00201E80">
            <w:pPr>
              <w:pStyle w:val="Tabletext1"/>
            </w:pPr>
            <w:r w:rsidRPr="00BB4368">
              <w:t>Critical</w:t>
            </w:r>
          </w:p>
        </w:tc>
      </w:tr>
      <w:tr w:rsidR="003D0EE8" w:rsidRPr="00BB4368" w14:paraId="4ABF070D" w14:textId="77777777" w:rsidTr="003D0EE8">
        <w:trPr>
          <w:trHeight w:val="319"/>
        </w:trPr>
        <w:tc>
          <w:tcPr>
            <w:tcW w:w="0" w:type="auto"/>
            <w:tcBorders>
              <w:top w:val="single" w:sz="4" w:space="0" w:color="auto"/>
              <w:left w:val="single" w:sz="4" w:space="0" w:color="auto"/>
              <w:bottom w:val="single" w:sz="4" w:space="0" w:color="auto"/>
              <w:right w:val="single" w:sz="4" w:space="0" w:color="auto"/>
            </w:tcBorders>
          </w:tcPr>
          <w:p w14:paraId="473DF9E4" w14:textId="77777777" w:rsidR="003D0EE8" w:rsidRPr="00BB4368" w:rsidRDefault="003D0EE8" w:rsidP="00BB4368">
            <w:pPr>
              <w:pStyle w:val="Tabletext1"/>
            </w:pPr>
            <w:r w:rsidRPr="00BB4368">
              <w:t>False negatives</w:t>
            </w:r>
          </w:p>
        </w:tc>
        <w:tc>
          <w:tcPr>
            <w:tcW w:w="1811" w:type="dxa"/>
            <w:tcBorders>
              <w:top w:val="single" w:sz="4" w:space="0" w:color="auto"/>
              <w:left w:val="single" w:sz="4" w:space="0" w:color="auto"/>
              <w:bottom w:val="single" w:sz="4" w:space="0" w:color="auto"/>
              <w:right w:val="single" w:sz="4" w:space="0" w:color="auto"/>
            </w:tcBorders>
          </w:tcPr>
          <w:p w14:paraId="7C29F9CF" w14:textId="77777777" w:rsidR="003D0EE8" w:rsidRDefault="003D0EE8" w:rsidP="00CE2F17">
            <w:pPr>
              <w:pStyle w:val="Tabletext1"/>
            </w:pPr>
            <w:r w:rsidRPr="00BB4368">
              <w:t>2</w:t>
            </w:r>
            <w:r>
              <w:t>,</w:t>
            </w:r>
            <w:r w:rsidRPr="00BB4368">
              <w:t>062 patients</w:t>
            </w:r>
          </w:p>
          <w:p w14:paraId="2FA88821" w14:textId="4EE618AC" w:rsidR="003D0EE8" w:rsidRPr="00BB4368" w:rsidRDefault="003D0EE8" w:rsidP="003D0EE8">
            <w:pPr>
              <w:pStyle w:val="Tabletext1"/>
            </w:pPr>
            <w:r>
              <w:t>(</w:t>
            </w:r>
            <w:r w:rsidRPr="00BB4368">
              <w:t>10 studies</w:t>
            </w:r>
            <w:r>
              <w:t>)</w:t>
            </w:r>
            <w:r w:rsidR="006F16DC">
              <w:t>.</w:t>
            </w:r>
            <w:r w:rsidRPr="00BB4368">
              <w:t xml:space="preserve"> </w:t>
            </w:r>
          </w:p>
        </w:tc>
        <w:tc>
          <w:tcPr>
            <w:tcW w:w="859" w:type="dxa"/>
            <w:tcBorders>
              <w:top w:val="single" w:sz="4" w:space="0" w:color="auto"/>
              <w:left w:val="single" w:sz="4" w:space="0" w:color="auto"/>
              <w:bottom w:val="single" w:sz="4" w:space="0" w:color="auto"/>
              <w:right w:val="single" w:sz="4" w:space="0" w:color="auto"/>
            </w:tcBorders>
          </w:tcPr>
          <w:p w14:paraId="6F7B2DD5" w14:textId="77777777" w:rsidR="003D0EE8" w:rsidRPr="00BB4368" w:rsidRDefault="003D0EE8" w:rsidP="00BB4368">
            <w:pPr>
              <w:pStyle w:val="Tabletext1"/>
            </w:pPr>
            <w:r w:rsidRPr="00BB4368">
              <w:t>not serious</w:t>
            </w:r>
          </w:p>
        </w:tc>
        <w:tc>
          <w:tcPr>
            <w:tcW w:w="0" w:type="auto"/>
            <w:tcBorders>
              <w:top w:val="single" w:sz="4" w:space="0" w:color="auto"/>
              <w:left w:val="single" w:sz="4" w:space="0" w:color="auto"/>
              <w:bottom w:val="single" w:sz="4" w:space="0" w:color="auto"/>
              <w:right w:val="single" w:sz="4" w:space="0" w:color="auto"/>
            </w:tcBorders>
          </w:tcPr>
          <w:p w14:paraId="639A2808" w14:textId="15B58B9D" w:rsidR="003D0EE8" w:rsidRPr="00BB4368" w:rsidRDefault="003D0EE8" w:rsidP="004E13AC">
            <w:pPr>
              <w:pStyle w:val="Tabletext1"/>
            </w:pPr>
            <w:r w:rsidRPr="00BB4368">
              <w:t>serious</w:t>
            </w:r>
            <w:r w:rsidRPr="00BB4368">
              <w:rPr>
                <w:vertAlign w:val="superscript"/>
              </w:rPr>
              <w:t>1</w:t>
            </w:r>
          </w:p>
        </w:tc>
        <w:tc>
          <w:tcPr>
            <w:tcW w:w="0" w:type="auto"/>
            <w:tcBorders>
              <w:top w:val="single" w:sz="4" w:space="0" w:color="auto"/>
              <w:left w:val="single" w:sz="4" w:space="0" w:color="auto"/>
              <w:bottom w:val="single" w:sz="4" w:space="0" w:color="auto"/>
              <w:right w:val="single" w:sz="4" w:space="0" w:color="auto"/>
            </w:tcBorders>
          </w:tcPr>
          <w:p w14:paraId="2BFEAB13" w14:textId="77777777" w:rsidR="003D0EE8" w:rsidRPr="00BB4368" w:rsidRDefault="003D0EE8" w:rsidP="00BB4368">
            <w:pPr>
              <w:pStyle w:val="Tabletext1"/>
            </w:pPr>
            <w:r w:rsidRPr="00BB4368">
              <w:t>not serious</w:t>
            </w:r>
          </w:p>
        </w:tc>
        <w:tc>
          <w:tcPr>
            <w:tcW w:w="0" w:type="auto"/>
            <w:tcBorders>
              <w:top w:val="single" w:sz="4" w:space="0" w:color="auto"/>
              <w:left w:val="single" w:sz="4" w:space="0" w:color="auto"/>
              <w:bottom w:val="single" w:sz="4" w:space="0" w:color="auto"/>
              <w:right w:val="single" w:sz="4" w:space="0" w:color="auto"/>
            </w:tcBorders>
          </w:tcPr>
          <w:p w14:paraId="63F5CE85" w14:textId="2BAC32A5" w:rsidR="003D0EE8" w:rsidRPr="00BB4368" w:rsidRDefault="003D0EE8" w:rsidP="004E13AC">
            <w:pPr>
              <w:pStyle w:val="Tabletext1"/>
            </w:pPr>
            <w:r w:rsidRPr="00BB4368">
              <w:t>serious</w:t>
            </w:r>
            <w:r w:rsidRPr="00BB4368">
              <w:rPr>
                <w:vertAlign w:val="superscript"/>
              </w:rPr>
              <w:t>2</w:t>
            </w:r>
          </w:p>
        </w:tc>
        <w:tc>
          <w:tcPr>
            <w:tcW w:w="0" w:type="auto"/>
            <w:tcBorders>
              <w:top w:val="single" w:sz="4" w:space="0" w:color="auto"/>
              <w:left w:val="single" w:sz="4" w:space="0" w:color="auto"/>
              <w:bottom w:val="single" w:sz="4" w:space="0" w:color="auto"/>
              <w:right w:val="single" w:sz="4" w:space="0" w:color="auto"/>
            </w:tcBorders>
          </w:tcPr>
          <w:p w14:paraId="68009D41" w14:textId="77777777" w:rsidR="003D0EE8" w:rsidRPr="00BB4368" w:rsidRDefault="003D0EE8" w:rsidP="00BB4368">
            <w:pPr>
              <w:pStyle w:val="Tabletext1"/>
            </w:pPr>
            <w:r w:rsidRPr="00BB4368">
              <w:t>none</w:t>
            </w:r>
          </w:p>
        </w:tc>
        <w:tc>
          <w:tcPr>
            <w:tcW w:w="0" w:type="auto"/>
            <w:tcBorders>
              <w:top w:val="single" w:sz="4" w:space="0" w:color="auto"/>
              <w:left w:val="single" w:sz="4" w:space="0" w:color="auto"/>
              <w:bottom w:val="single" w:sz="4" w:space="0" w:color="auto"/>
              <w:right w:val="single" w:sz="4" w:space="0" w:color="auto"/>
            </w:tcBorders>
          </w:tcPr>
          <w:p w14:paraId="7A9DB7C0" w14:textId="77777777" w:rsidR="003D0EE8" w:rsidRPr="00BB4368" w:rsidRDefault="003D0EE8" w:rsidP="00BB4368">
            <w:pPr>
              <w:pStyle w:val="Tabletext1"/>
            </w:pPr>
            <w:r w:rsidRPr="00BB4368">
              <w:t>93 (52 to 151)</w:t>
            </w:r>
          </w:p>
        </w:tc>
        <w:tc>
          <w:tcPr>
            <w:tcW w:w="0" w:type="auto"/>
            <w:tcBorders>
              <w:top w:val="single" w:sz="4" w:space="0" w:color="auto"/>
              <w:left w:val="single" w:sz="4" w:space="0" w:color="auto"/>
              <w:bottom w:val="single" w:sz="4" w:space="0" w:color="auto"/>
              <w:right w:val="single" w:sz="4" w:space="0" w:color="auto"/>
            </w:tcBorders>
          </w:tcPr>
          <w:p w14:paraId="0F9F4B98" w14:textId="77777777" w:rsidR="003D0EE8" w:rsidRPr="00BB4368" w:rsidRDefault="003D0EE8" w:rsidP="00BB4368">
            <w:pPr>
              <w:pStyle w:val="Tabletext1"/>
            </w:pPr>
            <w:r w:rsidRPr="00BB4368">
              <w:t>133 (74 to 215)</w:t>
            </w:r>
          </w:p>
        </w:tc>
        <w:tc>
          <w:tcPr>
            <w:tcW w:w="0" w:type="auto"/>
            <w:tcBorders>
              <w:top w:val="single" w:sz="4" w:space="0" w:color="auto"/>
              <w:left w:val="single" w:sz="4" w:space="0" w:color="auto"/>
              <w:bottom w:val="single" w:sz="4" w:space="0" w:color="auto"/>
              <w:right w:val="single" w:sz="4" w:space="0" w:color="auto"/>
            </w:tcBorders>
          </w:tcPr>
          <w:p w14:paraId="6D23D005" w14:textId="1372C165" w:rsidR="003D0EE8" w:rsidRPr="00BB4368" w:rsidRDefault="003D0EE8" w:rsidP="00BB4368">
            <w:pPr>
              <w:pStyle w:val="Tabletext1"/>
            </w:pPr>
            <w:r>
              <w:rPr>
                <w:rFonts w:ascii="Cambria Math" w:hAnsi="Cambria Math"/>
                <w:color w:val="00B050"/>
              </w:rPr>
              <w:t>⨁⨁</w:t>
            </w:r>
            <w:r w:rsidRPr="00D4733A">
              <w:rPr>
                <w:rFonts w:ascii="Cambria Math" w:hAnsi="Cambria Math" w:cs="Cambria Math"/>
                <w:color w:val="C00000"/>
              </w:rPr>
              <w:t>⨀⨀</w:t>
            </w:r>
            <w:r w:rsidRPr="00BB4368">
              <w:br/>
              <w:t>LOW</w:t>
            </w:r>
          </w:p>
        </w:tc>
        <w:tc>
          <w:tcPr>
            <w:tcW w:w="0" w:type="auto"/>
            <w:tcBorders>
              <w:top w:val="single" w:sz="4" w:space="0" w:color="auto"/>
              <w:left w:val="single" w:sz="4" w:space="0" w:color="auto"/>
              <w:bottom w:val="single" w:sz="4" w:space="0" w:color="auto"/>
              <w:right w:val="single" w:sz="4" w:space="0" w:color="auto"/>
            </w:tcBorders>
          </w:tcPr>
          <w:p w14:paraId="11F04CCD" w14:textId="77777777" w:rsidR="003D0EE8" w:rsidRPr="00BB4368" w:rsidRDefault="003D0EE8" w:rsidP="00BB4368">
            <w:pPr>
              <w:pStyle w:val="Tabletext1"/>
            </w:pPr>
            <w:r w:rsidRPr="00BB4368">
              <w:t>Critical</w:t>
            </w:r>
          </w:p>
        </w:tc>
      </w:tr>
    </w:tbl>
    <w:p w14:paraId="3A3B0EFF" w14:textId="6BF5CA2B" w:rsidR="00051F80" w:rsidRDefault="00E75BF8" w:rsidP="00BB4368">
      <w:pPr>
        <w:pStyle w:val="TableNotes"/>
      </w:pPr>
      <w:r w:rsidRPr="00E10B76">
        <w:rPr>
          <w:vertAlign w:val="superscript"/>
        </w:rPr>
        <w:t>a</w:t>
      </w:r>
      <w:r w:rsidR="006F16DC" w:rsidRPr="006F16DC">
        <w:t>:</w:t>
      </w:r>
      <w:r w:rsidRPr="00E10B76">
        <w:rPr>
          <w:vertAlign w:val="superscript"/>
        </w:rPr>
        <w:t xml:space="preserve"> </w:t>
      </w:r>
      <w:r w:rsidRPr="00E10B76">
        <w:t>GRADE Working Group grades of evidence</w:t>
      </w:r>
      <w:r>
        <w:t xml:space="preserve"> </w:t>
      </w:r>
      <w:r w:rsidR="008E0B00">
        <w:fldChar w:fldCharType="begin"/>
      </w:r>
      <w:r w:rsidR="008E0B00">
        <w:instrText xml:space="preserve"> ADDIN EN.CITE &lt;EndNote&gt;&lt;Cite&gt;&lt;Author&gt;Guyatt&lt;/Author&gt;&lt;Year&gt;2013&lt;/Year&gt;&lt;RecNum&gt;1&lt;/RecNum&gt;&lt;DisplayText&gt;(Guyatt et al. 2013)&lt;/DisplayText&gt;&lt;record&gt;&lt;rec-number&gt;1&lt;/rec-number&gt;&lt;foreign-keys&gt;&lt;key app="EN" db-id="2p9terxr22fx91epzebpfdwuzrwtw2a2ep2t" timestamp="1472684599"&gt;1&lt;/key&gt;&lt;/foreign-keys&gt;&lt;ref-type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003B2B7D">
        <w:t>.</w:t>
      </w:r>
    </w:p>
    <w:p w14:paraId="562FD770" w14:textId="77777777" w:rsidR="00051F80" w:rsidRDefault="00E75BF8" w:rsidP="00BB4368">
      <w:pPr>
        <w:pStyle w:val="TableNotes"/>
      </w:pPr>
      <w:r w:rsidRPr="00D4733A">
        <w:rPr>
          <w:rFonts w:ascii="Cambria Math" w:hAnsi="Cambria Math"/>
          <w:color w:val="00B050"/>
        </w:rPr>
        <w:t>⨁⨁⨁⨁</w:t>
      </w:r>
      <w:r>
        <w:rPr>
          <w:rFonts w:ascii="Cambria Math" w:hAnsi="Cambria Math"/>
          <w:color w:val="00B050"/>
        </w:rPr>
        <w:t xml:space="preserve"> </w:t>
      </w:r>
      <w:r w:rsidRPr="00E10B76">
        <w:rPr>
          <w:b/>
          <w:bCs/>
        </w:rPr>
        <w:t>High quality:</w:t>
      </w:r>
      <w:r w:rsidRPr="00E10B76">
        <w:t xml:space="preserve"> </w:t>
      </w:r>
      <w:r>
        <w:t>We are very confident that the true effect lies close to that of the estimate of effect.</w:t>
      </w:r>
    </w:p>
    <w:p w14:paraId="429A65F0" w14:textId="77777777" w:rsidR="00051F80" w:rsidRDefault="00E75BF8" w:rsidP="00BB4368">
      <w:pPr>
        <w:pStyle w:val="TableNotes"/>
      </w:pPr>
      <w:r w:rsidRPr="00E10B76">
        <w:t xml:space="preserve"> </w:t>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p>
    <w:p w14:paraId="4D7563A5" w14:textId="38457D88" w:rsidR="00C45F11" w:rsidRDefault="00E75BF8" w:rsidP="00BB4368">
      <w:pPr>
        <w:pStyle w:val="TableNotes"/>
      </w:pP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rsidR="00C45F11" w:rsidRPr="00C45F11">
        <w:t xml:space="preserve"> </w:t>
      </w:r>
    </w:p>
    <w:p w14:paraId="5F5DB4AF" w14:textId="633E1659" w:rsidR="00051F80" w:rsidRDefault="00051F80" w:rsidP="00051F80">
      <w:pPr>
        <w:pStyle w:val="TableNotes"/>
        <w:rPr>
          <w:color w:val="000000"/>
          <w:sz w:val="16"/>
          <w:szCs w:val="16"/>
        </w:rPr>
      </w:pPr>
      <w:r w:rsidRPr="00C44F15">
        <w:rPr>
          <w:color w:val="000000"/>
          <w:sz w:val="16"/>
          <w:szCs w:val="16"/>
          <w:vertAlign w:val="superscript"/>
        </w:rPr>
        <w:t>1</w:t>
      </w:r>
      <w:r w:rsidR="00C44F15">
        <w:rPr>
          <w:color w:val="000000"/>
          <w:sz w:val="16"/>
          <w:szCs w:val="16"/>
        </w:rPr>
        <w:t>:</w:t>
      </w:r>
      <w:r w:rsidRPr="002D5EFE">
        <w:rPr>
          <w:color w:val="000000"/>
          <w:sz w:val="16"/>
          <w:szCs w:val="16"/>
        </w:rPr>
        <w:t xml:space="preserve"> No explanation</w:t>
      </w:r>
      <w:r>
        <w:rPr>
          <w:color w:val="000000"/>
          <w:sz w:val="16"/>
          <w:szCs w:val="16"/>
        </w:rPr>
        <w:t xml:space="preserve"> for the observed heterogeneity could be found</w:t>
      </w:r>
      <w:r w:rsidRPr="002D5EFE">
        <w:rPr>
          <w:color w:val="000000"/>
          <w:sz w:val="16"/>
          <w:szCs w:val="16"/>
        </w:rPr>
        <w:t>. 2</w:t>
      </w:r>
      <w:r>
        <w:rPr>
          <w:color w:val="000000"/>
          <w:sz w:val="16"/>
          <w:szCs w:val="16"/>
        </w:rPr>
        <w:t xml:space="preserve"> </w:t>
      </w:r>
      <w:r w:rsidRPr="002D5EFE">
        <w:rPr>
          <w:color w:val="000000"/>
          <w:sz w:val="16"/>
          <w:szCs w:val="16"/>
        </w:rPr>
        <w:t>The</w:t>
      </w:r>
      <w:r>
        <w:rPr>
          <w:color w:val="000000"/>
          <w:sz w:val="16"/>
          <w:szCs w:val="16"/>
        </w:rPr>
        <w:t xml:space="preserve"> wide confidence interval reflects imprecision</w:t>
      </w:r>
      <w:r w:rsidR="001E56E9">
        <w:rPr>
          <w:color w:val="000000"/>
          <w:sz w:val="16"/>
          <w:szCs w:val="16"/>
        </w:rPr>
        <w:t>.</w:t>
      </w:r>
    </w:p>
    <w:p w14:paraId="2FE22255" w14:textId="5B41BFEB" w:rsidR="00E75BF8" w:rsidRPr="00F5254C" w:rsidRDefault="00C45F11" w:rsidP="00BB4368">
      <w:pPr>
        <w:pStyle w:val="TableNotes"/>
      </w:pPr>
      <w:r>
        <w:t>QoE = quality of evidence, CI = confidence interval.</w:t>
      </w:r>
    </w:p>
    <w:p w14:paraId="114BF524" w14:textId="3747CF1A" w:rsidR="00E75BF8" w:rsidRPr="000470F1" w:rsidRDefault="00E75BF8" w:rsidP="00E75BF8">
      <w:pPr>
        <w:pStyle w:val="Caption"/>
      </w:pPr>
      <w:bookmarkStart w:id="794" w:name="_Toc460514576"/>
      <w:r>
        <w:lastRenderedPageBreak/>
        <w:t xml:space="preserve">Table </w:t>
      </w:r>
      <w:fldSimple w:instr=" SEQ Table \* ARABIC ">
        <w:r w:rsidR="0029649D">
          <w:rPr>
            <w:noProof/>
          </w:rPr>
          <w:t>76</w:t>
        </w:r>
      </w:fldSimple>
      <w:r>
        <w:tab/>
        <w:t xml:space="preserve">Evidence profile table for the impact of delayed treatment due to a </w:t>
      </w:r>
      <w:r w:rsidRPr="00747E07">
        <w:t>false negative on mpMRI compared</w:t>
      </w:r>
      <w:r>
        <w:t xml:space="preserve"> to biopsy for Population 1</w:t>
      </w:r>
      <w:bookmarkEnd w:id="794"/>
      <w:r>
        <w:t xml:space="preserve"> </w:t>
      </w:r>
    </w:p>
    <w:tbl>
      <w:tblPr>
        <w:tblW w:w="5000" w:type="pct"/>
        <w:tblLook w:val="04A0" w:firstRow="1" w:lastRow="0" w:firstColumn="1" w:lastColumn="0" w:noHBand="0" w:noVBand="1"/>
        <w:tblDescription w:val="Evidence profile table for impact of change in management outcomes"/>
      </w:tblPr>
      <w:tblGrid>
        <w:gridCol w:w="1309"/>
        <w:gridCol w:w="1975"/>
        <w:gridCol w:w="993"/>
        <w:gridCol w:w="1542"/>
        <w:gridCol w:w="1554"/>
        <w:gridCol w:w="1363"/>
        <w:gridCol w:w="1624"/>
        <w:gridCol w:w="1805"/>
        <w:gridCol w:w="1449"/>
        <w:gridCol w:w="1738"/>
      </w:tblGrid>
      <w:tr w:rsidR="00E75BF8" w:rsidRPr="002D5EFE" w14:paraId="7A4A2388" w14:textId="77777777" w:rsidTr="00841114">
        <w:trPr>
          <w:trHeight w:val="788"/>
        </w:trPr>
        <w:tc>
          <w:tcPr>
            <w:tcW w:w="426" w:type="pct"/>
            <w:tcBorders>
              <w:top w:val="single" w:sz="4" w:space="0" w:color="auto"/>
              <w:left w:val="single" w:sz="4" w:space="0" w:color="auto"/>
              <w:bottom w:val="single" w:sz="4" w:space="0" w:color="auto"/>
              <w:right w:val="single" w:sz="4" w:space="0" w:color="auto"/>
            </w:tcBorders>
          </w:tcPr>
          <w:p w14:paraId="2A082CE3" w14:textId="19EB59DD" w:rsidR="00E75BF8" w:rsidRPr="002D5EFE" w:rsidRDefault="00E75BF8" w:rsidP="0039385F">
            <w:pPr>
              <w:pStyle w:val="TableHeading"/>
            </w:pPr>
            <w:r w:rsidRPr="002D5EFE">
              <w:t>Outcome</w:t>
            </w:r>
            <w:r w:rsidR="006F16DC" w:rsidRPr="006F16DC">
              <w:rPr>
                <w:b w:val="0"/>
                <w:vertAlign w:val="superscript"/>
              </w:rPr>
              <w:t>a</w:t>
            </w:r>
          </w:p>
        </w:tc>
        <w:tc>
          <w:tcPr>
            <w:tcW w:w="643" w:type="pct"/>
            <w:tcBorders>
              <w:top w:val="single" w:sz="4" w:space="0" w:color="auto"/>
              <w:left w:val="single" w:sz="4" w:space="0" w:color="auto"/>
              <w:bottom w:val="single" w:sz="4" w:space="0" w:color="auto"/>
              <w:right w:val="single" w:sz="4" w:space="0" w:color="auto"/>
            </w:tcBorders>
          </w:tcPr>
          <w:p w14:paraId="16AECCE5" w14:textId="0CEAD1C0" w:rsidR="00E75BF8" w:rsidRPr="002D5EFE" w:rsidRDefault="003D0EE8" w:rsidP="0039385F">
            <w:pPr>
              <w:pStyle w:val="TableHeading"/>
            </w:pPr>
            <w:r>
              <w:t>Patients/Studies</w:t>
            </w:r>
          </w:p>
        </w:tc>
        <w:tc>
          <w:tcPr>
            <w:tcW w:w="323" w:type="pct"/>
            <w:tcBorders>
              <w:top w:val="single" w:sz="4" w:space="0" w:color="auto"/>
              <w:left w:val="single" w:sz="4" w:space="0" w:color="auto"/>
              <w:bottom w:val="single" w:sz="4" w:space="0" w:color="auto"/>
              <w:right w:val="single" w:sz="4" w:space="0" w:color="auto"/>
            </w:tcBorders>
          </w:tcPr>
          <w:p w14:paraId="4AF72B28" w14:textId="77777777" w:rsidR="00E75BF8" w:rsidRPr="002D5EFE" w:rsidRDefault="00E75BF8" w:rsidP="0039385F">
            <w:pPr>
              <w:pStyle w:val="TableHeading"/>
            </w:pPr>
            <w:r w:rsidRPr="002D5EFE">
              <w:t>Risk of bias</w:t>
            </w:r>
          </w:p>
        </w:tc>
        <w:tc>
          <w:tcPr>
            <w:tcW w:w="502" w:type="pct"/>
            <w:tcBorders>
              <w:top w:val="single" w:sz="4" w:space="0" w:color="auto"/>
              <w:left w:val="single" w:sz="4" w:space="0" w:color="auto"/>
              <w:bottom w:val="single" w:sz="4" w:space="0" w:color="auto"/>
              <w:right w:val="single" w:sz="4" w:space="0" w:color="auto"/>
            </w:tcBorders>
          </w:tcPr>
          <w:p w14:paraId="073F7FB1" w14:textId="77777777" w:rsidR="00E75BF8" w:rsidRPr="002D5EFE" w:rsidRDefault="00E75BF8" w:rsidP="0039385F">
            <w:pPr>
              <w:pStyle w:val="TableHeading"/>
            </w:pPr>
            <w:r w:rsidRPr="002D5EFE">
              <w:t>Inconsistency</w:t>
            </w:r>
          </w:p>
        </w:tc>
        <w:tc>
          <w:tcPr>
            <w:tcW w:w="506" w:type="pct"/>
            <w:tcBorders>
              <w:top w:val="single" w:sz="4" w:space="0" w:color="auto"/>
              <w:left w:val="single" w:sz="4" w:space="0" w:color="auto"/>
              <w:bottom w:val="single" w:sz="4" w:space="0" w:color="auto"/>
              <w:right w:val="single" w:sz="4" w:space="0" w:color="auto"/>
            </w:tcBorders>
          </w:tcPr>
          <w:p w14:paraId="2A125AD4" w14:textId="77777777" w:rsidR="00E75BF8" w:rsidRPr="002D5EFE" w:rsidRDefault="00E75BF8" w:rsidP="0039385F">
            <w:pPr>
              <w:pStyle w:val="TableHeading"/>
            </w:pPr>
            <w:r w:rsidRPr="002D5EFE">
              <w:t>Indirectness</w:t>
            </w:r>
          </w:p>
        </w:tc>
        <w:tc>
          <w:tcPr>
            <w:tcW w:w="444" w:type="pct"/>
            <w:tcBorders>
              <w:top w:val="single" w:sz="4" w:space="0" w:color="auto"/>
              <w:left w:val="single" w:sz="4" w:space="0" w:color="auto"/>
              <w:bottom w:val="single" w:sz="4" w:space="0" w:color="auto"/>
              <w:right w:val="single" w:sz="4" w:space="0" w:color="auto"/>
            </w:tcBorders>
          </w:tcPr>
          <w:p w14:paraId="1D335354" w14:textId="77777777" w:rsidR="00E75BF8" w:rsidRPr="002D5EFE" w:rsidRDefault="00E75BF8" w:rsidP="0039385F">
            <w:pPr>
              <w:pStyle w:val="TableHeading"/>
            </w:pPr>
            <w:r w:rsidRPr="002D5EFE">
              <w:t>Imprecision</w:t>
            </w:r>
          </w:p>
        </w:tc>
        <w:tc>
          <w:tcPr>
            <w:tcW w:w="529" w:type="pct"/>
            <w:tcBorders>
              <w:top w:val="single" w:sz="4" w:space="0" w:color="auto"/>
              <w:left w:val="single" w:sz="4" w:space="0" w:color="auto"/>
              <w:bottom w:val="single" w:sz="4" w:space="0" w:color="auto"/>
              <w:right w:val="single" w:sz="4" w:space="0" w:color="auto"/>
            </w:tcBorders>
          </w:tcPr>
          <w:p w14:paraId="55108EF6" w14:textId="77777777" w:rsidR="00E75BF8" w:rsidRPr="002D5EFE" w:rsidRDefault="00E75BF8" w:rsidP="0039385F">
            <w:pPr>
              <w:pStyle w:val="TableHeading"/>
            </w:pPr>
            <w:r w:rsidRPr="002D5EFE">
              <w:t xml:space="preserve">Other considerations </w:t>
            </w:r>
            <w:r w:rsidRPr="002D5EFE">
              <w:rPr>
                <w:vanish/>
              </w:rPr>
              <w:t>(e.g. publication bias)</w:t>
            </w:r>
          </w:p>
        </w:tc>
        <w:tc>
          <w:tcPr>
            <w:tcW w:w="588" w:type="pct"/>
            <w:tcBorders>
              <w:top w:val="single" w:sz="4" w:space="0" w:color="auto"/>
              <w:left w:val="single" w:sz="4" w:space="0" w:color="auto"/>
              <w:bottom w:val="single" w:sz="4" w:space="0" w:color="auto"/>
              <w:right w:val="single" w:sz="4" w:space="0" w:color="auto"/>
            </w:tcBorders>
          </w:tcPr>
          <w:p w14:paraId="77495E36" w14:textId="77777777" w:rsidR="00E75BF8" w:rsidRPr="002D5EFE" w:rsidRDefault="00E75BF8" w:rsidP="0039385F">
            <w:pPr>
              <w:pStyle w:val="TableHeading"/>
              <w:rPr>
                <w:highlight w:val="cyan"/>
              </w:rPr>
            </w:pPr>
            <w:r w:rsidRPr="00747E07">
              <w:t>Result</w:t>
            </w:r>
          </w:p>
        </w:tc>
        <w:tc>
          <w:tcPr>
            <w:tcW w:w="472" w:type="pct"/>
            <w:tcBorders>
              <w:top w:val="single" w:sz="4" w:space="0" w:color="auto"/>
              <w:left w:val="single" w:sz="4" w:space="0" w:color="auto"/>
              <w:bottom w:val="single" w:sz="4" w:space="0" w:color="auto"/>
              <w:right w:val="single" w:sz="4" w:space="0" w:color="auto"/>
            </w:tcBorders>
          </w:tcPr>
          <w:p w14:paraId="54B03E91" w14:textId="77777777" w:rsidR="00E75BF8" w:rsidRPr="002D5EFE" w:rsidRDefault="00E75BF8" w:rsidP="0039385F">
            <w:pPr>
              <w:pStyle w:val="TableHeading"/>
            </w:pPr>
            <w:r w:rsidRPr="002D5EFE">
              <w:t>Impact of change in management QoE</w:t>
            </w:r>
          </w:p>
        </w:tc>
        <w:tc>
          <w:tcPr>
            <w:tcW w:w="566" w:type="pct"/>
            <w:tcBorders>
              <w:top w:val="single" w:sz="4" w:space="0" w:color="auto"/>
              <w:left w:val="single" w:sz="4" w:space="0" w:color="auto"/>
              <w:bottom w:val="single" w:sz="4" w:space="0" w:color="auto"/>
              <w:right w:val="single" w:sz="4" w:space="0" w:color="auto"/>
            </w:tcBorders>
          </w:tcPr>
          <w:p w14:paraId="085D31BF" w14:textId="77777777" w:rsidR="00E75BF8" w:rsidRPr="002D5EFE" w:rsidRDefault="00E75BF8" w:rsidP="0039385F">
            <w:pPr>
              <w:pStyle w:val="TableHeading"/>
            </w:pPr>
            <w:r w:rsidRPr="002D5EFE">
              <w:t>Importance</w:t>
            </w:r>
          </w:p>
        </w:tc>
      </w:tr>
      <w:tr w:rsidR="00E75BF8" w:rsidRPr="002D5EFE" w14:paraId="2A7FA251" w14:textId="77777777" w:rsidTr="00841114">
        <w:trPr>
          <w:trHeight w:val="319"/>
        </w:trPr>
        <w:tc>
          <w:tcPr>
            <w:tcW w:w="426" w:type="pct"/>
            <w:tcBorders>
              <w:top w:val="single" w:sz="4" w:space="0" w:color="auto"/>
              <w:left w:val="single" w:sz="4" w:space="0" w:color="auto"/>
              <w:bottom w:val="single" w:sz="4" w:space="0" w:color="auto"/>
              <w:right w:val="single" w:sz="4" w:space="0" w:color="auto"/>
            </w:tcBorders>
          </w:tcPr>
          <w:p w14:paraId="09420CA0" w14:textId="77777777" w:rsidR="00E75BF8" w:rsidRPr="002D5EFE" w:rsidRDefault="00E75BF8" w:rsidP="0039385F">
            <w:pPr>
              <w:pStyle w:val="Tabletext1"/>
            </w:pPr>
            <w:r w:rsidRPr="002D5EFE">
              <w:t>Overall survival</w:t>
            </w:r>
          </w:p>
        </w:tc>
        <w:tc>
          <w:tcPr>
            <w:tcW w:w="643" w:type="pct"/>
            <w:tcBorders>
              <w:top w:val="single" w:sz="4" w:space="0" w:color="auto"/>
              <w:left w:val="single" w:sz="4" w:space="0" w:color="auto"/>
              <w:bottom w:val="single" w:sz="4" w:space="0" w:color="auto"/>
              <w:right w:val="single" w:sz="4" w:space="0" w:color="auto"/>
            </w:tcBorders>
          </w:tcPr>
          <w:p w14:paraId="38AED992" w14:textId="494101F7" w:rsidR="003D0EE8" w:rsidRDefault="00E75BF8" w:rsidP="003D0EE8">
            <w:pPr>
              <w:pStyle w:val="Tabletext1"/>
            </w:pPr>
            <w:r w:rsidRPr="002D5EFE">
              <w:t>41</w:t>
            </w:r>
            <w:r w:rsidR="00C45F11">
              <w:t>,</w:t>
            </w:r>
            <w:r w:rsidRPr="002D5EFE">
              <w:t>146</w:t>
            </w:r>
            <w:r w:rsidR="003D0EE8">
              <w:t xml:space="preserve"> patients</w:t>
            </w:r>
          </w:p>
          <w:p w14:paraId="45EAFF1C" w14:textId="74E33991" w:rsidR="00E75BF8" w:rsidRPr="002D5EFE" w:rsidRDefault="00E75BF8" w:rsidP="003D0EE8">
            <w:pPr>
              <w:pStyle w:val="Tabletext1"/>
            </w:pPr>
            <w:r w:rsidRPr="002D5EFE">
              <w:t>(5 studies)</w:t>
            </w:r>
            <w:r w:rsidR="006F16DC">
              <w:t>.</w:t>
            </w:r>
          </w:p>
        </w:tc>
        <w:tc>
          <w:tcPr>
            <w:tcW w:w="323" w:type="pct"/>
            <w:tcBorders>
              <w:top w:val="single" w:sz="4" w:space="0" w:color="auto"/>
              <w:left w:val="single" w:sz="4" w:space="0" w:color="auto"/>
              <w:bottom w:val="single" w:sz="4" w:space="0" w:color="auto"/>
              <w:right w:val="single" w:sz="4" w:space="0" w:color="auto"/>
            </w:tcBorders>
          </w:tcPr>
          <w:p w14:paraId="6349BCB9" w14:textId="77777777" w:rsidR="00E75BF8" w:rsidRPr="002D5EFE" w:rsidRDefault="00E75BF8" w:rsidP="0039385F">
            <w:pPr>
              <w:pStyle w:val="Tabletext1"/>
            </w:pPr>
            <w:r w:rsidRPr="002D5EFE">
              <w:t>not serious</w:t>
            </w:r>
          </w:p>
        </w:tc>
        <w:tc>
          <w:tcPr>
            <w:tcW w:w="502" w:type="pct"/>
            <w:tcBorders>
              <w:top w:val="single" w:sz="4" w:space="0" w:color="auto"/>
              <w:left w:val="single" w:sz="4" w:space="0" w:color="auto"/>
              <w:bottom w:val="single" w:sz="4" w:space="0" w:color="auto"/>
              <w:right w:val="single" w:sz="4" w:space="0" w:color="auto"/>
            </w:tcBorders>
          </w:tcPr>
          <w:p w14:paraId="1ED9E019" w14:textId="77777777" w:rsidR="00E75BF8" w:rsidRPr="002D5EFE" w:rsidRDefault="00E75BF8" w:rsidP="0039385F">
            <w:pPr>
              <w:pStyle w:val="Tabletext1"/>
            </w:pPr>
            <w:r w:rsidRPr="002D5EFE">
              <w:t>not serious</w:t>
            </w:r>
          </w:p>
        </w:tc>
        <w:tc>
          <w:tcPr>
            <w:tcW w:w="506" w:type="pct"/>
            <w:tcBorders>
              <w:top w:val="single" w:sz="4" w:space="0" w:color="auto"/>
              <w:left w:val="single" w:sz="4" w:space="0" w:color="auto"/>
              <w:bottom w:val="single" w:sz="4" w:space="0" w:color="auto"/>
              <w:right w:val="single" w:sz="4" w:space="0" w:color="auto"/>
            </w:tcBorders>
          </w:tcPr>
          <w:p w14:paraId="2776DF39" w14:textId="397DEA03" w:rsidR="00E75BF8" w:rsidRPr="002D5EFE" w:rsidRDefault="00E75BF8" w:rsidP="004E13AC">
            <w:pPr>
              <w:pStyle w:val="Tabletext1"/>
            </w:pPr>
            <w:r w:rsidRPr="002D5EFE">
              <w:t>serious</w:t>
            </w:r>
            <w:r w:rsidRPr="002D5EFE">
              <w:rPr>
                <w:vertAlign w:val="superscript"/>
              </w:rPr>
              <w:t>1</w:t>
            </w:r>
          </w:p>
        </w:tc>
        <w:tc>
          <w:tcPr>
            <w:tcW w:w="444" w:type="pct"/>
            <w:tcBorders>
              <w:top w:val="single" w:sz="4" w:space="0" w:color="auto"/>
              <w:left w:val="single" w:sz="4" w:space="0" w:color="auto"/>
              <w:bottom w:val="single" w:sz="4" w:space="0" w:color="auto"/>
              <w:right w:val="single" w:sz="4" w:space="0" w:color="auto"/>
            </w:tcBorders>
          </w:tcPr>
          <w:p w14:paraId="165E53C5" w14:textId="77777777" w:rsidR="00E75BF8" w:rsidRPr="002D5EFE" w:rsidRDefault="00E75BF8" w:rsidP="0039385F">
            <w:pPr>
              <w:pStyle w:val="Tabletext1"/>
            </w:pPr>
            <w:r w:rsidRPr="002D5EFE">
              <w:t>not serious</w:t>
            </w:r>
          </w:p>
        </w:tc>
        <w:tc>
          <w:tcPr>
            <w:tcW w:w="529" w:type="pct"/>
            <w:tcBorders>
              <w:top w:val="single" w:sz="4" w:space="0" w:color="auto"/>
              <w:left w:val="single" w:sz="4" w:space="0" w:color="auto"/>
              <w:bottom w:val="single" w:sz="4" w:space="0" w:color="auto"/>
              <w:right w:val="single" w:sz="4" w:space="0" w:color="auto"/>
            </w:tcBorders>
          </w:tcPr>
          <w:p w14:paraId="3BC059AC" w14:textId="77777777" w:rsidR="00E75BF8" w:rsidRPr="002D5EFE" w:rsidRDefault="00E75BF8" w:rsidP="0039385F">
            <w:pPr>
              <w:pStyle w:val="Tabletext1"/>
            </w:pPr>
            <w:r w:rsidRPr="002D5EFE">
              <w:t>none</w:t>
            </w:r>
          </w:p>
        </w:tc>
        <w:tc>
          <w:tcPr>
            <w:tcW w:w="588" w:type="pct"/>
            <w:tcBorders>
              <w:top w:val="single" w:sz="4" w:space="0" w:color="auto"/>
              <w:left w:val="single" w:sz="4" w:space="0" w:color="auto"/>
              <w:bottom w:val="single" w:sz="4" w:space="0" w:color="auto"/>
              <w:right w:val="single" w:sz="4" w:space="0" w:color="auto"/>
            </w:tcBorders>
          </w:tcPr>
          <w:p w14:paraId="5D3D02A9" w14:textId="4F169620" w:rsidR="00E75BF8" w:rsidRPr="002D5EFE" w:rsidRDefault="00E75BF8" w:rsidP="003D0EE8">
            <w:pPr>
              <w:pStyle w:val="Tabletext1"/>
            </w:pPr>
            <w:r w:rsidRPr="002D5EFE">
              <w:t xml:space="preserve">Delay did not impact overall survival (results from </w:t>
            </w:r>
            <w:r w:rsidR="003D0EE8">
              <w:t>5</w:t>
            </w:r>
            <w:r w:rsidRPr="002D5EFE">
              <w:t xml:space="preserve"> studies)</w:t>
            </w:r>
          </w:p>
        </w:tc>
        <w:tc>
          <w:tcPr>
            <w:tcW w:w="472" w:type="pct"/>
            <w:tcBorders>
              <w:top w:val="single" w:sz="4" w:space="0" w:color="auto"/>
              <w:left w:val="single" w:sz="4" w:space="0" w:color="auto"/>
              <w:bottom w:val="single" w:sz="4" w:space="0" w:color="auto"/>
              <w:right w:val="single" w:sz="4" w:space="0" w:color="auto"/>
            </w:tcBorders>
          </w:tcPr>
          <w:p w14:paraId="089BEBCF" w14:textId="67444860" w:rsidR="00E75BF8" w:rsidRPr="002D5EFE" w:rsidRDefault="000C0CCE" w:rsidP="0039385F">
            <w:pPr>
              <w:pStyle w:val="Tabletext1"/>
            </w:pPr>
            <w:r>
              <w:rPr>
                <w:rFonts w:ascii="Cambria Math" w:hAnsi="Cambria Math"/>
                <w:color w:val="00B050"/>
              </w:rPr>
              <w:t>⨁</w:t>
            </w:r>
            <w:r w:rsidRPr="00D4733A">
              <w:rPr>
                <w:rFonts w:ascii="Cambria Math" w:hAnsi="Cambria Math" w:cs="Cambria Math"/>
                <w:color w:val="C00000"/>
              </w:rPr>
              <w:t>⨀⨀⨀</w:t>
            </w:r>
            <w:r w:rsidR="00E75BF8" w:rsidRPr="002D5EFE">
              <w:br/>
              <w:t>VERY LOW</w:t>
            </w:r>
          </w:p>
        </w:tc>
        <w:tc>
          <w:tcPr>
            <w:tcW w:w="566" w:type="pct"/>
            <w:tcBorders>
              <w:top w:val="single" w:sz="4" w:space="0" w:color="auto"/>
              <w:left w:val="single" w:sz="4" w:space="0" w:color="auto"/>
              <w:bottom w:val="single" w:sz="4" w:space="0" w:color="auto"/>
              <w:right w:val="single" w:sz="4" w:space="0" w:color="auto"/>
            </w:tcBorders>
          </w:tcPr>
          <w:p w14:paraId="60B21294" w14:textId="77777777" w:rsidR="00E75BF8" w:rsidRPr="002D5EFE" w:rsidRDefault="00E75BF8" w:rsidP="0039385F">
            <w:pPr>
              <w:pStyle w:val="Tabletext1"/>
            </w:pPr>
            <w:r w:rsidRPr="002D5EFE">
              <w:t>Critical</w:t>
            </w:r>
          </w:p>
        </w:tc>
      </w:tr>
      <w:tr w:rsidR="00E75BF8" w:rsidRPr="002D5EFE" w14:paraId="4FCD8869" w14:textId="77777777" w:rsidTr="00841114">
        <w:trPr>
          <w:trHeight w:val="319"/>
        </w:trPr>
        <w:tc>
          <w:tcPr>
            <w:tcW w:w="426" w:type="pct"/>
            <w:tcBorders>
              <w:top w:val="single" w:sz="4" w:space="0" w:color="auto"/>
              <w:left w:val="single" w:sz="4" w:space="0" w:color="auto"/>
              <w:bottom w:val="single" w:sz="4" w:space="0" w:color="auto"/>
              <w:right w:val="single" w:sz="4" w:space="0" w:color="auto"/>
            </w:tcBorders>
          </w:tcPr>
          <w:p w14:paraId="7D82BC23" w14:textId="77777777" w:rsidR="00E75BF8" w:rsidRPr="002D5EFE" w:rsidRDefault="00E75BF8" w:rsidP="0039385F">
            <w:pPr>
              <w:pStyle w:val="Tabletext1"/>
            </w:pPr>
            <w:r w:rsidRPr="002D5EFE">
              <w:t>Cancer free survival</w:t>
            </w:r>
          </w:p>
        </w:tc>
        <w:tc>
          <w:tcPr>
            <w:tcW w:w="643" w:type="pct"/>
            <w:tcBorders>
              <w:top w:val="single" w:sz="4" w:space="0" w:color="auto"/>
              <w:left w:val="single" w:sz="4" w:space="0" w:color="auto"/>
              <w:bottom w:val="single" w:sz="4" w:space="0" w:color="auto"/>
              <w:right w:val="single" w:sz="4" w:space="0" w:color="auto"/>
            </w:tcBorders>
          </w:tcPr>
          <w:p w14:paraId="155B434D" w14:textId="7F7DAE48" w:rsidR="003D0EE8" w:rsidRDefault="00E75BF8" w:rsidP="003D0EE8">
            <w:pPr>
              <w:pStyle w:val="Tabletext1"/>
            </w:pPr>
            <w:r w:rsidRPr="002D5EFE">
              <w:t>8</w:t>
            </w:r>
            <w:r w:rsidR="00C45F11">
              <w:t>,</w:t>
            </w:r>
            <w:r w:rsidRPr="002D5EFE">
              <w:t>916</w:t>
            </w:r>
            <w:r w:rsidR="003D0EE8">
              <w:t xml:space="preserve"> patients</w:t>
            </w:r>
          </w:p>
          <w:p w14:paraId="1B788C32" w14:textId="4C24580D" w:rsidR="00E75BF8" w:rsidRPr="002D5EFE" w:rsidRDefault="00E75BF8" w:rsidP="003D0EE8">
            <w:pPr>
              <w:pStyle w:val="Tabletext1"/>
            </w:pPr>
            <w:r w:rsidRPr="002D5EFE">
              <w:t>(2 studies)</w:t>
            </w:r>
            <w:r w:rsidR="006F16DC">
              <w:t>.</w:t>
            </w:r>
          </w:p>
        </w:tc>
        <w:tc>
          <w:tcPr>
            <w:tcW w:w="323" w:type="pct"/>
            <w:tcBorders>
              <w:top w:val="single" w:sz="4" w:space="0" w:color="auto"/>
              <w:left w:val="single" w:sz="4" w:space="0" w:color="auto"/>
              <w:bottom w:val="single" w:sz="4" w:space="0" w:color="auto"/>
              <w:right w:val="single" w:sz="4" w:space="0" w:color="auto"/>
            </w:tcBorders>
          </w:tcPr>
          <w:p w14:paraId="7AA708D7" w14:textId="77777777" w:rsidR="00E75BF8" w:rsidRPr="002D5EFE" w:rsidRDefault="00E75BF8" w:rsidP="0039385F">
            <w:pPr>
              <w:pStyle w:val="Tabletext1"/>
            </w:pPr>
            <w:r w:rsidRPr="002D5EFE">
              <w:t>not serious</w:t>
            </w:r>
          </w:p>
        </w:tc>
        <w:tc>
          <w:tcPr>
            <w:tcW w:w="502" w:type="pct"/>
            <w:tcBorders>
              <w:top w:val="single" w:sz="4" w:space="0" w:color="auto"/>
              <w:left w:val="single" w:sz="4" w:space="0" w:color="auto"/>
              <w:bottom w:val="single" w:sz="4" w:space="0" w:color="auto"/>
              <w:right w:val="single" w:sz="4" w:space="0" w:color="auto"/>
            </w:tcBorders>
          </w:tcPr>
          <w:p w14:paraId="750B2686" w14:textId="77777777" w:rsidR="00E75BF8" w:rsidRPr="002D5EFE" w:rsidRDefault="00E75BF8" w:rsidP="0039385F">
            <w:pPr>
              <w:pStyle w:val="Tabletext1"/>
            </w:pPr>
            <w:r w:rsidRPr="002D5EFE">
              <w:t>not serious</w:t>
            </w:r>
          </w:p>
        </w:tc>
        <w:tc>
          <w:tcPr>
            <w:tcW w:w="506" w:type="pct"/>
            <w:tcBorders>
              <w:top w:val="single" w:sz="4" w:space="0" w:color="auto"/>
              <w:left w:val="single" w:sz="4" w:space="0" w:color="auto"/>
              <w:bottom w:val="single" w:sz="4" w:space="0" w:color="auto"/>
              <w:right w:val="single" w:sz="4" w:space="0" w:color="auto"/>
            </w:tcBorders>
          </w:tcPr>
          <w:p w14:paraId="47D1DDA3" w14:textId="216BA3F6" w:rsidR="00E75BF8" w:rsidRPr="002D5EFE" w:rsidRDefault="00E75BF8" w:rsidP="004E13AC">
            <w:pPr>
              <w:pStyle w:val="Tabletext1"/>
            </w:pPr>
            <w:r w:rsidRPr="002D5EFE">
              <w:t>serious</w:t>
            </w:r>
            <w:r w:rsidRPr="002D5EFE">
              <w:rPr>
                <w:vertAlign w:val="superscript"/>
              </w:rPr>
              <w:t>1</w:t>
            </w:r>
          </w:p>
        </w:tc>
        <w:tc>
          <w:tcPr>
            <w:tcW w:w="444" w:type="pct"/>
            <w:tcBorders>
              <w:top w:val="single" w:sz="4" w:space="0" w:color="auto"/>
              <w:left w:val="single" w:sz="4" w:space="0" w:color="auto"/>
              <w:bottom w:val="single" w:sz="4" w:space="0" w:color="auto"/>
              <w:right w:val="single" w:sz="4" w:space="0" w:color="auto"/>
            </w:tcBorders>
          </w:tcPr>
          <w:p w14:paraId="593092E6" w14:textId="77777777" w:rsidR="00E75BF8" w:rsidRPr="002D5EFE" w:rsidRDefault="00E75BF8" w:rsidP="0039385F">
            <w:pPr>
              <w:pStyle w:val="Tabletext1"/>
            </w:pPr>
            <w:r w:rsidRPr="002D5EFE">
              <w:t>not serious</w:t>
            </w:r>
          </w:p>
        </w:tc>
        <w:tc>
          <w:tcPr>
            <w:tcW w:w="529" w:type="pct"/>
            <w:tcBorders>
              <w:top w:val="single" w:sz="4" w:space="0" w:color="auto"/>
              <w:left w:val="single" w:sz="4" w:space="0" w:color="auto"/>
              <w:bottom w:val="single" w:sz="4" w:space="0" w:color="auto"/>
              <w:right w:val="single" w:sz="4" w:space="0" w:color="auto"/>
            </w:tcBorders>
          </w:tcPr>
          <w:p w14:paraId="378075D8" w14:textId="77777777" w:rsidR="00E75BF8" w:rsidRPr="002D5EFE" w:rsidRDefault="00E75BF8" w:rsidP="0039385F">
            <w:pPr>
              <w:pStyle w:val="Tabletext1"/>
            </w:pPr>
            <w:r w:rsidRPr="002D5EFE">
              <w:t>none</w:t>
            </w:r>
          </w:p>
        </w:tc>
        <w:tc>
          <w:tcPr>
            <w:tcW w:w="588" w:type="pct"/>
            <w:tcBorders>
              <w:top w:val="single" w:sz="4" w:space="0" w:color="auto"/>
              <w:left w:val="single" w:sz="4" w:space="0" w:color="auto"/>
              <w:bottom w:val="single" w:sz="4" w:space="0" w:color="auto"/>
              <w:right w:val="single" w:sz="4" w:space="0" w:color="auto"/>
            </w:tcBorders>
          </w:tcPr>
          <w:p w14:paraId="5635B5B6" w14:textId="3E6E35AF" w:rsidR="00E75BF8" w:rsidRPr="002D5EFE" w:rsidRDefault="00E75BF8" w:rsidP="003D0EE8">
            <w:pPr>
              <w:pStyle w:val="Tabletext1"/>
            </w:pPr>
            <w:r w:rsidRPr="002D5EFE">
              <w:t xml:space="preserve">Delay did not impact cancer free survival (results from </w:t>
            </w:r>
            <w:r w:rsidR="003D0EE8">
              <w:t>2</w:t>
            </w:r>
            <w:r w:rsidRPr="002D5EFE">
              <w:t xml:space="preserve"> studies)</w:t>
            </w:r>
          </w:p>
        </w:tc>
        <w:tc>
          <w:tcPr>
            <w:tcW w:w="472" w:type="pct"/>
            <w:tcBorders>
              <w:top w:val="single" w:sz="4" w:space="0" w:color="auto"/>
              <w:left w:val="single" w:sz="4" w:space="0" w:color="auto"/>
              <w:bottom w:val="single" w:sz="4" w:space="0" w:color="auto"/>
              <w:right w:val="single" w:sz="4" w:space="0" w:color="auto"/>
            </w:tcBorders>
          </w:tcPr>
          <w:p w14:paraId="6588E394" w14:textId="2A525454" w:rsidR="00E75BF8" w:rsidRPr="002D5EFE" w:rsidRDefault="000C0CCE" w:rsidP="0039385F">
            <w:pPr>
              <w:pStyle w:val="Tabletext1"/>
            </w:pPr>
            <w:r>
              <w:rPr>
                <w:rFonts w:ascii="Cambria Math" w:hAnsi="Cambria Math"/>
                <w:color w:val="00B050"/>
              </w:rPr>
              <w:t>⨁</w:t>
            </w:r>
            <w:r w:rsidRPr="00D4733A">
              <w:rPr>
                <w:rFonts w:ascii="Cambria Math" w:hAnsi="Cambria Math" w:cs="Cambria Math"/>
                <w:color w:val="C00000"/>
              </w:rPr>
              <w:t>⨀⨀⨀</w:t>
            </w:r>
            <w:r w:rsidR="00E75BF8" w:rsidRPr="002D5EFE">
              <w:br/>
              <w:t>VERY LOW</w:t>
            </w:r>
          </w:p>
        </w:tc>
        <w:tc>
          <w:tcPr>
            <w:tcW w:w="566" w:type="pct"/>
            <w:tcBorders>
              <w:top w:val="single" w:sz="4" w:space="0" w:color="auto"/>
              <w:left w:val="single" w:sz="4" w:space="0" w:color="auto"/>
              <w:bottom w:val="single" w:sz="4" w:space="0" w:color="auto"/>
              <w:right w:val="single" w:sz="4" w:space="0" w:color="auto"/>
            </w:tcBorders>
          </w:tcPr>
          <w:p w14:paraId="4F8F8426" w14:textId="77777777" w:rsidR="00E75BF8" w:rsidRPr="002D5EFE" w:rsidRDefault="00E75BF8" w:rsidP="0039385F">
            <w:pPr>
              <w:pStyle w:val="Tabletext1"/>
            </w:pPr>
            <w:r w:rsidRPr="002D5EFE">
              <w:t>Critical</w:t>
            </w:r>
          </w:p>
        </w:tc>
      </w:tr>
      <w:tr w:rsidR="00E75BF8" w:rsidRPr="002D5EFE" w14:paraId="63F6EF85" w14:textId="77777777" w:rsidTr="00841114">
        <w:trPr>
          <w:trHeight w:val="319"/>
        </w:trPr>
        <w:tc>
          <w:tcPr>
            <w:tcW w:w="426" w:type="pct"/>
            <w:tcBorders>
              <w:top w:val="single" w:sz="4" w:space="0" w:color="auto"/>
              <w:left w:val="single" w:sz="4" w:space="0" w:color="auto"/>
              <w:bottom w:val="single" w:sz="4" w:space="0" w:color="auto"/>
              <w:right w:val="single" w:sz="4" w:space="0" w:color="auto"/>
            </w:tcBorders>
          </w:tcPr>
          <w:p w14:paraId="1AF6FF7C" w14:textId="77777777" w:rsidR="00E75BF8" w:rsidRPr="002D5EFE" w:rsidRDefault="00E75BF8" w:rsidP="0039385F">
            <w:pPr>
              <w:pStyle w:val="Tabletext1"/>
            </w:pPr>
            <w:r w:rsidRPr="002D5EFE">
              <w:t>Rate of metastases formation</w:t>
            </w:r>
          </w:p>
        </w:tc>
        <w:tc>
          <w:tcPr>
            <w:tcW w:w="643" w:type="pct"/>
            <w:tcBorders>
              <w:top w:val="single" w:sz="4" w:space="0" w:color="auto"/>
              <w:left w:val="single" w:sz="4" w:space="0" w:color="auto"/>
              <w:bottom w:val="single" w:sz="4" w:space="0" w:color="auto"/>
              <w:right w:val="single" w:sz="4" w:space="0" w:color="auto"/>
            </w:tcBorders>
          </w:tcPr>
          <w:p w14:paraId="65809A40" w14:textId="3065B504" w:rsidR="003D0EE8" w:rsidRDefault="00E75BF8" w:rsidP="003D0EE8">
            <w:pPr>
              <w:pStyle w:val="Tabletext1"/>
            </w:pPr>
            <w:r w:rsidRPr="002D5EFE">
              <w:t>6</w:t>
            </w:r>
            <w:r w:rsidR="00C45F11">
              <w:t>,</w:t>
            </w:r>
            <w:r w:rsidR="003D0EE8">
              <w:t>681 patients</w:t>
            </w:r>
          </w:p>
          <w:p w14:paraId="10B3FBA3" w14:textId="2952C59D" w:rsidR="00E75BF8" w:rsidRPr="002D5EFE" w:rsidRDefault="00E75BF8" w:rsidP="003D0EE8">
            <w:pPr>
              <w:pStyle w:val="Tabletext1"/>
            </w:pPr>
            <w:r w:rsidRPr="002D5EFE">
              <w:t>(4 studies)</w:t>
            </w:r>
            <w:r w:rsidR="006F16DC">
              <w:t>.</w:t>
            </w:r>
          </w:p>
        </w:tc>
        <w:tc>
          <w:tcPr>
            <w:tcW w:w="323" w:type="pct"/>
            <w:tcBorders>
              <w:top w:val="single" w:sz="4" w:space="0" w:color="auto"/>
              <w:left w:val="single" w:sz="4" w:space="0" w:color="auto"/>
              <w:bottom w:val="single" w:sz="4" w:space="0" w:color="auto"/>
              <w:right w:val="single" w:sz="4" w:space="0" w:color="auto"/>
            </w:tcBorders>
          </w:tcPr>
          <w:p w14:paraId="63C9498B" w14:textId="77777777" w:rsidR="00E75BF8" w:rsidRPr="002D5EFE" w:rsidRDefault="00E75BF8" w:rsidP="0039385F">
            <w:pPr>
              <w:pStyle w:val="Tabletext1"/>
            </w:pPr>
            <w:r w:rsidRPr="002D5EFE">
              <w:t>not serious</w:t>
            </w:r>
          </w:p>
        </w:tc>
        <w:tc>
          <w:tcPr>
            <w:tcW w:w="502" w:type="pct"/>
            <w:tcBorders>
              <w:top w:val="single" w:sz="4" w:space="0" w:color="auto"/>
              <w:left w:val="single" w:sz="4" w:space="0" w:color="auto"/>
              <w:bottom w:val="single" w:sz="4" w:space="0" w:color="auto"/>
              <w:right w:val="single" w:sz="4" w:space="0" w:color="auto"/>
            </w:tcBorders>
          </w:tcPr>
          <w:p w14:paraId="3C175594" w14:textId="77777777" w:rsidR="00E75BF8" w:rsidRPr="002D5EFE" w:rsidRDefault="00E75BF8" w:rsidP="0039385F">
            <w:pPr>
              <w:pStyle w:val="Tabletext1"/>
            </w:pPr>
            <w:r w:rsidRPr="002D5EFE">
              <w:t>not serious</w:t>
            </w:r>
          </w:p>
        </w:tc>
        <w:tc>
          <w:tcPr>
            <w:tcW w:w="506" w:type="pct"/>
            <w:tcBorders>
              <w:top w:val="single" w:sz="4" w:space="0" w:color="auto"/>
              <w:left w:val="single" w:sz="4" w:space="0" w:color="auto"/>
              <w:bottom w:val="single" w:sz="4" w:space="0" w:color="auto"/>
              <w:right w:val="single" w:sz="4" w:space="0" w:color="auto"/>
            </w:tcBorders>
          </w:tcPr>
          <w:p w14:paraId="663AE0CF" w14:textId="67221424" w:rsidR="00E75BF8" w:rsidRPr="002D5EFE" w:rsidRDefault="00E75BF8" w:rsidP="004E13AC">
            <w:pPr>
              <w:pStyle w:val="Tabletext1"/>
            </w:pPr>
            <w:r w:rsidRPr="002D5EFE">
              <w:t>serious</w:t>
            </w:r>
            <w:r w:rsidRPr="002D5EFE">
              <w:rPr>
                <w:vertAlign w:val="superscript"/>
              </w:rPr>
              <w:t>1</w:t>
            </w:r>
          </w:p>
        </w:tc>
        <w:tc>
          <w:tcPr>
            <w:tcW w:w="444" w:type="pct"/>
            <w:tcBorders>
              <w:top w:val="single" w:sz="4" w:space="0" w:color="auto"/>
              <w:left w:val="single" w:sz="4" w:space="0" w:color="auto"/>
              <w:bottom w:val="single" w:sz="4" w:space="0" w:color="auto"/>
              <w:right w:val="single" w:sz="4" w:space="0" w:color="auto"/>
            </w:tcBorders>
          </w:tcPr>
          <w:p w14:paraId="7BCF616D" w14:textId="77777777" w:rsidR="00E75BF8" w:rsidRPr="002D5EFE" w:rsidRDefault="00E75BF8" w:rsidP="0039385F">
            <w:pPr>
              <w:pStyle w:val="Tabletext1"/>
            </w:pPr>
            <w:r w:rsidRPr="002D5EFE">
              <w:t>not serious</w:t>
            </w:r>
          </w:p>
        </w:tc>
        <w:tc>
          <w:tcPr>
            <w:tcW w:w="529" w:type="pct"/>
            <w:tcBorders>
              <w:top w:val="single" w:sz="4" w:space="0" w:color="auto"/>
              <w:left w:val="single" w:sz="4" w:space="0" w:color="auto"/>
              <w:bottom w:val="single" w:sz="4" w:space="0" w:color="auto"/>
              <w:right w:val="single" w:sz="4" w:space="0" w:color="auto"/>
            </w:tcBorders>
          </w:tcPr>
          <w:p w14:paraId="5DD998F1" w14:textId="77777777" w:rsidR="00E75BF8" w:rsidRPr="002D5EFE" w:rsidRDefault="00E75BF8" w:rsidP="0039385F">
            <w:pPr>
              <w:pStyle w:val="Tabletext1"/>
            </w:pPr>
            <w:r w:rsidRPr="002D5EFE">
              <w:t>none</w:t>
            </w:r>
          </w:p>
        </w:tc>
        <w:tc>
          <w:tcPr>
            <w:tcW w:w="588" w:type="pct"/>
            <w:tcBorders>
              <w:top w:val="single" w:sz="4" w:space="0" w:color="auto"/>
              <w:left w:val="single" w:sz="4" w:space="0" w:color="auto"/>
              <w:bottom w:val="single" w:sz="4" w:space="0" w:color="auto"/>
              <w:right w:val="single" w:sz="4" w:space="0" w:color="auto"/>
            </w:tcBorders>
          </w:tcPr>
          <w:p w14:paraId="7FCD499C" w14:textId="77777777" w:rsidR="00E75BF8" w:rsidRPr="002D5EFE" w:rsidRDefault="00E75BF8" w:rsidP="0039385F">
            <w:pPr>
              <w:pStyle w:val="Tabletext1"/>
            </w:pPr>
            <w:r w:rsidRPr="002D5EFE">
              <w:t>Delay did not impact rate of metastases formation (results from 4 studies)</w:t>
            </w:r>
          </w:p>
        </w:tc>
        <w:tc>
          <w:tcPr>
            <w:tcW w:w="472" w:type="pct"/>
            <w:tcBorders>
              <w:top w:val="single" w:sz="4" w:space="0" w:color="auto"/>
              <w:left w:val="single" w:sz="4" w:space="0" w:color="auto"/>
              <w:bottom w:val="single" w:sz="4" w:space="0" w:color="auto"/>
              <w:right w:val="single" w:sz="4" w:space="0" w:color="auto"/>
            </w:tcBorders>
          </w:tcPr>
          <w:p w14:paraId="018DF3BD" w14:textId="0E52FF89" w:rsidR="00E75BF8" w:rsidRPr="002D5EFE" w:rsidRDefault="000C0CCE" w:rsidP="0039385F">
            <w:pPr>
              <w:pStyle w:val="Tabletext1"/>
            </w:pPr>
            <w:r>
              <w:rPr>
                <w:rFonts w:ascii="Cambria Math" w:hAnsi="Cambria Math"/>
                <w:color w:val="00B050"/>
              </w:rPr>
              <w:t>⨁</w:t>
            </w:r>
            <w:r w:rsidRPr="00D4733A">
              <w:rPr>
                <w:rFonts w:ascii="Cambria Math" w:hAnsi="Cambria Math" w:cs="Cambria Math"/>
                <w:color w:val="C00000"/>
              </w:rPr>
              <w:t>⨀⨀⨀</w:t>
            </w:r>
            <w:r w:rsidR="00E75BF8" w:rsidRPr="002D5EFE">
              <w:br/>
              <w:t>VERY LOW</w:t>
            </w:r>
          </w:p>
        </w:tc>
        <w:tc>
          <w:tcPr>
            <w:tcW w:w="566" w:type="pct"/>
            <w:tcBorders>
              <w:top w:val="single" w:sz="4" w:space="0" w:color="auto"/>
              <w:left w:val="single" w:sz="4" w:space="0" w:color="auto"/>
              <w:bottom w:val="single" w:sz="4" w:space="0" w:color="auto"/>
              <w:right w:val="single" w:sz="4" w:space="0" w:color="auto"/>
            </w:tcBorders>
          </w:tcPr>
          <w:p w14:paraId="3DCC5C1F" w14:textId="77777777" w:rsidR="00E75BF8" w:rsidRPr="002D5EFE" w:rsidRDefault="00E75BF8" w:rsidP="0039385F">
            <w:pPr>
              <w:pStyle w:val="Tabletext1"/>
            </w:pPr>
            <w:r w:rsidRPr="002D5EFE">
              <w:t>Critical</w:t>
            </w:r>
          </w:p>
        </w:tc>
      </w:tr>
      <w:tr w:rsidR="00E75BF8" w:rsidRPr="002D5EFE" w14:paraId="7FC0CBC3" w14:textId="77777777" w:rsidTr="00841114">
        <w:trPr>
          <w:trHeight w:val="319"/>
        </w:trPr>
        <w:tc>
          <w:tcPr>
            <w:tcW w:w="426" w:type="pct"/>
            <w:tcBorders>
              <w:top w:val="single" w:sz="4" w:space="0" w:color="auto"/>
              <w:left w:val="single" w:sz="4" w:space="0" w:color="auto"/>
              <w:bottom w:val="single" w:sz="4" w:space="0" w:color="auto"/>
              <w:right w:val="single" w:sz="4" w:space="0" w:color="auto"/>
            </w:tcBorders>
          </w:tcPr>
          <w:p w14:paraId="134FB9F4" w14:textId="77777777" w:rsidR="00E75BF8" w:rsidRPr="002D5EFE" w:rsidRDefault="00E75BF8" w:rsidP="0039385F">
            <w:pPr>
              <w:pStyle w:val="Tabletext1"/>
            </w:pPr>
            <w:r w:rsidRPr="002D5EFE">
              <w:t>Biochemical recurrence</w:t>
            </w:r>
          </w:p>
        </w:tc>
        <w:tc>
          <w:tcPr>
            <w:tcW w:w="643" w:type="pct"/>
            <w:tcBorders>
              <w:top w:val="single" w:sz="4" w:space="0" w:color="auto"/>
              <w:left w:val="single" w:sz="4" w:space="0" w:color="auto"/>
              <w:bottom w:val="single" w:sz="4" w:space="0" w:color="auto"/>
              <w:right w:val="single" w:sz="4" w:space="0" w:color="auto"/>
            </w:tcBorders>
          </w:tcPr>
          <w:p w14:paraId="743077C8" w14:textId="0F2FD6EE" w:rsidR="003D0EE8" w:rsidRDefault="00E75BF8" w:rsidP="003D0EE8">
            <w:pPr>
              <w:pStyle w:val="Tabletext1"/>
            </w:pPr>
            <w:r w:rsidRPr="002D5EFE">
              <w:t>19</w:t>
            </w:r>
            <w:r w:rsidR="00C45F11">
              <w:t>,</w:t>
            </w:r>
            <w:r w:rsidRPr="002D5EFE">
              <w:t>768</w:t>
            </w:r>
            <w:r w:rsidR="003D0EE8">
              <w:t xml:space="preserve"> patients</w:t>
            </w:r>
          </w:p>
          <w:p w14:paraId="749D8A0C" w14:textId="6773D82C" w:rsidR="00E75BF8" w:rsidRPr="002D5EFE" w:rsidRDefault="00E75BF8" w:rsidP="003D0EE8">
            <w:pPr>
              <w:pStyle w:val="Tabletext1"/>
            </w:pPr>
            <w:r w:rsidRPr="002D5EFE">
              <w:t>(14 studies)</w:t>
            </w:r>
            <w:r w:rsidR="006F16DC">
              <w:t>.</w:t>
            </w:r>
          </w:p>
        </w:tc>
        <w:tc>
          <w:tcPr>
            <w:tcW w:w="323" w:type="pct"/>
            <w:tcBorders>
              <w:top w:val="single" w:sz="4" w:space="0" w:color="auto"/>
              <w:left w:val="single" w:sz="4" w:space="0" w:color="auto"/>
              <w:bottom w:val="single" w:sz="4" w:space="0" w:color="auto"/>
              <w:right w:val="single" w:sz="4" w:space="0" w:color="auto"/>
            </w:tcBorders>
          </w:tcPr>
          <w:p w14:paraId="5AC5E857" w14:textId="77777777" w:rsidR="00E75BF8" w:rsidRPr="002D5EFE" w:rsidRDefault="00E75BF8" w:rsidP="0039385F">
            <w:pPr>
              <w:pStyle w:val="Tabletext1"/>
            </w:pPr>
            <w:r w:rsidRPr="002D5EFE">
              <w:t>not serious</w:t>
            </w:r>
          </w:p>
        </w:tc>
        <w:tc>
          <w:tcPr>
            <w:tcW w:w="502" w:type="pct"/>
            <w:tcBorders>
              <w:top w:val="single" w:sz="4" w:space="0" w:color="auto"/>
              <w:left w:val="single" w:sz="4" w:space="0" w:color="auto"/>
              <w:bottom w:val="single" w:sz="4" w:space="0" w:color="auto"/>
              <w:right w:val="single" w:sz="4" w:space="0" w:color="auto"/>
            </w:tcBorders>
          </w:tcPr>
          <w:p w14:paraId="756F46B7" w14:textId="77777777" w:rsidR="00E75BF8" w:rsidRPr="002D5EFE" w:rsidRDefault="00E75BF8" w:rsidP="0039385F">
            <w:pPr>
              <w:pStyle w:val="Tabletext1"/>
            </w:pPr>
            <w:r w:rsidRPr="002D5EFE">
              <w:t>not serious</w:t>
            </w:r>
          </w:p>
        </w:tc>
        <w:tc>
          <w:tcPr>
            <w:tcW w:w="506" w:type="pct"/>
            <w:tcBorders>
              <w:top w:val="single" w:sz="4" w:space="0" w:color="auto"/>
              <w:left w:val="single" w:sz="4" w:space="0" w:color="auto"/>
              <w:bottom w:val="single" w:sz="4" w:space="0" w:color="auto"/>
              <w:right w:val="single" w:sz="4" w:space="0" w:color="auto"/>
            </w:tcBorders>
          </w:tcPr>
          <w:p w14:paraId="48F8D703" w14:textId="646DE61F" w:rsidR="00E75BF8" w:rsidRPr="002D5EFE" w:rsidRDefault="00E75BF8" w:rsidP="004E13AC">
            <w:pPr>
              <w:pStyle w:val="Tabletext1"/>
            </w:pPr>
            <w:r w:rsidRPr="002D5EFE">
              <w:t>serious</w:t>
            </w:r>
            <w:r w:rsidRPr="002D5EFE">
              <w:rPr>
                <w:vertAlign w:val="superscript"/>
              </w:rPr>
              <w:t>1</w:t>
            </w:r>
          </w:p>
        </w:tc>
        <w:tc>
          <w:tcPr>
            <w:tcW w:w="444" w:type="pct"/>
            <w:tcBorders>
              <w:top w:val="single" w:sz="4" w:space="0" w:color="auto"/>
              <w:left w:val="single" w:sz="4" w:space="0" w:color="auto"/>
              <w:bottom w:val="single" w:sz="4" w:space="0" w:color="auto"/>
              <w:right w:val="single" w:sz="4" w:space="0" w:color="auto"/>
            </w:tcBorders>
          </w:tcPr>
          <w:p w14:paraId="0D5D6396" w14:textId="77777777" w:rsidR="00E75BF8" w:rsidRPr="002D5EFE" w:rsidRDefault="00E75BF8" w:rsidP="0039385F">
            <w:pPr>
              <w:pStyle w:val="Tabletext1"/>
            </w:pPr>
            <w:r w:rsidRPr="002D5EFE">
              <w:t>not serious</w:t>
            </w:r>
          </w:p>
        </w:tc>
        <w:tc>
          <w:tcPr>
            <w:tcW w:w="529" w:type="pct"/>
            <w:tcBorders>
              <w:top w:val="single" w:sz="4" w:space="0" w:color="auto"/>
              <w:left w:val="single" w:sz="4" w:space="0" w:color="auto"/>
              <w:bottom w:val="single" w:sz="4" w:space="0" w:color="auto"/>
              <w:right w:val="single" w:sz="4" w:space="0" w:color="auto"/>
            </w:tcBorders>
          </w:tcPr>
          <w:p w14:paraId="52C22EA2" w14:textId="77777777" w:rsidR="00E75BF8" w:rsidRPr="002D5EFE" w:rsidRDefault="00E75BF8" w:rsidP="0039385F">
            <w:pPr>
              <w:pStyle w:val="Tabletext1"/>
            </w:pPr>
            <w:r w:rsidRPr="002D5EFE">
              <w:t>none</w:t>
            </w:r>
          </w:p>
        </w:tc>
        <w:tc>
          <w:tcPr>
            <w:tcW w:w="588" w:type="pct"/>
            <w:tcBorders>
              <w:top w:val="single" w:sz="4" w:space="0" w:color="auto"/>
              <w:left w:val="single" w:sz="4" w:space="0" w:color="auto"/>
              <w:bottom w:val="single" w:sz="4" w:space="0" w:color="auto"/>
              <w:right w:val="single" w:sz="4" w:space="0" w:color="auto"/>
            </w:tcBorders>
          </w:tcPr>
          <w:p w14:paraId="7E83DF14" w14:textId="77777777" w:rsidR="00E75BF8" w:rsidRPr="002D5EFE" w:rsidRDefault="00E75BF8" w:rsidP="0039385F">
            <w:pPr>
              <w:pStyle w:val="Tabletext1"/>
            </w:pPr>
            <w:r w:rsidRPr="002D5EFE">
              <w:t>3 studies reported recurrence was associated with delayed treatment, 11 studies reported no impact.</w:t>
            </w:r>
          </w:p>
        </w:tc>
        <w:tc>
          <w:tcPr>
            <w:tcW w:w="472" w:type="pct"/>
            <w:tcBorders>
              <w:top w:val="single" w:sz="4" w:space="0" w:color="auto"/>
              <w:left w:val="single" w:sz="4" w:space="0" w:color="auto"/>
              <w:bottom w:val="single" w:sz="4" w:space="0" w:color="auto"/>
              <w:right w:val="single" w:sz="4" w:space="0" w:color="auto"/>
            </w:tcBorders>
          </w:tcPr>
          <w:p w14:paraId="2412077D" w14:textId="1B6A6EF8" w:rsidR="00E75BF8" w:rsidRPr="002D5EFE" w:rsidRDefault="000C0CCE" w:rsidP="0039385F">
            <w:pPr>
              <w:pStyle w:val="Tabletext1"/>
            </w:pPr>
            <w:r>
              <w:rPr>
                <w:rFonts w:ascii="Cambria Math" w:hAnsi="Cambria Math"/>
                <w:color w:val="00B050"/>
              </w:rPr>
              <w:t>⨁</w:t>
            </w:r>
            <w:r w:rsidRPr="00D4733A">
              <w:rPr>
                <w:rFonts w:ascii="Cambria Math" w:hAnsi="Cambria Math" w:cs="Cambria Math"/>
                <w:color w:val="C00000"/>
              </w:rPr>
              <w:t>⨀⨀⨀</w:t>
            </w:r>
            <w:r w:rsidR="00E75BF8" w:rsidRPr="002D5EFE">
              <w:br/>
              <w:t>VERY LOW</w:t>
            </w:r>
          </w:p>
        </w:tc>
        <w:tc>
          <w:tcPr>
            <w:tcW w:w="566" w:type="pct"/>
            <w:tcBorders>
              <w:top w:val="single" w:sz="4" w:space="0" w:color="auto"/>
              <w:left w:val="single" w:sz="4" w:space="0" w:color="auto"/>
              <w:bottom w:val="single" w:sz="4" w:space="0" w:color="auto"/>
              <w:right w:val="single" w:sz="4" w:space="0" w:color="auto"/>
            </w:tcBorders>
          </w:tcPr>
          <w:p w14:paraId="62B61E99" w14:textId="77777777" w:rsidR="00E75BF8" w:rsidRPr="002D5EFE" w:rsidRDefault="00E75BF8" w:rsidP="0039385F">
            <w:pPr>
              <w:pStyle w:val="Tabletext1"/>
            </w:pPr>
            <w:r w:rsidRPr="002D5EFE">
              <w:t>Critical</w:t>
            </w:r>
          </w:p>
        </w:tc>
      </w:tr>
      <w:tr w:rsidR="00E75BF8" w:rsidRPr="002D5EFE" w14:paraId="6A77B14C" w14:textId="77777777" w:rsidTr="00841114">
        <w:trPr>
          <w:trHeight w:val="319"/>
        </w:trPr>
        <w:tc>
          <w:tcPr>
            <w:tcW w:w="426" w:type="pct"/>
            <w:tcBorders>
              <w:top w:val="single" w:sz="4" w:space="0" w:color="auto"/>
              <w:left w:val="single" w:sz="4" w:space="0" w:color="auto"/>
              <w:bottom w:val="single" w:sz="4" w:space="0" w:color="auto"/>
              <w:right w:val="single" w:sz="4" w:space="0" w:color="auto"/>
            </w:tcBorders>
          </w:tcPr>
          <w:p w14:paraId="22560588" w14:textId="77777777" w:rsidR="00E75BF8" w:rsidRPr="002D5EFE" w:rsidRDefault="00E75BF8" w:rsidP="0039385F">
            <w:pPr>
              <w:pStyle w:val="Tabletext1"/>
            </w:pPr>
            <w:r w:rsidRPr="002D5EFE">
              <w:t>Extra-capsular extension</w:t>
            </w:r>
          </w:p>
        </w:tc>
        <w:tc>
          <w:tcPr>
            <w:tcW w:w="643" w:type="pct"/>
            <w:tcBorders>
              <w:top w:val="single" w:sz="4" w:space="0" w:color="auto"/>
              <w:left w:val="single" w:sz="4" w:space="0" w:color="auto"/>
              <w:bottom w:val="single" w:sz="4" w:space="0" w:color="auto"/>
              <w:right w:val="single" w:sz="4" w:space="0" w:color="auto"/>
            </w:tcBorders>
          </w:tcPr>
          <w:p w14:paraId="1560B1C9" w14:textId="12F222C8" w:rsidR="003D0EE8" w:rsidRDefault="00E75BF8" w:rsidP="003D0EE8">
            <w:pPr>
              <w:pStyle w:val="Tabletext1"/>
            </w:pPr>
            <w:r w:rsidRPr="002D5EFE">
              <w:t>16</w:t>
            </w:r>
            <w:r w:rsidR="00C45F11">
              <w:t>,</w:t>
            </w:r>
            <w:r w:rsidRPr="002D5EFE">
              <w:t>039</w:t>
            </w:r>
            <w:r w:rsidR="003D0EE8">
              <w:t xml:space="preserve"> patients</w:t>
            </w:r>
          </w:p>
          <w:p w14:paraId="591EF877" w14:textId="6238FC67" w:rsidR="00E75BF8" w:rsidRPr="002D5EFE" w:rsidRDefault="00E75BF8" w:rsidP="003D0EE8">
            <w:pPr>
              <w:pStyle w:val="Tabletext1"/>
            </w:pPr>
            <w:r w:rsidRPr="002D5EFE">
              <w:t>(7 studies)</w:t>
            </w:r>
            <w:r w:rsidR="006F16DC">
              <w:t>.</w:t>
            </w:r>
          </w:p>
        </w:tc>
        <w:tc>
          <w:tcPr>
            <w:tcW w:w="323" w:type="pct"/>
            <w:tcBorders>
              <w:top w:val="single" w:sz="4" w:space="0" w:color="auto"/>
              <w:left w:val="single" w:sz="4" w:space="0" w:color="auto"/>
              <w:bottom w:val="single" w:sz="4" w:space="0" w:color="auto"/>
              <w:right w:val="single" w:sz="4" w:space="0" w:color="auto"/>
            </w:tcBorders>
          </w:tcPr>
          <w:p w14:paraId="142EC0B4" w14:textId="77777777" w:rsidR="00E75BF8" w:rsidRPr="002D5EFE" w:rsidRDefault="00E75BF8" w:rsidP="0039385F">
            <w:pPr>
              <w:pStyle w:val="Tabletext1"/>
            </w:pPr>
            <w:r w:rsidRPr="002D5EFE">
              <w:t>not serious</w:t>
            </w:r>
          </w:p>
        </w:tc>
        <w:tc>
          <w:tcPr>
            <w:tcW w:w="502" w:type="pct"/>
            <w:tcBorders>
              <w:top w:val="single" w:sz="4" w:space="0" w:color="auto"/>
              <w:left w:val="single" w:sz="4" w:space="0" w:color="auto"/>
              <w:bottom w:val="single" w:sz="4" w:space="0" w:color="auto"/>
              <w:right w:val="single" w:sz="4" w:space="0" w:color="auto"/>
            </w:tcBorders>
          </w:tcPr>
          <w:p w14:paraId="60A37A34" w14:textId="77777777" w:rsidR="00E75BF8" w:rsidRPr="002D5EFE" w:rsidRDefault="00E75BF8" w:rsidP="0039385F">
            <w:pPr>
              <w:pStyle w:val="Tabletext1"/>
            </w:pPr>
            <w:r w:rsidRPr="002D5EFE">
              <w:t>not serious</w:t>
            </w:r>
          </w:p>
        </w:tc>
        <w:tc>
          <w:tcPr>
            <w:tcW w:w="506" w:type="pct"/>
            <w:tcBorders>
              <w:top w:val="single" w:sz="4" w:space="0" w:color="auto"/>
              <w:left w:val="single" w:sz="4" w:space="0" w:color="auto"/>
              <w:bottom w:val="single" w:sz="4" w:space="0" w:color="auto"/>
              <w:right w:val="single" w:sz="4" w:space="0" w:color="auto"/>
            </w:tcBorders>
          </w:tcPr>
          <w:p w14:paraId="7A93FB4C" w14:textId="0704F66A" w:rsidR="00E75BF8" w:rsidRPr="002D5EFE" w:rsidRDefault="00E75BF8" w:rsidP="004E13AC">
            <w:pPr>
              <w:pStyle w:val="Tabletext1"/>
            </w:pPr>
            <w:r w:rsidRPr="002D5EFE">
              <w:t>serious</w:t>
            </w:r>
            <w:r w:rsidRPr="002D5EFE">
              <w:rPr>
                <w:vertAlign w:val="superscript"/>
              </w:rPr>
              <w:t>1</w:t>
            </w:r>
          </w:p>
        </w:tc>
        <w:tc>
          <w:tcPr>
            <w:tcW w:w="444" w:type="pct"/>
            <w:tcBorders>
              <w:top w:val="single" w:sz="4" w:space="0" w:color="auto"/>
              <w:left w:val="single" w:sz="4" w:space="0" w:color="auto"/>
              <w:bottom w:val="single" w:sz="4" w:space="0" w:color="auto"/>
              <w:right w:val="single" w:sz="4" w:space="0" w:color="auto"/>
            </w:tcBorders>
          </w:tcPr>
          <w:p w14:paraId="1A1C8DB8" w14:textId="77777777" w:rsidR="00E75BF8" w:rsidRPr="002D5EFE" w:rsidRDefault="00E75BF8" w:rsidP="0039385F">
            <w:pPr>
              <w:pStyle w:val="Tabletext1"/>
            </w:pPr>
            <w:r w:rsidRPr="002D5EFE">
              <w:t>not serious</w:t>
            </w:r>
          </w:p>
        </w:tc>
        <w:tc>
          <w:tcPr>
            <w:tcW w:w="529" w:type="pct"/>
            <w:tcBorders>
              <w:top w:val="single" w:sz="4" w:space="0" w:color="auto"/>
              <w:left w:val="single" w:sz="4" w:space="0" w:color="auto"/>
              <w:bottom w:val="single" w:sz="4" w:space="0" w:color="auto"/>
              <w:right w:val="single" w:sz="4" w:space="0" w:color="auto"/>
            </w:tcBorders>
          </w:tcPr>
          <w:p w14:paraId="5475901A" w14:textId="77777777" w:rsidR="00E75BF8" w:rsidRPr="002D5EFE" w:rsidRDefault="00E75BF8" w:rsidP="0039385F">
            <w:pPr>
              <w:pStyle w:val="Tabletext1"/>
            </w:pPr>
            <w:r w:rsidRPr="002D5EFE">
              <w:t>none</w:t>
            </w:r>
          </w:p>
        </w:tc>
        <w:tc>
          <w:tcPr>
            <w:tcW w:w="588" w:type="pct"/>
            <w:tcBorders>
              <w:top w:val="single" w:sz="4" w:space="0" w:color="auto"/>
              <w:left w:val="single" w:sz="4" w:space="0" w:color="auto"/>
              <w:bottom w:val="single" w:sz="4" w:space="0" w:color="auto"/>
              <w:right w:val="single" w:sz="4" w:space="0" w:color="auto"/>
            </w:tcBorders>
          </w:tcPr>
          <w:p w14:paraId="3D26217E" w14:textId="77777777" w:rsidR="00E75BF8" w:rsidRPr="002D5EFE" w:rsidRDefault="00E75BF8" w:rsidP="0039385F">
            <w:pPr>
              <w:pStyle w:val="Tabletext1"/>
            </w:pPr>
            <w:r w:rsidRPr="002D5EFE">
              <w:t>Delay did not impact rate of extra-capsular extension (results from 7 studies)</w:t>
            </w:r>
          </w:p>
        </w:tc>
        <w:tc>
          <w:tcPr>
            <w:tcW w:w="472" w:type="pct"/>
            <w:tcBorders>
              <w:top w:val="single" w:sz="4" w:space="0" w:color="auto"/>
              <w:left w:val="single" w:sz="4" w:space="0" w:color="auto"/>
              <w:bottom w:val="single" w:sz="4" w:space="0" w:color="auto"/>
              <w:right w:val="single" w:sz="4" w:space="0" w:color="auto"/>
            </w:tcBorders>
          </w:tcPr>
          <w:p w14:paraId="7ADFB5C3" w14:textId="6261D9AC" w:rsidR="00E75BF8" w:rsidRPr="002D5EFE" w:rsidRDefault="000C0CCE" w:rsidP="0039385F">
            <w:pPr>
              <w:pStyle w:val="Tabletext1"/>
            </w:pPr>
            <w:r>
              <w:rPr>
                <w:rFonts w:ascii="Cambria Math" w:hAnsi="Cambria Math"/>
                <w:color w:val="00B050"/>
              </w:rPr>
              <w:t>⨁</w:t>
            </w:r>
            <w:r w:rsidRPr="00D4733A">
              <w:rPr>
                <w:rFonts w:ascii="Cambria Math" w:hAnsi="Cambria Math" w:cs="Cambria Math"/>
                <w:color w:val="C00000"/>
              </w:rPr>
              <w:t>⨀⨀⨀</w:t>
            </w:r>
            <w:r w:rsidR="00E75BF8" w:rsidRPr="002D5EFE">
              <w:br/>
              <w:t>VERY LOW</w:t>
            </w:r>
          </w:p>
        </w:tc>
        <w:tc>
          <w:tcPr>
            <w:tcW w:w="566" w:type="pct"/>
            <w:tcBorders>
              <w:top w:val="single" w:sz="4" w:space="0" w:color="auto"/>
              <w:left w:val="single" w:sz="4" w:space="0" w:color="auto"/>
              <w:bottom w:val="single" w:sz="4" w:space="0" w:color="auto"/>
              <w:right w:val="single" w:sz="4" w:space="0" w:color="auto"/>
            </w:tcBorders>
          </w:tcPr>
          <w:p w14:paraId="734CF59E" w14:textId="77777777" w:rsidR="00E75BF8" w:rsidRPr="002D5EFE" w:rsidRDefault="00E75BF8" w:rsidP="0039385F">
            <w:pPr>
              <w:pStyle w:val="Tabletext1"/>
            </w:pPr>
            <w:r w:rsidRPr="002D5EFE">
              <w:t>Important</w:t>
            </w:r>
          </w:p>
        </w:tc>
      </w:tr>
      <w:tr w:rsidR="00E75BF8" w:rsidRPr="002D5EFE" w14:paraId="434585E8" w14:textId="77777777" w:rsidTr="00841114">
        <w:trPr>
          <w:trHeight w:val="319"/>
        </w:trPr>
        <w:tc>
          <w:tcPr>
            <w:tcW w:w="426" w:type="pct"/>
            <w:tcBorders>
              <w:top w:val="single" w:sz="4" w:space="0" w:color="auto"/>
              <w:left w:val="single" w:sz="4" w:space="0" w:color="auto"/>
              <w:bottom w:val="single" w:sz="4" w:space="0" w:color="auto"/>
              <w:right w:val="single" w:sz="4" w:space="0" w:color="auto"/>
            </w:tcBorders>
          </w:tcPr>
          <w:p w14:paraId="0CD9970A" w14:textId="77777777" w:rsidR="00E75BF8" w:rsidRPr="002D5EFE" w:rsidRDefault="00E75BF8" w:rsidP="0039385F">
            <w:pPr>
              <w:pStyle w:val="Tabletext1"/>
            </w:pPr>
            <w:r w:rsidRPr="002D5EFE">
              <w:t>Lymph node involvement</w:t>
            </w:r>
          </w:p>
        </w:tc>
        <w:tc>
          <w:tcPr>
            <w:tcW w:w="643" w:type="pct"/>
            <w:tcBorders>
              <w:top w:val="single" w:sz="4" w:space="0" w:color="auto"/>
              <w:left w:val="single" w:sz="4" w:space="0" w:color="auto"/>
              <w:bottom w:val="single" w:sz="4" w:space="0" w:color="auto"/>
              <w:right w:val="single" w:sz="4" w:space="0" w:color="auto"/>
            </w:tcBorders>
          </w:tcPr>
          <w:p w14:paraId="2BB4EFD3" w14:textId="53115856" w:rsidR="003D0EE8" w:rsidRDefault="00E75BF8" w:rsidP="003D0EE8">
            <w:pPr>
              <w:pStyle w:val="Tabletext1"/>
            </w:pPr>
            <w:r w:rsidRPr="002D5EFE">
              <w:t>3</w:t>
            </w:r>
            <w:r w:rsidR="00C45F11">
              <w:t>,</w:t>
            </w:r>
            <w:r w:rsidRPr="002D5EFE">
              <w:t>605</w:t>
            </w:r>
            <w:r w:rsidR="003D0EE8">
              <w:t xml:space="preserve"> patients</w:t>
            </w:r>
          </w:p>
          <w:p w14:paraId="128419BA" w14:textId="3F37F540" w:rsidR="00E75BF8" w:rsidRPr="002D5EFE" w:rsidRDefault="00E75BF8" w:rsidP="003D0EE8">
            <w:pPr>
              <w:pStyle w:val="Tabletext1"/>
            </w:pPr>
            <w:r w:rsidRPr="002D5EFE">
              <w:t>(3 studies)</w:t>
            </w:r>
            <w:r w:rsidR="006F16DC">
              <w:t>.</w:t>
            </w:r>
          </w:p>
        </w:tc>
        <w:tc>
          <w:tcPr>
            <w:tcW w:w="323" w:type="pct"/>
            <w:tcBorders>
              <w:top w:val="single" w:sz="4" w:space="0" w:color="auto"/>
              <w:left w:val="single" w:sz="4" w:space="0" w:color="auto"/>
              <w:bottom w:val="single" w:sz="4" w:space="0" w:color="auto"/>
              <w:right w:val="single" w:sz="4" w:space="0" w:color="auto"/>
            </w:tcBorders>
          </w:tcPr>
          <w:p w14:paraId="70DBA5CC" w14:textId="77777777" w:rsidR="00E75BF8" w:rsidRPr="002D5EFE" w:rsidRDefault="00E75BF8" w:rsidP="0039385F">
            <w:pPr>
              <w:pStyle w:val="Tabletext1"/>
            </w:pPr>
            <w:r w:rsidRPr="002D5EFE">
              <w:t>not serious</w:t>
            </w:r>
          </w:p>
        </w:tc>
        <w:tc>
          <w:tcPr>
            <w:tcW w:w="502" w:type="pct"/>
            <w:tcBorders>
              <w:top w:val="single" w:sz="4" w:space="0" w:color="auto"/>
              <w:left w:val="single" w:sz="4" w:space="0" w:color="auto"/>
              <w:bottom w:val="single" w:sz="4" w:space="0" w:color="auto"/>
              <w:right w:val="single" w:sz="4" w:space="0" w:color="auto"/>
            </w:tcBorders>
          </w:tcPr>
          <w:p w14:paraId="357469E9" w14:textId="77777777" w:rsidR="00E75BF8" w:rsidRPr="002D5EFE" w:rsidRDefault="00E75BF8" w:rsidP="0039385F">
            <w:pPr>
              <w:pStyle w:val="Tabletext1"/>
            </w:pPr>
            <w:r w:rsidRPr="002D5EFE">
              <w:t>not serious</w:t>
            </w:r>
          </w:p>
        </w:tc>
        <w:tc>
          <w:tcPr>
            <w:tcW w:w="506" w:type="pct"/>
            <w:tcBorders>
              <w:top w:val="single" w:sz="4" w:space="0" w:color="auto"/>
              <w:left w:val="single" w:sz="4" w:space="0" w:color="auto"/>
              <w:bottom w:val="single" w:sz="4" w:space="0" w:color="auto"/>
              <w:right w:val="single" w:sz="4" w:space="0" w:color="auto"/>
            </w:tcBorders>
          </w:tcPr>
          <w:p w14:paraId="4E0FF193" w14:textId="06FBDAC9" w:rsidR="00E75BF8" w:rsidRPr="002D5EFE" w:rsidRDefault="00E75BF8" w:rsidP="004E13AC">
            <w:pPr>
              <w:pStyle w:val="Tabletext1"/>
            </w:pPr>
            <w:r w:rsidRPr="002D5EFE">
              <w:t>serious</w:t>
            </w:r>
            <w:r w:rsidRPr="002D5EFE">
              <w:rPr>
                <w:vertAlign w:val="superscript"/>
              </w:rPr>
              <w:t>1</w:t>
            </w:r>
          </w:p>
        </w:tc>
        <w:tc>
          <w:tcPr>
            <w:tcW w:w="444" w:type="pct"/>
            <w:tcBorders>
              <w:top w:val="single" w:sz="4" w:space="0" w:color="auto"/>
              <w:left w:val="single" w:sz="4" w:space="0" w:color="auto"/>
              <w:bottom w:val="single" w:sz="4" w:space="0" w:color="auto"/>
              <w:right w:val="single" w:sz="4" w:space="0" w:color="auto"/>
            </w:tcBorders>
          </w:tcPr>
          <w:p w14:paraId="54B37DC0" w14:textId="77777777" w:rsidR="00E75BF8" w:rsidRPr="002D5EFE" w:rsidRDefault="00E75BF8" w:rsidP="0039385F">
            <w:pPr>
              <w:pStyle w:val="Tabletext1"/>
            </w:pPr>
            <w:r w:rsidRPr="002D5EFE">
              <w:t>not serious</w:t>
            </w:r>
          </w:p>
        </w:tc>
        <w:tc>
          <w:tcPr>
            <w:tcW w:w="529" w:type="pct"/>
            <w:tcBorders>
              <w:top w:val="single" w:sz="4" w:space="0" w:color="auto"/>
              <w:left w:val="single" w:sz="4" w:space="0" w:color="auto"/>
              <w:bottom w:val="single" w:sz="4" w:space="0" w:color="auto"/>
              <w:right w:val="single" w:sz="4" w:space="0" w:color="auto"/>
            </w:tcBorders>
          </w:tcPr>
          <w:p w14:paraId="04EC176E" w14:textId="77777777" w:rsidR="00E75BF8" w:rsidRPr="002D5EFE" w:rsidRDefault="00E75BF8" w:rsidP="0039385F">
            <w:pPr>
              <w:pStyle w:val="Tabletext1"/>
            </w:pPr>
            <w:r w:rsidRPr="002D5EFE">
              <w:t>none</w:t>
            </w:r>
          </w:p>
        </w:tc>
        <w:tc>
          <w:tcPr>
            <w:tcW w:w="588" w:type="pct"/>
            <w:tcBorders>
              <w:top w:val="single" w:sz="4" w:space="0" w:color="auto"/>
              <w:left w:val="single" w:sz="4" w:space="0" w:color="auto"/>
              <w:bottom w:val="single" w:sz="4" w:space="0" w:color="auto"/>
              <w:right w:val="single" w:sz="4" w:space="0" w:color="auto"/>
            </w:tcBorders>
          </w:tcPr>
          <w:p w14:paraId="704B80EB" w14:textId="77777777" w:rsidR="00E75BF8" w:rsidRPr="002D5EFE" w:rsidRDefault="00E75BF8" w:rsidP="0039385F">
            <w:pPr>
              <w:pStyle w:val="Tabletext1"/>
            </w:pPr>
            <w:r w:rsidRPr="002D5EFE">
              <w:t>Delay did not impact rates of lymph node involvement (results from 3 studies)</w:t>
            </w:r>
          </w:p>
        </w:tc>
        <w:tc>
          <w:tcPr>
            <w:tcW w:w="472" w:type="pct"/>
            <w:tcBorders>
              <w:top w:val="single" w:sz="4" w:space="0" w:color="auto"/>
              <w:left w:val="single" w:sz="4" w:space="0" w:color="auto"/>
              <w:bottom w:val="single" w:sz="4" w:space="0" w:color="auto"/>
              <w:right w:val="single" w:sz="4" w:space="0" w:color="auto"/>
            </w:tcBorders>
          </w:tcPr>
          <w:p w14:paraId="1B9DACC9" w14:textId="0A849938" w:rsidR="00E75BF8" w:rsidRPr="002D5EFE" w:rsidRDefault="000C0CCE" w:rsidP="0039385F">
            <w:pPr>
              <w:pStyle w:val="Tabletext1"/>
            </w:pPr>
            <w:r>
              <w:rPr>
                <w:rFonts w:ascii="Cambria Math" w:hAnsi="Cambria Math"/>
                <w:color w:val="00B050"/>
              </w:rPr>
              <w:t>⨁</w:t>
            </w:r>
            <w:r w:rsidRPr="00D4733A">
              <w:rPr>
                <w:rFonts w:ascii="Cambria Math" w:hAnsi="Cambria Math" w:cs="Cambria Math"/>
                <w:color w:val="C00000"/>
              </w:rPr>
              <w:t>⨀⨀⨀</w:t>
            </w:r>
            <w:r w:rsidR="00E75BF8" w:rsidRPr="002D5EFE">
              <w:br/>
              <w:t>VERY LOW</w:t>
            </w:r>
          </w:p>
        </w:tc>
        <w:tc>
          <w:tcPr>
            <w:tcW w:w="566" w:type="pct"/>
            <w:tcBorders>
              <w:top w:val="single" w:sz="4" w:space="0" w:color="auto"/>
              <w:left w:val="single" w:sz="4" w:space="0" w:color="auto"/>
              <w:bottom w:val="single" w:sz="4" w:space="0" w:color="auto"/>
              <w:right w:val="single" w:sz="4" w:space="0" w:color="auto"/>
            </w:tcBorders>
          </w:tcPr>
          <w:p w14:paraId="0AFA66C7" w14:textId="77777777" w:rsidR="00E75BF8" w:rsidRPr="002D5EFE" w:rsidRDefault="00E75BF8" w:rsidP="0039385F">
            <w:pPr>
              <w:pStyle w:val="Tabletext1"/>
            </w:pPr>
            <w:r w:rsidRPr="002D5EFE">
              <w:t>Important</w:t>
            </w:r>
          </w:p>
        </w:tc>
      </w:tr>
      <w:tr w:rsidR="00E75BF8" w:rsidRPr="002D5EFE" w14:paraId="25D8B246" w14:textId="77777777" w:rsidTr="00841114">
        <w:trPr>
          <w:trHeight w:val="319"/>
        </w:trPr>
        <w:tc>
          <w:tcPr>
            <w:tcW w:w="426" w:type="pct"/>
            <w:tcBorders>
              <w:top w:val="single" w:sz="4" w:space="0" w:color="auto"/>
              <w:left w:val="single" w:sz="4" w:space="0" w:color="auto"/>
              <w:bottom w:val="single" w:sz="4" w:space="0" w:color="auto"/>
              <w:right w:val="single" w:sz="4" w:space="0" w:color="auto"/>
            </w:tcBorders>
          </w:tcPr>
          <w:p w14:paraId="5D2EF629" w14:textId="77777777" w:rsidR="00E75BF8" w:rsidRPr="002D5EFE" w:rsidRDefault="00E75BF8" w:rsidP="0039385F">
            <w:pPr>
              <w:pStyle w:val="Tabletext1"/>
            </w:pPr>
            <w:r w:rsidRPr="002D5EFE">
              <w:lastRenderedPageBreak/>
              <w:t>Positive surgical margins</w:t>
            </w:r>
          </w:p>
        </w:tc>
        <w:tc>
          <w:tcPr>
            <w:tcW w:w="643" w:type="pct"/>
            <w:tcBorders>
              <w:top w:val="single" w:sz="4" w:space="0" w:color="auto"/>
              <w:left w:val="single" w:sz="4" w:space="0" w:color="auto"/>
              <w:bottom w:val="single" w:sz="4" w:space="0" w:color="auto"/>
              <w:right w:val="single" w:sz="4" w:space="0" w:color="auto"/>
            </w:tcBorders>
          </w:tcPr>
          <w:p w14:paraId="1C5DDEBA" w14:textId="77777777" w:rsidR="003D0EE8" w:rsidRDefault="00E75BF8" w:rsidP="003D0EE8">
            <w:pPr>
              <w:pStyle w:val="Tabletext1"/>
            </w:pPr>
            <w:r w:rsidRPr="002D5EFE">
              <w:t>14</w:t>
            </w:r>
            <w:r w:rsidR="00C45F11">
              <w:t>,</w:t>
            </w:r>
            <w:r w:rsidRPr="002D5EFE">
              <w:t>413</w:t>
            </w:r>
            <w:r w:rsidR="003D0EE8">
              <w:t xml:space="preserve"> patients</w:t>
            </w:r>
            <w:r w:rsidR="003D0EE8" w:rsidRPr="002D5EFE">
              <w:t xml:space="preserve"> </w:t>
            </w:r>
          </w:p>
          <w:p w14:paraId="6DA67DC6" w14:textId="60C87F6D" w:rsidR="00E75BF8" w:rsidRPr="002D5EFE" w:rsidRDefault="00E75BF8" w:rsidP="003D0EE8">
            <w:pPr>
              <w:pStyle w:val="Tabletext1"/>
            </w:pPr>
            <w:r w:rsidRPr="002D5EFE">
              <w:t>(6 studies)</w:t>
            </w:r>
            <w:r w:rsidR="006F16DC">
              <w:t>.</w:t>
            </w:r>
          </w:p>
        </w:tc>
        <w:tc>
          <w:tcPr>
            <w:tcW w:w="323" w:type="pct"/>
            <w:tcBorders>
              <w:top w:val="single" w:sz="4" w:space="0" w:color="auto"/>
              <w:left w:val="single" w:sz="4" w:space="0" w:color="auto"/>
              <w:bottom w:val="single" w:sz="4" w:space="0" w:color="auto"/>
              <w:right w:val="single" w:sz="4" w:space="0" w:color="auto"/>
            </w:tcBorders>
          </w:tcPr>
          <w:p w14:paraId="273410F0" w14:textId="77777777" w:rsidR="00E75BF8" w:rsidRPr="002D5EFE" w:rsidRDefault="00E75BF8" w:rsidP="0039385F">
            <w:pPr>
              <w:pStyle w:val="Tabletext1"/>
            </w:pPr>
            <w:r w:rsidRPr="002D5EFE">
              <w:t>not serious</w:t>
            </w:r>
          </w:p>
        </w:tc>
        <w:tc>
          <w:tcPr>
            <w:tcW w:w="502" w:type="pct"/>
            <w:tcBorders>
              <w:top w:val="single" w:sz="4" w:space="0" w:color="auto"/>
              <w:left w:val="single" w:sz="4" w:space="0" w:color="auto"/>
              <w:bottom w:val="single" w:sz="4" w:space="0" w:color="auto"/>
              <w:right w:val="single" w:sz="4" w:space="0" w:color="auto"/>
            </w:tcBorders>
          </w:tcPr>
          <w:p w14:paraId="137A9258" w14:textId="77777777" w:rsidR="00E75BF8" w:rsidRPr="002D5EFE" w:rsidRDefault="00E75BF8" w:rsidP="0039385F">
            <w:pPr>
              <w:pStyle w:val="Tabletext1"/>
            </w:pPr>
            <w:r w:rsidRPr="002D5EFE">
              <w:t>not serious</w:t>
            </w:r>
          </w:p>
        </w:tc>
        <w:tc>
          <w:tcPr>
            <w:tcW w:w="506" w:type="pct"/>
            <w:tcBorders>
              <w:top w:val="single" w:sz="4" w:space="0" w:color="auto"/>
              <w:left w:val="single" w:sz="4" w:space="0" w:color="auto"/>
              <w:bottom w:val="single" w:sz="4" w:space="0" w:color="auto"/>
              <w:right w:val="single" w:sz="4" w:space="0" w:color="auto"/>
            </w:tcBorders>
          </w:tcPr>
          <w:p w14:paraId="604CF490" w14:textId="3C6B99E6" w:rsidR="00E75BF8" w:rsidRPr="002D5EFE" w:rsidRDefault="00E75BF8" w:rsidP="004E13AC">
            <w:pPr>
              <w:pStyle w:val="Tabletext1"/>
            </w:pPr>
            <w:r w:rsidRPr="002D5EFE">
              <w:t>serious</w:t>
            </w:r>
            <w:r w:rsidRPr="002D5EFE">
              <w:rPr>
                <w:vertAlign w:val="superscript"/>
              </w:rPr>
              <w:t>1</w:t>
            </w:r>
          </w:p>
        </w:tc>
        <w:tc>
          <w:tcPr>
            <w:tcW w:w="444" w:type="pct"/>
            <w:tcBorders>
              <w:top w:val="single" w:sz="4" w:space="0" w:color="auto"/>
              <w:left w:val="single" w:sz="4" w:space="0" w:color="auto"/>
              <w:bottom w:val="single" w:sz="4" w:space="0" w:color="auto"/>
              <w:right w:val="single" w:sz="4" w:space="0" w:color="auto"/>
            </w:tcBorders>
          </w:tcPr>
          <w:p w14:paraId="034F13CE" w14:textId="77777777" w:rsidR="00E75BF8" w:rsidRPr="002D5EFE" w:rsidRDefault="00E75BF8" w:rsidP="0039385F">
            <w:pPr>
              <w:pStyle w:val="Tabletext1"/>
            </w:pPr>
            <w:r w:rsidRPr="002D5EFE">
              <w:t>not serious</w:t>
            </w:r>
          </w:p>
        </w:tc>
        <w:tc>
          <w:tcPr>
            <w:tcW w:w="529" w:type="pct"/>
            <w:tcBorders>
              <w:top w:val="single" w:sz="4" w:space="0" w:color="auto"/>
              <w:left w:val="single" w:sz="4" w:space="0" w:color="auto"/>
              <w:bottom w:val="single" w:sz="4" w:space="0" w:color="auto"/>
              <w:right w:val="single" w:sz="4" w:space="0" w:color="auto"/>
            </w:tcBorders>
          </w:tcPr>
          <w:p w14:paraId="0BB77100" w14:textId="77777777" w:rsidR="00E75BF8" w:rsidRPr="002D5EFE" w:rsidRDefault="00E75BF8" w:rsidP="0039385F">
            <w:pPr>
              <w:pStyle w:val="Tabletext1"/>
            </w:pPr>
            <w:r w:rsidRPr="002D5EFE">
              <w:t>none</w:t>
            </w:r>
          </w:p>
        </w:tc>
        <w:tc>
          <w:tcPr>
            <w:tcW w:w="588" w:type="pct"/>
            <w:tcBorders>
              <w:top w:val="single" w:sz="4" w:space="0" w:color="auto"/>
              <w:left w:val="single" w:sz="4" w:space="0" w:color="auto"/>
              <w:bottom w:val="single" w:sz="4" w:space="0" w:color="auto"/>
              <w:right w:val="single" w:sz="4" w:space="0" w:color="auto"/>
            </w:tcBorders>
          </w:tcPr>
          <w:p w14:paraId="1776B218" w14:textId="77777777" w:rsidR="00E75BF8" w:rsidRPr="002D5EFE" w:rsidRDefault="00E75BF8" w:rsidP="0039385F">
            <w:pPr>
              <w:pStyle w:val="Tabletext1"/>
            </w:pPr>
            <w:r w:rsidRPr="002D5EFE">
              <w:t>One study reported a delay &gt;9 months was associated with an increase in the rate of positive surgical margins in patients with intermediate risk disease. 8 studies reported no impact from delayed treatment</w:t>
            </w:r>
          </w:p>
        </w:tc>
        <w:tc>
          <w:tcPr>
            <w:tcW w:w="472" w:type="pct"/>
            <w:tcBorders>
              <w:top w:val="single" w:sz="4" w:space="0" w:color="auto"/>
              <w:left w:val="single" w:sz="4" w:space="0" w:color="auto"/>
              <w:bottom w:val="single" w:sz="4" w:space="0" w:color="auto"/>
              <w:right w:val="single" w:sz="4" w:space="0" w:color="auto"/>
            </w:tcBorders>
          </w:tcPr>
          <w:p w14:paraId="3F9B09D1" w14:textId="65A42E95" w:rsidR="00E75BF8" w:rsidRPr="002D5EFE" w:rsidRDefault="000C0CCE" w:rsidP="0039385F">
            <w:pPr>
              <w:pStyle w:val="Tabletext1"/>
            </w:pPr>
            <w:r>
              <w:rPr>
                <w:rFonts w:ascii="Cambria Math" w:hAnsi="Cambria Math"/>
                <w:color w:val="00B050"/>
              </w:rPr>
              <w:t>⨁</w:t>
            </w:r>
            <w:r w:rsidRPr="00D4733A">
              <w:rPr>
                <w:rFonts w:ascii="Cambria Math" w:hAnsi="Cambria Math" w:cs="Cambria Math"/>
                <w:color w:val="C00000"/>
              </w:rPr>
              <w:t>⨀⨀⨀</w:t>
            </w:r>
            <w:r w:rsidR="00E75BF8" w:rsidRPr="002D5EFE">
              <w:br/>
              <w:t>VERY LOW</w:t>
            </w:r>
          </w:p>
        </w:tc>
        <w:tc>
          <w:tcPr>
            <w:tcW w:w="566" w:type="pct"/>
            <w:tcBorders>
              <w:top w:val="single" w:sz="4" w:space="0" w:color="auto"/>
              <w:left w:val="single" w:sz="4" w:space="0" w:color="auto"/>
              <w:bottom w:val="single" w:sz="4" w:space="0" w:color="auto"/>
              <w:right w:val="single" w:sz="4" w:space="0" w:color="auto"/>
            </w:tcBorders>
          </w:tcPr>
          <w:p w14:paraId="39D46FFB" w14:textId="77777777" w:rsidR="00E75BF8" w:rsidRPr="002D5EFE" w:rsidRDefault="00E75BF8" w:rsidP="0039385F">
            <w:pPr>
              <w:pStyle w:val="Tabletext1"/>
            </w:pPr>
            <w:r w:rsidRPr="002D5EFE">
              <w:t>Important</w:t>
            </w:r>
          </w:p>
        </w:tc>
      </w:tr>
    </w:tbl>
    <w:p w14:paraId="755FBB8C" w14:textId="75E22D9A" w:rsidR="00C45F11" w:rsidRDefault="00E75BF8" w:rsidP="00797239">
      <w:pPr>
        <w:pStyle w:val="TableNotes"/>
      </w:pPr>
      <w:r w:rsidRPr="00E10B76">
        <w:rPr>
          <w:vertAlign w:val="superscript"/>
        </w:rPr>
        <w:t>a</w:t>
      </w:r>
      <w:r w:rsidR="0001666A">
        <w:t xml:space="preserve">: </w:t>
      </w:r>
      <w:r w:rsidRPr="00E10B76">
        <w:t>GRADE Working Group grades of evidence</w:t>
      </w:r>
      <w:r>
        <w:t xml:space="preserve"> </w:t>
      </w:r>
      <w:r w:rsidR="008E0B00">
        <w:fldChar w:fldCharType="begin"/>
      </w:r>
      <w:r w:rsidR="008E0B00">
        <w:instrText xml:space="preserve"> ADDIN EN.CITE &lt;EndNote&gt;&lt;Cite&gt;&lt;Author&gt;Guyatt&lt;/Author&gt;&lt;Year&gt;2013&lt;/Year&gt;&lt;RecNum&gt;1&lt;/RecNum&gt;&lt;DisplayText&gt;(Guyatt et al. 2013)&lt;/DisplayText&gt;&lt;record&gt;&lt;rec-number&gt;1&lt;/rec-number&gt;&lt;foreign-keys&gt;&lt;key app="EN" db-id="2p9terxr22fx91epzebpfdwuzrwtw2a2ep2t" timestamp="1472684599"&gt;1&lt;/key&gt;&lt;/foreign-keys&gt;&lt;ref-type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Pr="00E10B76">
        <w:br/>
      </w:r>
      <w:r w:rsidRPr="00D4733A">
        <w:rPr>
          <w:rFonts w:ascii="Cambria Math" w:hAnsi="Cambria Math"/>
          <w:color w:val="00B050"/>
        </w:rPr>
        <w:t>⨁⨁⨁⨁</w:t>
      </w:r>
      <w:r>
        <w:rPr>
          <w:rFonts w:ascii="Cambria Math" w:hAnsi="Cambria Math"/>
          <w:color w:val="00B050"/>
        </w:rPr>
        <w:t xml:space="preserve"> </w:t>
      </w:r>
      <w:r w:rsidRPr="00E10B76">
        <w:rPr>
          <w:b/>
          <w:bCs/>
        </w:rPr>
        <w:t>High quality:</w:t>
      </w:r>
      <w:r w:rsidRPr="00E10B76">
        <w:t xml:space="preserve"> </w:t>
      </w:r>
      <w:r>
        <w:t>We are very confident that the true effect lies close to that of the estimate of effect.</w:t>
      </w:r>
      <w:r w:rsidRPr="00E10B76">
        <w:t xml:space="preserve"> </w:t>
      </w:r>
      <w:r w:rsidRPr="00E10B76">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rsidR="00C45F11" w:rsidRPr="00C45F11">
        <w:t xml:space="preserve"> </w:t>
      </w:r>
    </w:p>
    <w:p w14:paraId="5975557E" w14:textId="1A381430" w:rsidR="00C45F11" w:rsidRDefault="00C45F11" w:rsidP="00797239">
      <w:pPr>
        <w:pStyle w:val="TableNotes"/>
      </w:pPr>
      <w:r w:rsidRPr="0001666A">
        <w:rPr>
          <w:vertAlign w:val="superscript"/>
        </w:rPr>
        <w:t>1</w:t>
      </w:r>
      <w:r w:rsidR="0001666A">
        <w:t>:</w:t>
      </w:r>
      <w:r>
        <w:t xml:space="preserve"> Indirectness was rated serious: this was due to the delay in the included studies being shorted than what would likely be experienced by</w:t>
      </w:r>
      <w:r w:rsidR="0001666A">
        <w:t xml:space="preserve"> patients in our population.</w:t>
      </w:r>
      <w:r w:rsidR="0001666A">
        <w:br/>
      </w:r>
      <w:r w:rsidR="0001666A" w:rsidRPr="0001666A">
        <w:rPr>
          <w:vertAlign w:val="superscript"/>
        </w:rPr>
        <w:t>2</w:t>
      </w:r>
      <w:r w:rsidR="0001666A">
        <w:t>:</w:t>
      </w:r>
      <w:r>
        <w:t xml:space="preserve"> Noting the small number of included studies; however bo</w:t>
      </w:r>
      <w:r w:rsidR="0001666A">
        <w:t>th studies had &gt;300 patients.</w:t>
      </w:r>
      <w:r w:rsidR="0001666A">
        <w:br/>
      </w:r>
      <w:r w:rsidR="0001666A" w:rsidRPr="0001666A">
        <w:rPr>
          <w:vertAlign w:val="superscript"/>
        </w:rPr>
        <w:t>3</w:t>
      </w:r>
      <w:r w:rsidR="0001666A">
        <w:t>:</w:t>
      </w:r>
      <w:r>
        <w:t xml:space="preserve"> Noting the small number of included studies; however median sample size was &gt;300 patients.</w:t>
      </w:r>
    </w:p>
    <w:p w14:paraId="657A7A3E" w14:textId="77BA08FD" w:rsidR="00E75BF8" w:rsidRPr="00F5254C" w:rsidRDefault="00C45F11" w:rsidP="00797239">
      <w:pPr>
        <w:pStyle w:val="TableNotes"/>
      </w:pPr>
      <w:r>
        <w:t>QoE = quality of evidence.</w:t>
      </w:r>
      <w:r>
        <w:br/>
      </w:r>
    </w:p>
    <w:p w14:paraId="26B08D71" w14:textId="77777777" w:rsidR="00E75BF8" w:rsidRDefault="00E75BF8" w:rsidP="00E75BF8">
      <w:pPr>
        <w:spacing w:after="200" w:line="276" w:lineRule="auto"/>
      </w:pPr>
      <w:r>
        <w:br w:type="page"/>
      </w:r>
    </w:p>
    <w:p w14:paraId="5E2EF7A0" w14:textId="77777777" w:rsidR="00E75BF8" w:rsidRDefault="00E75BF8" w:rsidP="00E75BF8">
      <w:pPr>
        <w:pStyle w:val="Heading2"/>
      </w:pPr>
      <w:bookmarkStart w:id="795" w:name="_Toc460514020"/>
      <w:r>
        <w:lastRenderedPageBreak/>
        <w:t>Population 2: Men on active surveillance</w:t>
      </w:r>
      <w:bookmarkEnd w:id="795"/>
    </w:p>
    <w:p w14:paraId="568FB1DE" w14:textId="6D10E803" w:rsidR="00E75BF8" w:rsidRPr="00B43ED7" w:rsidRDefault="00E75BF8" w:rsidP="0001666A">
      <w:pPr>
        <w:pStyle w:val="Caption"/>
        <w:spacing w:line="240" w:lineRule="auto"/>
        <w:ind w:left="1134" w:hanging="1134"/>
      </w:pPr>
      <w:bookmarkStart w:id="796" w:name="_Toc460514577"/>
      <w:r w:rsidRPr="00B43ED7">
        <w:t xml:space="preserve">Table </w:t>
      </w:r>
      <w:fldSimple w:instr=" SEQ Table \* ARABIC ">
        <w:r w:rsidR="0029649D">
          <w:rPr>
            <w:noProof/>
          </w:rPr>
          <w:t>77</w:t>
        </w:r>
      </w:fldSimple>
      <w:r w:rsidRPr="00B43ED7">
        <w:tab/>
        <w:t>Evidence profile table for the accuracy of mpMRI compared to biopsy for detected upgrade cancer in men on active surveillance (assumed prevalence 30%)</w:t>
      </w:r>
      <w:r w:rsidR="000E4943">
        <w:t xml:space="preserve"> </w:t>
      </w:r>
      <w:r w:rsidRPr="00B43ED7">
        <w:t>m</w:t>
      </w:r>
      <w:r w:rsidR="00797239">
        <w:t xml:space="preserve">pMRI (sensitivity 79%, 95%CI [75, </w:t>
      </w:r>
      <w:r w:rsidRPr="00B43ED7">
        <w:t>83</w:t>
      </w:r>
      <w:r w:rsidR="00797239">
        <w:t>]</w:t>
      </w:r>
      <w:r w:rsidRPr="00B43ED7">
        <w:t xml:space="preserve">; specificity 55%, 95%CI </w:t>
      </w:r>
      <w:r w:rsidR="00797239">
        <w:t>[50,</w:t>
      </w:r>
      <w:r w:rsidRPr="00B43ED7">
        <w:t xml:space="preserve"> 60</w:t>
      </w:r>
      <w:r w:rsidR="00797239">
        <w:t>]</w:t>
      </w:r>
      <w:r w:rsidR="003D11C6">
        <w:t>)</w:t>
      </w:r>
      <w:bookmarkEnd w:id="796"/>
    </w:p>
    <w:tbl>
      <w:tblPr>
        <w:tblW w:w="5000" w:type="pct"/>
        <w:tblLook w:val="04A0" w:firstRow="1" w:lastRow="0" w:firstColumn="1" w:lastColumn="0" w:noHBand="0" w:noVBand="1"/>
        <w:tblDescription w:val="Evidence profile table for accuracy outcomes"/>
      </w:tblPr>
      <w:tblGrid>
        <w:gridCol w:w="1176"/>
        <w:gridCol w:w="2002"/>
        <w:gridCol w:w="961"/>
        <w:gridCol w:w="1560"/>
        <w:gridCol w:w="1523"/>
        <w:gridCol w:w="1351"/>
        <w:gridCol w:w="1646"/>
        <w:gridCol w:w="1851"/>
        <w:gridCol w:w="1538"/>
        <w:gridCol w:w="1744"/>
      </w:tblGrid>
      <w:tr w:rsidR="00E75BF8" w:rsidRPr="00183E4D" w14:paraId="507451A4" w14:textId="77777777" w:rsidTr="00841114">
        <w:trPr>
          <w:trHeight w:val="788"/>
        </w:trPr>
        <w:tc>
          <w:tcPr>
            <w:tcW w:w="383" w:type="pct"/>
            <w:tcBorders>
              <w:top w:val="single" w:sz="4" w:space="0" w:color="auto"/>
              <w:left w:val="single" w:sz="4" w:space="0" w:color="auto"/>
              <w:bottom w:val="single" w:sz="4" w:space="0" w:color="auto"/>
              <w:right w:val="single" w:sz="4" w:space="0" w:color="auto"/>
            </w:tcBorders>
          </w:tcPr>
          <w:p w14:paraId="61A77946" w14:textId="06CD5703" w:rsidR="00E75BF8" w:rsidRPr="00183E4D" w:rsidRDefault="00E75BF8" w:rsidP="0039385F">
            <w:pPr>
              <w:pStyle w:val="TableHeading"/>
            </w:pPr>
            <w:r>
              <w:t>Outcome</w:t>
            </w:r>
            <w:r w:rsidR="006F16DC" w:rsidRPr="006F16DC">
              <w:rPr>
                <w:b w:val="0"/>
                <w:vertAlign w:val="superscript"/>
              </w:rPr>
              <w:t>a</w:t>
            </w:r>
          </w:p>
        </w:tc>
        <w:tc>
          <w:tcPr>
            <w:tcW w:w="652" w:type="pct"/>
            <w:tcBorders>
              <w:top w:val="single" w:sz="4" w:space="0" w:color="auto"/>
              <w:left w:val="single" w:sz="4" w:space="0" w:color="auto"/>
              <w:bottom w:val="single" w:sz="4" w:space="0" w:color="auto"/>
              <w:right w:val="single" w:sz="4" w:space="0" w:color="auto"/>
            </w:tcBorders>
          </w:tcPr>
          <w:p w14:paraId="70E45449" w14:textId="27A5435D" w:rsidR="00E75BF8" w:rsidRPr="00183E4D" w:rsidRDefault="003D0EE8" w:rsidP="0039385F">
            <w:pPr>
              <w:pStyle w:val="TableHeading"/>
            </w:pPr>
            <w:r>
              <w:t>Patients/Studies</w:t>
            </w:r>
          </w:p>
        </w:tc>
        <w:tc>
          <w:tcPr>
            <w:tcW w:w="313" w:type="pct"/>
            <w:tcBorders>
              <w:top w:val="single" w:sz="4" w:space="0" w:color="auto"/>
              <w:left w:val="single" w:sz="4" w:space="0" w:color="auto"/>
              <w:bottom w:val="single" w:sz="4" w:space="0" w:color="auto"/>
              <w:right w:val="single" w:sz="4" w:space="0" w:color="auto"/>
            </w:tcBorders>
          </w:tcPr>
          <w:p w14:paraId="028256E8" w14:textId="77777777" w:rsidR="00E75BF8" w:rsidRPr="00A74C70" w:rsidRDefault="00E75BF8" w:rsidP="0039385F">
            <w:pPr>
              <w:pStyle w:val="TableHeading"/>
            </w:pPr>
            <w:r w:rsidRPr="00A74C70">
              <w:t>Risk of bias</w:t>
            </w:r>
          </w:p>
        </w:tc>
        <w:tc>
          <w:tcPr>
            <w:tcW w:w="508" w:type="pct"/>
            <w:tcBorders>
              <w:top w:val="single" w:sz="4" w:space="0" w:color="auto"/>
              <w:left w:val="single" w:sz="4" w:space="0" w:color="auto"/>
              <w:bottom w:val="single" w:sz="4" w:space="0" w:color="auto"/>
              <w:right w:val="single" w:sz="4" w:space="0" w:color="auto"/>
            </w:tcBorders>
          </w:tcPr>
          <w:p w14:paraId="5D4CA26D" w14:textId="77777777" w:rsidR="00E75BF8" w:rsidRPr="00183E4D" w:rsidRDefault="00E75BF8" w:rsidP="0039385F">
            <w:pPr>
              <w:pStyle w:val="TableHeading"/>
            </w:pPr>
            <w:r>
              <w:t>Inconsistency</w:t>
            </w:r>
          </w:p>
        </w:tc>
        <w:tc>
          <w:tcPr>
            <w:tcW w:w="496" w:type="pct"/>
            <w:tcBorders>
              <w:top w:val="single" w:sz="4" w:space="0" w:color="auto"/>
              <w:left w:val="single" w:sz="4" w:space="0" w:color="auto"/>
              <w:bottom w:val="single" w:sz="4" w:space="0" w:color="auto"/>
              <w:right w:val="single" w:sz="4" w:space="0" w:color="auto"/>
            </w:tcBorders>
          </w:tcPr>
          <w:p w14:paraId="60000684" w14:textId="77777777" w:rsidR="00E75BF8" w:rsidRPr="00A74C70" w:rsidRDefault="00E75BF8" w:rsidP="0039385F">
            <w:pPr>
              <w:pStyle w:val="TableHeading"/>
            </w:pPr>
            <w:r w:rsidRPr="00A74C70">
              <w:t>Indirectness</w:t>
            </w:r>
          </w:p>
        </w:tc>
        <w:tc>
          <w:tcPr>
            <w:tcW w:w="440" w:type="pct"/>
            <w:tcBorders>
              <w:top w:val="single" w:sz="4" w:space="0" w:color="auto"/>
              <w:left w:val="single" w:sz="4" w:space="0" w:color="auto"/>
              <w:bottom w:val="single" w:sz="4" w:space="0" w:color="auto"/>
              <w:right w:val="single" w:sz="4" w:space="0" w:color="auto"/>
            </w:tcBorders>
          </w:tcPr>
          <w:p w14:paraId="7C06DB67" w14:textId="77777777" w:rsidR="00E75BF8" w:rsidRPr="00183E4D" w:rsidRDefault="00E75BF8" w:rsidP="0039385F">
            <w:pPr>
              <w:pStyle w:val="TableHeading"/>
            </w:pPr>
            <w:r>
              <w:t>Imprecision</w:t>
            </w:r>
          </w:p>
        </w:tc>
        <w:tc>
          <w:tcPr>
            <w:tcW w:w="536" w:type="pct"/>
            <w:tcBorders>
              <w:top w:val="single" w:sz="4" w:space="0" w:color="auto"/>
              <w:left w:val="single" w:sz="4" w:space="0" w:color="auto"/>
              <w:bottom w:val="single" w:sz="4" w:space="0" w:color="auto"/>
              <w:right w:val="single" w:sz="4" w:space="0" w:color="auto"/>
            </w:tcBorders>
          </w:tcPr>
          <w:p w14:paraId="2E1BFC60" w14:textId="77777777" w:rsidR="00E75BF8" w:rsidRPr="00183E4D" w:rsidRDefault="00E75BF8" w:rsidP="0039385F">
            <w:pPr>
              <w:pStyle w:val="TableHeading"/>
            </w:pPr>
            <w:r>
              <w:t xml:space="preserve">Other considerations </w:t>
            </w:r>
            <w:r w:rsidRPr="00A74C70">
              <w:rPr>
                <w:vanish/>
              </w:rPr>
              <w:t>(e.g. publication bias)</w:t>
            </w:r>
          </w:p>
        </w:tc>
        <w:tc>
          <w:tcPr>
            <w:tcW w:w="603" w:type="pct"/>
            <w:tcBorders>
              <w:top w:val="single" w:sz="4" w:space="0" w:color="auto"/>
              <w:left w:val="single" w:sz="4" w:space="0" w:color="auto"/>
              <w:bottom w:val="single" w:sz="4" w:space="0" w:color="auto"/>
              <w:right w:val="single" w:sz="4" w:space="0" w:color="auto"/>
            </w:tcBorders>
          </w:tcPr>
          <w:p w14:paraId="02ADAF64" w14:textId="77777777" w:rsidR="00E75BF8" w:rsidRPr="00183E4D" w:rsidRDefault="00E75BF8" w:rsidP="0039385F">
            <w:pPr>
              <w:pStyle w:val="TableHeading"/>
            </w:pPr>
            <w:r>
              <w:t>Number of patients per 100 tested for mpMRI (low risk men)</w:t>
            </w:r>
          </w:p>
        </w:tc>
        <w:tc>
          <w:tcPr>
            <w:tcW w:w="501" w:type="pct"/>
            <w:tcBorders>
              <w:top w:val="single" w:sz="4" w:space="0" w:color="auto"/>
              <w:left w:val="single" w:sz="4" w:space="0" w:color="auto"/>
              <w:bottom w:val="single" w:sz="4" w:space="0" w:color="auto"/>
              <w:right w:val="single" w:sz="4" w:space="0" w:color="auto"/>
            </w:tcBorders>
          </w:tcPr>
          <w:p w14:paraId="5C2E51DD" w14:textId="77777777" w:rsidR="00E75BF8" w:rsidRPr="00183E4D" w:rsidRDefault="00E75BF8" w:rsidP="0039385F">
            <w:pPr>
              <w:pStyle w:val="TableHeading"/>
            </w:pPr>
            <w:r>
              <w:t>Test accuracy QoE</w:t>
            </w:r>
          </w:p>
        </w:tc>
        <w:tc>
          <w:tcPr>
            <w:tcW w:w="568" w:type="pct"/>
            <w:tcBorders>
              <w:top w:val="single" w:sz="4" w:space="0" w:color="auto"/>
              <w:left w:val="single" w:sz="4" w:space="0" w:color="auto"/>
              <w:bottom w:val="single" w:sz="4" w:space="0" w:color="auto"/>
              <w:right w:val="single" w:sz="4" w:space="0" w:color="auto"/>
            </w:tcBorders>
          </w:tcPr>
          <w:p w14:paraId="78077083" w14:textId="77777777" w:rsidR="00E75BF8" w:rsidRPr="00183E4D" w:rsidRDefault="00E75BF8" w:rsidP="0039385F">
            <w:pPr>
              <w:pStyle w:val="TableHeading"/>
            </w:pPr>
            <w:r>
              <w:t>Importance</w:t>
            </w:r>
          </w:p>
        </w:tc>
      </w:tr>
      <w:tr w:rsidR="00E75BF8" w:rsidRPr="00797239" w14:paraId="45C0AC7B" w14:textId="77777777" w:rsidTr="00841114">
        <w:trPr>
          <w:trHeight w:val="319"/>
        </w:trPr>
        <w:tc>
          <w:tcPr>
            <w:tcW w:w="383" w:type="pct"/>
            <w:tcBorders>
              <w:top w:val="single" w:sz="4" w:space="0" w:color="auto"/>
              <w:left w:val="single" w:sz="4" w:space="0" w:color="auto"/>
              <w:bottom w:val="single" w:sz="4" w:space="0" w:color="auto"/>
              <w:right w:val="single" w:sz="4" w:space="0" w:color="auto"/>
            </w:tcBorders>
          </w:tcPr>
          <w:p w14:paraId="196CEAC1" w14:textId="77777777" w:rsidR="00E75BF8" w:rsidRPr="00797239" w:rsidRDefault="00E75BF8" w:rsidP="00797239">
            <w:pPr>
              <w:pStyle w:val="Tabletext1"/>
            </w:pPr>
            <w:r w:rsidRPr="00797239">
              <w:t>True positives</w:t>
            </w:r>
          </w:p>
        </w:tc>
        <w:tc>
          <w:tcPr>
            <w:tcW w:w="652" w:type="pct"/>
            <w:tcBorders>
              <w:top w:val="single" w:sz="4" w:space="0" w:color="auto"/>
              <w:left w:val="single" w:sz="4" w:space="0" w:color="auto"/>
              <w:bottom w:val="single" w:sz="4" w:space="0" w:color="auto"/>
              <w:right w:val="single" w:sz="4" w:space="0" w:color="auto"/>
            </w:tcBorders>
          </w:tcPr>
          <w:p w14:paraId="60DDCDBB" w14:textId="4ECCD0DF" w:rsidR="003D0EE8" w:rsidRDefault="00E75BF8" w:rsidP="003D0EE8">
            <w:pPr>
              <w:pStyle w:val="Tabletext1"/>
            </w:pPr>
            <w:r w:rsidRPr="00797239">
              <w:t>820 patients</w:t>
            </w:r>
          </w:p>
          <w:p w14:paraId="0276B05B" w14:textId="0E8FBC79" w:rsidR="00E75BF8" w:rsidRPr="00797239" w:rsidRDefault="003D0EE8" w:rsidP="003D0EE8">
            <w:pPr>
              <w:pStyle w:val="Tabletext1"/>
            </w:pPr>
            <w:r>
              <w:t>(</w:t>
            </w:r>
            <w:r w:rsidRPr="00797239">
              <w:t>6 studies</w:t>
            </w:r>
            <w:r>
              <w:t>)</w:t>
            </w:r>
            <w:r w:rsidR="006F16DC">
              <w:t>.</w:t>
            </w:r>
            <w:r w:rsidRPr="00797239">
              <w:t xml:space="preserve"> </w:t>
            </w:r>
          </w:p>
        </w:tc>
        <w:tc>
          <w:tcPr>
            <w:tcW w:w="313" w:type="pct"/>
            <w:tcBorders>
              <w:top w:val="single" w:sz="4" w:space="0" w:color="auto"/>
              <w:left w:val="single" w:sz="4" w:space="0" w:color="auto"/>
              <w:bottom w:val="single" w:sz="4" w:space="0" w:color="auto"/>
              <w:right w:val="single" w:sz="4" w:space="0" w:color="auto"/>
            </w:tcBorders>
          </w:tcPr>
          <w:p w14:paraId="1E58360D" w14:textId="77777777" w:rsidR="00E75BF8" w:rsidRPr="00797239" w:rsidRDefault="00E75BF8" w:rsidP="00797239">
            <w:pPr>
              <w:pStyle w:val="Tabletext1"/>
            </w:pPr>
            <w:r w:rsidRPr="00797239">
              <w:t>not serious</w:t>
            </w:r>
          </w:p>
        </w:tc>
        <w:tc>
          <w:tcPr>
            <w:tcW w:w="508" w:type="pct"/>
            <w:tcBorders>
              <w:top w:val="single" w:sz="4" w:space="0" w:color="auto"/>
              <w:left w:val="single" w:sz="4" w:space="0" w:color="auto"/>
              <w:bottom w:val="single" w:sz="4" w:space="0" w:color="auto"/>
              <w:right w:val="single" w:sz="4" w:space="0" w:color="auto"/>
            </w:tcBorders>
          </w:tcPr>
          <w:p w14:paraId="391E63E5" w14:textId="77777777" w:rsidR="00E75BF8" w:rsidRPr="00797239" w:rsidRDefault="00E75BF8" w:rsidP="00797239">
            <w:pPr>
              <w:pStyle w:val="Tabletext1"/>
            </w:pPr>
            <w:r w:rsidRPr="00797239">
              <w:t xml:space="preserve">not serious </w:t>
            </w:r>
          </w:p>
        </w:tc>
        <w:tc>
          <w:tcPr>
            <w:tcW w:w="496" w:type="pct"/>
            <w:tcBorders>
              <w:top w:val="single" w:sz="4" w:space="0" w:color="auto"/>
              <w:left w:val="single" w:sz="4" w:space="0" w:color="auto"/>
              <w:bottom w:val="single" w:sz="4" w:space="0" w:color="auto"/>
              <w:right w:val="single" w:sz="4" w:space="0" w:color="auto"/>
            </w:tcBorders>
          </w:tcPr>
          <w:p w14:paraId="5DEB2A7F" w14:textId="77777777" w:rsidR="00E75BF8" w:rsidRPr="00797239" w:rsidRDefault="00E75BF8" w:rsidP="00797239">
            <w:pPr>
              <w:pStyle w:val="Tabletext1"/>
            </w:pPr>
            <w:r w:rsidRPr="00797239">
              <w:t>not serious</w:t>
            </w:r>
          </w:p>
        </w:tc>
        <w:tc>
          <w:tcPr>
            <w:tcW w:w="440" w:type="pct"/>
            <w:tcBorders>
              <w:top w:val="single" w:sz="4" w:space="0" w:color="auto"/>
              <w:left w:val="single" w:sz="4" w:space="0" w:color="auto"/>
              <w:bottom w:val="single" w:sz="4" w:space="0" w:color="auto"/>
              <w:right w:val="single" w:sz="4" w:space="0" w:color="auto"/>
            </w:tcBorders>
          </w:tcPr>
          <w:p w14:paraId="21CA2FF7" w14:textId="1420766B" w:rsidR="00E75BF8" w:rsidRPr="00797239" w:rsidRDefault="00E75BF8" w:rsidP="004E13AC">
            <w:pPr>
              <w:pStyle w:val="Tabletext1"/>
            </w:pPr>
            <w:r w:rsidRPr="00797239">
              <w:t>not serious</w:t>
            </w:r>
            <w:r w:rsidRPr="004E13AC">
              <w:rPr>
                <w:vertAlign w:val="superscript"/>
              </w:rPr>
              <w:t>1</w:t>
            </w:r>
          </w:p>
        </w:tc>
        <w:tc>
          <w:tcPr>
            <w:tcW w:w="536" w:type="pct"/>
            <w:tcBorders>
              <w:top w:val="single" w:sz="4" w:space="0" w:color="auto"/>
              <w:left w:val="single" w:sz="4" w:space="0" w:color="auto"/>
              <w:bottom w:val="single" w:sz="4" w:space="0" w:color="auto"/>
              <w:right w:val="single" w:sz="4" w:space="0" w:color="auto"/>
            </w:tcBorders>
          </w:tcPr>
          <w:p w14:paraId="649EEACC" w14:textId="77777777" w:rsidR="00E75BF8" w:rsidRPr="00797239" w:rsidRDefault="00E75BF8" w:rsidP="00797239">
            <w:pPr>
              <w:pStyle w:val="Tabletext1"/>
            </w:pPr>
            <w:r w:rsidRPr="00797239">
              <w:t>none</w:t>
            </w:r>
          </w:p>
        </w:tc>
        <w:tc>
          <w:tcPr>
            <w:tcW w:w="603" w:type="pct"/>
            <w:tcBorders>
              <w:top w:val="single" w:sz="4" w:space="0" w:color="auto"/>
              <w:left w:val="single" w:sz="4" w:space="0" w:color="auto"/>
              <w:bottom w:val="single" w:sz="4" w:space="0" w:color="auto"/>
              <w:right w:val="single" w:sz="4" w:space="0" w:color="auto"/>
            </w:tcBorders>
          </w:tcPr>
          <w:p w14:paraId="3FA28CAB" w14:textId="77777777" w:rsidR="00E75BF8" w:rsidRPr="00797239" w:rsidRDefault="00E75BF8" w:rsidP="00797239">
            <w:pPr>
              <w:pStyle w:val="Tabletext1"/>
            </w:pPr>
            <w:r w:rsidRPr="00797239">
              <w:t>238 (224 to 250)</w:t>
            </w:r>
          </w:p>
        </w:tc>
        <w:tc>
          <w:tcPr>
            <w:tcW w:w="501" w:type="pct"/>
            <w:tcBorders>
              <w:top w:val="single" w:sz="4" w:space="0" w:color="auto"/>
              <w:left w:val="single" w:sz="4" w:space="0" w:color="auto"/>
              <w:bottom w:val="single" w:sz="4" w:space="0" w:color="auto"/>
              <w:right w:val="single" w:sz="4" w:space="0" w:color="auto"/>
            </w:tcBorders>
          </w:tcPr>
          <w:p w14:paraId="59FB5FED" w14:textId="749E9F6E" w:rsidR="00E75BF8" w:rsidRPr="00797239" w:rsidRDefault="00797239" w:rsidP="00797239">
            <w:pPr>
              <w:pStyle w:val="Tabletext1"/>
            </w:pPr>
            <w:r w:rsidRPr="00D4733A">
              <w:rPr>
                <w:rFonts w:ascii="Cambria Math" w:hAnsi="Cambria Math"/>
                <w:color w:val="00B050"/>
              </w:rPr>
              <w:t>⨁⨁⨁⨁</w:t>
            </w:r>
            <w:r w:rsidR="00E75BF8" w:rsidRPr="00797239">
              <w:br/>
              <w:t>HIGH</w:t>
            </w:r>
          </w:p>
        </w:tc>
        <w:tc>
          <w:tcPr>
            <w:tcW w:w="568" w:type="pct"/>
            <w:tcBorders>
              <w:top w:val="single" w:sz="4" w:space="0" w:color="auto"/>
              <w:left w:val="single" w:sz="4" w:space="0" w:color="auto"/>
              <w:bottom w:val="single" w:sz="4" w:space="0" w:color="auto"/>
              <w:right w:val="single" w:sz="4" w:space="0" w:color="auto"/>
            </w:tcBorders>
          </w:tcPr>
          <w:p w14:paraId="1B9BDED7" w14:textId="77777777" w:rsidR="00E75BF8" w:rsidRPr="00797239" w:rsidRDefault="00E75BF8" w:rsidP="00797239">
            <w:pPr>
              <w:pStyle w:val="Tabletext1"/>
            </w:pPr>
            <w:r w:rsidRPr="00797239">
              <w:t>Critical</w:t>
            </w:r>
          </w:p>
        </w:tc>
      </w:tr>
      <w:tr w:rsidR="00AC5433" w:rsidRPr="00797239" w14:paraId="47CBA5BA" w14:textId="77777777" w:rsidTr="00201E80">
        <w:trPr>
          <w:trHeight w:val="319"/>
        </w:trPr>
        <w:tc>
          <w:tcPr>
            <w:tcW w:w="383" w:type="pct"/>
            <w:tcBorders>
              <w:top w:val="single" w:sz="4" w:space="0" w:color="auto"/>
              <w:left w:val="single" w:sz="4" w:space="0" w:color="auto"/>
              <w:bottom w:val="single" w:sz="4" w:space="0" w:color="auto"/>
              <w:right w:val="single" w:sz="4" w:space="0" w:color="auto"/>
            </w:tcBorders>
          </w:tcPr>
          <w:p w14:paraId="476B7425" w14:textId="77777777" w:rsidR="00AC5433" w:rsidRPr="00797239" w:rsidRDefault="00AC5433" w:rsidP="00201E80">
            <w:pPr>
              <w:pStyle w:val="Tabletext1"/>
            </w:pPr>
            <w:r w:rsidRPr="00797239">
              <w:t>False positives</w:t>
            </w:r>
          </w:p>
        </w:tc>
        <w:tc>
          <w:tcPr>
            <w:tcW w:w="652" w:type="pct"/>
            <w:tcBorders>
              <w:top w:val="single" w:sz="4" w:space="0" w:color="auto"/>
              <w:left w:val="single" w:sz="4" w:space="0" w:color="auto"/>
              <w:bottom w:val="single" w:sz="4" w:space="0" w:color="auto"/>
              <w:right w:val="single" w:sz="4" w:space="0" w:color="auto"/>
            </w:tcBorders>
          </w:tcPr>
          <w:p w14:paraId="005388E9" w14:textId="77777777" w:rsidR="00AC5433" w:rsidRDefault="00AC5433" w:rsidP="00201E80">
            <w:pPr>
              <w:pStyle w:val="Tabletext1"/>
            </w:pPr>
            <w:r>
              <w:t>820 patients</w:t>
            </w:r>
          </w:p>
          <w:p w14:paraId="1FB8017A" w14:textId="77777777" w:rsidR="00AC5433" w:rsidRPr="00797239" w:rsidRDefault="00AC5433" w:rsidP="00201E80">
            <w:pPr>
              <w:pStyle w:val="Tabletext1"/>
            </w:pPr>
            <w:r>
              <w:t>(</w:t>
            </w:r>
            <w:r w:rsidRPr="00797239">
              <w:t>6 studies</w:t>
            </w:r>
            <w:r>
              <w:t>).</w:t>
            </w:r>
          </w:p>
        </w:tc>
        <w:tc>
          <w:tcPr>
            <w:tcW w:w="313" w:type="pct"/>
            <w:tcBorders>
              <w:top w:val="single" w:sz="4" w:space="0" w:color="auto"/>
              <w:left w:val="single" w:sz="4" w:space="0" w:color="auto"/>
              <w:bottom w:val="single" w:sz="4" w:space="0" w:color="auto"/>
              <w:right w:val="single" w:sz="4" w:space="0" w:color="auto"/>
            </w:tcBorders>
          </w:tcPr>
          <w:p w14:paraId="711D6CF3" w14:textId="77777777" w:rsidR="00AC5433" w:rsidRPr="00797239" w:rsidRDefault="00AC5433" w:rsidP="00201E80">
            <w:pPr>
              <w:pStyle w:val="Tabletext1"/>
            </w:pPr>
            <w:r w:rsidRPr="00797239">
              <w:t>not serious</w:t>
            </w:r>
          </w:p>
        </w:tc>
        <w:tc>
          <w:tcPr>
            <w:tcW w:w="508" w:type="pct"/>
            <w:tcBorders>
              <w:top w:val="single" w:sz="4" w:space="0" w:color="auto"/>
              <w:left w:val="single" w:sz="4" w:space="0" w:color="auto"/>
              <w:bottom w:val="single" w:sz="4" w:space="0" w:color="auto"/>
              <w:right w:val="single" w:sz="4" w:space="0" w:color="auto"/>
            </w:tcBorders>
          </w:tcPr>
          <w:p w14:paraId="10E9A762" w14:textId="77777777" w:rsidR="00AC5433" w:rsidRPr="00797239" w:rsidRDefault="00AC5433" w:rsidP="00201E80">
            <w:pPr>
              <w:pStyle w:val="Tabletext1"/>
            </w:pPr>
            <w:r w:rsidRPr="00797239">
              <w:t xml:space="preserve">not serious </w:t>
            </w:r>
          </w:p>
        </w:tc>
        <w:tc>
          <w:tcPr>
            <w:tcW w:w="496" w:type="pct"/>
            <w:tcBorders>
              <w:top w:val="single" w:sz="4" w:space="0" w:color="auto"/>
              <w:left w:val="single" w:sz="4" w:space="0" w:color="auto"/>
              <w:bottom w:val="single" w:sz="4" w:space="0" w:color="auto"/>
              <w:right w:val="single" w:sz="4" w:space="0" w:color="auto"/>
            </w:tcBorders>
          </w:tcPr>
          <w:p w14:paraId="6EC70CE0" w14:textId="77777777" w:rsidR="00AC5433" w:rsidRPr="00797239" w:rsidRDefault="00AC5433" w:rsidP="00201E80">
            <w:pPr>
              <w:pStyle w:val="Tabletext1"/>
            </w:pPr>
            <w:r w:rsidRPr="00797239">
              <w:t>not serious</w:t>
            </w:r>
          </w:p>
        </w:tc>
        <w:tc>
          <w:tcPr>
            <w:tcW w:w="440" w:type="pct"/>
            <w:tcBorders>
              <w:top w:val="single" w:sz="4" w:space="0" w:color="auto"/>
              <w:left w:val="single" w:sz="4" w:space="0" w:color="auto"/>
              <w:bottom w:val="single" w:sz="4" w:space="0" w:color="auto"/>
              <w:right w:val="single" w:sz="4" w:space="0" w:color="auto"/>
            </w:tcBorders>
          </w:tcPr>
          <w:p w14:paraId="6545E901" w14:textId="77777777" w:rsidR="00AC5433" w:rsidRPr="00797239" w:rsidRDefault="00AC5433" w:rsidP="00201E80">
            <w:pPr>
              <w:pStyle w:val="Tabletext1"/>
            </w:pPr>
            <w:r>
              <w:t>not serious</w:t>
            </w:r>
            <w:r w:rsidRPr="004E13AC">
              <w:rPr>
                <w:vertAlign w:val="superscript"/>
              </w:rPr>
              <w:t>1</w:t>
            </w:r>
          </w:p>
        </w:tc>
        <w:tc>
          <w:tcPr>
            <w:tcW w:w="536" w:type="pct"/>
            <w:tcBorders>
              <w:top w:val="single" w:sz="4" w:space="0" w:color="auto"/>
              <w:left w:val="single" w:sz="4" w:space="0" w:color="auto"/>
              <w:bottom w:val="single" w:sz="4" w:space="0" w:color="auto"/>
              <w:right w:val="single" w:sz="4" w:space="0" w:color="auto"/>
            </w:tcBorders>
          </w:tcPr>
          <w:p w14:paraId="4608C054" w14:textId="77777777" w:rsidR="00AC5433" w:rsidRPr="00797239" w:rsidRDefault="00AC5433" w:rsidP="00201E80">
            <w:pPr>
              <w:pStyle w:val="Tabletext1"/>
            </w:pPr>
            <w:r w:rsidRPr="00797239">
              <w:t>none</w:t>
            </w:r>
          </w:p>
        </w:tc>
        <w:tc>
          <w:tcPr>
            <w:tcW w:w="603" w:type="pct"/>
            <w:tcBorders>
              <w:top w:val="single" w:sz="4" w:space="0" w:color="auto"/>
              <w:left w:val="single" w:sz="4" w:space="0" w:color="auto"/>
              <w:bottom w:val="single" w:sz="4" w:space="0" w:color="auto"/>
              <w:right w:val="single" w:sz="4" w:space="0" w:color="auto"/>
            </w:tcBorders>
          </w:tcPr>
          <w:p w14:paraId="58C71EBF" w14:textId="77777777" w:rsidR="00AC5433" w:rsidRPr="00797239" w:rsidRDefault="00AC5433" w:rsidP="00201E80">
            <w:pPr>
              <w:pStyle w:val="Tabletext1"/>
            </w:pPr>
            <w:r w:rsidRPr="00797239">
              <w:t>314 (281 to 347)</w:t>
            </w:r>
          </w:p>
        </w:tc>
        <w:tc>
          <w:tcPr>
            <w:tcW w:w="501" w:type="pct"/>
            <w:tcBorders>
              <w:top w:val="single" w:sz="4" w:space="0" w:color="auto"/>
              <w:left w:val="single" w:sz="4" w:space="0" w:color="auto"/>
              <w:bottom w:val="single" w:sz="4" w:space="0" w:color="auto"/>
              <w:right w:val="single" w:sz="4" w:space="0" w:color="auto"/>
            </w:tcBorders>
          </w:tcPr>
          <w:p w14:paraId="69F3631F" w14:textId="77777777" w:rsidR="00AC5433" w:rsidRPr="00797239" w:rsidRDefault="00AC5433" w:rsidP="00201E80">
            <w:pPr>
              <w:pStyle w:val="Tabletext1"/>
            </w:pPr>
            <w:r w:rsidRPr="00D4733A">
              <w:rPr>
                <w:rFonts w:ascii="Cambria Math" w:hAnsi="Cambria Math"/>
                <w:color w:val="00B050"/>
              </w:rPr>
              <w:t>⨁⨁⨁⨁</w:t>
            </w:r>
            <w:r w:rsidRPr="00797239">
              <w:br/>
              <w:t>HIGH</w:t>
            </w:r>
          </w:p>
        </w:tc>
        <w:tc>
          <w:tcPr>
            <w:tcW w:w="568" w:type="pct"/>
            <w:tcBorders>
              <w:top w:val="single" w:sz="4" w:space="0" w:color="auto"/>
              <w:left w:val="single" w:sz="4" w:space="0" w:color="auto"/>
              <w:bottom w:val="single" w:sz="4" w:space="0" w:color="auto"/>
              <w:right w:val="single" w:sz="4" w:space="0" w:color="auto"/>
            </w:tcBorders>
          </w:tcPr>
          <w:p w14:paraId="392E7F05" w14:textId="77777777" w:rsidR="00AC5433" w:rsidRPr="00797239" w:rsidRDefault="00AC5433" w:rsidP="00201E80">
            <w:pPr>
              <w:pStyle w:val="Tabletext1"/>
            </w:pPr>
            <w:r w:rsidRPr="00797239">
              <w:t>Critical</w:t>
            </w:r>
          </w:p>
        </w:tc>
      </w:tr>
      <w:tr w:rsidR="00AC5433" w:rsidRPr="00797239" w14:paraId="245261D9" w14:textId="77777777" w:rsidTr="00201E80">
        <w:trPr>
          <w:trHeight w:val="319"/>
        </w:trPr>
        <w:tc>
          <w:tcPr>
            <w:tcW w:w="383" w:type="pct"/>
            <w:tcBorders>
              <w:top w:val="single" w:sz="4" w:space="0" w:color="auto"/>
              <w:left w:val="single" w:sz="4" w:space="0" w:color="auto"/>
              <w:bottom w:val="single" w:sz="4" w:space="0" w:color="auto"/>
              <w:right w:val="single" w:sz="4" w:space="0" w:color="auto"/>
            </w:tcBorders>
          </w:tcPr>
          <w:p w14:paraId="116989EA" w14:textId="77777777" w:rsidR="00AC5433" w:rsidRPr="00797239" w:rsidRDefault="00AC5433" w:rsidP="00201E80">
            <w:pPr>
              <w:pStyle w:val="Tabletext1"/>
            </w:pPr>
            <w:r w:rsidRPr="00797239">
              <w:t>True negatives</w:t>
            </w:r>
          </w:p>
        </w:tc>
        <w:tc>
          <w:tcPr>
            <w:tcW w:w="652" w:type="pct"/>
            <w:tcBorders>
              <w:top w:val="single" w:sz="4" w:space="0" w:color="auto"/>
              <w:left w:val="single" w:sz="4" w:space="0" w:color="auto"/>
              <w:bottom w:val="single" w:sz="4" w:space="0" w:color="auto"/>
              <w:right w:val="single" w:sz="4" w:space="0" w:color="auto"/>
            </w:tcBorders>
          </w:tcPr>
          <w:p w14:paraId="18DC9301" w14:textId="77777777" w:rsidR="00AC5433" w:rsidRDefault="00AC5433" w:rsidP="00201E80">
            <w:pPr>
              <w:pStyle w:val="Tabletext1"/>
            </w:pPr>
            <w:r>
              <w:t>820 patients</w:t>
            </w:r>
          </w:p>
          <w:p w14:paraId="61003B4B" w14:textId="77777777" w:rsidR="00AC5433" w:rsidRPr="00797239" w:rsidRDefault="00AC5433" w:rsidP="00201E80">
            <w:pPr>
              <w:pStyle w:val="Tabletext1"/>
            </w:pPr>
            <w:r>
              <w:t>(6 studies).</w:t>
            </w:r>
          </w:p>
        </w:tc>
        <w:tc>
          <w:tcPr>
            <w:tcW w:w="313" w:type="pct"/>
            <w:tcBorders>
              <w:top w:val="single" w:sz="4" w:space="0" w:color="auto"/>
              <w:left w:val="single" w:sz="4" w:space="0" w:color="auto"/>
              <w:bottom w:val="single" w:sz="4" w:space="0" w:color="auto"/>
              <w:right w:val="single" w:sz="4" w:space="0" w:color="auto"/>
            </w:tcBorders>
          </w:tcPr>
          <w:p w14:paraId="60EF9359" w14:textId="77777777" w:rsidR="00AC5433" w:rsidRPr="00797239" w:rsidRDefault="00AC5433" w:rsidP="00201E80">
            <w:pPr>
              <w:pStyle w:val="Tabletext1"/>
            </w:pPr>
            <w:r w:rsidRPr="00797239">
              <w:t>not serious</w:t>
            </w:r>
          </w:p>
        </w:tc>
        <w:tc>
          <w:tcPr>
            <w:tcW w:w="508" w:type="pct"/>
            <w:tcBorders>
              <w:top w:val="single" w:sz="4" w:space="0" w:color="auto"/>
              <w:left w:val="single" w:sz="4" w:space="0" w:color="auto"/>
              <w:bottom w:val="single" w:sz="4" w:space="0" w:color="auto"/>
              <w:right w:val="single" w:sz="4" w:space="0" w:color="auto"/>
            </w:tcBorders>
          </w:tcPr>
          <w:p w14:paraId="61F494C6" w14:textId="77777777" w:rsidR="00AC5433" w:rsidRPr="00797239" w:rsidRDefault="00AC5433" w:rsidP="00201E80">
            <w:pPr>
              <w:pStyle w:val="Tabletext1"/>
            </w:pPr>
            <w:r w:rsidRPr="00797239">
              <w:t xml:space="preserve">not serious </w:t>
            </w:r>
          </w:p>
        </w:tc>
        <w:tc>
          <w:tcPr>
            <w:tcW w:w="496" w:type="pct"/>
            <w:tcBorders>
              <w:top w:val="single" w:sz="4" w:space="0" w:color="auto"/>
              <w:left w:val="single" w:sz="4" w:space="0" w:color="auto"/>
              <w:bottom w:val="single" w:sz="4" w:space="0" w:color="auto"/>
              <w:right w:val="single" w:sz="4" w:space="0" w:color="auto"/>
            </w:tcBorders>
          </w:tcPr>
          <w:p w14:paraId="7EFC48CB" w14:textId="77777777" w:rsidR="00AC5433" w:rsidRPr="00797239" w:rsidRDefault="00AC5433" w:rsidP="00201E80">
            <w:pPr>
              <w:pStyle w:val="Tabletext1"/>
            </w:pPr>
            <w:r w:rsidRPr="00797239">
              <w:t>not serious</w:t>
            </w:r>
          </w:p>
        </w:tc>
        <w:tc>
          <w:tcPr>
            <w:tcW w:w="440" w:type="pct"/>
            <w:tcBorders>
              <w:top w:val="single" w:sz="4" w:space="0" w:color="auto"/>
              <w:left w:val="single" w:sz="4" w:space="0" w:color="auto"/>
              <w:bottom w:val="single" w:sz="4" w:space="0" w:color="auto"/>
              <w:right w:val="single" w:sz="4" w:space="0" w:color="auto"/>
            </w:tcBorders>
          </w:tcPr>
          <w:p w14:paraId="2F817DEC" w14:textId="77777777" w:rsidR="00AC5433" w:rsidRPr="00797239" w:rsidRDefault="00AC5433" w:rsidP="00201E80">
            <w:pPr>
              <w:pStyle w:val="Tabletext1"/>
            </w:pPr>
            <w:r w:rsidRPr="00797239">
              <w:t>not serious</w:t>
            </w:r>
            <w:r w:rsidRPr="004E13AC">
              <w:rPr>
                <w:vertAlign w:val="superscript"/>
              </w:rPr>
              <w:t>1</w:t>
            </w:r>
          </w:p>
        </w:tc>
        <w:tc>
          <w:tcPr>
            <w:tcW w:w="536" w:type="pct"/>
            <w:tcBorders>
              <w:top w:val="single" w:sz="4" w:space="0" w:color="auto"/>
              <w:left w:val="single" w:sz="4" w:space="0" w:color="auto"/>
              <w:bottom w:val="single" w:sz="4" w:space="0" w:color="auto"/>
              <w:right w:val="single" w:sz="4" w:space="0" w:color="auto"/>
            </w:tcBorders>
          </w:tcPr>
          <w:p w14:paraId="15C8890C" w14:textId="77777777" w:rsidR="00AC5433" w:rsidRPr="00797239" w:rsidRDefault="00AC5433" w:rsidP="00201E80">
            <w:pPr>
              <w:pStyle w:val="Tabletext1"/>
            </w:pPr>
            <w:r w:rsidRPr="00797239">
              <w:t>none</w:t>
            </w:r>
          </w:p>
        </w:tc>
        <w:tc>
          <w:tcPr>
            <w:tcW w:w="603" w:type="pct"/>
            <w:tcBorders>
              <w:top w:val="single" w:sz="4" w:space="0" w:color="auto"/>
              <w:left w:val="single" w:sz="4" w:space="0" w:color="auto"/>
              <w:bottom w:val="single" w:sz="4" w:space="0" w:color="auto"/>
              <w:right w:val="single" w:sz="4" w:space="0" w:color="auto"/>
            </w:tcBorders>
          </w:tcPr>
          <w:p w14:paraId="493E61AF" w14:textId="77777777" w:rsidR="00AC5433" w:rsidRPr="00797239" w:rsidRDefault="00AC5433" w:rsidP="00201E80">
            <w:pPr>
              <w:pStyle w:val="Tabletext1"/>
            </w:pPr>
            <w:r w:rsidRPr="00797239">
              <w:t>386 (353 to 419)</w:t>
            </w:r>
          </w:p>
        </w:tc>
        <w:tc>
          <w:tcPr>
            <w:tcW w:w="501" w:type="pct"/>
            <w:tcBorders>
              <w:top w:val="single" w:sz="4" w:space="0" w:color="auto"/>
              <w:left w:val="single" w:sz="4" w:space="0" w:color="auto"/>
              <w:bottom w:val="single" w:sz="4" w:space="0" w:color="auto"/>
              <w:right w:val="single" w:sz="4" w:space="0" w:color="auto"/>
            </w:tcBorders>
          </w:tcPr>
          <w:p w14:paraId="7936459F" w14:textId="77777777" w:rsidR="00AC5433" w:rsidRPr="00797239" w:rsidRDefault="00AC5433" w:rsidP="00201E80">
            <w:pPr>
              <w:pStyle w:val="Tabletext1"/>
            </w:pPr>
            <w:r w:rsidRPr="00D4733A">
              <w:rPr>
                <w:rFonts w:ascii="Cambria Math" w:hAnsi="Cambria Math"/>
                <w:color w:val="00B050"/>
              </w:rPr>
              <w:t>⨁⨁⨁⨁</w:t>
            </w:r>
            <w:r w:rsidRPr="00797239">
              <w:br/>
              <w:t>HIGH</w:t>
            </w:r>
          </w:p>
        </w:tc>
        <w:tc>
          <w:tcPr>
            <w:tcW w:w="568" w:type="pct"/>
            <w:tcBorders>
              <w:top w:val="single" w:sz="4" w:space="0" w:color="auto"/>
              <w:left w:val="single" w:sz="4" w:space="0" w:color="auto"/>
              <w:bottom w:val="single" w:sz="4" w:space="0" w:color="auto"/>
              <w:right w:val="single" w:sz="4" w:space="0" w:color="auto"/>
            </w:tcBorders>
          </w:tcPr>
          <w:p w14:paraId="3219D6CE" w14:textId="77777777" w:rsidR="00AC5433" w:rsidRPr="00797239" w:rsidRDefault="00AC5433" w:rsidP="00201E80">
            <w:pPr>
              <w:pStyle w:val="Tabletext1"/>
            </w:pPr>
            <w:r w:rsidRPr="00797239">
              <w:t>Critical</w:t>
            </w:r>
          </w:p>
        </w:tc>
      </w:tr>
      <w:tr w:rsidR="00E75BF8" w:rsidRPr="00797239" w14:paraId="61AB7C99" w14:textId="77777777" w:rsidTr="00841114">
        <w:trPr>
          <w:trHeight w:val="319"/>
        </w:trPr>
        <w:tc>
          <w:tcPr>
            <w:tcW w:w="383" w:type="pct"/>
            <w:tcBorders>
              <w:top w:val="single" w:sz="4" w:space="0" w:color="auto"/>
              <w:left w:val="single" w:sz="4" w:space="0" w:color="auto"/>
              <w:bottom w:val="single" w:sz="4" w:space="0" w:color="auto"/>
              <w:right w:val="single" w:sz="4" w:space="0" w:color="auto"/>
            </w:tcBorders>
          </w:tcPr>
          <w:p w14:paraId="0BA5C460" w14:textId="77777777" w:rsidR="00E75BF8" w:rsidRPr="00797239" w:rsidRDefault="00E75BF8" w:rsidP="00797239">
            <w:pPr>
              <w:pStyle w:val="Tabletext1"/>
            </w:pPr>
            <w:r w:rsidRPr="00797239">
              <w:t>False negatives</w:t>
            </w:r>
          </w:p>
        </w:tc>
        <w:tc>
          <w:tcPr>
            <w:tcW w:w="652" w:type="pct"/>
            <w:tcBorders>
              <w:top w:val="single" w:sz="4" w:space="0" w:color="auto"/>
              <w:left w:val="single" w:sz="4" w:space="0" w:color="auto"/>
              <w:bottom w:val="single" w:sz="4" w:space="0" w:color="auto"/>
              <w:right w:val="single" w:sz="4" w:space="0" w:color="auto"/>
            </w:tcBorders>
          </w:tcPr>
          <w:p w14:paraId="15A8AC23" w14:textId="77777777" w:rsidR="003D0EE8" w:rsidRDefault="003D0EE8" w:rsidP="00797239">
            <w:pPr>
              <w:pStyle w:val="Tabletext1"/>
            </w:pPr>
            <w:r>
              <w:t>820 patients</w:t>
            </w:r>
          </w:p>
          <w:p w14:paraId="716B5A9C" w14:textId="3B3E3224" w:rsidR="00E75BF8" w:rsidRPr="00797239" w:rsidRDefault="003D0EE8" w:rsidP="003D0EE8">
            <w:pPr>
              <w:pStyle w:val="Tabletext1"/>
            </w:pPr>
            <w:r>
              <w:t>(</w:t>
            </w:r>
            <w:r w:rsidRPr="00797239">
              <w:t>6 studies</w:t>
            </w:r>
            <w:r>
              <w:t>)</w:t>
            </w:r>
            <w:r w:rsidR="006F16DC">
              <w:t>.</w:t>
            </w:r>
            <w:r w:rsidRPr="00797239">
              <w:t xml:space="preserve"> </w:t>
            </w:r>
          </w:p>
        </w:tc>
        <w:tc>
          <w:tcPr>
            <w:tcW w:w="313" w:type="pct"/>
            <w:tcBorders>
              <w:top w:val="single" w:sz="4" w:space="0" w:color="auto"/>
              <w:left w:val="single" w:sz="4" w:space="0" w:color="auto"/>
              <w:bottom w:val="single" w:sz="4" w:space="0" w:color="auto"/>
              <w:right w:val="single" w:sz="4" w:space="0" w:color="auto"/>
            </w:tcBorders>
          </w:tcPr>
          <w:p w14:paraId="3E7FF44E" w14:textId="77777777" w:rsidR="00E75BF8" w:rsidRPr="00797239" w:rsidRDefault="00E75BF8" w:rsidP="00797239">
            <w:pPr>
              <w:pStyle w:val="Tabletext1"/>
            </w:pPr>
            <w:r w:rsidRPr="00797239">
              <w:t>not serious</w:t>
            </w:r>
          </w:p>
        </w:tc>
        <w:tc>
          <w:tcPr>
            <w:tcW w:w="508" w:type="pct"/>
            <w:tcBorders>
              <w:top w:val="single" w:sz="4" w:space="0" w:color="auto"/>
              <w:left w:val="single" w:sz="4" w:space="0" w:color="auto"/>
              <w:bottom w:val="single" w:sz="4" w:space="0" w:color="auto"/>
              <w:right w:val="single" w:sz="4" w:space="0" w:color="auto"/>
            </w:tcBorders>
          </w:tcPr>
          <w:p w14:paraId="4DCC21E3" w14:textId="77777777" w:rsidR="00E75BF8" w:rsidRPr="00797239" w:rsidRDefault="00E75BF8" w:rsidP="00797239">
            <w:pPr>
              <w:pStyle w:val="Tabletext1"/>
            </w:pPr>
            <w:r w:rsidRPr="00797239">
              <w:t xml:space="preserve">not serious </w:t>
            </w:r>
          </w:p>
        </w:tc>
        <w:tc>
          <w:tcPr>
            <w:tcW w:w="496" w:type="pct"/>
            <w:tcBorders>
              <w:top w:val="single" w:sz="4" w:space="0" w:color="auto"/>
              <w:left w:val="single" w:sz="4" w:space="0" w:color="auto"/>
              <w:bottom w:val="single" w:sz="4" w:space="0" w:color="auto"/>
              <w:right w:val="single" w:sz="4" w:space="0" w:color="auto"/>
            </w:tcBorders>
          </w:tcPr>
          <w:p w14:paraId="2B3CDB3B" w14:textId="77777777" w:rsidR="00E75BF8" w:rsidRPr="00797239" w:rsidRDefault="00E75BF8" w:rsidP="00797239">
            <w:pPr>
              <w:pStyle w:val="Tabletext1"/>
            </w:pPr>
            <w:r w:rsidRPr="00797239">
              <w:t>not serious</w:t>
            </w:r>
          </w:p>
        </w:tc>
        <w:tc>
          <w:tcPr>
            <w:tcW w:w="440" w:type="pct"/>
            <w:tcBorders>
              <w:top w:val="single" w:sz="4" w:space="0" w:color="auto"/>
              <w:left w:val="single" w:sz="4" w:space="0" w:color="auto"/>
              <w:bottom w:val="single" w:sz="4" w:space="0" w:color="auto"/>
              <w:right w:val="single" w:sz="4" w:space="0" w:color="auto"/>
            </w:tcBorders>
          </w:tcPr>
          <w:p w14:paraId="58B33123" w14:textId="3A02AFD6" w:rsidR="00E75BF8" w:rsidRPr="00797239" w:rsidRDefault="00E75BF8" w:rsidP="004E13AC">
            <w:pPr>
              <w:pStyle w:val="Tabletext1"/>
            </w:pPr>
            <w:r w:rsidRPr="00797239">
              <w:t>not serious</w:t>
            </w:r>
            <w:r w:rsidRPr="004E13AC">
              <w:rPr>
                <w:vertAlign w:val="superscript"/>
              </w:rPr>
              <w:t>1</w:t>
            </w:r>
          </w:p>
        </w:tc>
        <w:tc>
          <w:tcPr>
            <w:tcW w:w="536" w:type="pct"/>
            <w:tcBorders>
              <w:top w:val="single" w:sz="4" w:space="0" w:color="auto"/>
              <w:left w:val="single" w:sz="4" w:space="0" w:color="auto"/>
              <w:bottom w:val="single" w:sz="4" w:space="0" w:color="auto"/>
              <w:right w:val="single" w:sz="4" w:space="0" w:color="auto"/>
            </w:tcBorders>
          </w:tcPr>
          <w:p w14:paraId="6D70E939" w14:textId="77777777" w:rsidR="00E75BF8" w:rsidRPr="00797239" w:rsidRDefault="00E75BF8" w:rsidP="00797239">
            <w:pPr>
              <w:pStyle w:val="Tabletext1"/>
            </w:pPr>
            <w:r w:rsidRPr="00797239">
              <w:t>none</w:t>
            </w:r>
          </w:p>
        </w:tc>
        <w:tc>
          <w:tcPr>
            <w:tcW w:w="603" w:type="pct"/>
            <w:tcBorders>
              <w:top w:val="single" w:sz="4" w:space="0" w:color="auto"/>
              <w:left w:val="single" w:sz="4" w:space="0" w:color="auto"/>
              <w:bottom w:val="single" w:sz="4" w:space="0" w:color="auto"/>
              <w:right w:val="single" w:sz="4" w:space="0" w:color="auto"/>
            </w:tcBorders>
          </w:tcPr>
          <w:p w14:paraId="1FB023EC" w14:textId="77777777" w:rsidR="00E75BF8" w:rsidRPr="00797239" w:rsidRDefault="00E75BF8" w:rsidP="00797239">
            <w:pPr>
              <w:pStyle w:val="Tabletext1"/>
            </w:pPr>
            <w:r w:rsidRPr="00797239">
              <w:t>62 (50 to 76)</w:t>
            </w:r>
          </w:p>
        </w:tc>
        <w:tc>
          <w:tcPr>
            <w:tcW w:w="501" w:type="pct"/>
            <w:tcBorders>
              <w:top w:val="single" w:sz="4" w:space="0" w:color="auto"/>
              <w:left w:val="single" w:sz="4" w:space="0" w:color="auto"/>
              <w:bottom w:val="single" w:sz="4" w:space="0" w:color="auto"/>
              <w:right w:val="single" w:sz="4" w:space="0" w:color="auto"/>
            </w:tcBorders>
          </w:tcPr>
          <w:p w14:paraId="435EE415" w14:textId="1EF4647A" w:rsidR="00E75BF8" w:rsidRPr="00797239" w:rsidRDefault="00797239" w:rsidP="00797239">
            <w:pPr>
              <w:pStyle w:val="Tabletext1"/>
            </w:pPr>
            <w:r w:rsidRPr="00D4733A">
              <w:rPr>
                <w:rFonts w:ascii="Cambria Math" w:hAnsi="Cambria Math"/>
                <w:color w:val="00B050"/>
              </w:rPr>
              <w:t>⨁⨁⨁⨁</w:t>
            </w:r>
            <w:r w:rsidR="00E75BF8" w:rsidRPr="00797239">
              <w:br/>
              <w:t>HIGH</w:t>
            </w:r>
          </w:p>
        </w:tc>
        <w:tc>
          <w:tcPr>
            <w:tcW w:w="568" w:type="pct"/>
            <w:tcBorders>
              <w:top w:val="single" w:sz="4" w:space="0" w:color="auto"/>
              <w:left w:val="single" w:sz="4" w:space="0" w:color="auto"/>
              <w:bottom w:val="single" w:sz="4" w:space="0" w:color="auto"/>
              <w:right w:val="single" w:sz="4" w:space="0" w:color="auto"/>
            </w:tcBorders>
          </w:tcPr>
          <w:p w14:paraId="2A60E12E" w14:textId="77777777" w:rsidR="00E75BF8" w:rsidRPr="00797239" w:rsidRDefault="00E75BF8" w:rsidP="00797239">
            <w:pPr>
              <w:pStyle w:val="Tabletext1"/>
            </w:pPr>
            <w:r w:rsidRPr="00797239">
              <w:t>Critical</w:t>
            </w:r>
          </w:p>
        </w:tc>
      </w:tr>
    </w:tbl>
    <w:p w14:paraId="665CC8D7" w14:textId="1578F098" w:rsidR="00C45F11" w:rsidRDefault="00E75BF8" w:rsidP="00797239">
      <w:pPr>
        <w:pStyle w:val="TableNotes"/>
      </w:pPr>
      <w:r w:rsidRPr="00E10B76">
        <w:rPr>
          <w:vertAlign w:val="superscript"/>
        </w:rPr>
        <w:t>a</w:t>
      </w:r>
      <w:r w:rsidR="0001666A">
        <w:t xml:space="preserve">: </w:t>
      </w:r>
      <w:r w:rsidRPr="00E10B76">
        <w:t>GRADE Working Group grades of evidence</w:t>
      </w:r>
      <w:r>
        <w:t xml:space="preserve"> </w:t>
      </w:r>
      <w:r w:rsidR="008E0B00">
        <w:fldChar w:fldCharType="begin"/>
      </w:r>
      <w:r w:rsidR="008E0B00">
        <w:instrText xml:space="preserve"> ADDIN EN.CITE &lt;EndNote&gt;&lt;Cite&gt;&lt;Author&gt;Guyatt&lt;/Author&gt;&lt;Year&gt;2013&lt;/Year&gt;&lt;RecNum&gt;1&lt;/RecNum&gt;&lt;DisplayText&gt;(Guyatt et al. 2013)&lt;/DisplayText&gt;&lt;record&gt;&lt;rec-number&gt;1&lt;/rec-number&gt;&lt;foreign-keys&gt;&lt;key app="EN" db-id="2p9terxr22fx91epzebpfdwuzrwtw2a2ep2t" timestamp="1472684599"&gt;1&lt;/key&gt;&lt;/foreign-keys&gt;&lt;ref-type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Pr="00E10B76">
        <w:br/>
      </w:r>
      <w:r w:rsidRPr="00D4733A">
        <w:rPr>
          <w:rFonts w:ascii="Cambria Math" w:hAnsi="Cambria Math"/>
          <w:color w:val="00B050"/>
        </w:rPr>
        <w:t>⨁⨁⨁⨁</w:t>
      </w:r>
      <w:r>
        <w:rPr>
          <w:rFonts w:ascii="Cambria Math" w:hAnsi="Cambria Math"/>
          <w:color w:val="00B050"/>
        </w:rPr>
        <w:t xml:space="preserve"> </w:t>
      </w:r>
      <w:r w:rsidRPr="00E10B76">
        <w:rPr>
          <w:b/>
          <w:bCs/>
        </w:rPr>
        <w:t>High quality:</w:t>
      </w:r>
      <w:r w:rsidRPr="00E10B76">
        <w:t xml:space="preserve"> </w:t>
      </w:r>
      <w:r>
        <w:t>We are very confident that the true effect lies close to that of the estimate of effect.</w:t>
      </w:r>
      <w:r w:rsidRPr="00E10B76">
        <w:t xml:space="preserve"> </w:t>
      </w:r>
      <w:r w:rsidRPr="00E10B76">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rsidR="00C45F11" w:rsidRPr="00C45F11">
        <w:t xml:space="preserve"> </w:t>
      </w:r>
    </w:p>
    <w:p w14:paraId="67D8C9E7" w14:textId="7347D7A5" w:rsidR="00C45F11" w:rsidRDefault="00C45F11" w:rsidP="00C45F11">
      <w:pPr>
        <w:pStyle w:val="TableNotes"/>
      </w:pPr>
      <w:r w:rsidRPr="0001666A">
        <w:rPr>
          <w:vertAlign w:val="superscript"/>
        </w:rPr>
        <w:t>1</w:t>
      </w:r>
      <w:r w:rsidR="0001666A">
        <w:t xml:space="preserve">: </w:t>
      </w:r>
      <w:r w:rsidRPr="00034B0D">
        <w:t>While the confidence intervals indicated a high level of precision, the relatively moderate number of studies and the moderate median population size may warrant downgrade</w:t>
      </w:r>
      <w:r>
        <w:t>.</w:t>
      </w:r>
    </w:p>
    <w:p w14:paraId="19DB7757" w14:textId="32363D33" w:rsidR="00E75BF8" w:rsidRDefault="00C45F11" w:rsidP="00C45F11">
      <w:pPr>
        <w:pStyle w:val="TableNotes"/>
        <w:rPr>
          <w:rFonts w:cs="Arial"/>
          <w:snapToGrid w:val="0"/>
          <w:lang w:eastAsia="en-US"/>
        </w:rPr>
      </w:pPr>
      <w:r>
        <w:t>QoE = quality of evidence.</w:t>
      </w:r>
      <w:r>
        <w:br/>
      </w:r>
      <w:r w:rsidR="00E75BF8">
        <w:br w:type="page"/>
      </w:r>
    </w:p>
    <w:p w14:paraId="137DFD67" w14:textId="3C7F3D46" w:rsidR="00E75BF8" w:rsidRPr="000470F1" w:rsidRDefault="00E75BF8" w:rsidP="00E75BF8">
      <w:pPr>
        <w:pStyle w:val="Caption"/>
      </w:pPr>
      <w:bookmarkStart w:id="797" w:name="_Toc460514578"/>
      <w:r>
        <w:lastRenderedPageBreak/>
        <w:t xml:space="preserve">Table </w:t>
      </w:r>
      <w:fldSimple w:instr=" SEQ Table \* ARABIC ">
        <w:r w:rsidR="0029649D">
          <w:rPr>
            <w:noProof/>
          </w:rPr>
          <w:t>78</w:t>
        </w:r>
      </w:fldSimple>
      <w:r>
        <w:tab/>
        <w:t xml:space="preserve">Evidence profile table for the impact of delayed treatment due to a </w:t>
      </w:r>
      <w:r w:rsidR="00392727">
        <w:t>false negative on mpMRI</w:t>
      </w:r>
      <w:r w:rsidRPr="00747E07">
        <w:t xml:space="preserve"> compared</w:t>
      </w:r>
      <w:r>
        <w:t xml:space="preserve"> to biopsy for Population 2</w:t>
      </w:r>
      <w:bookmarkEnd w:id="797"/>
      <w:r>
        <w:t xml:space="preserve"> </w:t>
      </w:r>
    </w:p>
    <w:tbl>
      <w:tblPr>
        <w:tblW w:w="5000" w:type="pct"/>
        <w:tblLook w:val="04A0" w:firstRow="1" w:lastRow="0" w:firstColumn="1" w:lastColumn="0" w:noHBand="0" w:noVBand="1"/>
        <w:tblDescription w:val="Evidence profile table for impact of change in management outcomes"/>
      </w:tblPr>
      <w:tblGrid>
        <w:gridCol w:w="1309"/>
        <w:gridCol w:w="1975"/>
        <w:gridCol w:w="993"/>
        <w:gridCol w:w="1542"/>
        <w:gridCol w:w="1554"/>
        <w:gridCol w:w="1363"/>
        <w:gridCol w:w="1624"/>
        <w:gridCol w:w="1805"/>
        <w:gridCol w:w="1449"/>
        <w:gridCol w:w="1738"/>
      </w:tblGrid>
      <w:tr w:rsidR="00E75BF8" w:rsidRPr="002D5EFE" w14:paraId="5546C4BC" w14:textId="77777777" w:rsidTr="00841114">
        <w:trPr>
          <w:trHeight w:val="788"/>
        </w:trPr>
        <w:tc>
          <w:tcPr>
            <w:tcW w:w="426" w:type="pct"/>
            <w:tcBorders>
              <w:top w:val="single" w:sz="4" w:space="0" w:color="auto"/>
              <w:left w:val="single" w:sz="4" w:space="0" w:color="auto"/>
              <w:bottom w:val="single" w:sz="4" w:space="0" w:color="auto"/>
              <w:right w:val="single" w:sz="4" w:space="0" w:color="auto"/>
            </w:tcBorders>
          </w:tcPr>
          <w:p w14:paraId="636F261E" w14:textId="10FCDE9C" w:rsidR="00E75BF8" w:rsidRPr="002D5EFE" w:rsidRDefault="00E75BF8" w:rsidP="0039385F">
            <w:pPr>
              <w:pStyle w:val="TableHeading"/>
            </w:pPr>
            <w:r w:rsidRPr="002D5EFE">
              <w:t>Outcome</w:t>
            </w:r>
            <w:r w:rsidR="006F16DC" w:rsidRPr="006F16DC">
              <w:rPr>
                <w:b w:val="0"/>
                <w:vertAlign w:val="superscript"/>
              </w:rPr>
              <w:t>a</w:t>
            </w:r>
          </w:p>
        </w:tc>
        <w:tc>
          <w:tcPr>
            <w:tcW w:w="643" w:type="pct"/>
            <w:tcBorders>
              <w:top w:val="single" w:sz="4" w:space="0" w:color="auto"/>
              <w:left w:val="single" w:sz="4" w:space="0" w:color="auto"/>
              <w:bottom w:val="single" w:sz="4" w:space="0" w:color="auto"/>
              <w:right w:val="single" w:sz="4" w:space="0" w:color="auto"/>
            </w:tcBorders>
          </w:tcPr>
          <w:p w14:paraId="3A16349A" w14:textId="75C97741" w:rsidR="00E75BF8" w:rsidRPr="002D5EFE" w:rsidRDefault="003D0EE8" w:rsidP="0039385F">
            <w:pPr>
              <w:pStyle w:val="TableHeading"/>
            </w:pPr>
            <w:r>
              <w:t>Patients/Studies</w:t>
            </w:r>
          </w:p>
        </w:tc>
        <w:tc>
          <w:tcPr>
            <w:tcW w:w="323" w:type="pct"/>
            <w:tcBorders>
              <w:top w:val="single" w:sz="4" w:space="0" w:color="auto"/>
              <w:left w:val="single" w:sz="4" w:space="0" w:color="auto"/>
              <w:bottom w:val="single" w:sz="4" w:space="0" w:color="auto"/>
              <w:right w:val="single" w:sz="4" w:space="0" w:color="auto"/>
            </w:tcBorders>
          </w:tcPr>
          <w:p w14:paraId="00ECBA69" w14:textId="77777777" w:rsidR="00E75BF8" w:rsidRPr="002D5EFE" w:rsidRDefault="00E75BF8" w:rsidP="0039385F">
            <w:pPr>
              <w:pStyle w:val="TableHeading"/>
            </w:pPr>
            <w:r w:rsidRPr="002D5EFE">
              <w:t>Risk of bias</w:t>
            </w:r>
          </w:p>
        </w:tc>
        <w:tc>
          <w:tcPr>
            <w:tcW w:w="502" w:type="pct"/>
            <w:tcBorders>
              <w:top w:val="single" w:sz="4" w:space="0" w:color="auto"/>
              <w:left w:val="single" w:sz="4" w:space="0" w:color="auto"/>
              <w:bottom w:val="single" w:sz="4" w:space="0" w:color="auto"/>
              <w:right w:val="single" w:sz="4" w:space="0" w:color="auto"/>
            </w:tcBorders>
          </w:tcPr>
          <w:p w14:paraId="14B8060B" w14:textId="77777777" w:rsidR="00E75BF8" w:rsidRPr="002D5EFE" w:rsidRDefault="00E75BF8" w:rsidP="0039385F">
            <w:pPr>
              <w:pStyle w:val="TableHeading"/>
            </w:pPr>
            <w:r w:rsidRPr="002D5EFE">
              <w:t>Inconsistency</w:t>
            </w:r>
          </w:p>
        </w:tc>
        <w:tc>
          <w:tcPr>
            <w:tcW w:w="506" w:type="pct"/>
            <w:tcBorders>
              <w:top w:val="single" w:sz="4" w:space="0" w:color="auto"/>
              <w:left w:val="single" w:sz="4" w:space="0" w:color="auto"/>
              <w:bottom w:val="single" w:sz="4" w:space="0" w:color="auto"/>
              <w:right w:val="single" w:sz="4" w:space="0" w:color="auto"/>
            </w:tcBorders>
          </w:tcPr>
          <w:p w14:paraId="72CC9ACD" w14:textId="77777777" w:rsidR="00E75BF8" w:rsidRPr="002D5EFE" w:rsidRDefault="00E75BF8" w:rsidP="0039385F">
            <w:pPr>
              <w:pStyle w:val="TableHeading"/>
            </w:pPr>
            <w:r w:rsidRPr="002D5EFE">
              <w:t>Indirectness</w:t>
            </w:r>
          </w:p>
        </w:tc>
        <w:tc>
          <w:tcPr>
            <w:tcW w:w="444" w:type="pct"/>
            <w:tcBorders>
              <w:top w:val="single" w:sz="4" w:space="0" w:color="auto"/>
              <w:left w:val="single" w:sz="4" w:space="0" w:color="auto"/>
              <w:bottom w:val="single" w:sz="4" w:space="0" w:color="auto"/>
              <w:right w:val="single" w:sz="4" w:space="0" w:color="auto"/>
            </w:tcBorders>
          </w:tcPr>
          <w:p w14:paraId="2E5BA8C4" w14:textId="77777777" w:rsidR="00E75BF8" w:rsidRPr="002D5EFE" w:rsidRDefault="00E75BF8" w:rsidP="0039385F">
            <w:pPr>
              <w:pStyle w:val="TableHeading"/>
            </w:pPr>
            <w:r w:rsidRPr="002D5EFE">
              <w:t>Imprecision</w:t>
            </w:r>
          </w:p>
        </w:tc>
        <w:tc>
          <w:tcPr>
            <w:tcW w:w="529" w:type="pct"/>
            <w:tcBorders>
              <w:top w:val="single" w:sz="4" w:space="0" w:color="auto"/>
              <w:left w:val="single" w:sz="4" w:space="0" w:color="auto"/>
              <w:bottom w:val="single" w:sz="4" w:space="0" w:color="auto"/>
              <w:right w:val="single" w:sz="4" w:space="0" w:color="auto"/>
            </w:tcBorders>
          </w:tcPr>
          <w:p w14:paraId="0D6633DC" w14:textId="77777777" w:rsidR="00E75BF8" w:rsidRPr="002D5EFE" w:rsidRDefault="00E75BF8" w:rsidP="0039385F">
            <w:pPr>
              <w:pStyle w:val="TableHeading"/>
            </w:pPr>
            <w:r w:rsidRPr="002D5EFE">
              <w:t xml:space="preserve">Other considerations </w:t>
            </w:r>
            <w:r w:rsidRPr="002D5EFE">
              <w:rPr>
                <w:vanish/>
              </w:rPr>
              <w:t>(e.g. publication bias)</w:t>
            </w:r>
          </w:p>
        </w:tc>
        <w:tc>
          <w:tcPr>
            <w:tcW w:w="588" w:type="pct"/>
            <w:tcBorders>
              <w:top w:val="single" w:sz="4" w:space="0" w:color="auto"/>
              <w:left w:val="single" w:sz="4" w:space="0" w:color="auto"/>
              <w:bottom w:val="single" w:sz="4" w:space="0" w:color="auto"/>
              <w:right w:val="single" w:sz="4" w:space="0" w:color="auto"/>
            </w:tcBorders>
          </w:tcPr>
          <w:p w14:paraId="24E02B6E" w14:textId="77777777" w:rsidR="00E75BF8" w:rsidRPr="002D5EFE" w:rsidRDefault="00E75BF8" w:rsidP="0039385F">
            <w:pPr>
              <w:pStyle w:val="TableHeading"/>
              <w:rPr>
                <w:highlight w:val="cyan"/>
              </w:rPr>
            </w:pPr>
            <w:r w:rsidRPr="00747E07">
              <w:t>Result</w:t>
            </w:r>
          </w:p>
        </w:tc>
        <w:tc>
          <w:tcPr>
            <w:tcW w:w="472" w:type="pct"/>
            <w:tcBorders>
              <w:top w:val="single" w:sz="4" w:space="0" w:color="auto"/>
              <w:left w:val="single" w:sz="4" w:space="0" w:color="auto"/>
              <w:bottom w:val="single" w:sz="4" w:space="0" w:color="auto"/>
              <w:right w:val="single" w:sz="4" w:space="0" w:color="auto"/>
            </w:tcBorders>
          </w:tcPr>
          <w:p w14:paraId="46EEF0C1" w14:textId="77777777" w:rsidR="00E75BF8" w:rsidRPr="002D5EFE" w:rsidRDefault="00E75BF8" w:rsidP="0039385F">
            <w:pPr>
              <w:pStyle w:val="TableHeading"/>
            </w:pPr>
            <w:r w:rsidRPr="002D5EFE">
              <w:t>Impact of change in management QoE</w:t>
            </w:r>
          </w:p>
        </w:tc>
        <w:tc>
          <w:tcPr>
            <w:tcW w:w="566" w:type="pct"/>
            <w:tcBorders>
              <w:top w:val="single" w:sz="4" w:space="0" w:color="auto"/>
              <w:left w:val="single" w:sz="4" w:space="0" w:color="auto"/>
              <w:bottom w:val="single" w:sz="4" w:space="0" w:color="auto"/>
              <w:right w:val="single" w:sz="4" w:space="0" w:color="auto"/>
            </w:tcBorders>
          </w:tcPr>
          <w:p w14:paraId="5796F521" w14:textId="77777777" w:rsidR="00E75BF8" w:rsidRPr="002D5EFE" w:rsidRDefault="00E75BF8" w:rsidP="0039385F">
            <w:pPr>
              <w:pStyle w:val="TableHeading"/>
            </w:pPr>
            <w:r w:rsidRPr="002D5EFE">
              <w:t>Importance</w:t>
            </w:r>
          </w:p>
        </w:tc>
      </w:tr>
      <w:tr w:rsidR="00E75BF8" w:rsidRPr="002D5EFE" w14:paraId="2C9BB962" w14:textId="77777777" w:rsidTr="00841114">
        <w:trPr>
          <w:trHeight w:val="319"/>
        </w:trPr>
        <w:tc>
          <w:tcPr>
            <w:tcW w:w="426" w:type="pct"/>
            <w:tcBorders>
              <w:top w:val="single" w:sz="4" w:space="0" w:color="auto"/>
              <w:left w:val="single" w:sz="4" w:space="0" w:color="auto"/>
              <w:bottom w:val="single" w:sz="4" w:space="0" w:color="auto"/>
              <w:right w:val="single" w:sz="4" w:space="0" w:color="auto"/>
            </w:tcBorders>
          </w:tcPr>
          <w:p w14:paraId="16F640A8" w14:textId="77777777" w:rsidR="00E75BF8" w:rsidRPr="002D5EFE" w:rsidRDefault="00E75BF8" w:rsidP="0039385F">
            <w:pPr>
              <w:pStyle w:val="Tabletext1"/>
            </w:pPr>
            <w:r w:rsidRPr="002D5EFE">
              <w:t>Positive surgical margins</w:t>
            </w:r>
          </w:p>
        </w:tc>
        <w:tc>
          <w:tcPr>
            <w:tcW w:w="643" w:type="pct"/>
            <w:tcBorders>
              <w:top w:val="single" w:sz="4" w:space="0" w:color="auto"/>
              <w:left w:val="single" w:sz="4" w:space="0" w:color="auto"/>
              <w:bottom w:val="single" w:sz="4" w:space="0" w:color="auto"/>
              <w:right w:val="single" w:sz="4" w:space="0" w:color="auto"/>
            </w:tcBorders>
          </w:tcPr>
          <w:p w14:paraId="3EDA7C54" w14:textId="77777777" w:rsidR="003D0EE8" w:rsidRDefault="00E75BF8" w:rsidP="003D0EE8">
            <w:pPr>
              <w:pStyle w:val="Tabletext1"/>
            </w:pPr>
            <w:r>
              <w:t>219</w:t>
            </w:r>
            <w:r w:rsidR="003D0EE8">
              <w:t xml:space="preserve"> patients</w:t>
            </w:r>
          </w:p>
          <w:p w14:paraId="001B3724" w14:textId="2A7977FD" w:rsidR="00E75BF8" w:rsidRPr="002D5EFE" w:rsidRDefault="00E75BF8" w:rsidP="003D0EE8">
            <w:pPr>
              <w:pStyle w:val="Tabletext1"/>
            </w:pPr>
            <w:r>
              <w:t>(1</w:t>
            </w:r>
            <w:r w:rsidRPr="002D5EFE">
              <w:t xml:space="preserve"> </w:t>
            </w:r>
            <w:r>
              <w:t>study</w:t>
            </w:r>
            <w:r w:rsidRPr="002D5EFE">
              <w:t>)</w:t>
            </w:r>
            <w:r w:rsidR="006F16DC">
              <w:t>.</w:t>
            </w:r>
          </w:p>
        </w:tc>
        <w:tc>
          <w:tcPr>
            <w:tcW w:w="323" w:type="pct"/>
            <w:tcBorders>
              <w:top w:val="single" w:sz="4" w:space="0" w:color="auto"/>
              <w:left w:val="single" w:sz="4" w:space="0" w:color="auto"/>
              <w:bottom w:val="single" w:sz="4" w:space="0" w:color="auto"/>
              <w:right w:val="single" w:sz="4" w:space="0" w:color="auto"/>
            </w:tcBorders>
          </w:tcPr>
          <w:p w14:paraId="2F1F05D8" w14:textId="77777777" w:rsidR="00E75BF8" w:rsidRPr="002D5EFE" w:rsidRDefault="00E75BF8" w:rsidP="0039385F">
            <w:pPr>
              <w:pStyle w:val="Tabletext1"/>
            </w:pPr>
            <w:r w:rsidRPr="002D5EFE">
              <w:t>not serious</w:t>
            </w:r>
          </w:p>
        </w:tc>
        <w:tc>
          <w:tcPr>
            <w:tcW w:w="502" w:type="pct"/>
            <w:tcBorders>
              <w:top w:val="single" w:sz="4" w:space="0" w:color="auto"/>
              <w:left w:val="single" w:sz="4" w:space="0" w:color="auto"/>
              <w:bottom w:val="single" w:sz="4" w:space="0" w:color="auto"/>
              <w:right w:val="single" w:sz="4" w:space="0" w:color="auto"/>
            </w:tcBorders>
          </w:tcPr>
          <w:p w14:paraId="542FF7ED" w14:textId="77777777" w:rsidR="00E75BF8" w:rsidRPr="002D5EFE" w:rsidRDefault="00E75BF8" w:rsidP="0039385F">
            <w:pPr>
              <w:pStyle w:val="Tabletext1"/>
            </w:pPr>
            <w:r w:rsidRPr="002D5EFE">
              <w:t>not serious</w:t>
            </w:r>
          </w:p>
        </w:tc>
        <w:tc>
          <w:tcPr>
            <w:tcW w:w="506" w:type="pct"/>
            <w:tcBorders>
              <w:top w:val="single" w:sz="4" w:space="0" w:color="auto"/>
              <w:left w:val="single" w:sz="4" w:space="0" w:color="auto"/>
              <w:bottom w:val="single" w:sz="4" w:space="0" w:color="auto"/>
              <w:right w:val="single" w:sz="4" w:space="0" w:color="auto"/>
            </w:tcBorders>
          </w:tcPr>
          <w:p w14:paraId="4F4719C3" w14:textId="77777777" w:rsidR="00E75BF8" w:rsidRPr="002D5EFE" w:rsidRDefault="00E75BF8" w:rsidP="0039385F">
            <w:pPr>
              <w:pStyle w:val="Tabletext1"/>
            </w:pPr>
            <w:r>
              <w:t>not serious</w:t>
            </w:r>
          </w:p>
        </w:tc>
        <w:tc>
          <w:tcPr>
            <w:tcW w:w="444" w:type="pct"/>
            <w:tcBorders>
              <w:top w:val="single" w:sz="4" w:space="0" w:color="auto"/>
              <w:left w:val="single" w:sz="4" w:space="0" w:color="auto"/>
              <w:bottom w:val="single" w:sz="4" w:space="0" w:color="auto"/>
              <w:right w:val="single" w:sz="4" w:space="0" w:color="auto"/>
            </w:tcBorders>
          </w:tcPr>
          <w:p w14:paraId="75B41F6F" w14:textId="02091824" w:rsidR="00E75BF8" w:rsidRPr="00B6528D" w:rsidRDefault="004E13AC" w:rsidP="0039385F">
            <w:pPr>
              <w:pStyle w:val="Tabletext1"/>
              <w:rPr>
                <w:vertAlign w:val="superscript"/>
              </w:rPr>
            </w:pPr>
            <w:r>
              <w:t>s</w:t>
            </w:r>
            <w:r w:rsidR="00E75BF8" w:rsidRPr="00B6528D">
              <w:t>erious</w:t>
            </w:r>
            <w:r w:rsidR="00E75BF8">
              <w:rPr>
                <w:vertAlign w:val="superscript"/>
              </w:rPr>
              <w:t>1</w:t>
            </w:r>
          </w:p>
        </w:tc>
        <w:tc>
          <w:tcPr>
            <w:tcW w:w="529" w:type="pct"/>
            <w:tcBorders>
              <w:top w:val="single" w:sz="4" w:space="0" w:color="auto"/>
              <w:left w:val="single" w:sz="4" w:space="0" w:color="auto"/>
              <w:bottom w:val="single" w:sz="4" w:space="0" w:color="auto"/>
              <w:right w:val="single" w:sz="4" w:space="0" w:color="auto"/>
            </w:tcBorders>
          </w:tcPr>
          <w:p w14:paraId="1A26DE1C" w14:textId="77777777" w:rsidR="00E75BF8" w:rsidRPr="002D5EFE" w:rsidRDefault="00E75BF8" w:rsidP="0039385F">
            <w:pPr>
              <w:pStyle w:val="Tabletext1"/>
            </w:pPr>
            <w:r w:rsidRPr="002D5EFE">
              <w:t>none</w:t>
            </w:r>
          </w:p>
        </w:tc>
        <w:tc>
          <w:tcPr>
            <w:tcW w:w="588" w:type="pct"/>
            <w:tcBorders>
              <w:top w:val="single" w:sz="4" w:space="0" w:color="auto"/>
              <w:left w:val="single" w:sz="4" w:space="0" w:color="auto"/>
              <w:bottom w:val="single" w:sz="4" w:space="0" w:color="auto"/>
              <w:right w:val="single" w:sz="4" w:space="0" w:color="auto"/>
            </w:tcBorders>
          </w:tcPr>
          <w:p w14:paraId="6023AA84" w14:textId="77777777" w:rsidR="00E75BF8" w:rsidRPr="002D5EFE" w:rsidRDefault="00E75BF8" w:rsidP="0039385F">
            <w:pPr>
              <w:pStyle w:val="Tabletext1"/>
            </w:pPr>
            <w:r w:rsidRPr="00B6528D">
              <w:t>Results from a single study found no difference in the rate of positive surgical margins associated with a delay to treatment following tumour upgrade</w:t>
            </w:r>
          </w:p>
        </w:tc>
        <w:tc>
          <w:tcPr>
            <w:tcW w:w="472" w:type="pct"/>
            <w:tcBorders>
              <w:top w:val="single" w:sz="4" w:space="0" w:color="auto"/>
              <w:left w:val="single" w:sz="4" w:space="0" w:color="auto"/>
              <w:bottom w:val="single" w:sz="4" w:space="0" w:color="auto"/>
              <w:right w:val="single" w:sz="4" w:space="0" w:color="auto"/>
            </w:tcBorders>
          </w:tcPr>
          <w:p w14:paraId="53517BB2" w14:textId="258D2CB3" w:rsidR="00E75BF8" w:rsidRPr="002D5EFE" w:rsidRDefault="001D7B73" w:rsidP="0039385F">
            <w:pPr>
              <w:pStyle w:val="Tabletext1"/>
            </w:pPr>
            <w:r>
              <w:rPr>
                <w:rFonts w:ascii="Cambria Math" w:hAnsi="Cambria Math"/>
                <w:color w:val="00B050"/>
              </w:rPr>
              <w:t>⨁</w:t>
            </w:r>
            <w:r w:rsidRPr="00D4733A">
              <w:rPr>
                <w:rFonts w:ascii="Cambria Math" w:hAnsi="Cambria Math" w:cs="Cambria Math"/>
                <w:color w:val="C00000"/>
              </w:rPr>
              <w:t>⨀⨀⨀</w:t>
            </w:r>
            <w:r w:rsidR="00E75BF8" w:rsidRPr="002D5EFE">
              <w:br/>
              <w:t>VERY LOW</w:t>
            </w:r>
          </w:p>
        </w:tc>
        <w:tc>
          <w:tcPr>
            <w:tcW w:w="566" w:type="pct"/>
            <w:tcBorders>
              <w:top w:val="single" w:sz="4" w:space="0" w:color="auto"/>
              <w:left w:val="single" w:sz="4" w:space="0" w:color="auto"/>
              <w:bottom w:val="single" w:sz="4" w:space="0" w:color="auto"/>
              <w:right w:val="single" w:sz="4" w:space="0" w:color="auto"/>
            </w:tcBorders>
          </w:tcPr>
          <w:p w14:paraId="78032B29" w14:textId="77777777" w:rsidR="00E75BF8" w:rsidRPr="002D5EFE" w:rsidRDefault="00E75BF8" w:rsidP="0039385F">
            <w:pPr>
              <w:pStyle w:val="Tabletext1"/>
            </w:pPr>
            <w:r w:rsidRPr="002D5EFE">
              <w:t>Important</w:t>
            </w:r>
          </w:p>
        </w:tc>
      </w:tr>
    </w:tbl>
    <w:p w14:paraId="39579A18" w14:textId="247638E7" w:rsidR="00C45F11" w:rsidRDefault="00E75BF8" w:rsidP="00392727">
      <w:pPr>
        <w:pStyle w:val="TableNotes"/>
      </w:pPr>
      <w:r w:rsidRPr="00E10B76">
        <w:rPr>
          <w:vertAlign w:val="superscript"/>
        </w:rPr>
        <w:t xml:space="preserve">a </w:t>
      </w:r>
      <w:r w:rsidRPr="00E10B76">
        <w:t>GRADE Working Group grades of evidence</w:t>
      </w:r>
      <w:r>
        <w:t xml:space="preserve"> </w:t>
      </w:r>
      <w:r w:rsidR="008E0B00">
        <w:fldChar w:fldCharType="begin"/>
      </w:r>
      <w:r w:rsidR="008E0B00">
        <w:instrText xml:space="preserve"> ADDIN EN.CITE &lt;EndNote&gt;&lt;Cite&gt;&lt;Author&gt;Guyatt&lt;/Author&gt;&lt;Year&gt;2013&lt;/Year&gt;&lt;RecNum&gt;1&lt;/RecNum&gt;&lt;DisplayText&gt;(Guyatt et al. 2013)&lt;/DisplayText&gt;&lt;record&gt;&lt;rec-number&gt;1&lt;/rec-number&gt;&lt;foreign-keys&gt;&lt;key app="EN" db-id="2p9terxr22fx91epzebpfdwuzrwtw2a2ep2t" timestamp="1472684599"&gt;1&lt;/key&gt;&lt;/foreign-keys&gt;&lt;ref-type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sidRPr="00E10B76">
        <w:br/>
      </w:r>
      <w:r w:rsidRPr="00D4733A">
        <w:rPr>
          <w:rFonts w:ascii="Cambria Math" w:hAnsi="Cambria Math"/>
          <w:color w:val="00B050"/>
        </w:rPr>
        <w:t>⨁⨁⨁⨁</w:t>
      </w:r>
      <w:r>
        <w:rPr>
          <w:rFonts w:ascii="Cambria Math" w:hAnsi="Cambria Math"/>
          <w:color w:val="00B050"/>
        </w:rPr>
        <w:t xml:space="preserve"> </w:t>
      </w:r>
      <w:r w:rsidRPr="00E10B76">
        <w:rPr>
          <w:b/>
          <w:bCs/>
        </w:rPr>
        <w:t>High quality:</w:t>
      </w:r>
      <w:r w:rsidRPr="00E10B76">
        <w:t xml:space="preserve"> </w:t>
      </w:r>
      <w:r>
        <w:t>We are very confident that the true effect lies close to that of the estimate of effect.</w:t>
      </w:r>
      <w:r w:rsidRPr="00E10B76">
        <w:t xml:space="preserve"> </w:t>
      </w:r>
      <w:r w:rsidRPr="00E10B76">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rsidR="00C45F11" w:rsidRPr="00C45F11">
        <w:t xml:space="preserve"> </w:t>
      </w:r>
    </w:p>
    <w:p w14:paraId="39558C4D" w14:textId="77777777" w:rsidR="00C45F11" w:rsidRDefault="00C45F11" w:rsidP="00392727">
      <w:pPr>
        <w:pStyle w:val="TableNotes"/>
      </w:pPr>
      <w:r w:rsidRPr="00422C81">
        <w:rPr>
          <w:vertAlign w:val="superscript"/>
        </w:rPr>
        <w:t>1</w:t>
      </w:r>
      <w:r w:rsidRPr="002D5EFE">
        <w:t>.</w:t>
      </w:r>
      <w:r>
        <w:t xml:space="preserve"> Only a single study was used to inform this outcome.</w:t>
      </w:r>
      <w:r w:rsidRPr="00C45F11">
        <w:t xml:space="preserve"> </w:t>
      </w:r>
    </w:p>
    <w:p w14:paraId="0E39D324" w14:textId="27FB80EC" w:rsidR="00E75BF8" w:rsidRPr="00F5254C" w:rsidRDefault="00C45F11" w:rsidP="00392727">
      <w:pPr>
        <w:pStyle w:val="TableNotes"/>
      </w:pPr>
      <w:r>
        <w:t>QoE = quality of evidence.</w:t>
      </w:r>
    </w:p>
    <w:p w14:paraId="5B65CB17" w14:textId="77777777" w:rsidR="00E75BF8" w:rsidRDefault="00E75BF8" w:rsidP="00E75BF8">
      <w:pPr>
        <w:spacing w:after="200" w:line="276" w:lineRule="auto"/>
      </w:pPr>
      <w:r>
        <w:br w:type="page"/>
      </w:r>
    </w:p>
    <w:p w14:paraId="6B2D2857" w14:textId="77777777" w:rsidR="00E75BF8" w:rsidRDefault="00E75BF8" w:rsidP="00E75BF8">
      <w:pPr>
        <w:pStyle w:val="Heading2"/>
      </w:pPr>
      <w:bookmarkStart w:id="798" w:name="_Toc460514021"/>
      <w:r>
        <w:lastRenderedPageBreak/>
        <w:t>Harms associated with biopsy</w:t>
      </w:r>
      <w:bookmarkEnd w:id="798"/>
    </w:p>
    <w:p w14:paraId="4DD81255" w14:textId="282E8C47" w:rsidR="000B1DB4" w:rsidRPr="000B1DB4" w:rsidRDefault="000B1DB4" w:rsidP="009A220C">
      <w:pPr>
        <w:pStyle w:val="Caption"/>
      </w:pPr>
      <w:bookmarkStart w:id="799" w:name="_Toc460514579"/>
      <w:r>
        <w:t xml:space="preserve">Table </w:t>
      </w:r>
      <w:fldSimple w:instr=" SEQ Table \* ARABIC ">
        <w:r w:rsidR="0029649D">
          <w:rPr>
            <w:noProof/>
          </w:rPr>
          <w:t>79</w:t>
        </w:r>
      </w:fldSimple>
      <w:r w:rsidR="00D03D2D">
        <w:rPr>
          <w:noProof/>
        </w:rPr>
        <w:tab/>
      </w:r>
      <w:r w:rsidR="00D03D2D" w:rsidRPr="00B43ED7">
        <w:t>Evidence profile table for</w:t>
      </w:r>
      <w:r w:rsidR="00D03D2D">
        <w:t xml:space="preserve"> the a</w:t>
      </w:r>
      <w:r w:rsidR="00D03D2D">
        <w:rPr>
          <w:noProof/>
        </w:rPr>
        <w:t>dverse events associated with biopsy</w:t>
      </w:r>
      <w:bookmarkEnd w:id="799"/>
    </w:p>
    <w:tbl>
      <w:tblPr>
        <w:tblW w:w="5000" w:type="pct"/>
        <w:tblLook w:val="04A0" w:firstRow="1" w:lastRow="0" w:firstColumn="1" w:lastColumn="0" w:noHBand="0" w:noVBand="1"/>
        <w:tblDescription w:val="Evidence profile table for impact of change in management outcomes"/>
      </w:tblPr>
      <w:tblGrid>
        <w:gridCol w:w="1484"/>
        <w:gridCol w:w="1934"/>
        <w:gridCol w:w="986"/>
        <w:gridCol w:w="1541"/>
        <w:gridCol w:w="1544"/>
        <w:gridCol w:w="1360"/>
        <w:gridCol w:w="1624"/>
        <w:gridCol w:w="1781"/>
        <w:gridCol w:w="1394"/>
        <w:gridCol w:w="1704"/>
      </w:tblGrid>
      <w:tr w:rsidR="00E75BF8" w:rsidRPr="00C713E9" w14:paraId="71A035EE" w14:textId="77777777" w:rsidTr="00841114">
        <w:trPr>
          <w:trHeight w:val="788"/>
        </w:trPr>
        <w:tc>
          <w:tcPr>
            <w:tcW w:w="483" w:type="pct"/>
            <w:tcBorders>
              <w:top w:val="single" w:sz="4" w:space="0" w:color="auto"/>
              <w:left w:val="single" w:sz="4" w:space="0" w:color="auto"/>
              <w:bottom w:val="single" w:sz="4" w:space="0" w:color="auto"/>
              <w:right w:val="single" w:sz="4" w:space="0" w:color="auto"/>
            </w:tcBorders>
          </w:tcPr>
          <w:p w14:paraId="3E717C87" w14:textId="69C4509F" w:rsidR="00E75BF8" w:rsidRPr="00C713E9" w:rsidRDefault="00E75BF8" w:rsidP="0039385F">
            <w:pPr>
              <w:pStyle w:val="TableHeading"/>
            </w:pPr>
            <w:r w:rsidRPr="00C713E9">
              <w:t>Outcome</w:t>
            </w:r>
            <w:r w:rsidR="006F16DC" w:rsidRPr="006F16DC">
              <w:rPr>
                <w:b w:val="0"/>
                <w:vertAlign w:val="superscript"/>
              </w:rPr>
              <w:t>a</w:t>
            </w:r>
          </w:p>
        </w:tc>
        <w:tc>
          <w:tcPr>
            <w:tcW w:w="630" w:type="pct"/>
            <w:tcBorders>
              <w:top w:val="single" w:sz="4" w:space="0" w:color="auto"/>
              <w:left w:val="single" w:sz="4" w:space="0" w:color="auto"/>
              <w:bottom w:val="single" w:sz="4" w:space="0" w:color="auto"/>
              <w:right w:val="single" w:sz="4" w:space="0" w:color="auto"/>
            </w:tcBorders>
          </w:tcPr>
          <w:p w14:paraId="22C328AD" w14:textId="2D8410C6" w:rsidR="00E75BF8" w:rsidRPr="00C713E9" w:rsidRDefault="003D0EE8" w:rsidP="0039385F">
            <w:pPr>
              <w:pStyle w:val="TableHeading"/>
            </w:pPr>
            <w:r>
              <w:t>Patients/Studies</w:t>
            </w:r>
          </w:p>
        </w:tc>
        <w:tc>
          <w:tcPr>
            <w:tcW w:w="321" w:type="pct"/>
            <w:tcBorders>
              <w:top w:val="single" w:sz="4" w:space="0" w:color="auto"/>
              <w:left w:val="single" w:sz="4" w:space="0" w:color="auto"/>
              <w:bottom w:val="single" w:sz="4" w:space="0" w:color="auto"/>
              <w:right w:val="single" w:sz="4" w:space="0" w:color="auto"/>
            </w:tcBorders>
          </w:tcPr>
          <w:p w14:paraId="33FC4253" w14:textId="77777777" w:rsidR="00E75BF8" w:rsidRPr="00C713E9" w:rsidRDefault="00E75BF8" w:rsidP="0039385F">
            <w:pPr>
              <w:pStyle w:val="TableHeading"/>
            </w:pPr>
            <w:r w:rsidRPr="00C713E9">
              <w:t>Risk of bias</w:t>
            </w:r>
          </w:p>
        </w:tc>
        <w:tc>
          <w:tcPr>
            <w:tcW w:w="502" w:type="pct"/>
            <w:tcBorders>
              <w:top w:val="single" w:sz="4" w:space="0" w:color="auto"/>
              <w:left w:val="single" w:sz="4" w:space="0" w:color="auto"/>
              <w:bottom w:val="single" w:sz="4" w:space="0" w:color="auto"/>
              <w:right w:val="single" w:sz="4" w:space="0" w:color="auto"/>
            </w:tcBorders>
          </w:tcPr>
          <w:p w14:paraId="6F893CF2" w14:textId="77777777" w:rsidR="00E75BF8" w:rsidRPr="00C713E9" w:rsidRDefault="00E75BF8" w:rsidP="0039385F">
            <w:pPr>
              <w:pStyle w:val="TableHeading"/>
            </w:pPr>
            <w:r w:rsidRPr="00C713E9">
              <w:t>Inconsistency</w:t>
            </w:r>
          </w:p>
        </w:tc>
        <w:tc>
          <w:tcPr>
            <w:tcW w:w="503" w:type="pct"/>
            <w:tcBorders>
              <w:top w:val="single" w:sz="4" w:space="0" w:color="auto"/>
              <w:left w:val="single" w:sz="4" w:space="0" w:color="auto"/>
              <w:bottom w:val="single" w:sz="4" w:space="0" w:color="auto"/>
              <w:right w:val="single" w:sz="4" w:space="0" w:color="auto"/>
            </w:tcBorders>
          </w:tcPr>
          <w:p w14:paraId="7EF40519" w14:textId="77777777" w:rsidR="00E75BF8" w:rsidRPr="00C713E9" w:rsidRDefault="00E75BF8" w:rsidP="0039385F">
            <w:pPr>
              <w:pStyle w:val="TableHeading"/>
            </w:pPr>
            <w:r w:rsidRPr="00C713E9">
              <w:t>Indirectness</w:t>
            </w:r>
          </w:p>
        </w:tc>
        <w:tc>
          <w:tcPr>
            <w:tcW w:w="443" w:type="pct"/>
            <w:tcBorders>
              <w:top w:val="single" w:sz="4" w:space="0" w:color="auto"/>
              <w:left w:val="single" w:sz="4" w:space="0" w:color="auto"/>
              <w:bottom w:val="single" w:sz="4" w:space="0" w:color="auto"/>
              <w:right w:val="single" w:sz="4" w:space="0" w:color="auto"/>
            </w:tcBorders>
          </w:tcPr>
          <w:p w14:paraId="72749394" w14:textId="77777777" w:rsidR="00E75BF8" w:rsidRPr="00C713E9" w:rsidRDefault="00E75BF8" w:rsidP="0039385F">
            <w:pPr>
              <w:pStyle w:val="TableHeading"/>
            </w:pPr>
            <w:r w:rsidRPr="00C713E9">
              <w:t>Imprecision</w:t>
            </w:r>
          </w:p>
        </w:tc>
        <w:tc>
          <w:tcPr>
            <w:tcW w:w="529" w:type="pct"/>
            <w:tcBorders>
              <w:top w:val="single" w:sz="4" w:space="0" w:color="auto"/>
              <w:left w:val="single" w:sz="4" w:space="0" w:color="auto"/>
              <w:bottom w:val="single" w:sz="4" w:space="0" w:color="auto"/>
              <w:right w:val="single" w:sz="4" w:space="0" w:color="auto"/>
            </w:tcBorders>
          </w:tcPr>
          <w:p w14:paraId="7D4E8C93" w14:textId="77777777" w:rsidR="00E75BF8" w:rsidRPr="00C713E9" w:rsidRDefault="00E75BF8" w:rsidP="0039385F">
            <w:pPr>
              <w:pStyle w:val="TableHeading"/>
            </w:pPr>
            <w:r w:rsidRPr="00C713E9">
              <w:t xml:space="preserve">Other considerations </w:t>
            </w:r>
            <w:r w:rsidRPr="00C713E9">
              <w:rPr>
                <w:vanish/>
              </w:rPr>
              <w:t>(e.g. publication bias)</w:t>
            </w:r>
          </w:p>
        </w:tc>
        <w:tc>
          <w:tcPr>
            <w:tcW w:w="580" w:type="pct"/>
            <w:tcBorders>
              <w:top w:val="single" w:sz="4" w:space="0" w:color="auto"/>
              <w:left w:val="single" w:sz="4" w:space="0" w:color="auto"/>
              <w:bottom w:val="single" w:sz="4" w:space="0" w:color="auto"/>
              <w:right w:val="single" w:sz="4" w:space="0" w:color="auto"/>
            </w:tcBorders>
          </w:tcPr>
          <w:p w14:paraId="4973CE53" w14:textId="77777777" w:rsidR="00E75BF8" w:rsidRPr="00C26E30" w:rsidRDefault="00E75BF8" w:rsidP="0039385F">
            <w:pPr>
              <w:pStyle w:val="TableHeading"/>
              <w:rPr>
                <w:highlight w:val="cyan"/>
              </w:rPr>
            </w:pPr>
            <w:r w:rsidRPr="00C26E30">
              <w:t>Result</w:t>
            </w:r>
          </w:p>
        </w:tc>
        <w:tc>
          <w:tcPr>
            <w:tcW w:w="454" w:type="pct"/>
            <w:tcBorders>
              <w:top w:val="single" w:sz="4" w:space="0" w:color="auto"/>
              <w:left w:val="single" w:sz="4" w:space="0" w:color="auto"/>
              <w:bottom w:val="single" w:sz="4" w:space="0" w:color="auto"/>
              <w:right w:val="single" w:sz="4" w:space="0" w:color="auto"/>
            </w:tcBorders>
          </w:tcPr>
          <w:p w14:paraId="7ABF27C8" w14:textId="77777777" w:rsidR="00E75BF8" w:rsidRPr="00C713E9" w:rsidRDefault="00E75BF8" w:rsidP="0039385F">
            <w:pPr>
              <w:pStyle w:val="TableHeading"/>
            </w:pPr>
            <w:r w:rsidRPr="00C713E9">
              <w:t>QoE</w:t>
            </w:r>
          </w:p>
        </w:tc>
        <w:tc>
          <w:tcPr>
            <w:tcW w:w="555" w:type="pct"/>
            <w:tcBorders>
              <w:top w:val="single" w:sz="4" w:space="0" w:color="auto"/>
              <w:left w:val="single" w:sz="4" w:space="0" w:color="auto"/>
              <w:bottom w:val="single" w:sz="4" w:space="0" w:color="auto"/>
              <w:right w:val="single" w:sz="4" w:space="0" w:color="auto"/>
            </w:tcBorders>
          </w:tcPr>
          <w:p w14:paraId="12661780" w14:textId="77777777" w:rsidR="00E75BF8" w:rsidRPr="00C713E9" w:rsidRDefault="00E75BF8" w:rsidP="0039385F">
            <w:pPr>
              <w:pStyle w:val="TableHeading"/>
            </w:pPr>
            <w:r w:rsidRPr="00C713E9">
              <w:t>Importance</w:t>
            </w:r>
          </w:p>
        </w:tc>
      </w:tr>
      <w:tr w:rsidR="00E75BF8" w:rsidRPr="00C713E9" w14:paraId="448C1E8C" w14:textId="77777777" w:rsidTr="00841114">
        <w:trPr>
          <w:trHeight w:val="319"/>
        </w:trPr>
        <w:tc>
          <w:tcPr>
            <w:tcW w:w="483" w:type="pct"/>
            <w:tcBorders>
              <w:top w:val="single" w:sz="4" w:space="0" w:color="auto"/>
              <w:left w:val="single" w:sz="4" w:space="0" w:color="auto"/>
              <w:bottom w:val="single" w:sz="4" w:space="0" w:color="auto"/>
              <w:right w:val="single" w:sz="4" w:space="0" w:color="auto"/>
            </w:tcBorders>
          </w:tcPr>
          <w:p w14:paraId="2A41E0A7" w14:textId="77777777" w:rsidR="00E75BF8" w:rsidRPr="00C713E9" w:rsidRDefault="00E75BF8" w:rsidP="0039385F">
            <w:pPr>
              <w:pStyle w:val="Tabletext1"/>
            </w:pPr>
            <w:r w:rsidRPr="00C713E9">
              <w:t>Major Infection</w:t>
            </w:r>
          </w:p>
        </w:tc>
        <w:tc>
          <w:tcPr>
            <w:tcW w:w="630" w:type="pct"/>
            <w:tcBorders>
              <w:top w:val="single" w:sz="4" w:space="0" w:color="auto"/>
              <w:left w:val="single" w:sz="4" w:space="0" w:color="auto"/>
              <w:bottom w:val="single" w:sz="4" w:space="0" w:color="auto"/>
              <w:right w:val="single" w:sz="4" w:space="0" w:color="auto"/>
            </w:tcBorders>
          </w:tcPr>
          <w:p w14:paraId="3C541D71" w14:textId="3E844BF4" w:rsidR="00E75BF8" w:rsidRPr="00C713E9" w:rsidRDefault="00E75BF8" w:rsidP="0039385F">
            <w:pPr>
              <w:pStyle w:val="Tabletext1"/>
            </w:pPr>
            <w:r w:rsidRPr="00C713E9">
              <w:t>45,492</w:t>
            </w:r>
            <w:r w:rsidR="003D0EE8">
              <w:t xml:space="preserve"> patients</w:t>
            </w:r>
          </w:p>
          <w:p w14:paraId="01FA496D" w14:textId="4FF4B4E7" w:rsidR="00E75BF8" w:rsidRPr="00C713E9" w:rsidRDefault="00E75BF8" w:rsidP="003D0EE8">
            <w:pPr>
              <w:pStyle w:val="Tabletext1"/>
            </w:pPr>
            <w:r w:rsidRPr="00C713E9">
              <w:t>(8 studies)</w:t>
            </w:r>
            <w:r w:rsidR="006F16DC">
              <w:t>.</w:t>
            </w:r>
          </w:p>
        </w:tc>
        <w:tc>
          <w:tcPr>
            <w:tcW w:w="321" w:type="pct"/>
            <w:tcBorders>
              <w:top w:val="single" w:sz="4" w:space="0" w:color="auto"/>
              <w:left w:val="single" w:sz="4" w:space="0" w:color="auto"/>
              <w:bottom w:val="single" w:sz="4" w:space="0" w:color="auto"/>
              <w:right w:val="single" w:sz="4" w:space="0" w:color="auto"/>
            </w:tcBorders>
          </w:tcPr>
          <w:p w14:paraId="79DF981C" w14:textId="77777777" w:rsidR="00E75BF8" w:rsidRPr="00C713E9" w:rsidRDefault="00E75BF8" w:rsidP="0039385F">
            <w:pPr>
              <w:pStyle w:val="Tabletext1"/>
            </w:pPr>
            <w:r w:rsidRPr="00C713E9">
              <w:t>not serious</w:t>
            </w:r>
          </w:p>
        </w:tc>
        <w:tc>
          <w:tcPr>
            <w:tcW w:w="502" w:type="pct"/>
            <w:tcBorders>
              <w:top w:val="single" w:sz="4" w:space="0" w:color="auto"/>
              <w:left w:val="single" w:sz="4" w:space="0" w:color="auto"/>
              <w:bottom w:val="single" w:sz="4" w:space="0" w:color="auto"/>
              <w:right w:val="single" w:sz="4" w:space="0" w:color="auto"/>
            </w:tcBorders>
          </w:tcPr>
          <w:p w14:paraId="11DB6F40" w14:textId="77777777" w:rsidR="00E75BF8" w:rsidRPr="00C713E9" w:rsidRDefault="00E75BF8" w:rsidP="0039385F">
            <w:pPr>
              <w:pStyle w:val="Tabletext1"/>
            </w:pPr>
            <w:r w:rsidRPr="00C713E9">
              <w:t>not serious</w:t>
            </w:r>
          </w:p>
        </w:tc>
        <w:tc>
          <w:tcPr>
            <w:tcW w:w="503" w:type="pct"/>
            <w:tcBorders>
              <w:top w:val="single" w:sz="4" w:space="0" w:color="auto"/>
              <w:left w:val="single" w:sz="4" w:space="0" w:color="auto"/>
              <w:bottom w:val="single" w:sz="4" w:space="0" w:color="auto"/>
              <w:right w:val="single" w:sz="4" w:space="0" w:color="auto"/>
            </w:tcBorders>
          </w:tcPr>
          <w:p w14:paraId="2A47A512" w14:textId="77777777" w:rsidR="00E75BF8" w:rsidRPr="00C713E9" w:rsidRDefault="00E75BF8" w:rsidP="0039385F">
            <w:pPr>
              <w:pStyle w:val="Tabletext1"/>
            </w:pPr>
            <w:r w:rsidRPr="00C713E9">
              <w:t>not serious</w:t>
            </w:r>
          </w:p>
        </w:tc>
        <w:tc>
          <w:tcPr>
            <w:tcW w:w="443" w:type="pct"/>
            <w:tcBorders>
              <w:top w:val="single" w:sz="4" w:space="0" w:color="auto"/>
              <w:left w:val="single" w:sz="4" w:space="0" w:color="auto"/>
              <w:bottom w:val="single" w:sz="4" w:space="0" w:color="auto"/>
              <w:right w:val="single" w:sz="4" w:space="0" w:color="auto"/>
            </w:tcBorders>
          </w:tcPr>
          <w:p w14:paraId="19946D92" w14:textId="77777777" w:rsidR="00E75BF8" w:rsidRPr="00C713E9" w:rsidRDefault="00E75BF8" w:rsidP="0039385F">
            <w:pPr>
              <w:pStyle w:val="Tabletext1"/>
              <w:rPr>
                <w:vertAlign w:val="superscript"/>
              </w:rPr>
            </w:pPr>
            <w:r w:rsidRPr="00C713E9">
              <w:t>not serious</w:t>
            </w:r>
          </w:p>
        </w:tc>
        <w:tc>
          <w:tcPr>
            <w:tcW w:w="529" w:type="pct"/>
            <w:tcBorders>
              <w:top w:val="single" w:sz="4" w:space="0" w:color="auto"/>
              <w:left w:val="single" w:sz="4" w:space="0" w:color="auto"/>
              <w:bottom w:val="single" w:sz="4" w:space="0" w:color="auto"/>
              <w:right w:val="single" w:sz="4" w:space="0" w:color="auto"/>
            </w:tcBorders>
          </w:tcPr>
          <w:p w14:paraId="6E3C3F32" w14:textId="77777777" w:rsidR="00E75BF8" w:rsidRPr="00C713E9" w:rsidRDefault="00E75BF8" w:rsidP="0039385F">
            <w:pPr>
              <w:pStyle w:val="Tabletext1"/>
            </w:pPr>
            <w:r w:rsidRPr="00C713E9">
              <w:t>none</w:t>
            </w:r>
          </w:p>
        </w:tc>
        <w:tc>
          <w:tcPr>
            <w:tcW w:w="580" w:type="pct"/>
            <w:tcBorders>
              <w:top w:val="single" w:sz="4" w:space="0" w:color="auto"/>
              <w:left w:val="single" w:sz="4" w:space="0" w:color="auto"/>
              <w:bottom w:val="single" w:sz="4" w:space="0" w:color="auto"/>
              <w:right w:val="single" w:sz="4" w:space="0" w:color="auto"/>
            </w:tcBorders>
          </w:tcPr>
          <w:p w14:paraId="1851541B" w14:textId="7B93D6DD" w:rsidR="00E75BF8" w:rsidRPr="00C26E30" w:rsidRDefault="00E75BF8" w:rsidP="0039385F">
            <w:pPr>
              <w:pStyle w:val="Tabletext1"/>
            </w:pPr>
            <w:r w:rsidRPr="00C26E30">
              <w:t>Major infection ranged from 0.2 per cent to 2.4 per cent in the trans</w:t>
            </w:r>
            <w:r w:rsidR="006F3F56">
              <w:t>-</w:t>
            </w:r>
            <w:r w:rsidRPr="00C26E30">
              <w:t>rectal biopsy studies. There was no major infection reported in the trans</w:t>
            </w:r>
            <w:r w:rsidR="006F3F56">
              <w:t>-</w:t>
            </w:r>
            <w:r w:rsidRPr="00C26E30">
              <w:t>perineal biopsy studies.</w:t>
            </w:r>
          </w:p>
        </w:tc>
        <w:tc>
          <w:tcPr>
            <w:tcW w:w="454" w:type="pct"/>
            <w:tcBorders>
              <w:top w:val="single" w:sz="4" w:space="0" w:color="auto"/>
              <w:left w:val="single" w:sz="4" w:space="0" w:color="auto"/>
              <w:bottom w:val="single" w:sz="4" w:space="0" w:color="auto"/>
              <w:right w:val="single" w:sz="4" w:space="0" w:color="auto"/>
            </w:tcBorders>
          </w:tcPr>
          <w:p w14:paraId="03145BB7" w14:textId="0679CE85" w:rsidR="00E75BF8" w:rsidRPr="00C713E9" w:rsidRDefault="001D7B73" w:rsidP="0039385F">
            <w:pPr>
              <w:pStyle w:val="Tabletext1"/>
            </w:pPr>
            <w:r>
              <w:rPr>
                <w:rFonts w:ascii="Cambria Math" w:hAnsi="Cambria Math"/>
                <w:color w:val="00B050"/>
              </w:rPr>
              <w:t>⨁⨁</w:t>
            </w:r>
            <w:r w:rsidRPr="00D4733A">
              <w:rPr>
                <w:rFonts w:ascii="Cambria Math" w:hAnsi="Cambria Math" w:cs="Cambria Math"/>
                <w:color w:val="C00000"/>
              </w:rPr>
              <w:t>⨀⨀</w:t>
            </w:r>
            <w:r w:rsidR="00E75BF8">
              <w:rPr>
                <w:sz w:val="13"/>
                <w:szCs w:val="13"/>
              </w:rPr>
              <w:br/>
              <w:t>LOW</w:t>
            </w:r>
          </w:p>
        </w:tc>
        <w:tc>
          <w:tcPr>
            <w:tcW w:w="555" w:type="pct"/>
            <w:tcBorders>
              <w:top w:val="single" w:sz="4" w:space="0" w:color="auto"/>
              <w:left w:val="single" w:sz="4" w:space="0" w:color="auto"/>
              <w:bottom w:val="single" w:sz="4" w:space="0" w:color="auto"/>
              <w:right w:val="single" w:sz="4" w:space="0" w:color="auto"/>
            </w:tcBorders>
          </w:tcPr>
          <w:p w14:paraId="3F0F2F08" w14:textId="77777777" w:rsidR="00E75BF8" w:rsidRPr="00C713E9" w:rsidRDefault="00E75BF8" w:rsidP="0039385F">
            <w:pPr>
              <w:pStyle w:val="Tabletext1"/>
            </w:pPr>
            <w:r>
              <w:t>Critical</w:t>
            </w:r>
          </w:p>
        </w:tc>
      </w:tr>
      <w:tr w:rsidR="00E75BF8" w:rsidRPr="00C713E9" w14:paraId="1B57F62A" w14:textId="77777777" w:rsidTr="00841114">
        <w:trPr>
          <w:trHeight w:val="319"/>
        </w:trPr>
        <w:tc>
          <w:tcPr>
            <w:tcW w:w="483" w:type="pct"/>
            <w:tcBorders>
              <w:top w:val="single" w:sz="4" w:space="0" w:color="auto"/>
              <w:left w:val="single" w:sz="4" w:space="0" w:color="auto"/>
              <w:bottom w:val="single" w:sz="4" w:space="0" w:color="auto"/>
              <w:right w:val="single" w:sz="4" w:space="0" w:color="auto"/>
            </w:tcBorders>
          </w:tcPr>
          <w:p w14:paraId="4E7CCD21" w14:textId="77777777" w:rsidR="00E75BF8" w:rsidRPr="00C713E9" w:rsidRDefault="00E75BF8" w:rsidP="0039385F">
            <w:pPr>
              <w:pStyle w:val="Tabletext1"/>
            </w:pPr>
            <w:r w:rsidRPr="00C713E9">
              <w:rPr>
                <w:rStyle w:val="label"/>
              </w:rPr>
              <w:t>Minor infection</w:t>
            </w:r>
          </w:p>
        </w:tc>
        <w:tc>
          <w:tcPr>
            <w:tcW w:w="630" w:type="pct"/>
            <w:tcBorders>
              <w:top w:val="single" w:sz="4" w:space="0" w:color="auto"/>
              <w:left w:val="single" w:sz="4" w:space="0" w:color="auto"/>
              <w:bottom w:val="single" w:sz="4" w:space="0" w:color="auto"/>
              <w:right w:val="single" w:sz="4" w:space="0" w:color="auto"/>
            </w:tcBorders>
          </w:tcPr>
          <w:p w14:paraId="24D656E3" w14:textId="5C2A2440" w:rsidR="00E75BF8" w:rsidRPr="00C713E9" w:rsidRDefault="00E75BF8" w:rsidP="0039385F">
            <w:pPr>
              <w:pStyle w:val="Tabletext1"/>
            </w:pPr>
            <w:r w:rsidRPr="00C713E9">
              <w:t>132,239</w:t>
            </w:r>
            <w:r w:rsidR="003D0EE8">
              <w:t xml:space="preserve"> patients</w:t>
            </w:r>
          </w:p>
          <w:p w14:paraId="4DD00B85" w14:textId="79CCDE87" w:rsidR="00E75BF8" w:rsidRPr="00C713E9" w:rsidRDefault="00E75BF8" w:rsidP="003D0EE8">
            <w:pPr>
              <w:pStyle w:val="Tabletext1"/>
            </w:pPr>
            <w:r w:rsidRPr="00C713E9">
              <w:t>(9 studies)</w:t>
            </w:r>
            <w:r w:rsidR="006F16DC">
              <w:t>.</w:t>
            </w:r>
          </w:p>
        </w:tc>
        <w:tc>
          <w:tcPr>
            <w:tcW w:w="321" w:type="pct"/>
            <w:tcBorders>
              <w:top w:val="single" w:sz="4" w:space="0" w:color="auto"/>
              <w:left w:val="single" w:sz="4" w:space="0" w:color="auto"/>
              <w:bottom w:val="single" w:sz="4" w:space="0" w:color="auto"/>
              <w:right w:val="single" w:sz="4" w:space="0" w:color="auto"/>
            </w:tcBorders>
          </w:tcPr>
          <w:p w14:paraId="4156CAFA" w14:textId="77777777" w:rsidR="00E75BF8" w:rsidRPr="00C713E9" w:rsidRDefault="00E75BF8" w:rsidP="0039385F">
            <w:pPr>
              <w:pStyle w:val="Tabletext1"/>
            </w:pPr>
            <w:r w:rsidRPr="00C713E9">
              <w:t>not serious</w:t>
            </w:r>
          </w:p>
        </w:tc>
        <w:tc>
          <w:tcPr>
            <w:tcW w:w="502" w:type="pct"/>
            <w:tcBorders>
              <w:top w:val="single" w:sz="4" w:space="0" w:color="auto"/>
              <w:left w:val="single" w:sz="4" w:space="0" w:color="auto"/>
              <w:bottom w:val="single" w:sz="4" w:space="0" w:color="auto"/>
              <w:right w:val="single" w:sz="4" w:space="0" w:color="auto"/>
            </w:tcBorders>
          </w:tcPr>
          <w:p w14:paraId="39B5B49C" w14:textId="77777777" w:rsidR="00E75BF8" w:rsidRPr="00C713E9" w:rsidRDefault="00E75BF8" w:rsidP="0039385F">
            <w:pPr>
              <w:pStyle w:val="Tabletext1"/>
            </w:pPr>
            <w:r w:rsidRPr="00C713E9">
              <w:t>not serious</w:t>
            </w:r>
          </w:p>
        </w:tc>
        <w:tc>
          <w:tcPr>
            <w:tcW w:w="503" w:type="pct"/>
            <w:tcBorders>
              <w:top w:val="single" w:sz="4" w:space="0" w:color="auto"/>
              <w:left w:val="single" w:sz="4" w:space="0" w:color="auto"/>
              <w:bottom w:val="single" w:sz="4" w:space="0" w:color="auto"/>
              <w:right w:val="single" w:sz="4" w:space="0" w:color="auto"/>
            </w:tcBorders>
          </w:tcPr>
          <w:p w14:paraId="0ADE8BB5" w14:textId="77777777" w:rsidR="00E75BF8" w:rsidRPr="00C713E9" w:rsidRDefault="00E75BF8" w:rsidP="0039385F">
            <w:pPr>
              <w:pStyle w:val="Tabletext1"/>
            </w:pPr>
            <w:r w:rsidRPr="00C713E9">
              <w:t>not serious</w:t>
            </w:r>
          </w:p>
        </w:tc>
        <w:tc>
          <w:tcPr>
            <w:tcW w:w="443" w:type="pct"/>
            <w:tcBorders>
              <w:top w:val="single" w:sz="4" w:space="0" w:color="auto"/>
              <w:left w:val="single" w:sz="4" w:space="0" w:color="auto"/>
              <w:bottom w:val="single" w:sz="4" w:space="0" w:color="auto"/>
              <w:right w:val="single" w:sz="4" w:space="0" w:color="auto"/>
            </w:tcBorders>
          </w:tcPr>
          <w:p w14:paraId="16A259BA" w14:textId="77777777" w:rsidR="00E75BF8" w:rsidRPr="00C713E9" w:rsidRDefault="00E75BF8" w:rsidP="0039385F">
            <w:pPr>
              <w:pStyle w:val="Tabletext1"/>
              <w:rPr>
                <w:vertAlign w:val="superscript"/>
              </w:rPr>
            </w:pPr>
            <w:r w:rsidRPr="00C713E9">
              <w:t>not serious</w:t>
            </w:r>
          </w:p>
        </w:tc>
        <w:tc>
          <w:tcPr>
            <w:tcW w:w="529" w:type="pct"/>
            <w:tcBorders>
              <w:top w:val="single" w:sz="4" w:space="0" w:color="auto"/>
              <w:left w:val="single" w:sz="4" w:space="0" w:color="auto"/>
              <w:bottom w:val="single" w:sz="4" w:space="0" w:color="auto"/>
              <w:right w:val="single" w:sz="4" w:space="0" w:color="auto"/>
            </w:tcBorders>
          </w:tcPr>
          <w:p w14:paraId="6D58E62C" w14:textId="77777777" w:rsidR="00E75BF8" w:rsidRPr="00C713E9" w:rsidRDefault="00E75BF8" w:rsidP="0039385F">
            <w:pPr>
              <w:pStyle w:val="Tabletext1"/>
            </w:pPr>
            <w:r w:rsidRPr="00C713E9">
              <w:t>none</w:t>
            </w:r>
          </w:p>
        </w:tc>
        <w:tc>
          <w:tcPr>
            <w:tcW w:w="580" w:type="pct"/>
            <w:tcBorders>
              <w:top w:val="single" w:sz="4" w:space="0" w:color="auto"/>
              <w:left w:val="single" w:sz="4" w:space="0" w:color="auto"/>
              <w:bottom w:val="single" w:sz="4" w:space="0" w:color="auto"/>
              <w:right w:val="single" w:sz="4" w:space="0" w:color="auto"/>
            </w:tcBorders>
          </w:tcPr>
          <w:p w14:paraId="06830945" w14:textId="26437D2A" w:rsidR="00E75BF8" w:rsidRPr="00C26E30" w:rsidRDefault="00E75BF8" w:rsidP="0039385F">
            <w:pPr>
              <w:pStyle w:val="Tabletext1"/>
            </w:pPr>
            <w:r w:rsidRPr="00C26E30">
              <w:t>Minor infection ranged from 0.0 per cent to 0.03 per cent in the trans</w:t>
            </w:r>
            <w:r w:rsidR="006F3F56">
              <w:t>-</w:t>
            </w:r>
            <w:r w:rsidRPr="00C26E30">
              <w:t>perineal biopsy studies and from 0.7 per cent to 6.9 per cent in the trans</w:t>
            </w:r>
            <w:r w:rsidR="006F3F56">
              <w:t>-</w:t>
            </w:r>
            <w:r w:rsidRPr="00C26E30">
              <w:t>rectal biopsy studies.</w:t>
            </w:r>
          </w:p>
        </w:tc>
        <w:tc>
          <w:tcPr>
            <w:tcW w:w="454" w:type="pct"/>
            <w:tcBorders>
              <w:top w:val="single" w:sz="4" w:space="0" w:color="auto"/>
              <w:left w:val="single" w:sz="4" w:space="0" w:color="auto"/>
              <w:bottom w:val="single" w:sz="4" w:space="0" w:color="auto"/>
              <w:right w:val="single" w:sz="4" w:space="0" w:color="auto"/>
            </w:tcBorders>
          </w:tcPr>
          <w:p w14:paraId="6C07431A" w14:textId="034E10CB" w:rsidR="00E75BF8" w:rsidRPr="00C713E9" w:rsidRDefault="001D7B73" w:rsidP="0039385F">
            <w:pPr>
              <w:pStyle w:val="Tabletext1"/>
            </w:pPr>
            <w:r>
              <w:rPr>
                <w:rFonts w:ascii="Cambria Math" w:hAnsi="Cambria Math"/>
                <w:color w:val="00B050"/>
              </w:rPr>
              <w:t>⨁⨁</w:t>
            </w:r>
            <w:r w:rsidRPr="00D4733A">
              <w:rPr>
                <w:rFonts w:ascii="Cambria Math" w:hAnsi="Cambria Math" w:cs="Cambria Math"/>
                <w:color w:val="C00000"/>
              </w:rPr>
              <w:t>⨀⨀</w:t>
            </w:r>
            <w:r w:rsidR="00E75BF8">
              <w:rPr>
                <w:sz w:val="13"/>
                <w:szCs w:val="13"/>
              </w:rPr>
              <w:br/>
              <w:t>LOW</w:t>
            </w:r>
          </w:p>
        </w:tc>
        <w:tc>
          <w:tcPr>
            <w:tcW w:w="555" w:type="pct"/>
            <w:tcBorders>
              <w:top w:val="single" w:sz="4" w:space="0" w:color="auto"/>
              <w:left w:val="single" w:sz="4" w:space="0" w:color="auto"/>
              <w:bottom w:val="single" w:sz="4" w:space="0" w:color="auto"/>
              <w:right w:val="single" w:sz="4" w:space="0" w:color="auto"/>
            </w:tcBorders>
          </w:tcPr>
          <w:p w14:paraId="6DA62EA2" w14:textId="77777777" w:rsidR="00E75BF8" w:rsidRPr="00C713E9" w:rsidRDefault="00E75BF8" w:rsidP="0039385F">
            <w:pPr>
              <w:pStyle w:val="Tabletext1"/>
            </w:pPr>
            <w:r>
              <w:t>Critical</w:t>
            </w:r>
          </w:p>
        </w:tc>
      </w:tr>
      <w:tr w:rsidR="00E75BF8" w:rsidRPr="00C713E9" w14:paraId="1DE18309" w14:textId="77777777" w:rsidTr="00841114">
        <w:trPr>
          <w:trHeight w:val="319"/>
        </w:trPr>
        <w:tc>
          <w:tcPr>
            <w:tcW w:w="483" w:type="pct"/>
            <w:tcBorders>
              <w:top w:val="single" w:sz="4" w:space="0" w:color="auto"/>
              <w:left w:val="single" w:sz="4" w:space="0" w:color="auto"/>
              <w:bottom w:val="single" w:sz="4" w:space="0" w:color="auto"/>
              <w:right w:val="single" w:sz="4" w:space="0" w:color="auto"/>
            </w:tcBorders>
          </w:tcPr>
          <w:p w14:paraId="188B5FBC" w14:textId="77777777" w:rsidR="00E75BF8" w:rsidRPr="00C713E9" w:rsidRDefault="00E75BF8" w:rsidP="0039385F">
            <w:pPr>
              <w:pStyle w:val="Tabletext1"/>
            </w:pPr>
            <w:r w:rsidRPr="00C713E9">
              <w:rPr>
                <w:rStyle w:val="label"/>
              </w:rPr>
              <w:t>Re-hospitalisation</w:t>
            </w:r>
          </w:p>
        </w:tc>
        <w:tc>
          <w:tcPr>
            <w:tcW w:w="630" w:type="pct"/>
            <w:tcBorders>
              <w:top w:val="single" w:sz="4" w:space="0" w:color="auto"/>
              <w:left w:val="single" w:sz="4" w:space="0" w:color="auto"/>
              <w:bottom w:val="single" w:sz="4" w:space="0" w:color="auto"/>
              <w:right w:val="single" w:sz="4" w:space="0" w:color="auto"/>
            </w:tcBorders>
          </w:tcPr>
          <w:p w14:paraId="35E464CC" w14:textId="4E668B96" w:rsidR="00E75BF8" w:rsidRPr="00C713E9" w:rsidRDefault="00E75BF8" w:rsidP="0039385F">
            <w:pPr>
              <w:pStyle w:val="Tabletext1"/>
            </w:pPr>
            <w:r w:rsidRPr="00C713E9">
              <w:t>292,956</w:t>
            </w:r>
            <w:r w:rsidR="003D0EE8">
              <w:t xml:space="preserve"> patients</w:t>
            </w:r>
          </w:p>
          <w:p w14:paraId="15FBB41D" w14:textId="4381CE5D" w:rsidR="00E75BF8" w:rsidRPr="00C713E9" w:rsidRDefault="00E75BF8" w:rsidP="003D0EE8">
            <w:pPr>
              <w:pStyle w:val="Tabletext1"/>
            </w:pPr>
            <w:r w:rsidRPr="00C713E9">
              <w:t>(9 studies)</w:t>
            </w:r>
            <w:r w:rsidR="006F16DC">
              <w:t>.</w:t>
            </w:r>
          </w:p>
        </w:tc>
        <w:tc>
          <w:tcPr>
            <w:tcW w:w="321" w:type="pct"/>
            <w:tcBorders>
              <w:top w:val="single" w:sz="4" w:space="0" w:color="auto"/>
              <w:left w:val="single" w:sz="4" w:space="0" w:color="auto"/>
              <w:bottom w:val="single" w:sz="4" w:space="0" w:color="auto"/>
              <w:right w:val="single" w:sz="4" w:space="0" w:color="auto"/>
            </w:tcBorders>
          </w:tcPr>
          <w:p w14:paraId="74397361" w14:textId="77777777" w:rsidR="00E75BF8" w:rsidRPr="00C713E9" w:rsidRDefault="00E75BF8" w:rsidP="0039385F">
            <w:pPr>
              <w:pStyle w:val="Tabletext1"/>
            </w:pPr>
            <w:r w:rsidRPr="00C713E9">
              <w:t>not serious</w:t>
            </w:r>
          </w:p>
        </w:tc>
        <w:tc>
          <w:tcPr>
            <w:tcW w:w="502" w:type="pct"/>
            <w:tcBorders>
              <w:top w:val="single" w:sz="4" w:space="0" w:color="auto"/>
              <w:left w:val="single" w:sz="4" w:space="0" w:color="auto"/>
              <w:bottom w:val="single" w:sz="4" w:space="0" w:color="auto"/>
              <w:right w:val="single" w:sz="4" w:space="0" w:color="auto"/>
            </w:tcBorders>
          </w:tcPr>
          <w:p w14:paraId="5B0C4EF1" w14:textId="77777777" w:rsidR="00E75BF8" w:rsidRPr="00C713E9" w:rsidRDefault="00E75BF8" w:rsidP="0039385F">
            <w:pPr>
              <w:pStyle w:val="Tabletext1"/>
            </w:pPr>
            <w:r w:rsidRPr="00C713E9">
              <w:t>not serious</w:t>
            </w:r>
          </w:p>
        </w:tc>
        <w:tc>
          <w:tcPr>
            <w:tcW w:w="503" w:type="pct"/>
            <w:tcBorders>
              <w:top w:val="single" w:sz="4" w:space="0" w:color="auto"/>
              <w:left w:val="single" w:sz="4" w:space="0" w:color="auto"/>
              <w:bottom w:val="single" w:sz="4" w:space="0" w:color="auto"/>
              <w:right w:val="single" w:sz="4" w:space="0" w:color="auto"/>
            </w:tcBorders>
          </w:tcPr>
          <w:p w14:paraId="023D5363" w14:textId="77777777" w:rsidR="00E75BF8" w:rsidRPr="00C713E9" w:rsidRDefault="00E75BF8" w:rsidP="0039385F">
            <w:pPr>
              <w:pStyle w:val="Tabletext1"/>
            </w:pPr>
            <w:r w:rsidRPr="00C713E9">
              <w:t>not serious</w:t>
            </w:r>
          </w:p>
        </w:tc>
        <w:tc>
          <w:tcPr>
            <w:tcW w:w="443" w:type="pct"/>
            <w:tcBorders>
              <w:top w:val="single" w:sz="4" w:space="0" w:color="auto"/>
              <w:left w:val="single" w:sz="4" w:space="0" w:color="auto"/>
              <w:bottom w:val="single" w:sz="4" w:space="0" w:color="auto"/>
              <w:right w:val="single" w:sz="4" w:space="0" w:color="auto"/>
            </w:tcBorders>
          </w:tcPr>
          <w:p w14:paraId="05B4BCA8" w14:textId="77777777" w:rsidR="00E75BF8" w:rsidRPr="00C713E9" w:rsidRDefault="00E75BF8" w:rsidP="0039385F">
            <w:pPr>
              <w:pStyle w:val="Tabletext1"/>
              <w:rPr>
                <w:vertAlign w:val="superscript"/>
              </w:rPr>
            </w:pPr>
            <w:r w:rsidRPr="00C713E9">
              <w:t>not serious</w:t>
            </w:r>
          </w:p>
        </w:tc>
        <w:tc>
          <w:tcPr>
            <w:tcW w:w="529" w:type="pct"/>
            <w:tcBorders>
              <w:top w:val="single" w:sz="4" w:space="0" w:color="auto"/>
              <w:left w:val="single" w:sz="4" w:space="0" w:color="auto"/>
              <w:bottom w:val="single" w:sz="4" w:space="0" w:color="auto"/>
              <w:right w:val="single" w:sz="4" w:space="0" w:color="auto"/>
            </w:tcBorders>
          </w:tcPr>
          <w:p w14:paraId="01B63BA6" w14:textId="77777777" w:rsidR="00E75BF8" w:rsidRPr="00C713E9" w:rsidRDefault="00E75BF8" w:rsidP="0039385F">
            <w:pPr>
              <w:pStyle w:val="Tabletext1"/>
            </w:pPr>
            <w:r w:rsidRPr="00C713E9">
              <w:t>none</w:t>
            </w:r>
          </w:p>
        </w:tc>
        <w:tc>
          <w:tcPr>
            <w:tcW w:w="580" w:type="pct"/>
            <w:tcBorders>
              <w:top w:val="single" w:sz="4" w:space="0" w:color="auto"/>
              <w:left w:val="single" w:sz="4" w:space="0" w:color="auto"/>
              <w:bottom w:val="single" w:sz="4" w:space="0" w:color="auto"/>
              <w:right w:val="single" w:sz="4" w:space="0" w:color="auto"/>
            </w:tcBorders>
          </w:tcPr>
          <w:p w14:paraId="471B05C6" w14:textId="698FA957" w:rsidR="00E75BF8" w:rsidRPr="00C26E30" w:rsidRDefault="00E75BF8" w:rsidP="0039385F">
            <w:pPr>
              <w:pStyle w:val="Tabletext1"/>
            </w:pPr>
            <w:r w:rsidRPr="00C26E30">
              <w:t>Re-hospitalisation ranged from 0.7 per cent to 2.1 per cent in the trans</w:t>
            </w:r>
            <w:r w:rsidR="006F3F56">
              <w:t>-</w:t>
            </w:r>
            <w:r w:rsidRPr="00C26E30">
              <w:t>perineal biopsy studies and from 0.4 per cent to 5.5 per cent in the trans</w:t>
            </w:r>
            <w:r w:rsidR="006F3F56">
              <w:t>-</w:t>
            </w:r>
            <w:r w:rsidRPr="00C26E30">
              <w:t>rectal biopsy studies.</w:t>
            </w:r>
          </w:p>
        </w:tc>
        <w:tc>
          <w:tcPr>
            <w:tcW w:w="454" w:type="pct"/>
            <w:tcBorders>
              <w:top w:val="single" w:sz="4" w:space="0" w:color="auto"/>
              <w:left w:val="single" w:sz="4" w:space="0" w:color="auto"/>
              <w:bottom w:val="single" w:sz="4" w:space="0" w:color="auto"/>
              <w:right w:val="single" w:sz="4" w:space="0" w:color="auto"/>
            </w:tcBorders>
          </w:tcPr>
          <w:p w14:paraId="72B9512A" w14:textId="0871A689" w:rsidR="00E75BF8" w:rsidRPr="00C713E9" w:rsidRDefault="001D7B73" w:rsidP="0039385F">
            <w:pPr>
              <w:pStyle w:val="Tabletext1"/>
            </w:pPr>
            <w:r>
              <w:rPr>
                <w:rFonts w:ascii="Cambria Math" w:hAnsi="Cambria Math"/>
                <w:color w:val="00B050"/>
              </w:rPr>
              <w:t>⨁⨁</w:t>
            </w:r>
            <w:r w:rsidRPr="00D4733A">
              <w:rPr>
                <w:rFonts w:ascii="Cambria Math" w:hAnsi="Cambria Math" w:cs="Cambria Math"/>
                <w:color w:val="C00000"/>
              </w:rPr>
              <w:t>⨀⨀</w:t>
            </w:r>
            <w:r w:rsidR="00E75BF8">
              <w:rPr>
                <w:sz w:val="13"/>
                <w:szCs w:val="13"/>
              </w:rPr>
              <w:br/>
              <w:t>LOW</w:t>
            </w:r>
          </w:p>
        </w:tc>
        <w:tc>
          <w:tcPr>
            <w:tcW w:w="555" w:type="pct"/>
            <w:tcBorders>
              <w:top w:val="single" w:sz="4" w:space="0" w:color="auto"/>
              <w:left w:val="single" w:sz="4" w:space="0" w:color="auto"/>
              <w:bottom w:val="single" w:sz="4" w:space="0" w:color="auto"/>
              <w:right w:val="single" w:sz="4" w:space="0" w:color="auto"/>
            </w:tcBorders>
          </w:tcPr>
          <w:p w14:paraId="4A6B9FE2" w14:textId="77777777" w:rsidR="00E75BF8" w:rsidRPr="00C713E9" w:rsidRDefault="00E75BF8" w:rsidP="0039385F">
            <w:pPr>
              <w:pStyle w:val="Tabletext1"/>
            </w:pPr>
            <w:r>
              <w:t>Critical</w:t>
            </w:r>
          </w:p>
        </w:tc>
      </w:tr>
      <w:tr w:rsidR="00E75BF8" w:rsidRPr="00C713E9" w14:paraId="0B03A823" w14:textId="77777777" w:rsidTr="00841114">
        <w:trPr>
          <w:trHeight w:val="319"/>
        </w:trPr>
        <w:tc>
          <w:tcPr>
            <w:tcW w:w="483" w:type="pct"/>
            <w:tcBorders>
              <w:top w:val="single" w:sz="4" w:space="0" w:color="auto"/>
              <w:left w:val="single" w:sz="4" w:space="0" w:color="auto"/>
              <w:bottom w:val="single" w:sz="4" w:space="0" w:color="auto"/>
              <w:right w:val="single" w:sz="4" w:space="0" w:color="auto"/>
            </w:tcBorders>
          </w:tcPr>
          <w:p w14:paraId="6F6CB341" w14:textId="77777777" w:rsidR="00E75BF8" w:rsidRPr="00C713E9" w:rsidRDefault="00E75BF8" w:rsidP="0039385F">
            <w:pPr>
              <w:pStyle w:val="Tabletext1"/>
            </w:pPr>
            <w:r w:rsidRPr="00C713E9">
              <w:rPr>
                <w:rStyle w:val="label"/>
              </w:rPr>
              <w:lastRenderedPageBreak/>
              <w:t>Bleeding related outcomes</w:t>
            </w:r>
          </w:p>
        </w:tc>
        <w:tc>
          <w:tcPr>
            <w:tcW w:w="630" w:type="pct"/>
            <w:tcBorders>
              <w:top w:val="single" w:sz="4" w:space="0" w:color="auto"/>
              <w:left w:val="single" w:sz="4" w:space="0" w:color="auto"/>
              <w:bottom w:val="single" w:sz="4" w:space="0" w:color="auto"/>
              <w:right w:val="single" w:sz="4" w:space="0" w:color="auto"/>
            </w:tcBorders>
          </w:tcPr>
          <w:p w14:paraId="3825AD4A" w14:textId="5FC97DDB" w:rsidR="00E75BF8" w:rsidRPr="00C713E9" w:rsidRDefault="00E75BF8" w:rsidP="0039385F">
            <w:pPr>
              <w:pStyle w:val="Tabletext1"/>
            </w:pPr>
            <w:r w:rsidRPr="00C713E9">
              <w:t>334,688</w:t>
            </w:r>
            <w:r w:rsidR="003D0EE8">
              <w:t xml:space="preserve"> patients</w:t>
            </w:r>
          </w:p>
          <w:p w14:paraId="1875C049" w14:textId="65D6A039" w:rsidR="00E75BF8" w:rsidRPr="00C713E9" w:rsidRDefault="00E75BF8" w:rsidP="003D0EE8">
            <w:pPr>
              <w:pStyle w:val="Tabletext1"/>
            </w:pPr>
            <w:r w:rsidRPr="00C713E9">
              <w:t>(13 studies)</w:t>
            </w:r>
            <w:r w:rsidR="006F16DC">
              <w:t>.</w:t>
            </w:r>
          </w:p>
        </w:tc>
        <w:tc>
          <w:tcPr>
            <w:tcW w:w="321" w:type="pct"/>
            <w:tcBorders>
              <w:top w:val="single" w:sz="4" w:space="0" w:color="auto"/>
              <w:left w:val="single" w:sz="4" w:space="0" w:color="auto"/>
              <w:bottom w:val="single" w:sz="4" w:space="0" w:color="auto"/>
              <w:right w:val="single" w:sz="4" w:space="0" w:color="auto"/>
            </w:tcBorders>
          </w:tcPr>
          <w:p w14:paraId="785E602C" w14:textId="77777777" w:rsidR="00E75BF8" w:rsidRPr="00C713E9" w:rsidRDefault="00E75BF8" w:rsidP="0039385F">
            <w:pPr>
              <w:pStyle w:val="Tabletext1"/>
            </w:pPr>
            <w:r w:rsidRPr="00C713E9">
              <w:t>not serious</w:t>
            </w:r>
          </w:p>
        </w:tc>
        <w:tc>
          <w:tcPr>
            <w:tcW w:w="502" w:type="pct"/>
            <w:tcBorders>
              <w:top w:val="single" w:sz="4" w:space="0" w:color="auto"/>
              <w:left w:val="single" w:sz="4" w:space="0" w:color="auto"/>
              <w:bottom w:val="single" w:sz="4" w:space="0" w:color="auto"/>
              <w:right w:val="single" w:sz="4" w:space="0" w:color="auto"/>
            </w:tcBorders>
          </w:tcPr>
          <w:p w14:paraId="579C65E7" w14:textId="77777777" w:rsidR="00E75BF8" w:rsidRPr="00C713E9" w:rsidRDefault="00E75BF8" w:rsidP="0039385F">
            <w:pPr>
              <w:pStyle w:val="Tabletext1"/>
            </w:pPr>
            <w:r w:rsidRPr="00C713E9">
              <w:t xml:space="preserve">serious </w:t>
            </w:r>
            <w:r w:rsidRPr="00C713E9">
              <w:rPr>
                <w:vertAlign w:val="superscript"/>
              </w:rPr>
              <w:t>1</w:t>
            </w:r>
          </w:p>
        </w:tc>
        <w:tc>
          <w:tcPr>
            <w:tcW w:w="503" w:type="pct"/>
            <w:tcBorders>
              <w:top w:val="single" w:sz="4" w:space="0" w:color="auto"/>
              <w:left w:val="single" w:sz="4" w:space="0" w:color="auto"/>
              <w:bottom w:val="single" w:sz="4" w:space="0" w:color="auto"/>
              <w:right w:val="single" w:sz="4" w:space="0" w:color="auto"/>
            </w:tcBorders>
          </w:tcPr>
          <w:p w14:paraId="25FE3ABE" w14:textId="77777777" w:rsidR="00E75BF8" w:rsidRPr="00C713E9" w:rsidRDefault="00E75BF8" w:rsidP="0039385F">
            <w:pPr>
              <w:pStyle w:val="Tabletext1"/>
            </w:pPr>
            <w:r w:rsidRPr="00C713E9">
              <w:t xml:space="preserve">serious </w:t>
            </w:r>
            <w:r w:rsidRPr="00C713E9">
              <w:rPr>
                <w:vertAlign w:val="superscript"/>
              </w:rPr>
              <w:t>2</w:t>
            </w:r>
          </w:p>
        </w:tc>
        <w:tc>
          <w:tcPr>
            <w:tcW w:w="443" w:type="pct"/>
            <w:tcBorders>
              <w:top w:val="single" w:sz="4" w:space="0" w:color="auto"/>
              <w:left w:val="single" w:sz="4" w:space="0" w:color="auto"/>
              <w:bottom w:val="single" w:sz="4" w:space="0" w:color="auto"/>
              <w:right w:val="single" w:sz="4" w:space="0" w:color="auto"/>
            </w:tcBorders>
          </w:tcPr>
          <w:p w14:paraId="25204D1D" w14:textId="77777777" w:rsidR="00E75BF8" w:rsidRPr="00C713E9" w:rsidRDefault="00E75BF8" w:rsidP="0039385F">
            <w:pPr>
              <w:pStyle w:val="Tabletext1"/>
              <w:rPr>
                <w:vertAlign w:val="superscript"/>
              </w:rPr>
            </w:pPr>
            <w:r w:rsidRPr="00C713E9">
              <w:t>not serious</w:t>
            </w:r>
          </w:p>
        </w:tc>
        <w:tc>
          <w:tcPr>
            <w:tcW w:w="529" w:type="pct"/>
            <w:tcBorders>
              <w:top w:val="single" w:sz="4" w:space="0" w:color="auto"/>
              <w:left w:val="single" w:sz="4" w:space="0" w:color="auto"/>
              <w:bottom w:val="single" w:sz="4" w:space="0" w:color="auto"/>
              <w:right w:val="single" w:sz="4" w:space="0" w:color="auto"/>
            </w:tcBorders>
          </w:tcPr>
          <w:p w14:paraId="633B0CF4" w14:textId="77777777" w:rsidR="00E75BF8" w:rsidRPr="00C713E9" w:rsidRDefault="00E75BF8" w:rsidP="0039385F">
            <w:pPr>
              <w:pStyle w:val="Tabletext1"/>
            </w:pPr>
            <w:r w:rsidRPr="00C713E9">
              <w:t>none</w:t>
            </w:r>
          </w:p>
        </w:tc>
        <w:tc>
          <w:tcPr>
            <w:tcW w:w="580" w:type="pct"/>
            <w:tcBorders>
              <w:top w:val="single" w:sz="4" w:space="0" w:color="auto"/>
              <w:left w:val="single" w:sz="4" w:space="0" w:color="auto"/>
              <w:bottom w:val="single" w:sz="4" w:space="0" w:color="auto"/>
              <w:right w:val="single" w:sz="4" w:space="0" w:color="auto"/>
            </w:tcBorders>
          </w:tcPr>
          <w:p w14:paraId="6B6CC80D" w14:textId="54914608" w:rsidR="00E75BF8" w:rsidRPr="00C26E30" w:rsidRDefault="00E75BF8" w:rsidP="0039385F">
            <w:pPr>
              <w:pStyle w:val="Tabletext1"/>
            </w:pPr>
            <w:r w:rsidRPr="00C26E30">
              <w:t>Bleeding ranged from 0.1 per cent to 6.1 per cent in the trans</w:t>
            </w:r>
            <w:r w:rsidR="006F3F56">
              <w:t>-</w:t>
            </w:r>
            <w:r w:rsidRPr="00C26E30">
              <w:t>perineal biopsy studies and from 0.8 per cent to 88.0 per cent in the trans</w:t>
            </w:r>
            <w:r w:rsidR="006F3F56">
              <w:t>-</w:t>
            </w:r>
            <w:r w:rsidRPr="00C26E30">
              <w:t>rectal biopsy studies.</w:t>
            </w:r>
          </w:p>
        </w:tc>
        <w:tc>
          <w:tcPr>
            <w:tcW w:w="454" w:type="pct"/>
            <w:tcBorders>
              <w:top w:val="single" w:sz="4" w:space="0" w:color="auto"/>
              <w:left w:val="single" w:sz="4" w:space="0" w:color="auto"/>
              <w:bottom w:val="single" w:sz="4" w:space="0" w:color="auto"/>
              <w:right w:val="single" w:sz="4" w:space="0" w:color="auto"/>
            </w:tcBorders>
          </w:tcPr>
          <w:p w14:paraId="47438BA4" w14:textId="78E0B71F" w:rsidR="00E75BF8" w:rsidRPr="00C713E9" w:rsidRDefault="001D7B73" w:rsidP="0039385F">
            <w:pPr>
              <w:pStyle w:val="Tabletext1"/>
            </w:pPr>
            <w:r>
              <w:rPr>
                <w:rFonts w:ascii="Cambria Math" w:hAnsi="Cambria Math"/>
                <w:color w:val="00B050"/>
              </w:rPr>
              <w:t>⨁</w:t>
            </w:r>
            <w:r w:rsidRPr="00D4733A">
              <w:rPr>
                <w:rFonts w:ascii="Cambria Math" w:hAnsi="Cambria Math" w:cs="Cambria Math"/>
                <w:color w:val="C00000"/>
              </w:rPr>
              <w:t>⨀⨀⨀</w:t>
            </w:r>
            <w:r w:rsidR="00E75BF8">
              <w:rPr>
                <w:sz w:val="13"/>
                <w:szCs w:val="13"/>
              </w:rPr>
              <w:br/>
              <w:t>VERY LOW</w:t>
            </w:r>
          </w:p>
        </w:tc>
        <w:tc>
          <w:tcPr>
            <w:tcW w:w="555" w:type="pct"/>
            <w:tcBorders>
              <w:top w:val="single" w:sz="4" w:space="0" w:color="auto"/>
              <w:left w:val="single" w:sz="4" w:space="0" w:color="auto"/>
              <w:bottom w:val="single" w:sz="4" w:space="0" w:color="auto"/>
              <w:right w:val="single" w:sz="4" w:space="0" w:color="auto"/>
            </w:tcBorders>
          </w:tcPr>
          <w:p w14:paraId="0550E23B" w14:textId="77777777" w:rsidR="00E75BF8" w:rsidRPr="00C713E9" w:rsidRDefault="00E75BF8" w:rsidP="0039385F">
            <w:pPr>
              <w:pStyle w:val="Tabletext1"/>
            </w:pPr>
            <w:r>
              <w:t>Important</w:t>
            </w:r>
          </w:p>
        </w:tc>
      </w:tr>
      <w:tr w:rsidR="00E75BF8" w:rsidRPr="00C713E9" w14:paraId="4D9DA013" w14:textId="77777777" w:rsidTr="00841114">
        <w:trPr>
          <w:trHeight w:val="319"/>
        </w:trPr>
        <w:tc>
          <w:tcPr>
            <w:tcW w:w="483" w:type="pct"/>
            <w:tcBorders>
              <w:top w:val="single" w:sz="4" w:space="0" w:color="auto"/>
              <w:left w:val="single" w:sz="4" w:space="0" w:color="auto"/>
              <w:bottom w:val="single" w:sz="4" w:space="0" w:color="auto"/>
              <w:right w:val="single" w:sz="4" w:space="0" w:color="auto"/>
            </w:tcBorders>
          </w:tcPr>
          <w:p w14:paraId="2655EAC2" w14:textId="77777777" w:rsidR="00E75BF8" w:rsidRPr="00C713E9" w:rsidRDefault="00E75BF8" w:rsidP="0039385F">
            <w:pPr>
              <w:pStyle w:val="Tabletext1"/>
            </w:pPr>
            <w:r w:rsidRPr="00C713E9">
              <w:rPr>
                <w:rStyle w:val="label"/>
              </w:rPr>
              <w:t>Urinary obstruction</w:t>
            </w:r>
          </w:p>
        </w:tc>
        <w:tc>
          <w:tcPr>
            <w:tcW w:w="630" w:type="pct"/>
            <w:tcBorders>
              <w:top w:val="single" w:sz="4" w:space="0" w:color="auto"/>
              <w:left w:val="single" w:sz="4" w:space="0" w:color="auto"/>
              <w:bottom w:val="single" w:sz="4" w:space="0" w:color="auto"/>
              <w:right w:val="single" w:sz="4" w:space="0" w:color="auto"/>
            </w:tcBorders>
          </w:tcPr>
          <w:p w14:paraId="491BD61D" w14:textId="00587D1B" w:rsidR="00E75BF8" w:rsidRPr="00C713E9" w:rsidRDefault="00E75BF8" w:rsidP="0039385F">
            <w:pPr>
              <w:pStyle w:val="Tabletext1"/>
            </w:pPr>
            <w:r w:rsidRPr="00C713E9">
              <w:t>132,020</w:t>
            </w:r>
            <w:r w:rsidR="003D0EE8">
              <w:t xml:space="preserve"> patients</w:t>
            </w:r>
          </w:p>
          <w:p w14:paraId="4BF1F4DF" w14:textId="75CD8DC2" w:rsidR="00E75BF8" w:rsidRPr="00C713E9" w:rsidRDefault="00E75BF8" w:rsidP="003D0EE8">
            <w:pPr>
              <w:pStyle w:val="Tabletext1"/>
            </w:pPr>
            <w:r w:rsidRPr="00C713E9">
              <w:t>(12 studies)</w:t>
            </w:r>
            <w:r w:rsidR="006F16DC">
              <w:t>.</w:t>
            </w:r>
          </w:p>
        </w:tc>
        <w:tc>
          <w:tcPr>
            <w:tcW w:w="321" w:type="pct"/>
            <w:tcBorders>
              <w:top w:val="single" w:sz="4" w:space="0" w:color="auto"/>
              <w:left w:val="single" w:sz="4" w:space="0" w:color="auto"/>
              <w:bottom w:val="single" w:sz="4" w:space="0" w:color="auto"/>
              <w:right w:val="single" w:sz="4" w:space="0" w:color="auto"/>
            </w:tcBorders>
          </w:tcPr>
          <w:p w14:paraId="1C4BDCCA" w14:textId="77777777" w:rsidR="00E75BF8" w:rsidRPr="00C713E9" w:rsidRDefault="00E75BF8" w:rsidP="0039385F">
            <w:pPr>
              <w:pStyle w:val="Tabletext1"/>
            </w:pPr>
            <w:r w:rsidRPr="00C713E9">
              <w:t>not serious</w:t>
            </w:r>
          </w:p>
        </w:tc>
        <w:tc>
          <w:tcPr>
            <w:tcW w:w="502" w:type="pct"/>
            <w:tcBorders>
              <w:top w:val="single" w:sz="4" w:space="0" w:color="auto"/>
              <w:left w:val="single" w:sz="4" w:space="0" w:color="auto"/>
              <w:bottom w:val="single" w:sz="4" w:space="0" w:color="auto"/>
              <w:right w:val="single" w:sz="4" w:space="0" w:color="auto"/>
            </w:tcBorders>
          </w:tcPr>
          <w:p w14:paraId="2561F9B1" w14:textId="77777777" w:rsidR="00E75BF8" w:rsidRPr="00C713E9" w:rsidRDefault="00E75BF8" w:rsidP="0039385F">
            <w:pPr>
              <w:pStyle w:val="Tabletext1"/>
            </w:pPr>
            <w:r w:rsidRPr="00C713E9">
              <w:t xml:space="preserve">serious </w:t>
            </w:r>
            <w:r w:rsidRPr="00C713E9">
              <w:rPr>
                <w:vertAlign w:val="superscript"/>
              </w:rPr>
              <w:t>1</w:t>
            </w:r>
          </w:p>
        </w:tc>
        <w:tc>
          <w:tcPr>
            <w:tcW w:w="503" w:type="pct"/>
            <w:tcBorders>
              <w:top w:val="single" w:sz="4" w:space="0" w:color="auto"/>
              <w:left w:val="single" w:sz="4" w:space="0" w:color="auto"/>
              <w:bottom w:val="single" w:sz="4" w:space="0" w:color="auto"/>
              <w:right w:val="single" w:sz="4" w:space="0" w:color="auto"/>
            </w:tcBorders>
          </w:tcPr>
          <w:p w14:paraId="3AB4B9A4" w14:textId="77777777" w:rsidR="00E75BF8" w:rsidRPr="00C713E9" w:rsidRDefault="00E75BF8" w:rsidP="0039385F">
            <w:pPr>
              <w:pStyle w:val="Tabletext1"/>
            </w:pPr>
            <w:r w:rsidRPr="00C713E9">
              <w:t>not serious</w:t>
            </w:r>
          </w:p>
        </w:tc>
        <w:tc>
          <w:tcPr>
            <w:tcW w:w="443" w:type="pct"/>
            <w:tcBorders>
              <w:top w:val="single" w:sz="4" w:space="0" w:color="auto"/>
              <w:left w:val="single" w:sz="4" w:space="0" w:color="auto"/>
              <w:bottom w:val="single" w:sz="4" w:space="0" w:color="auto"/>
              <w:right w:val="single" w:sz="4" w:space="0" w:color="auto"/>
            </w:tcBorders>
          </w:tcPr>
          <w:p w14:paraId="4242A736" w14:textId="77777777" w:rsidR="00E75BF8" w:rsidRPr="00C713E9" w:rsidRDefault="00E75BF8" w:rsidP="0039385F">
            <w:pPr>
              <w:pStyle w:val="Tabletext1"/>
              <w:rPr>
                <w:vertAlign w:val="superscript"/>
              </w:rPr>
            </w:pPr>
            <w:r w:rsidRPr="00C713E9">
              <w:t>not serious</w:t>
            </w:r>
          </w:p>
        </w:tc>
        <w:tc>
          <w:tcPr>
            <w:tcW w:w="529" w:type="pct"/>
            <w:tcBorders>
              <w:top w:val="single" w:sz="4" w:space="0" w:color="auto"/>
              <w:left w:val="single" w:sz="4" w:space="0" w:color="auto"/>
              <w:bottom w:val="single" w:sz="4" w:space="0" w:color="auto"/>
              <w:right w:val="single" w:sz="4" w:space="0" w:color="auto"/>
            </w:tcBorders>
          </w:tcPr>
          <w:p w14:paraId="1215AC45" w14:textId="77777777" w:rsidR="00E75BF8" w:rsidRPr="00C713E9" w:rsidRDefault="00E75BF8" w:rsidP="0039385F">
            <w:pPr>
              <w:pStyle w:val="Tabletext1"/>
            </w:pPr>
            <w:r w:rsidRPr="00C713E9">
              <w:t>none</w:t>
            </w:r>
          </w:p>
        </w:tc>
        <w:tc>
          <w:tcPr>
            <w:tcW w:w="580" w:type="pct"/>
            <w:tcBorders>
              <w:top w:val="single" w:sz="4" w:space="0" w:color="auto"/>
              <w:left w:val="single" w:sz="4" w:space="0" w:color="auto"/>
              <w:bottom w:val="single" w:sz="4" w:space="0" w:color="auto"/>
              <w:right w:val="single" w:sz="4" w:space="0" w:color="auto"/>
            </w:tcBorders>
          </w:tcPr>
          <w:p w14:paraId="647E8AE3" w14:textId="687BA405" w:rsidR="00E75BF8" w:rsidRPr="00C26E30" w:rsidRDefault="00E75BF8" w:rsidP="0039385F">
            <w:pPr>
              <w:pStyle w:val="Tabletext1"/>
            </w:pPr>
            <w:r w:rsidRPr="00C26E30">
              <w:t>Urinary obstruction ranged from 0.4 per cent to 38.0 per cent in the trans</w:t>
            </w:r>
            <w:r w:rsidR="006F3F56">
              <w:t>-</w:t>
            </w:r>
            <w:r w:rsidRPr="00C26E30">
              <w:t>perineal biopsy studies and from 0.8 per cent to 21.0 per cent in the trans</w:t>
            </w:r>
            <w:r w:rsidR="006F3F56">
              <w:t>-</w:t>
            </w:r>
            <w:r w:rsidRPr="00C26E30">
              <w:t>rectal biopsy studies.</w:t>
            </w:r>
          </w:p>
        </w:tc>
        <w:tc>
          <w:tcPr>
            <w:tcW w:w="454" w:type="pct"/>
            <w:tcBorders>
              <w:top w:val="single" w:sz="4" w:space="0" w:color="auto"/>
              <w:left w:val="single" w:sz="4" w:space="0" w:color="auto"/>
              <w:bottom w:val="single" w:sz="4" w:space="0" w:color="auto"/>
              <w:right w:val="single" w:sz="4" w:space="0" w:color="auto"/>
            </w:tcBorders>
          </w:tcPr>
          <w:p w14:paraId="65A30CAA" w14:textId="4596AEC5" w:rsidR="00E75BF8" w:rsidRPr="00C713E9" w:rsidRDefault="001D7B73" w:rsidP="0039385F">
            <w:pPr>
              <w:pStyle w:val="Tabletext1"/>
            </w:pPr>
            <w:r>
              <w:rPr>
                <w:rFonts w:ascii="Cambria Math" w:hAnsi="Cambria Math"/>
                <w:color w:val="00B050"/>
              </w:rPr>
              <w:t>⨁</w:t>
            </w:r>
            <w:r w:rsidRPr="00D4733A">
              <w:rPr>
                <w:rFonts w:ascii="Cambria Math" w:hAnsi="Cambria Math" w:cs="Cambria Math"/>
                <w:color w:val="C00000"/>
              </w:rPr>
              <w:t>⨀⨀⨀</w:t>
            </w:r>
            <w:r w:rsidR="00E75BF8">
              <w:rPr>
                <w:sz w:val="13"/>
                <w:szCs w:val="13"/>
              </w:rPr>
              <w:br/>
              <w:t>VERY LOW</w:t>
            </w:r>
          </w:p>
        </w:tc>
        <w:tc>
          <w:tcPr>
            <w:tcW w:w="555" w:type="pct"/>
            <w:tcBorders>
              <w:top w:val="single" w:sz="4" w:space="0" w:color="auto"/>
              <w:left w:val="single" w:sz="4" w:space="0" w:color="auto"/>
              <w:bottom w:val="single" w:sz="4" w:space="0" w:color="auto"/>
              <w:right w:val="single" w:sz="4" w:space="0" w:color="auto"/>
            </w:tcBorders>
          </w:tcPr>
          <w:p w14:paraId="3B29CCAB" w14:textId="77777777" w:rsidR="00E75BF8" w:rsidRPr="00C713E9" w:rsidRDefault="00E75BF8" w:rsidP="0039385F">
            <w:pPr>
              <w:pStyle w:val="Tabletext1"/>
            </w:pPr>
            <w:r>
              <w:t>Important</w:t>
            </w:r>
          </w:p>
        </w:tc>
      </w:tr>
    </w:tbl>
    <w:p w14:paraId="0399667B" w14:textId="3B8CCDEA" w:rsidR="00C45F11" w:rsidRDefault="00E75BF8" w:rsidP="00573362">
      <w:pPr>
        <w:pStyle w:val="TableNotes"/>
        <w:rPr>
          <w:bCs/>
          <w:color w:val="000000"/>
          <w:sz w:val="16"/>
          <w:szCs w:val="16"/>
        </w:rPr>
      </w:pPr>
      <w:r w:rsidRPr="00E10B76">
        <w:rPr>
          <w:vertAlign w:val="superscript"/>
        </w:rPr>
        <w:t>a</w:t>
      </w:r>
      <w:r w:rsidR="004E13AC" w:rsidRPr="004E13AC">
        <w:t>:</w:t>
      </w:r>
      <w:r w:rsidR="004E13AC">
        <w:t xml:space="preserve"> </w:t>
      </w:r>
      <w:r w:rsidRPr="00E10B76">
        <w:t>GRADE Working Group grades of evidence</w:t>
      </w:r>
      <w:r>
        <w:t xml:space="preserve"> </w:t>
      </w:r>
      <w:r w:rsidR="008E0B00">
        <w:fldChar w:fldCharType="begin"/>
      </w:r>
      <w:r w:rsidR="008E0B00">
        <w:instrText xml:space="preserve"> ADDIN EN.CITE &lt;EndNote&gt;&lt;Cite&gt;&lt;Author&gt;Guyatt&lt;/Author&gt;&lt;Year&gt;2013&lt;/Year&gt;&lt;RecNum&gt;1&lt;/RecNum&gt;&lt;DisplayText&gt;(Guyatt et al. 2013)&lt;/DisplayText&gt;&lt;record&gt;&lt;rec-number&gt;1&lt;/rec-number&gt;&lt;foreign-keys&gt;&lt;key app="EN" db-id="2p9terxr22fx91epzebpfdwuzrwtw2a2ep2t" timestamp="1472684599"&gt;1&lt;/key&gt;&lt;/foreign-keys&gt;&lt;ref-type name="Journal Article"&gt;17&lt;/ref-type&gt;&lt;contributors&gt;&lt;authors&gt;&lt;author&gt;Guyatt, G,&lt;/author&gt;&lt;author&gt;Oxman, AD,&lt;/author&gt;&lt;author&gt;Sultan, S, Brozek, J, Glasziou, P, Alonso-Coello, P, Atkins, D, Kunz, R, Montori, V, Jaeschke, R, Rind, D, Dahm, P, Akl, EA, Meerpohl, J, Vist, G, Berliner, E, Norris, S, Falck-Ytter, Y &amp;amp; Schunemann, HJ&lt;/author&gt;&lt;/authors&gt;&lt;/contributors&gt;&lt;titles&gt;&lt;title&gt;GRADE guidelines: 11. Making an overall rating of confidence in effect estimates for a single outcome and for all outcomes&lt;/title&gt;&lt;secondary-title&gt;J Clin Epidemiol&lt;/secondary-title&gt;&lt;/titles&gt;&lt;periodical&gt;&lt;full-title&gt;J Clin Epidemiol&lt;/full-title&gt;&lt;/periodical&gt;&lt;pages&gt;151-157&lt;/pages&gt;&lt;volume&gt;66&lt;/volume&gt;&lt;number&gt;2&lt;/number&gt;&lt;dates&gt;&lt;year&gt;2013&lt;/year&gt;&lt;/dates&gt;&lt;urls&gt;&lt;/urls&gt;&lt;/record&gt;&lt;/Cite&gt;&lt;/EndNote&gt;</w:instrText>
      </w:r>
      <w:r w:rsidR="008E0B00">
        <w:fldChar w:fldCharType="separate"/>
      </w:r>
      <w:r w:rsidR="008E0B00">
        <w:rPr>
          <w:noProof/>
        </w:rPr>
        <w:t>(</w:t>
      </w:r>
      <w:hyperlink w:anchor="_ENREF_57" w:tooltip="Guyatt, 2013 #1" w:history="1">
        <w:r w:rsidR="008E0B00">
          <w:rPr>
            <w:noProof/>
          </w:rPr>
          <w:t>Guyatt et al. 2013</w:t>
        </w:r>
      </w:hyperlink>
      <w:r w:rsidR="008E0B00">
        <w:rPr>
          <w:noProof/>
        </w:rPr>
        <w:t>)</w:t>
      </w:r>
      <w:r w:rsidR="008E0B00">
        <w:fldChar w:fldCharType="end"/>
      </w:r>
      <w:r>
        <w:rPr>
          <w:b/>
          <w:bCs/>
          <w:color w:val="000000"/>
          <w:sz w:val="14"/>
          <w:szCs w:val="14"/>
        </w:rPr>
        <w:br/>
      </w:r>
      <w:r w:rsidRPr="00C713E9">
        <w:rPr>
          <w:rFonts w:ascii="Cambria Math" w:hAnsi="Cambria Math" w:cs="Cambria Math"/>
          <w:color w:val="00B050"/>
          <w:sz w:val="16"/>
          <w:szCs w:val="16"/>
        </w:rPr>
        <w:t>⨁⨁⨁⨁</w:t>
      </w:r>
      <w:r w:rsidRPr="00C713E9">
        <w:rPr>
          <w:color w:val="00B050"/>
          <w:sz w:val="16"/>
          <w:szCs w:val="16"/>
        </w:rPr>
        <w:t xml:space="preserve"> </w:t>
      </w:r>
      <w:r w:rsidRPr="00C713E9">
        <w:rPr>
          <w:b/>
          <w:bCs/>
          <w:sz w:val="16"/>
          <w:szCs w:val="16"/>
        </w:rPr>
        <w:t>High quality:</w:t>
      </w:r>
      <w:r w:rsidRPr="00C713E9">
        <w:rPr>
          <w:sz w:val="16"/>
          <w:szCs w:val="16"/>
        </w:rPr>
        <w:t xml:space="preserve"> We are very confident that</w:t>
      </w:r>
      <w:r>
        <w:t xml:space="preserve"> the true effect lies close to that of the estimate of effect.</w:t>
      </w:r>
      <w:r w:rsidRPr="00E10B76">
        <w:t xml:space="preserve"> </w:t>
      </w:r>
      <w:r w:rsidRPr="00E10B76">
        <w:br/>
      </w:r>
      <w:r w:rsidRPr="00D4733A">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Moderate quality:</w:t>
      </w:r>
      <w:r w:rsidRPr="00E10B76">
        <w:t xml:space="preserve"> </w:t>
      </w:r>
      <w:r>
        <w:t xml:space="preserve">We are moderately confident in the effect estimate: The true effect is likely to be close to the estimate of the effect, but there is a possibility that it is substantially different. </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Low quality:</w:t>
      </w:r>
      <w:r w:rsidRPr="00E10B76">
        <w:t xml:space="preserve"> </w:t>
      </w:r>
      <w:r>
        <w:t>Our confidence in the effect estimate is limited: The true effect may be substantially different from the estimate of the effect.</w:t>
      </w:r>
      <w:r w:rsidRPr="00E10B76">
        <w:br/>
      </w:r>
      <w:r>
        <w:rPr>
          <w:rFonts w:ascii="Cambria Math" w:hAnsi="Cambria Math"/>
          <w:color w:val="00B050"/>
        </w:rPr>
        <w:t>⨁</w:t>
      </w:r>
      <w:r w:rsidRPr="00D4733A">
        <w:rPr>
          <w:rFonts w:ascii="Cambria Math" w:hAnsi="Cambria Math" w:cs="Cambria Math"/>
          <w:color w:val="C00000"/>
        </w:rPr>
        <w:t>⨀⨀⨀</w:t>
      </w:r>
      <w:r>
        <w:rPr>
          <w:rFonts w:ascii="Cambria Math" w:hAnsi="Cambria Math" w:cs="Cambria Math"/>
          <w:color w:val="C00000"/>
        </w:rPr>
        <w:t xml:space="preserve"> </w:t>
      </w:r>
      <w:r w:rsidRPr="00E10B76">
        <w:rPr>
          <w:b/>
          <w:bCs/>
        </w:rPr>
        <w:t>Very low quality:</w:t>
      </w:r>
      <w:r w:rsidRPr="00E10B76">
        <w:t xml:space="preserve"> </w:t>
      </w:r>
      <w:r>
        <w:t>We have very little confidence in the effect estimate: The true effect is likely to be substantially different from the estimate of effect.</w:t>
      </w:r>
      <w:r w:rsidR="00C45F11" w:rsidRPr="00C45F11">
        <w:rPr>
          <w:bCs/>
          <w:color w:val="000000"/>
          <w:sz w:val="16"/>
          <w:szCs w:val="16"/>
        </w:rPr>
        <w:t xml:space="preserve"> </w:t>
      </w:r>
    </w:p>
    <w:p w14:paraId="3312DE95" w14:textId="5AAC9871" w:rsidR="00E75BF8" w:rsidRPr="00F5254C" w:rsidRDefault="00C45F11" w:rsidP="00573362">
      <w:pPr>
        <w:pStyle w:val="TableNotes"/>
      </w:pPr>
      <w:r w:rsidRPr="004E13AC">
        <w:rPr>
          <w:color w:val="000000"/>
          <w:sz w:val="16"/>
          <w:szCs w:val="16"/>
          <w:vertAlign w:val="superscript"/>
        </w:rPr>
        <w:t>1</w:t>
      </w:r>
      <w:r w:rsidR="004E13AC">
        <w:rPr>
          <w:color w:val="000000"/>
          <w:sz w:val="16"/>
          <w:szCs w:val="16"/>
        </w:rPr>
        <w:t>:</w:t>
      </w:r>
      <w:r w:rsidRPr="00C713E9">
        <w:rPr>
          <w:color w:val="000000"/>
          <w:sz w:val="16"/>
          <w:szCs w:val="16"/>
        </w:rPr>
        <w:t xml:space="preserve"> </w:t>
      </w:r>
      <w:r>
        <w:rPr>
          <w:color w:val="000000"/>
          <w:sz w:val="16"/>
          <w:szCs w:val="16"/>
        </w:rPr>
        <w:t>B</w:t>
      </w:r>
      <w:r w:rsidRPr="00C713E9">
        <w:rPr>
          <w:color w:val="000000"/>
          <w:sz w:val="16"/>
          <w:szCs w:val="16"/>
        </w:rPr>
        <w:t>ased on self-reported data</w:t>
      </w:r>
      <w:r>
        <w:rPr>
          <w:color w:val="000000"/>
          <w:sz w:val="16"/>
          <w:szCs w:val="16"/>
        </w:rPr>
        <w:t>.</w:t>
      </w:r>
      <w:r w:rsidRPr="00C713E9">
        <w:rPr>
          <w:color w:val="000000"/>
          <w:sz w:val="16"/>
          <w:szCs w:val="16"/>
        </w:rPr>
        <w:br/>
      </w:r>
      <w:r w:rsidRPr="004E13AC">
        <w:rPr>
          <w:color w:val="000000"/>
          <w:sz w:val="16"/>
          <w:szCs w:val="16"/>
          <w:vertAlign w:val="superscript"/>
        </w:rPr>
        <w:t>2</w:t>
      </w:r>
      <w:r w:rsidR="004E13AC">
        <w:rPr>
          <w:color w:val="000000"/>
          <w:sz w:val="16"/>
          <w:szCs w:val="16"/>
        </w:rPr>
        <w:t>:</w:t>
      </w:r>
      <w:r w:rsidRPr="00C713E9">
        <w:rPr>
          <w:color w:val="000000"/>
          <w:sz w:val="16"/>
          <w:szCs w:val="16"/>
        </w:rPr>
        <w:t xml:space="preserve"> One study only included men on blood-thinning medication</w:t>
      </w:r>
      <w:r>
        <w:rPr>
          <w:color w:val="000000"/>
          <w:sz w:val="16"/>
          <w:szCs w:val="16"/>
        </w:rPr>
        <w:t>.</w:t>
      </w:r>
      <w:r w:rsidRPr="00C713E9">
        <w:rPr>
          <w:sz w:val="16"/>
          <w:szCs w:val="16"/>
        </w:rPr>
        <w:br/>
      </w:r>
      <w:r w:rsidRPr="00A4761C">
        <w:rPr>
          <w:bCs/>
          <w:color w:val="000000"/>
          <w:sz w:val="16"/>
          <w:szCs w:val="16"/>
        </w:rPr>
        <w:t>CI</w:t>
      </w:r>
      <w:r>
        <w:rPr>
          <w:bCs/>
          <w:color w:val="000000"/>
          <w:sz w:val="16"/>
          <w:szCs w:val="16"/>
        </w:rPr>
        <w:t xml:space="preserve"> =</w:t>
      </w:r>
      <w:r>
        <w:rPr>
          <w:color w:val="000000"/>
          <w:sz w:val="16"/>
          <w:szCs w:val="16"/>
        </w:rPr>
        <w:t xml:space="preserve"> c</w:t>
      </w:r>
      <w:r w:rsidRPr="00C713E9">
        <w:rPr>
          <w:color w:val="000000"/>
          <w:sz w:val="16"/>
          <w:szCs w:val="16"/>
        </w:rPr>
        <w:t>onfidence interval</w:t>
      </w:r>
      <w:r>
        <w:rPr>
          <w:color w:val="000000"/>
          <w:sz w:val="16"/>
          <w:szCs w:val="16"/>
        </w:rPr>
        <w:t>, Q</w:t>
      </w:r>
      <w:r w:rsidR="00051F80">
        <w:rPr>
          <w:color w:val="000000"/>
          <w:sz w:val="16"/>
          <w:szCs w:val="16"/>
        </w:rPr>
        <w:t>o</w:t>
      </w:r>
      <w:r>
        <w:rPr>
          <w:color w:val="000000"/>
          <w:sz w:val="16"/>
          <w:szCs w:val="16"/>
        </w:rPr>
        <w:t>E = quality of evidence.</w:t>
      </w:r>
      <w:r w:rsidRPr="00C713E9">
        <w:rPr>
          <w:color w:val="000000"/>
          <w:sz w:val="16"/>
          <w:szCs w:val="16"/>
        </w:rPr>
        <w:br/>
      </w:r>
    </w:p>
    <w:p w14:paraId="571A9792" w14:textId="77777777" w:rsidR="00426CFD" w:rsidRPr="00183E4D" w:rsidRDefault="00426CFD" w:rsidP="00C771BF"/>
    <w:p w14:paraId="3235932F" w14:textId="77777777" w:rsidR="00F346ED" w:rsidRPr="00F346ED" w:rsidRDefault="00F346ED" w:rsidP="00F346ED">
      <w:pPr>
        <w:sectPr w:rsidR="00F346ED" w:rsidRPr="00F346ED" w:rsidSect="008D77C9">
          <w:pgSz w:w="16838" w:h="11906" w:orient="landscape"/>
          <w:pgMar w:top="1440" w:right="851" w:bottom="1440" w:left="851" w:header="720" w:footer="720" w:gutter="0"/>
          <w:paperSrc w:first="7" w:other="7"/>
          <w:cols w:space="720"/>
        </w:sectPr>
      </w:pPr>
    </w:p>
    <w:p w14:paraId="7D2CBF49" w14:textId="77777777" w:rsidR="00072C8F" w:rsidRPr="00183E4D" w:rsidRDefault="00072C8F" w:rsidP="00072C8F">
      <w:pPr>
        <w:pStyle w:val="Heading1"/>
      </w:pPr>
      <w:bookmarkStart w:id="800" w:name="_Ref364237293"/>
      <w:bookmarkStart w:id="801" w:name="_Ref363131580"/>
      <w:bookmarkStart w:id="802" w:name="_Toc379118102"/>
      <w:bookmarkStart w:id="803" w:name="_Toc381796506"/>
      <w:bookmarkStart w:id="804" w:name="_Toc445463528"/>
      <w:bookmarkStart w:id="805" w:name="_Toc460514022"/>
      <w:bookmarkEnd w:id="779"/>
      <w:bookmarkEnd w:id="780"/>
      <w:r w:rsidRPr="00183E4D">
        <w:lastRenderedPageBreak/>
        <w:t xml:space="preserve">Appendix </w:t>
      </w:r>
      <w:fldSimple w:instr=" SEQ Appendix \* ALPHABETIC ">
        <w:r w:rsidR="0029649D">
          <w:rPr>
            <w:noProof/>
          </w:rPr>
          <w:t>E</w:t>
        </w:r>
      </w:fldSimple>
      <w:bookmarkEnd w:id="800"/>
      <w:r w:rsidRPr="00183E4D">
        <w:tab/>
      </w:r>
      <w:bookmarkEnd w:id="801"/>
      <w:bookmarkEnd w:id="802"/>
      <w:bookmarkEnd w:id="803"/>
      <w:r w:rsidRPr="00183E4D">
        <w:t>Excluded Studies</w:t>
      </w:r>
      <w:bookmarkEnd w:id="804"/>
      <w:bookmarkEnd w:id="805"/>
    </w:p>
    <w:p w14:paraId="6956C95D" w14:textId="77777777" w:rsidR="009C48F7" w:rsidRDefault="009C48F7" w:rsidP="009C48F7">
      <w:pPr>
        <w:pStyle w:val="Heading2"/>
      </w:pPr>
      <w:bookmarkStart w:id="806" w:name="_Toc460514023"/>
      <w:r>
        <w:t>Studies excluded from the diagnostic accuracy of biopsy search</w:t>
      </w:r>
      <w:bookmarkEnd w:id="806"/>
    </w:p>
    <w:p w14:paraId="4177D5AB" w14:textId="67195880" w:rsidR="009C48F7" w:rsidRPr="00FD1D79" w:rsidRDefault="00FD1D79" w:rsidP="00FD1D79">
      <w:pPr>
        <w:spacing w:after="200" w:line="276" w:lineRule="auto"/>
        <w:rPr>
          <w:b/>
        </w:rPr>
      </w:pPr>
      <w:r>
        <w:rPr>
          <w:b/>
        </w:rPr>
        <w:t>Excluded due to full-text unavailable</w:t>
      </w:r>
    </w:p>
    <w:p w14:paraId="2D4CD5A4" w14:textId="77777777" w:rsidR="009C48F7" w:rsidRPr="009C48F7" w:rsidRDefault="009C48F7" w:rsidP="009C48F7">
      <w:r w:rsidRPr="009C48F7">
        <w:t>Ciatto, S, Bonardi, R, Lombardi, C, Cappelli, G, Castagnoli, A, D'Agata, A, Zappa, M &amp; Gervasi, G 2001, 'Predicting prostate biopsy outcome by findings at digital rectal examination, transrectal ultrasonography, psa, psa density and free-to-total psa ratio in a population-based screening setting', International Journal of Biological Markers, vol.16(3), pp. 179-82.</w:t>
      </w:r>
    </w:p>
    <w:p w14:paraId="77ACCA38" w14:textId="77777777" w:rsidR="009C48F7" w:rsidRPr="009C48F7" w:rsidRDefault="009C48F7" w:rsidP="009C48F7">
      <w:r w:rsidRPr="009C48F7">
        <w:t>Frohmuller, HG &amp; Wirth, M 1988, 'Transrectal aspiration biopsy and punch biopsy in the diagnosis of prostate carcinoma--a comparative study and literature review', Progress in clinical and biological research, vol.269pp. 21-32.</w:t>
      </w:r>
    </w:p>
    <w:p w14:paraId="3AD6B7C9" w14:textId="77777777" w:rsidR="009C48F7" w:rsidRPr="009C48F7" w:rsidRDefault="009C48F7" w:rsidP="009C48F7">
      <w:r w:rsidRPr="009C48F7">
        <w:t>Galfano, A, Novara, G, Iafrate, M, Cosentino, M, Cavalleri, S, Artibani, W &amp; Ficarra, V 2007, 'Prostate biopsy: The transperineal approach', EAU-EBU Update Series, vol.5(6), pp. 241-49.</w:t>
      </w:r>
    </w:p>
    <w:p w14:paraId="1B505056" w14:textId="7326C463" w:rsidR="009C48F7" w:rsidRPr="009C48F7" w:rsidRDefault="009C48F7" w:rsidP="009C48F7">
      <w:r w:rsidRPr="009C48F7">
        <w:t>Sivaraman, A, Sanchez-Salas, R, Castro-Marin, M, Barret, E, Guillot-Tantay, C, Prapotnich, D &amp; Cathelineau, X 2016, 'Evolution of prostate biopsy techniques. Looking back on a meaningful journey', Actas urologicas espanolas, vol.4pp. 4.</w:t>
      </w:r>
    </w:p>
    <w:p w14:paraId="38B34CC1" w14:textId="2D9E31C3" w:rsidR="00072C8F" w:rsidRDefault="00072C8F" w:rsidP="00072C8F">
      <w:pPr>
        <w:pStyle w:val="Heading2"/>
      </w:pPr>
      <w:bookmarkStart w:id="807" w:name="_Toc460514024"/>
      <w:r>
        <w:t>Studies excluded from the diagnostic accuracy search</w:t>
      </w:r>
      <w:bookmarkEnd w:id="807"/>
    </w:p>
    <w:p w14:paraId="51945DE8" w14:textId="15B2737C" w:rsidR="00072C8F" w:rsidRPr="00B43AB3" w:rsidRDefault="00C7355D" w:rsidP="00072C8F">
      <w:pPr>
        <w:rPr>
          <w:b/>
        </w:rPr>
      </w:pPr>
      <w:r>
        <w:rPr>
          <w:b/>
        </w:rPr>
        <w:t>Results from some eligible patients not reported</w:t>
      </w:r>
    </w:p>
    <w:p w14:paraId="43E3664C" w14:textId="77777777" w:rsidR="00072C8F" w:rsidRDefault="00072C8F" w:rsidP="00072C8F">
      <w:r>
        <w:t xml:space="preserve"> Abd-Alazeez, M, Kirkham, A, Ahmed, HU, Arya, M, Anastasiadis, E, Charman, SC, Freeman, A &amp; Emberton, M 2014, 'Performance of multiparametric MRI in men at risk of prostate cancer before the first biopsy: a paired validating cohort study using template prostate mapping biopsies as the reference standard', Prostate Cancer Prostatic Dis, vol.17, pp. 40-6.</w:t>
      </w:r>
    </w:p>
    <w:p w14:paraId="05D8435C" w14:textId="77777777" w:rsidR="00072C8F" w:rsidRDefault="00072C8F" w:rsidP="00072C8F">
      <w:r>
        <w:t xml:space="preserve">Alberts, AR, Schoots, IG, Bokhorst, LP, van Leenders, GJ, Bangma, CH &amp; Roobol, MJ 2015, 'Risk-based Patient Selection for Magnetic Resonance Imaging-targeted Prostate Biopsy after Negative Transrectal Ultrasound-guided Random Biopsy Avoids Unnecessary Magnetic Resonance Imaging Scans', Eur Urol, vol., pp. </w:t>
      </w:r>
    </w:p>
    <w:p w14:paraId="549CDA6A" w14:textId="77777777" w:rsidR="00072C8F" w:rsidRDefault="00072C8F" w:rsidP="00072C8F">
      <w:r>
        <w:t>Mendhiratta, N, Meng, X, Rosenkrantz, AB, Wysock, JS, Fenstermaker, M, Huang, R, Deng, FM, Melamed, J, Zhou, M, Huang, WC, Lepor, H &amp; Taneja, SS 2015, 'Prebiopsy MRI and MRI-ultrasound Fusion-targeted Prostate Biopsy in Men With Previous Negative Biopsies: Impact on Repeat Biopsy Strategies', Urology, vol.86, pp. 1192-8.</w:t>
      </w:r>
    </w:p>
    <w:p w14:paraId="207404FA" w14:textId="77777777" w:rsidR="00072C8F" w:rsidRDefault="00072C8F" w:rsidP="00072C8F">
      <w:r>
        <w:lastRenderedPageBreak/>
        <w:t xml:space="preserve">Mertan, FV, Greer, MD, Shih, JH, George, AK, Kongnyuy, M, Muthigi, A, Merino, MJ, Wood, BJ, Pinto, PA, Choyke, PL &amp; Turkbey, B 2016, 'Prospective Evaluation of the Prostate Imaging Reporting and Data System version 2 (PI-RADSv2) for Prostate Cancer Detection', J Urol, vol., pp. </w:t>
      </w:r>
    </w:p>
    <w:p w14:paraId="1DEFB6F3" w14:textId="77777777" w:rsidR="00072C8F" w:rsidRDefault="00072C8F" w:rsidP="00072C8F">
      <w:r>
        <w:t>Nagel, KN, Schouten, MG, Hambrock, T, Litjens, GJ, Hoeks, CM, ten Haken, B, Barentsz, JO &amp; Futterer, JJ 2013, 'Differentiation of prostatitis and prostate cancer by using diffusion-weighted MR imaging and MR-guided biopsy at 3 T', Radiology, vol.267, pp. 164-72.</w:t>
      </w:r>
    </w:p>
    <w:p w14:paraId="104A50BC" w14:textId="77777777" w:rsidR="00072C8F" w:rsidRDefault="00072C8F" w:rsidP="00072C8F">
      <w:r>
        <w:t>Platzek, I, Borkowetz, A, Toma, M, Brauer, T, Meissner, C, Dietel, K, Wirth, M &amp; Laniado, M 2015, 'Multiparametric Prostate Magnetic Resonance Imaging at 3 T: Failure of Magnetic Resonance Spectroscopy to Provide Added Value', J Comput Assist Tomogr, vol.39, pp. 674-80.</w:t>
      </w:r>
    </w:p>
    <w:p w14:paraId="0E080894" w14:textId="77777777" w:rsidR="00072C8F" w:rsidRDefault="00072C8F" w:rsidP="00072C8F">
      <w:r>
        <w:t>Polanec, S, Helbich, TH, Bickel, H, Pinker-Domenig, K, Georg, D, Shariat, SF, Aulitzky, W, Susani, M &amp; Baltzer, PA 2016b, 'Head-to-head comparison of PI-RADS v2 and PI-RADS v1', Eur J Radiol, vol.85, pp. 1125-31.</w:t>
      </w:r>
    </w:p>
    <w:p w14:paraId="653DC5CB" w14:textId="77777777" w:rsidR="00072C8F" w:rsidRDefault="00072C8F" w:rsidP="00072C8F">
      <w:r>
        <w:t>Rastinehad, AR, Waingankar, N, Turkbey, B, Yaskiv, O, Sonstegard, AM, Fakhoury, M, Olsson, CA, Siegel, DN, Choyke, PL, Ben-Levi, E &amp; Villani, R 2015, 'Comparison of Multiparametric MRI Scoring Systems and the Impact on Cancer Detection in Patients Undergoing MR US Fusion Guided Prostate Biopsies', PLoS One, vol.10, pp. e0143404.</w:t>
      </w:r>
    </w:p>
    <w:p w14:paraId="0DD9E726" w14:textId="77777777" w:rsidR="00072C8F" w:rsidRDefault="00072C8F" w:rsidP="00072C8F">
      <w:r>
        <w:t>Renard-Penna, R, Mozer, P, Cornud, F, Barry-Delongchamps, N, Bruguiere, E, Portalez, D &amp; Malavaud, B 2015a, 'Prostate Imaging Reporting and Data System and Likert Scoring System: Multiparametric MR Imaging Validation Study to Screen Patients for Initial Biopsy', Radiology, vol.275, pp. 458-68.</w:t>
      </w:r>
    </w:p>
    <w:p w14:paraId="7B854D94" w14:textId="77777777" w:rsidR="00072C8F" w:rsidRDefault="00072C8F" w:rsidP="00072C8F">
      <w:r>
        <w:t>Salami, SS, Vira, MA, Turkbey, B, Fakhoury, M, Yaskiv, O, Villani, R, Ben-Levi, E &amp; Rastinehad, AR 2014, 'Multiparametric magnetic resonance imaging outperforms the Prostate Cancer Prevention Trial risk calculator in predicting clinically significant prostate cancer', Cancer, vol.120, pp. 2876-82.</w:t>
      </w:r>
    </w:p>
    <w:p w14:paraId="43FE307C" w14:textId="77777777" w:rsidR="00072C8F" w:rsidRDefault="00072C8F" w:rsidP="00072C8F">
      <w:r>
        <w:t>Schimmoller, L, Quentin, M, Arsov, C, Hiester, A, Buchbender, C, Rabenalt, R, Albers, P, Antoch, G &amp; Blondin, D 2014, 'MR-sequences for prostate cancer diagnostics: validation based on the PI-RADS scoring system and targeted MR-guided in-bore biopsy', Eur Radiol, vol.24, pp. 2582-9.</w:t>
      </w:r>
    </w:p>
    <w:p w14:paraId="0996D958" w14:textId="77777777" w:rsidR="00072C8F" w:rsidRDefault="00072C8F" w:rsidP="00072C8F">
      <w:r>
        <w:t>Schimmoller, L, Quentin, M, Arsov, C, Lanzman, RS, Hiester, A, Rabenalt, R, Antoch, G, Albers, P &amp; Blondin, D 2013, 'Inter-reader agreement of the ESUR score for prostate MRI using in-bore MRI-guided biopsies as the reference standard', Eur Radiol, vol.23, pp. 3185-90.</w:t>
      </w:r>
    </w:p>
    <w:p w14:paraId="7B1CC5B4" w14:textId="77777777" w:rsidR="00072C8F" w:rsidRDefault="00072C8F" w:rsidP="00072C8F">
      <w:r>
        <w:t>Volkin, D, Turkbey, B, Hoang, AN, Rais-Bahrami, S, Yerram, N, Walton-Diaz, A, Nix, JW, Wood, BJ, Choyke, PL &amp; Pinto, PA 2014, 'Multiparametric magnetic resonance imaging (MRI) and subsequent MRI/ultrasonography fusion-guided biopsy increase the detection of anteriorly located prostate cancers', BJU Int, vol.114, pp. E43-9.</w:t>
      </w:r>
    </w:p>
    <w:p w14:paraId="19D98833" w14:textId="77777777" w:rsidR="00072C8F" w:rsidRPr="00183E4D" w:rsidRDefault="00072C8F" w:rsidP="00072C8F">
      <w:r>
        <w:lastRenderedPageBreak/>
        <w:t>Yerram, NK, Volkin, D, Turkbey, B, Nix, J, Hoang, AN, Vourganti, S, Gupta, GN, Linehan, WM, Choyke, PL, Wood, BJ &amp; Pinto, PA 2012, 'Low suspicion lesions on multiparametric magnetic resonance imaging predict for the absence of high-risk prostate cancer', BJU Int, vol.110, pp. E783-8.</w:t>
      </w:r>
    </w:p>
    <w:p w14:paraId="494ABF1B" w14:textId="3638BEDC" w:rsidR="00072C8F" w:rsidRPr="00B43AB3" w:rsidRDefault="00952F07" w:rsidP="00072C8F">
      <w:pPr>
        <w:rPr>
          <w:b/>
        </w:rPr>
      </w:pPr>
      <w:r>
        <w:rPr>
          <w:b/>
        </w:rPr>
        <w:t>E</w:t>
      </w:r>
      <w:r w:rsidR="00072C8F">
        <w:rPr>
          <w:b/>
        </w:rPr>
        <w:t>xcluded due to duplicate patient</w:t>
      </w:r>
      <w:r w:rsidR="00072C8F" w:rsidRPr="00B43AB3">
        <w:rPr>
          <w:b/>
        </w:rPr>
        <w:t xml:space="preserve"> data</w:t>
      </w:r>
    </w:p>
    <w:p w14:paraId="53923996" w14:textId="77777777" w:rsidR="00072C8F" w:rsidRPr="00184785" w:rsidRDefault="00072C8F" w:rsidP="00072C8F">
      <w:r w:rsidRPr="00184785">
        <w:t>Pepe, P, Garufi, A, Priolo, G &amp; Pennisi, M 2015a, 'Can 3-Tesla pelvic phased-array multiparametric MRI avoid unnecessary repeat prostate biopsy in patients with PSA &lt; 10 ng/mL?', Clin Genitourin Cancer, vol.13, pp. e27-30.</w:t>
      </w:r>
    </w:p>
    <w:p w14:paraId="2BB813F9" w14:textId="7A8C8FF2" w:rsidR="00072C8F" w:rsidRDefault="00952F07" w:rsidP="00072C8F">
      <w:pPr>
        <w:rPr>
          <w:b/>
        </w:rPr>
      </w:pPr>
      <w:r>
        <w:rPr>
          <w:b/>
        </w:rPr>
        <w:t>Excluded due to un</w:t>
      </w:r>
      <w:r w:rsidR="00072C8F">
        <w:rPr>
          <w:b/>
        </w:rPr>
        <w:t>extractable data</w:t>
      </w:r>
    </w:p>
    <w:p w14:paraId="4FE30130" w14:textId="0957AA92" w:rsidR="00072C8F" w:rsidRPr="00B43AB3" w:rsidRDefault="00072C8F" w:rsidP="00072C8F">
      <w:r w:rsidRPr="00B43AB3">
        <w:t xml:space="preserve">Hoeks, CM, Somford, DM, van Oort, IM, Vergunst, H, Oddens, JR, Smits, GA, Roobol, MJ, Bul, M, Hambrock, T, Witjes, JA, Futterer, JJ, Hulsbergen-van de Kaa, CA &amp; Barentsz, JO 2014, 'Value of 3-T multiparametric magnetic resonance imaging and magnetic resonance-guided biopsy for early risk restratification in </w:t>
      </w:r>
      <w:r w:rsidR="004E17B9">
        <w:t>AS</w:t>
      </w:r>
      <w:r w:rsidRPr="00B43AB3">
        <w:t xml:space="preserve"> of low-risk prostate cancer: a prospective multicenter cohort study', Invest Radiol, vol.49, pp. 165-72.</w:t>
      </w:r>
    </w:p>
    <w:p w14:paraId="52B15E16" w14:textId="77777777" w:rsidR="00072C8F" w:rsidRPr="00B43AB3" w:rsidRDefault="00072C8F" w:rsidP="00072C8F">
      <w:r w:rsidRPr="00B43AB3">
        <w:t>Kamrava, M, Kishan, AU, Margolis, DJ, Huang, J, Dorey, F, Lieu, P, Kupelian, PA &amp; Marks, LS 2015, 'Multiparametric magnetic resonance imaging for prostate cancer improves Gleason score assessment in favorable risk prostate cancer', Pract Radiat Oncol, vol.5, pp. 411-6.</w:t>
      </w:r>
    </w:p>
    <w:p w14:paraId="79734F0D" w14:textId="5F4661BD" w:rsidR="00072C8F" w:rsidRDefault="00FD1D79" w:rsidP="00072C8F">
      <w:pPr>
        <w:rPr>
          <w:b/>
        </w:rPr>
      </w:pPr>
      <w:r>
        <w:rPr>
          <w:b/>
        </w:rPr>
        <w:t>E</w:t>
      </w:r>
      <w:r w:rsidR="00072C8F">
        <w:rPr>
          <w:b/>
        </w:rPr>
        <w:t>xcluded due to failure to report data for Populations 1 and 2 separately</w:t>
      </w:r>
    </w:p>
    <w:p w14:paraId="57AC967D" w14:textId="77777777" w:rsidR="00072C8F" w:rsidRPr="00045E56" w:rsidRDefault="00072C8F" w:rsidP="00072C8F">
      <w:r w:rsidRPr="00045E56">
        <w:t>Anastasiadis, E, Charman, SC, Arumainayagam, N, Sohaib, AS, Allen, C, Freeman, A, Emberton, M &amp; Ahmed, HU 2015, 'What Burden of Prostate Cancer Can Radiologists Rule Out on Multiparametric Magnetic Resonance Imaging? A Sensitivity Analysis Based on Varying the Target Condition in Template Prostate Mapping Biopsies', Urology, vol.86, pp. 544-51.</w:t>
      </w:r>
    </w:p>
    <w:p w14:paraId="1316217D" w14:textId="77777777" w:rsidR="00072C8F" w:rsidRPr="00045E56" w:rsidRDefault="00072C8F" w:rsidP="00072C8F">
      <w:r w:rsidRPr="00045E56">
        <w:t>Arumainayagam, N, Ahmed, HU, Moore, CM, Freeman, A, Allen, C, Sohaib, SA, Kirkham, A, van der Meulen, J &amp; Emberton, M 2013, 'Multiparametric MR imaging for detection of clinically significant prostate cancer: a validation cohort study with transperineal template prostate mapping as the reference standard', Radiology, vol.268, pp. 761-9.</w:t>
      </w:r>
    </w:p>
    <w:p w14:paraId="530F7759" w14:textId="77777777" w:rsidR="00072C8F" w:rsidRPr="00045E56" w:rsidRDefault="00072C8F" w:rsidP="00072C8F">
      <w:r w:rsidRPr="00045E56">
        <w:t>Grey, ADR, Chana, MS, Popert, R, Wolfe, K, Liyanage, SH &amp; Acher, PL 2015, 'Diagnostic accuracy of magnetic resonance imaging (MRI) prostate imaging reporting and data system (PI-RADS) scoring in a transperineal prostate biopsy setting', BJU International, vol.115, pp. 728-35.</w:t>
      </w:r>
    </w:p>
    <w:p w14:paraId="1362815A" w14:textId="77777777" w:rsidR="00072C8F" w:rsidRPr="00045E56" w:rsidRDefault="00072C8F" w:rsidP="00072C8F">
      <w:r w:rsidRPr="00045E56">
        <w:t>Habchi, H, Bratan, F, Paye, A, Pagnoux, G, Sanzalone, T, Mege-Lechevallier, F, Crouzet, S, Colombel, M, Rabilloud, M &amp; Rouviere, O 2014, 'Value of prostate multiparametric magnetic resonance imaging for predicting biopsy results in first or repeat biopsy', Clin Radiol, vol.69, pp. e120-8.</w:t>
      </w:r>
    </w:p>
    <w:p w14:paraId="570F9E57" w14:textId="3C339A5E" w:rsidR="000C0CCE" w:rsidRDefault="00072C8F" w:rsidP="00E163C2">
      <w:pPr>
        <w:spacing w:after="200" w:line="276" w:lineRule="auto"/>
      </w:pPr>
      <w:r w:rsidRPr="00045E56">
        <w:lastRenderedPageBreak/>
        <w:t>Junker, D, Schafer, G, Edlinger, M, Kremser, C, Bektic, J, Horninger, W, Jaschke, W &amp; Aigner, F 2013, 'Evaluation of the PI-RADS scoring system for classifying mpMRI findings in men with suspicion of prostate cancer', Biomed</w:t>
      </w:r>
      <w:r w:rsidR="00FD1D79">
        <w:t xml:space="preserve"> Res Int, vol.2013, pp. 252939.</w:t>
      </w:r>
    </w:p>
    <w:p w14:paraId="0A789E10" w14:textId="0D3A6193" w:rsidR="00072C8F" w:rsidRPr="00E163C2" w:rsidRDefault="00072C8F" w:rsidP="00E163C2">
      <w:pPr>
        <w:spacing w:after="200" w:line="276" w:lineRule="auto"/>
        <w:rPr>
          <w:rStyle w:val="Heading2Char"/>
        </w:rPr>
      </w:pPr>
      <w:bookmarkStart w:id="808" w:name="_Toc460514025"/>
      <w:r w:rsidRPr="00E163C2">
        <w:rPr>
          <w:rStyle w:val="Heading2Char"/>
        </w:rPr>
        <w:t>Studies excluded from the patient outcomes search</w:t>
      </w:r>
      <w:bookmarkEnd w:id="808"/>
    </w:p>
    <w:p w14:paraId="50546F7A" w14:textId="77777777" w:rsidR="00072C8F" w:rsidRDefault="00072C8F" w:rsidP="00072C8F">
      <w:pPr>
        <w:rPr>
          <w:b/>
        </w:rPr>
      </w:pPr>
      <w:r>
        <w:rPr>
          <w:b/>
        </w:rPr>
        <w:t>Studies included in the systematic review by Van den Bergh and therefore not included as primary studies</w:t>
      </w:r>
    </w:p>
    <w:p w14:paraId="524586D7" w14:textId="77777777" w:rsidR="00072C8F" w:rsidRPr="00462049" w:rsidRDefault="00072C8F" w:rsidP="00072C8F">
      <w:r w:rsidRPr="00462049">
        <w:t>Abern, MR, Aronson, WJ, Terris, MK, Kane, CJ, Presti, JC, Amling, CL &amp; Freedland, SJ 2013, 'Delayed radical prostatectomy for intermediate‐risk prostate cancer is associated with biochemical recurrence: Possible implications for active surveillance from the SEARCH database', The Prostate, vol.73, pp. 409-17.</w:t>
      </w:r>
    </w:p>
    <w:p w14:paraId="5052D90B" w14:textId="77777777" w:rsidR="00072C8F" w:rsidRPr="00462049" w:rsidRDefault="00072C8F" w:rsidP="00072C8F">
      <w:r w:rsidRPr="00462049">
        <w:t>Andrews, SF, Horwitz, EM, Feigenberg, SJ, Eisenberg, DF, Hanlon, AL, Uzzo, RG &amp; Pollack, A 2005, 'Does a delay in external beam radiation therapy after tissue diagnosis affect outcome for men with prostate carcinoma?', Cancer, vol.104, pp. 299-304.</w:t>
      </w:r>
    </w:p>
    <w:p w14:paraId="155D6D44" w14:textId="77777777" w:rsidR="00072C8F" w:rsidRPr="00462049" w:rsidRDefault="00072C8F" w:rsidP="00072C8F">
      <w:r w:rsidRPr="00462049">
        <w:t>Bul, M, van den Bergh, RC, Zhu, X, Rannikko, A, Vasarainen, H, Bangma, CH, Schroder, FH &amp; Roobol, MJ 2012a, 'Outcomes of initially expectantly managed patients with low or intermediate risk screen-detected localized prostate cancer', BJU Int, vol.110, pp. 1672-7.</w:t>
      </w:r>
    </w:p>
    <w:p w14:paraId="3C357D41" w14:textId="77777777" w:rsidR="00072C8F" w:rsidRPr="00462049" w:rsidRDefault="00072C8F" w:rsidP="00072C8F">
      <w:r w:rsidRPr="00462049">
        <w:t>Ercole, B, Marietti, SR, Fine, J &amp; Albertsen, PC 2008, 'Outcomes following active surveillance of men with localized prostate cancer diagnosed in the prostate specific antigen era', J Urol, vol.180, pp. 1336-9; discussion 40-1.</w:t>
      </w:r>
    </w:p>
    <w:p w14:paraId="6B12FF40" w14:textId="77777777" w:rsidR="00072C8F" w:rsidRPr="00462049" w:rsidRDefault="00072C8F" w:rsidP="00072C8F">
      <w:r w:rsidRPr="00462049">
        <w:t>Godtman, RA, Holmberg, E, Khatami, A, Stranne, J &amp; Hugosson, J 2013, 'Outcome following active surveillance of men with screen-detected prostate cancer. Results from the Goteborg randomised population-based prostate cancer screening trial', Eur Urol, vol.63, pp. 101-7.</w:t>
      </w:r>
    </w:p>
    <w:p w14:paraId="52D735E1" w14:textId="77777777" w:rsidR="00072C8F" w:rsidRPr="00462049" w:rsidRDefault="00072C8F" w:rsidP="00072C8F">
      <w:r w:rsidRPr="00462049">
        <w:t>Graefen, M, Walz, J, Chun, KH, Schlomm, T, Haese, A &amp; Huland, H 2005, 'Reasonable delay of surgical treatment in men with localized prostate cancer--impact on prognosis?', Eur Urol, vol.47, pp. 756-60.</w:t>
      </w:r>
    </w:p>
    <w:p w14:paraId="253AEDB4" w14:textId="77777777" w:rsidR="00072C8F" w:rsidRPr="00462049" w:rsidRDefault="00072C8F" w:rsidP="00072C8F">
      <w:r w:rsidRPr="00462049">
        <w:t>Holmstrom, B, Holmberg, E, Egevad, L, Adolfsson, J, Johansson, JE, Hugosson, J &amp; Stattin, P 2010, 'Outcome of primary versus deferred radical prostatectomy in the National Prostate Cancer Register of Sweden Follow-Up Study', J Urol, vol.184, pp. 1322-7.</w:t>
      </w:r>
    </w:p>
    <w:p w14:paraId="60BDDA9F" w14:textId="77777777" w:rsidR="00072C8F" w:rsidRPr="00462049" w:rsidRDefault="00072C8F" w:rsidP="00072C8F">
      <w:r w:rsidRPr="00462049">
        <w:t>Khan, MA, Mangold, LA, Epstein, JI, Boitnott, JK, Walsh, PC &amp; Partin, AW 2004, 'Impact of surgical delay on long-term cancer control for clinically localized prostate cancer', J Urol, vol.172, pp. 1835-9.</w:t>
      </w:r>
    </w:p>
    <w:p w14:paraId="6E78E37F" w14:textId="77777777" w:rsidR="00072C8F" w:rsidRPr="00462049" w:rsidRDefault="00072C8F" w:rsidP="00072C8F">
      <w:r w:rsidRPr="00462049">
        <w:t>Klotz, L, Vesprini, D, Sethukavalan, P, Jethava, V, Zhang, L, Jain, S, Yamamoto, T, Mamedov, A &amp; Loblaw, A 2015, 'Long-term follow-up of a large active surveillance cohort of patients with prostate cancer', J Clin Oncol, vol.33, pp. 272-7.</w:t>
      </w:r>
    </w:p>
    <w:p w14:paraId="2EBC61E5" w14:textId="77777777" w:rsidR="00072C8F" w:rsidRPr="00462049" w:rsidRDefault="00072C8F" w:rsidP="00072C8F">
      <w:r w:rsidRPr="00462049">
        <w:lastRenderedPageBreak/>
        <w:t>Korets, R, Seager, CM, Pitman, MS, Hruby, GW, Benson, MC &amp; McKiernan, JM 2012, 'Effect of delaying surgery on radical prostatectomy outcomes: a contemporary analysis', BJU Int, vol.110, pp. 211-6.</w:t>
      </w:r>
    </w:p>
    <w:p w14:paraId="0C04511B" w14:textId="77777777" w:rsidR="00072C8F" w:rsidRPr="00462049" w:rsidRDefault="00072C8F" w:rsidP="00072C8F">
      <w:r w:rsidRPr="00462049">
        <w:t>Kwan, W, Pickles, T, Duncan, G, Liu, M &amp; Paltiel, C 2006, 'Relationship between delay in radiotherapy and biochemical control in prostate cancer', Int J Radiat Oncol Biol Phys, vol.66, pp. 663-8.</w:t>
      </w:r>
    </w:p>
    <w:p w14:paraId="1CA83427" w14:textId="77777777" w:rsidR="00072C8F" w:rsidRPr="00462049" w:rsidRDefault="00072C8F" w:rsidP="00072C8F">
      <w:r w:rsidRPr="00462049">
        <w:t>Nam, RK, Jewett, MA, Krahn, MD, Robinette, MA, Tsihlias, J, Toi, A, Ho, M, Evans, A, Sweet, J &amp; Trachtenberg, J 2003, 'Delay in surgical therapy for clinically localized prostate cancer and biochemical recurrence after radical prostatectomy', Can J Urol, vol.10, pp. 1891-8.</w:t>
      </w:r>
    </w:p>
    <w:p w14:paraId="7BE5909C" w14:textId="77777777" w:rsidR="00072C8F" w:rsidRPr="00462049" w:rsidRDefault="00072C8F" w:rsidP="00072C8F">
      <w:r w:rsidRPr="00462049">
        <w:t>Nguyen, PL, Whittington, R, Koo, S, Schultz, D, Cote, KB, Loffredo, M, McMahon, E, Renshaw, AA, Tomaszewski, JE &amp; D'Amico, AV 2005, 'The impact of a delay in initiating radiation therapy on prostate-specific antigen outcome for patients with clinically localized prostate carcinoma', Cancer, vol.103, pp. 2053-9.</w:t>
      </w:r>
    </w:p>
    <w:p w14:paraId="30E9A5B6" w14:textId="77777777" w:rsidR="00072C8F" w:rsidRPr="00462049" w:rsidRDefault="00072C8F" w:rsidP="00072C8F">
      <w:r w:rsidRPr="00462049">
        <w:t>O'Brien, D, Loeb, S, Carvalhal, GF, McGuire, BB, Kan, D, Hofer, MD, Casey, JT, Helfand, BT &amp; Catalona, WJ 2011, 'Delay of surgery in men with low risk prostate cancer', J Urol, vol.185, pp. 2143-7.</w:t>
      </w:r>
    </w:p>
    <w:p w14:paraId="0E870652" w14:textId="77777777" w:rsidR="00072C8F" w:rsidRPr="00462049" w:rsidRDefault="00072C8F" w:rsidP="00072C8F">
      <w:r w:rsidRPr="00462049">
        <w:t>Phillips, JJ, Hall, MC, Lee, WR &amp; Clark, PE 2007, 'Does a delay in initiating definitive therapy affect biochemical recurrence rates in men with clinically localized prostate cancer?', Urol Oncol, vol.25, pp. 196-200.</w:t>
      </w:r>
    </w:p>
    <w:p w14:paraId="6D0A2B0A" w14:textId="77777777" w:rsidR="00072C8F" w:rsidRPr="00462049" w:rsidRDefault="00072C8F" w:rsidP="00072C8F">
      <w:r w:rsidRPr="00462049">
        <w:t>Selvadurai, ED, Singhera, M, Thomas, K, Mohammed, K, Woode-Amissah, R, Horwich, A, Huddart, RA, Dearnaley, DP &amp; Parker, CC 2013, 'Medium-term outcomes of active surveillance for localised prostate cancer', Eur Urol, vol.64, pp. 981-7.</w:t>
      </w:r>
    </w:p>
    <w:p w14:paraId="3A2201C3" w14:textId="77777777" w:rsidR="00072C8F" w:rsidRPr="00462049" w:rsidRDefault="00072C8F" w:rsidP="00072C8F">
      <w:r w:rsidRPr="00462049">
        <w:t>Sun, M, Abdollah, F, Hansen, J, Trinh, QD, Bianchi, M, Tian, Z, Briganti, A, Shariat, SF, Montorsi, F, Perrotte, P &amp; Karakiewicz, PI 2012, 'Is a treatment delay in radical prostatectomy safe in individuals with low-risk prostate cancer?', J Sex Med, vol.9, pp. 2961-9.</w:t>
      </w:r>
    </w:p>
    <w:p w14:paraId="45AA7BAB" w14:textId="77777777" w:rsidR="00072C8F" w:rsidRPr="00462049" w:rsidRDefault="00072C8F" w:rsidP="00072C8F">
      <w:r w:rsidRPr="00462049">
        <w:t>van den Bergh, RC, Steyerberg, EW, Khatami, A, Aus, G, Pihl, CG, Wolters, T, van Leeuwen, PJ, Roobol, MJ, Schroder, FH &amp; Hugosson, J 2010, 'Is delayed radical prostatectomy in men with low-risk screen-detected prostate cancer associated with a higher risk of unfavorable outcomes?', Cancer, vol.116, pp. 1281-90.</w:t>
      </w:r>
    </w:p>
    <w:p w14:paraId="38572331" w14:textId="77777777" w:rsidR="00072C8F" w:rsidRDefault="00072C8F" w:rsidP="00072C8F">
      <w:r w:rsidRPr="00462049">
        <w:t>Vickers, AJ, Bianco, FJ, Jr., Boorjian, S, Scardino, PT &amp; Eastham, JA 2006, 'Does a delay between diagnosis and radical prostatectomy increase the risk of disease recurrence?', Cancer, vol.106, pp. 576-80.</w:t>
      </w:r>
    </w:p>
    <w:p w14:paraId="1B8FE331" w14:textId="77777777" w:rsidR="00A709B8" w:rsidRDefault="00A709B8" w:rsidP="00072C8F"/>
    <w:p w14:paraId="7A0B81AD" w14:textId="77777777" w:rsidR="00A709B8" w:rsidRPr="00462049" w:rsidRDefault="00A709B8" w:rsidP="00072C8F"/>
    <w:p w14:paraId="01EDE100" w14:textId="08C494CC" w:rsidR="00072C8F" w:rsidRDefault="00FD1D79" w:rsidP="00072C8F">
      <w:pPr>
        <w:spacing w:after="200" w:line="276" w:lineRule="auto"/>
        <w:rPr>
          <w:b/>
        </w:rPr>
      </w:pPr>
      <w:r>
        <w:rPr>
          <w:b/>
        </w:rPr>
        <w:lastRenderedPageBreak/>
        <w:t>E</w:t>
      </w:r>
      <w:r w:rsidR="00072C8F">
        <w:rPr>
          <w:b/>
        </w:rPr>
        <w:t>xcluded due to full-text unavailable</w:t>
      </w:r>
    </w:p>
    <w:p w14:paraId="1DDD7A72" w14:textId="77777777" w:rsidR="00072C8F" w:rsidRPr="00896932" w:rsidRDefault="00072C8F" w:rsidP="00072C8F">
      <w:pPr>
        <w:spacing w:after="200" w:line="276" w:lineRule="auto"/>
      </w:pPr>
      <w:r w:rsidRPr="00896932">
        <w:t>Adolfsson, J, Ronstrom, L, Lowhagen, T, Carstensen, J &amp; Hedlund, PO 1994, 'Deferred treatment of clinically localized low grade prostate cancer: the experience from a prospective series at the Karolinska Hospital', J Urol, vol.152, pp. 1757-60.</w:t>
      </w:r>
    </w:p>
    <w:p w14:paraId="54AF18CB" w14:textId="77777777" w:rsidR="00072C8F" w:rsidRPr="00896932" w:rsidRDefault="00072C8F" w:rsidP="00072C8F">
      <w:pPr>
        <w:spacing w:after="200" w:line="276" w:lineRule="auto"/>
      </w:pPr>
      <w:r w:rsidRPr="00896932">
        <w:t>Adolfsson, J, Steineck, G &amp; Hedlund, PO 1999b, 'Deferred treatment of locally advanced nonmetastatic prostate cancer: a long-term followup', J Urol, vol.161, pp. 505-8.</w:t>
      </w:r>
    </w:p>
    <w:p w14:paraId="5C57091F" w14:textId="77777777" w:rsidR="00072C8F" w:rsidRPr="00896932" w:rsidRDefault="00072C8F" w:rsidP="00072C8F">
      <w:pPr>
        <w:spacing w:after="200" w:line="276" w:lineRule="auto"/>
      </w:pPr>
      <w:r w:rsidRPr="00896932">
        <w:t>Radomski, L, Gani, J, Trottier, G &amp; Finelli, A 2012, 'Active surveillance failure for prostate cancer: does the delay in treatment increase the risk of urinary incontinence?', Can J Urol, vol.19, pp. 6287-92.</w:t>
      </w:r>
    </w:p>
    <w:p w14:paraId="5DBFDE75" w14:textId="77777777" w:rsidR="00072C8F" w:rsidRDefault="00072C8F" w:rsidP="00072C8F">
      <w:pPr>
        <w:spacing w:after="200" w:line="276" w:lineRule="auto"/>
      </w:pPr>
      <w:r w:rsidRPr="00896932">
        <w:t>Rodriguez Alonso, A, Gonzalez Blanco, A, Pita Fernandez, S, Pertega Diaz, S, Bonelli Martin, C &amp; Cuerpo Perez, MA 2009, 'Impact of surgical delay on pathological findings and prognosis of patients with prostate cancer', Actas Urol Esp, vol.33, pp. 1069-77.</w:t>
      </w:r>
    </w:p>
    <w:p w14:paraId="069F18D0" w14:textId="09667F10" w:rsidR="00072C8F" w:rsidRPr="00072C8F" w:rsidRDefault="00072C8F" w:rsidP="00072C8F">
      <w:pPr>
        <w:pStyle w:val="Heading2"/>
      </w:pPr>
      <w:bookmarkStart w:id="809" w:name="_Toc460514026"/>
      <w:r>
        <w:t>Studies excluded from the Reliability search</w:t>
      </w:r>
      <w:bookmarkEnd w:id="809"/>
    </w:p>
    <w:p w14:paraId="0F87FA2B" w14:textId="77777777" w:rsidR="00CA02E4" w:rsidRDefault="00CA02E4" w:rsidP="00CA02E4">
      <w:pPr>
        <w:spacing w:after="200" w:line="276" w:lineRule="auto"/>
        <w:rPr>
          <w:b/>
        </w:rPr>
      </w:pPr>
      <w:r>
        <w:rPr>
          <w:b/>
        </w:rPr>
        <w:t>Excluded due to full-text unavailable</w:t>
      </w:r>
    </w:p>
    <w:p w14:paraId="0DE23EFD" w14:textId="77777777" w:rsidR="00072C8F" w:rsidRDefault="00072C8F" w:rsidP="00072C8F">
      <w:r w:rsidRPr="00000A53">
        <w:t>Lin, WC, Muglia, VF, Silva, GE, Chodraui Filho, S, Reis, RB &amp; Westphalen, AC 2016, 'Multiparametric MRI of the prostate: diagnostic performance and interreader agreement of two scoring systems', Br J Radiol, vol.89, pp. 20151056.</w:t>
      </w:r>
    </w:p>
    <w:p w14:paraId="3B972077" w14:textId="434E9E02" w:rsidR="00072C8F" w:rsidRPr="00072C8F" w:rsidRDefault="00072C8F" w:rsidP="00072C8F">
      <w:pPr>
        <w:rPr>
          <w:b/>
        </w:rPr>
      </w:pPr>
      <w:r w:rsidRPr="00072C8F">
        <w:rPr>
          <w:b/>
        </w:rPr>
        <w:t xml:space="preserve">Data not reported for </w:t>
      </w:r>
      <w:r w:rsidR="00CA02E4">
        <w:rPr>
          <w:b/>
        </w:rPr>
        <w:t>all eligible patients</w:t>
      </w:r>
    </w:p>
    <w:p w14:paraId="2FC543AF" w14:textId="77777777" w:rsidR="00072C8F" w:rsidRDefault="00072C8F" w:rsidP="00072C8F">
      <w:r w:rsidRPr="00000A53">
        <w:t>Schimmoller, L, Quentin, M, Arsov, C, Lanzman, RS, Hiester, A, Rabenalt, R, Antoch, G, Albers, P &amp; Blondin, D 2013, 'Inter-reader agreement of the ESUR score for prostate MRI using in-bore MRI-guided biopsies as the reference standard', Eur Radiol, vol.23, pp. 3185-90.</w:t>
      </w:r>
    </w:p>
    <w:p w14:paraId="5EFD2C75" w14:textId="319F71FA" w:rsidR="009C48F7" w:rsidRDefault="009C48F7" w:rsidP="009C48F7">
      <w:pPr>
        <w:pStyle w:val="Heading2"/>
      </w:pPr>
      <w:bookmarkStart w:id="810" w:name="_Toc460514027"/>
      <w:r>
        <w:t>Studies excluded from the safety search</w:t>
      </w:r>
      <w:bookmarkEnd w:id="810"/>
    </w:p>
    <w:p w14:paraId="319C4676" w14:textId="79F660F0" w:rsidR="009C48F7" w:rsidRPr="009C48F7" w:rsidRDefault="009C48F7" w:rsidP="009C48F7">
      <w:pPr>
        <w:rPr>
          <w:b/>
        </w:rPr>
      </w:pPr>
      <w:r>
        <w:rPr>
          <w:b/>
        </w:rPr>
        <w:t>Duplicate</w:t>
      </w:r>
      <w:r w:rsidRPr="009C48F7">
        <w:rPr>
          <w:b/>
        </w:rPr>
        <w:t xml:space="preserve"> patient data</w:t>
      </w:r>
    </w:p>
    <w:p w14:paraId="4CE445C2" w14:textId="5E395A9F" w:rsidR="009C48F7" w:rsidRDefault="009C48F7" w:rsidP="009C48F7">
      <w:r w:rsidRPr="009C48F7">
        <w:t>Eichler, K, Hempel, S, Wilby, J, Myers, L, Bachmann, LM &amp; Kleijnen, J 2006, 'Diagnostic value of systematic biopsy methods in the investigation of prostate cancer: A systematic review', Journal of Urology, vol.175(5), pp. 1605-12.</w:t>
      </w:r>
    </w:p>
    <w:p w14:paraId="0362E91C" w14:textId="7912EDF0" w:rsidR="00714F24" w:rsidRDefault="001341F5">
      <w:pPr>
        <w:spacing w:after="0" w:line="240" w:lineRule="auto"/>
        <w:rPr>
          <w:rFonts w:eastAsiaTheme="minorHAnsi"/>
          <w:lang w:eastAsia="en-US"/>
        </w:rPr>
      </w:pPr>
      <w:r w:rsidRPr="00183E4D">
        <w:rPr>
          <w:rFonts w:eastAsiaTheme="minorHAnsi"/>
          <w:lang w:eastAsia="en-US"/>
        </w:rPr>
        <w:br w:type="page"/>
      </w:r>
    </w:p>
    <w:p w14:paraId="6451284B" w14:textId="5D97C0B3" w:rsidR="001341F5" w:rsidRDefault="00714F24" w:rsidP="00714F24">
      <w:pPr>
        <w:pStyle w:val="Heading1"/>
        <w:rPr>
          <w:rFonts w:eastAsiaTheme="minorHAnsi"/>
          <w:lang w:eastAsia="en-US"/>
        </w:rPr>
      </w:pPr>
      <w:bookmarkStart w:id="811" w:name="_Toc460514028"/>
      <w:r>
        <w:rPr>
          <w:rFonts w:eastAsiaTheme="minorHAnsi"/>
          <w:lang w:eastAsia="en-US"/>
        </w:rPr>
        <w:lastRenderedPageBreak/>
        <w:t>Appendix</w:t>
      </w:r>
      <w:r w:rsidR="00A14849">
        <w:rPr>
          <w:rFonts w:eastAsiaTheme="minorHAnsi"/>
          <w:lang w:eastAsia="en-US"/>
        </w:rPr>
        <w:t xml:space="preserve"> </w:t>
      </w:r>
      <w:r w:rsidR="00A14849" w:rsidRPr="00812EF1">
        <w:rPr>
          <w:noProof/>
        </w:rPr>
        <w:t>F</w:t>
      </w:r>
      <w:r w:rsidR="00A14849">
        <w:rPr>
          <w:rFonts w:eastAsiaTheme="minorHAnsi"/>
          <w:lang w:eastAsia="en-US"/>
        </w:rPr>
        <w:tab/>
        <w:t>Quality Appraisal</w:t>
      </w:r>
      <w:bookmarkEnd w:id="811"/>
    </w:p>
    <w:p w14:paraId="36E2A9CC" w14:textId="798E1CE4" w:rsidR="00A22E63" w:rsidRDefault="00A22E63" w:rsidP="00256AA2">
      <w:pPr>
        <w:pStyle w:val="Heading2"/>
        <w:rPr>
          <w:rFonts w:eastAsiaTheme="minorHAnsi"/>
          <w:lang w:eastAsia="en-US"/>
        </w:rPr>
      </w:pPr>
      <w:bookmarkStart w:id="812" w:name="_Toc460514029"/>
      <w:r>
        <w:rPr>
          <w:rFonts w:eastAsiaTheme="minorHAnsi"/>
          <w:lang w:eastAsia="en-US"/>
        </w:rPr>
        <w:t>Triggering questions for the QUAD</w:t>
      </w:r>
      <w:r w:rsidR="00F032F9">
        <w:rPr>
          <w:rFonts w:eastAsiaTheme="minorHAnsi"/>
          <w:lang w:eastAsia="en-US"/>
        </w:rPr>
        <w:t>A</w:t>
      </w:r>
      <w:r>
        <w:rPr>
          <w:rFonts w:eastAsiaTheme="minorHAnsi"/>
          <w:lang w:eastAsia="en-US"/>
        </w:rPr>
        <w:t>S-2 tool</w:t>
      </w:r>
      <w:bookmarkEnd w:id="812"/>
    </w:p>
    <w:p w14:paraId="0F89F6D9" w14:textId="128074D9" w:rsidR="000B1DB4" w:rsidRPr="000B1DB4" w:rsidRDefault="000B1DB4" w:rsidP="009A220C">
      <w:pPr>
        <w:pStyle w:val="Caption"/>
        <w:rPr>
          <w:rFonts w:eastAsiaTheme="minorHAnsi"/>
          <w:lang w:eastAsia="en-US"/>
        </w:rPr>
      </w:pPr>
      <w:bookmarkStart w:id="813" w:name="_Ref460489183"/>
      <w:bookmarkStart w:id="814" w:name="_Toc460514580"/>
      <w:r>
        <w:t xml:space="preserve">Table </w:t>
      </w:r>
      <w:fldSimple w:instr=" SEQ Table \* ARABIC ">
        <w:r w:rsidR="0029649D">
          <w:rPr>
            <w:noProof/>
          </w:rPr>
          <w:t>80</w:t>
        </w:r>
      </w:fldSimple>
      <w:bookmarkEnd w:id="813"/>
      <w:r w:rsidR="006B2901">
        <w:rPr>
          <w:noProof/>
        </w:rPr>
        <w:tab/>
        <w:t>QUADAS triggering questions</w:t>
      </w:r>
      <w:bookmarkEnd w:id="814"/>
    </w:p>
    <w:tbl>
      <w:tblPr>
        <w:tblStyle w:val="TableGrid"/>
        <w:tblW w:w="0" w:type="auto"/>
        <w:tblLook w:val="04A0" w:firstRow="1" w:lastRow="0" w:firstColumn="1" w:lastColumn="0" w:noHBand="0" w:noVBand="1"/>
        <w:tblDescription w:val="TRIGGERING QUESTIONS FOR THE QUADS-2 TOOL"/>
      </w:tblPr>
      <w:tblGrid>
        <w:gridCol w:w="1529"/>
        <w:gridCol w:w="3808"/>
        <w:gridCol w:w="3905"/>
      </w:tblGrid>
      <w:tr w:rsidR="00B56DB3" w:rsidRPr="00AC2941" w14:paraId="0FE4D7A4" w14:textId="77777777" w:rsidTr="006C4425">
        <w:trPr>
          <w:tblHeader/>
        </w:trPr>
        <w:tc>
          <w:tcPr>
            <w:tcW w:w="1529" w:type="dxa"/>
            <w:shd w:val="clear" w:color="auto" w:fill="auto"/>
          </w:tcPr>
          <w:p w14:paraId="5412BE31" w14:textId="77777777" w:rsidR="00B56DB3" w:rsidRPr="00AC2941" w:rsidRDefault="00B56DB3" w:rsidP="00B56DB3">
            <w:pPr>
              <w:pStyle w:val="TableHeading"/>
            </w:pPr>
            <w:r w:rsidRPr="00AC2941">
              <w:t>Question</w:t>
            </w:r>
          </w:p>
        </w:tc>
        <w:tc>
          <w:tcPr>
            <w:tcW w:w="3808" w:type="dxa"/>
            <w:shd w:val="clear" w:color="auto" w:fill="auto"/>
          </w:tcPr>
          <w:p w14:paraId="6E1732D8" w14:textId="77777777" w:rsidR="00B56DB3" w:rsidRPr="00AC2941" w:rsidRDefault="00B56DB3" w:rsidP="00B56DB3">
            <w:pPr>
              <w:pStyle w:val="TableHeading"/>
            </w:pPr>
            <w:r w:rsidRPr="00AC2941">
              <w:t>Criteria for Y/N/unclear</w:t>
            </w:r>
          </w:p>
        </w:tc>
        <w:tc>
          <w:tcPr>
            <w:tcW w:w="3905" w:type="dxa"/>
            <w:shd w:val="clear" w:color="auto" w:fill="auto"/>
          </w:tcPr>
          <w:p w14:paraId="0B066888" w14:textId="77777777" w:rsidR="00B56DB3" w:rsidRPr="00AC2941" w:rsidRDefault="00B56DB3" w:rsidP="00B56DB3">
            <w:pPr>
              <w:pStyle w:val="TableHeading"/>
            </w:pPr>
            <w:r w:rsidRPr="00AC2941">
              <w:t>Notes</w:t>
            </w:r>
          </w:p>
        </w:tc>
      </w:tr>
      <w:tr w:rsidR="00B56DB3" w14:paraId="5E61AF81" w14:textId="77777777" w:rsidTr="00B56DB3">
        <w:tc>
          <w:tcPr>
            <w:tcW w:w="1529" w:type="dxa"/>
            <w:shd w:val="clear" w:color="auto" w:fill="auto"/>
          </w:tcPr>
          <w:p w14:paraId="593164D3" w14:textId="77777777" w:rsidR="00B56DB3" w:rsidRPr="00AC2941" w:rsidRDefault="00B56DB3" w:rsidP="00B56DB3">
            <w:pPr>
              <w:pStyle w:val="Tabletext1"/>
            </w:pPr>
            <w:r w:rsidRPr="00AC2941">
              <w:t>Was patient enrolment consecutive or random?</w:t>
            </w:r>
          </w:p>
        </w:tc>
        <w:tc>
          <w:tcPr>
            <w:tcW w:w="3808" w:type="dxa"/>
            <w:shd w:val="clear" w:color="auto" w:fill="auto"/>
          </w:tcPr>
          <w:p w14:paraId="56F5DFF9" w14:textId="247A11A3" w:rsidR="00B56DB3" w:rsidRDefault="00B56DB3" w:rsidP="00B56DB3">
            <w:pPr>
              <w:pStyle w:val="Tabletext1"/>
            </w:pPr>
            <w:r>
              <w:t>YES: Study should state consecutive patients or that assignment to each arm was randomised</w:t>
            </w:r>
            <w:r w:rsidR="00F65B49">
              <w:t>.</w:t>
            </w:r>
          </w:p>
          <w:p w14:paraId="319E2DD2" w14:textId="7A036EA8" w:rsidR="00B56DB3" w:rsidRDefault="00B56DB3" w:rsidP="00B56DB3">
            <w:pPr>
              <w:pStyle w:val="Tabletext1"/>
            </w:pPr>
            <w:r>
              <w:t>NO: Study states not consecutive or not random assignment (or describe assignment that is not random)</w:t>
            </w:r>
            <w:r w:rsidR="00F65B49">
              <w:t>.</w:t>
            </w:r>
          </w:p>
          <w:p w14:paraId="1C50AD61" w14:textId="77777777" w:rsidR="00B56DB3" w:rsidRDefault="00B56DB3" w:rsidP="00B56DB3">
            <w:pPr>
              <w:pStyle w:val="Tabletext1"/>
            </w:pPr>
            <w:r>
              <w:t>UNCLEAR: If not described how patients were enrolled or assigned to a group then mark as unclear.</w:t>
            </w:r>
          </w:p>
        </w:tc>
        <w:tc>
          <w:tcPr>
            <w:tcW w:w="3905" w:type="dxa"/>
            <w:shd w:val="clear" w:color="auto" w:fill="auto"/>
          </w:tcPr>
          <w:p w14:paraId="5E181EC7" w14:textId="637E49F0" w:rsidR="00B56DB3" w:rsidRDefault="00B56DB3" w:rsidP="00B56DB3">
            <w:pPr>
              <w:pStyle w:val="Tabletext1"/>
            </w:pPr>
            <w:r>
              <w:t>Studies should enrol consecutive patients or randomly allocate. If not there is potential for bias</w:t>
            </w:r>
            <w:r w:rsidR="00F65B49">
              <w:t>.</w:t>
            </w:r>
          </w:p>
        </w:tc>
      </w:tr>
      <w:tr w:rsidR="00B56DB3" w14:paraId="1550DBF2" w14:textId="77777777" w:rsidTr="00B56DB3">
        <w:tc>
          <w:tcPr>
            <w:tcW w:w="1529" w:type="dxa"/>
            <w:shd w:val="clear" w:color="auto" w:fill="auto"/>
          </w:tcPr>
          <w:p w14:paraId="6496C153" w14:textId="77777777" w:rsidR="00B56DB3" w:rsidRPr="00AC2941" w:rsidRDefault="00B56DB3" w:rsidP="00B56DB3">
            <w:pPr>
              <w:pStyle w:val="Tabletext1"/>
            </w:pPr>
            <w:r w:rsidRPr="00AC2941">
              <w:t>Was case-control design avoided?</w:t>
            </w:r>
          </w:p>
        </w:tc>
        <w:tc>
          <w:tcPr>
            <w:tcW w:w="3808" w:type="dxa"/>
            <w:shd w:val="clear" w:color="auto" w:fill="auto"/>
          </w:tcPr>
          <w:p w14:paraId="068388B7" w14:textId="62EE2C4A" w:rsidR="00B56DB3" w:rsidRDefault="00B56DB3" w:rsidP="00B56DB3">
            <w:pPr>
              <w:pStyle w:val="Tabletext1"/>
            </w:pPr>
            <w:r>
              <w:t xml:space="preserve">YES: </w:t>
            </w:r>
            <w:r w:rsidR="00F65B49">
              <w:t>C</w:t>
            </w:r>
            <w:r>
              <w:t>ase control design avoided</w:t>
            </w:r>
            <w:r w:rsidR="00F65B49">
              <w:t>.</w:t>
            </w:r>
          </w:p>
          <w:p w14:paraId="7F2075BF" w14:textId="66260C6A" w:rsidR="00B56DB3" w:rsidRDefault="00B56DB3" w:rsidP="00B56DB3">
            <w:pPr>
              <w:pStyle w:val="Tabletext1"/>
            </w:pPr>
            <w:r>
              <w:t xml:space="preserve">NO: </w:t>
            </w:r>
            <w:r w:rsidR="00F65B49">
              <w:t>C</w:t>
            </w:r>
            <w:r>
              <w:t>ase control design used</w:t>
            </w:r>
            <w:r w:rsidR="00F65B49">
              <w:t>.</w:t>
            </w:r>
          </w:p>
          <w:p w14:paraId="1B52131B" w14:textId="5CB7302C" w:rsidR="00B56DB3" w:rsidRDefault="00B56DB3" w:rsidP="00B56DB3">
            <w:pPr>
              <w:pStyle w:val="Tabletext1"/>
            </w:pPr>
            <w:r>
              <w:t xml:space="preserve">Unclear: </w:t>
            </w:r>
            <w:r w:rsidR="00F65B49">
              <w:t>S</w:t>
            </w:r>
            <w:r>
              <w:t xml:space="preserve">tudy does not report whether patients are known or suspected of having disease and whether a group of healthy patients were also included. </w:t>
            </w:r>
          </w:p>
        </w:tc>
        <w:tc>
          <w:tcPr>
            <w:tcW w:w="3905" w:type="dxa"/>
            <w:shd w:val="clear" w:color="auto" w:fill="auto"/>
          </w:tcPr>
          <w:p w14:paraId="36B3A9E2" w14:textId="7ABFF6E0" w:rsidR="00B56DB3" w:rsidRDefault="00B56DB3" w:rsidP="00B56DB3">
            <w:pPr>
              <w:pStyle w:val="Tabletext1"/>
            </w:pPr>
            <w:r>
              <w:t>Case control design is when a group of people known to have disease and a control group of people without the disease are enrolled</w:t>
            </w:r>
            <w:r w:rsidR="00F65B49">
              <w:t>.</w:t>
            </w:r>
          </w:p>
          <w:p w14:paraId="258909FC" w14:textId="1A5D9426" w:rsidR="00B56DB3" w:rsidRDefault="00B56DB3" w:rsidP="00B56DB3">
            <w:pPr>
              <w:pStyle w:val="Tabletext1"/>
            </w:pPr>
            <w:r>
              <w:t>This may exaggerate diagnostic accuracy because borderline cases are excluded</w:t>
            </w:r>
            <w:r w:rsidR="00F65B49">
              <w:t>.</w:t>
            </w:r>
          </w:p>
        </w:tc>
      </w:tr>
      <w:tr w:rsidR="00B56DB3" w14:paraId="17227A13" w14:textId="77777777" w:rsidTr="00B56DB3">
        <w:tc>
          <w:tcPr>
            <w:tcW w:w="1529" w:type="dxa"/>
            <w:shd w:val="clear" w:color="auto" w:fill="auto"/>
          </w:tcPr>
          <w:p w14:paraId="5A128CC2" w14:textId="77777777" w:rsidR="00B56DB3" w:rsidRPr="00AC2941" w:rsidRDefault="00B56DB3" w:rsidP="00B56DB3">
            <w:pPr>
              <w:pStyle w:val="Tabletext1"/>
            </w:pPr>
            <w:r w:rsidRPr="00AC2941">
              <w:t>Did the study avoid inappropriate exclusions?</w:t>
            </w:r>
          </w:p>
        </w:tc>
        <w:tc>
          <w:tcPr>
            <w:tcW w:w="3808" w:type="dxa"/>
            <w:shd w:val="clear" w:color="auto" w:fill="auto"/>
          </w:tcPr>
          <w:p w14:paraId="14AED103" w14:textId="06ECDDE6" w:rsidR="00B56DB3" w:rsidRDefault="00B56DB3" w:rsidP="00B56DB3">
            <w:pPr>
              <w:pStyle w:val="Tabletext1"/>
            </w:pPr>
            <w:r>
              <w:t xml:space="preserve">YES: </w:t>
            </w:r>
            <w:r w:rsidR="00F65B49">
              <w:t xml:space="preserve">All </w:t>
            </w:r>
            <w:r>
              <w:t>patients were excluded appropriately (i</w:t>
            </w:r>
            <w:r w:rsidR="00F65B49">
              <w:t>.</w:t>
            </w:r>
            <w:r>
              <w:t>e</w:t>
            </w:r>
            <w:r w:rsidR="00F65B49">
              <w:t>.</w:t>
            </w:r>
            <w:r>
              <w:t xml:space="preserve"> all had suspicion of disease, no other inappropriate exclusions)</w:t>
            </w:r>
            <w:r w:rsidR="00F65B49">
              <w:t>.</w:t>
            </w:r>
          </w:p>
          <w:p w14:paraId="11950E19" w14:textId="2B8A618A" w:rsidR="00B56DB3" w:rsidRDefault="00B56DB3" w:rsidP="00B56DB3">
            <w:pPr>
              <w:pStyle w:val="Tabletext1"/>
            </w:pPr>
            <w:r>
              <w:t xml:space="preserve">NO: </w:t>
            </w:r>
            <w:r w:rsidR="00F65B49">
              <w:t>S</w:t>
            </w:r>
            <w:r>
              <w:t>tudy made inappropriate exclusions</w:t>
            </w:r>
            <w:r w:rsidR="00F65B49">
              <w:t>.</w:t>
            </w:r>
          </w:p>
          <w:p w14:paraId="1E4A9CCA" w14:textId="1C5DFD6F" w:rsidR="00B56DB3" w:rsidRDefault="00B56DB3" w:rsidP="00B56DB3">
            <w:pPr>
              <w:pStyle w:val="Tabletext1"/>
            </w:pPr>
            <w:r>
              <w:t>Unclear: study does not report any exclusion criteria</w:t>
            </w:r>
            <w:r w:rsidR="00F65B49">
              <w:t>.</w:t>
            </w:r>
          </w:p>
        </w:tc>
        <w:tc>
          <w:tcPr>
            <w:tcW w:w="3905" w:type="dxa"/>
            <w:shd w:val="clear" w:color="auto" w:fill="auto"/>
          </w:tcPr>
          <w:p w14:paraId="212006A2" w14:textId="272249AC" w:rsidR="00B56DB3" w:rsidRDefault="00B56DB3" w:rsidP="00CC5DE9">
            <w:pPr>
              <w:pStyle w:val="Tabletext1"/>
            </w:pPr>
            <w:r>
              <w:t xml:space="preserve">Inappropriate exclusions are for example only including patients known to have the disease. Our studies should all include patients suspected of </w:t>
            </w:r>
            <w:r w:rsidR="006818E1">
              <w:t>PCa</w:t>
            </w:r>
            <w:r>
              <w:t xml:space="preserve"> but not confirmed (for pop 1) or those undergoing surveillance without any indication of whether their disease has progressed or not.</w:t>
            </w:r>
          </w:p>
          <w:p w14:paraId="64AB3523" w14:textId="5A80CDA2" w:rsidR="00B56DB3" w:rsidRDefault="00B56DB3" w:rsidP="00B56DB3">
            <w:pPr>
              <w:pStyle w:val="Tabletext1"/>
            </w:pPr>
            <w:r>
              <w:t>Only including confirmed cases exaggerates sensitivity because borderline cases or cases where diagnosis is difficult or those that may be FN have been excluded</w:t>
            </w:r>
            <w:r w:rsidR="00F65B49">
              <w:t>.</w:t>
            </w:r>
          </w:p>
        </w:tc>
      </w:tr>
      <w:tr w:rsidR="00B56DB3" w14:paraId="1818B4BF" w14:textId="77777777" w:rsidTr="00B56DB3">
        <w:tc>
          <w:tcPr>
            <w:tcW w:w="1529" w:type="dxa"/>
            <w:shd w:val="clear" w:color="auto" w:fill="auto"/>
          </w:tcPr>
          <w:p w14:paraId="1EF780AF" w14:textId="57F6BBD6" w:rsidR="00B56DB3" w:rsidRPr="00AC2941" w:rsidRDefault="00CC5DE9" w:rsidP="00B56DB3">
            <w:pPr>
              <w:pStyle w:val="Tabletext1"/>
            </w:pPr>
            <w:r>
              <w:t>Applicability</w:t>
            </w:r>
          </w:p>
        </w:tc>
        <w:tc>
          <w:tcPr>
            <w:tcW w:w="3808" w:type="dxa"/>
            <w:shd w:val="clear" w:color="auto" w:fill="auto"/>
          </w:tcPr>
          <w:p w14:paraId="18107AFD" w14:textId="199A4025" w:rsidR="00B56DB3" w:rsidRDefault="00CC5DE9" w:rsidP="00CC5DE9">
            <w:pPr>
              <w:pStyle w:val="Tabletext1"/>
            </w:pPr>
            <w:r w:rsidRPr="00AC2941">
              <w:t xml:space="preserve">What aspects of study patients do not match the protocol? </w:t>
            </w:r>
          </w:p>
        </w:tc>
        <w:tc>
          <w:tcPr>
            <w:tcW w:w="3905" w:type="dxa"/>
            <w:shd w:val="clear" w:color="auto" w:fill="auto"/>
          </w:tcPr>
          <w:p w14:paraId="4B4B0557" w14:textId="33A93EB9" w:rsidR="00B56DB3" w:rsidRDefault="00B56DB3" w:rsidP="00B56DB3">
            <w:pPr>
              <w:pStyle w:val="Tabletext1"/>
            </w:pPr>
            <w:r>
              <w:t xml:space="preserve">This is where, for example, we are interested in all patients with suspected </w:t>
            </w:r>
            <w:r w:rsidR="006818E1">
              <w:t>PCa</w:t>
            </w:r>
            <w:r>
              <w:t xml:space="preserve"> but paper only includes those at low risk, or those at very high risk. </w:t>
            </w:r>
          </w:p>
        </w:tc>
      </w:tr>
      <w:tr w:rsidR="00B56DB3" w14:paraId="1C664800" w14:textId="77777777" w:rsidTr="00B56DB3">
        <w:tc>
          <w:tcPr>
            <w:tcW w:w="1529" w:type="dxa"/>
            <w:shd w:val="clear" w:color="auto" w:fill="auto"/>
          </w:tcPr>
          <w:p w14:paraId="06DACA93" w14:textId="77777777" w:rsidR="00B56DB3" w:rsidRPr="00AC2941" w:rsidRDefault="00B56DB3" w:rsidP="00B56DB3">
            <w:pPr>
              <w:pStyle w:val="Tabletext1"/>
            </w:pPr>
            <w:r w:rsidRPr="00AC2941">
              <w:t>Were index test results interpreted without knowledge of the reference standard?</w:t>
            </w:r>
          </w:p>
        </w:tc>
        <w:tc>
          <w:tcPr>
            <w:tcW w:w="3808" w:type="dxa"/>
            <w:shd w:val="clear" w:color="auto" w:fill="auto"/>
          </w:tcPr>
          <w:p w14:paraId="129A0BF3" w14:textId="76CCBA41" w:rsidR="00B56DB3" w:rsidRDefault="00B56DB3" w:rsidP="00B56DB3">
            <w:pPr>
              <w:pStyle w:val="Tabletext1"/>
            </w:pPr>
            <w:r>
              <w:t xml:space="preserve">YES: </w:t>
            </w:r>
            <w:r w:rsidR="00F65B49">
              <w:t>S</w:t>
            </w:r>
            <w:r>
              <w:t>tudy states that MRI images were read without knowledge of biopsy results OR MRI images were read before biopsy performed</w:t>
            </w:r>
            <w:r w:rsidR="00F65B49">
              <w:t>.</w:t>
            </w:r>
          </w:p>
          <w:p w14:paraId="3AC912A3" w14:textId="271248A0" w:rsidR="00B56DB3" w:rsidRDefault="00B56DB3" w:rsidP="00B56DB3">
            <w:pPr>
              <w:pStyle w:val="Tabletext1"/>
            </w:pPr>
            <w:r>
              <w:t xml:space="preserve">NO: </w:t>
            </w:r>
            <w:r w:rsidR="00F65B49">
              <w:t>S</w:t>
            </w:r>
            <w:r>
              <w:t>tudy states MRI readers had knowledge of biopsy results</w:t>
            </w:r>
            <w:r w:rsidR="00F65B49">
              <w:t>.</w:t>
            </w:r>
          </w:p>
          <w:p w14:paraId="4EDCDB3E" w14:textId="0378E318" w:rsidR="00B56DB3" w:rsidRDefault="00B56DB3" w:rsidP="00B56DB3">
            <w:pPr>
              <w:pStyle w:val="Tabletext1"/>
            </w:pPr>
            <w:r>
              <w:t xml:space="preserve">Unclear: </w:t>
            </w:r>
            <w:r w:rsidR="00F65B49">
              <w:t>S</w:t>
            </w:r>
            <w:r>
              <w:t>tudy does not mention any blinding</w:t>
            </w:r>
            <w:r w:rsidR="00F65B49">
              <w:t>.</w:t>
            </w:r>
          </w:p>
        </w:tc>
        <w:tc>
          <w:tcPr>
            <w:tcW w:w="3905" w:type="dxa"/>
            <w:shd w:val="clear" w:color="auto" w:fill="auto"/>
          </w:tcPr>
          <w:p w14:paraId="09D3C62C" w14:textId="389580F3" w:rsidR="00B56DB3" w:rsidRDefault="00B56DB3" w:rsidP="00B56DB3">
            <w:pPr>
              <w:pStyle w:val="Tabletext1"/>
            </w:pPr>
            <w:r>
              <w:t>This refers to blinding – knowledge of the biopsy results may influence reading of the MRI</w:t>
            </w:r>
            <w:r w:rsidR="00F65B49">
              <w:t>.</w:t>
            </w:r>
          </w:p>
        </w:tc>
      </w:tr>
      <w:tr w:rsidR="00B56DB3" w14:paraId="288622BC" w14:textId="77777777" w:rsidTr="00B56DB3">
        <w:tc>
          <w:tcPr>
            <w:tcW w:w="1529" w:type="dxa"/>
            <w:shd w:val="clear" w:color="auto" w:fill="auto"/>
          </w:tcPr>
          <w:p w14:paraId="1AE4DC74" w14:textId="4FACAF56" w:rsidR="00B56DB3" w:rsidRPr="00AC2941" w:rsidRDefault="00B56DB3" w:rsidP="00F65B49">
            <w:pPr>
              <w:pStyle w:val="Tabletext1"/>
            </w:pPr>
            <w:r w:rsidRPr="00AC2941">
              <w:t>Was the threshold for a positive result pre-specified i</w:t>
            </w:r>
            <w:r w:rsidR="00F65B49">
              <w:t>.</w:t>
            </w:r>
            <w:r w:rsidRPr="00AC2941">
              <w:t>e</w:t>
            </w:r>
            <w:r w:rsidR="00F65B49">
              <w:t>.</w:t>
            </w:r>
            <w:r w:rsidRPr="00AC2941">
              <w:t xml:space="preserve"> PI</w:t>
            </w:r>
            <w:r w:rsidR="00350AF1">
              <w:t>-</w:t>
            </w:r>
            <w:r w:rsidRPr="00AC2941">
              <w:t>RADS ≥ 4</w:t>
            </w:r>
          </w:p>
        </w:tc>
        <w:tc>
          <w:tcPr>
            <w:tcW w:w="3808" w:type="dxa"/>
            <w:shd w:val="clear" w:color="auto" w:fill="auto"/>
          </w:tcPr>
          <w:p w14:paraId="58EA074F" w14:textId="2ECF691C" w:rsidR="00B56DB3" w:rsidRDefault="00B56DB3" w:rsidP="00B56DB3">
            <w:pPr>
              <w:pStyle w:val="Tabletext1"/>
            </w:pPr>
            <w:r>
              <w:t xml:space="preserve">YES: </w:t>
            </w:r>
            <w:r w:rsidR="00F65B49">
              <w:t>M</w:t>
            </w:r>
            <w:r>
              <w:t>ethods section states PI</w:t>
            </w:r>
            <w:r w:rsidR="00350AF1">
              <w:t>-</w:t>
            </w:r>
            <w:r>
              <w:t>RADS threshold used to determine a positive from a negative</w:t>
            </w:r>
            <w:r w:rsidR="00F65B49">
              <w:t>.</w:t>
            </w:r>
          </w:p>
          <w:p w14:paraId="2527523E" w14:textId="66001C1B" w:rsidR="00B56DB3" w:rsidRDefault="00B56DB3" w:rsidP="00B56DB3">
            <w:pPr>
              <w:pStyle w:val="Tabletext1"/>
            </w:pPr>
            <w:r>
              <w:t xml:space="preserve">NO: </w:t>
            </w:r>
            <w:r w:rsidR="00F65B49">
              <w:t>S</w:t>
            </w:r>
            <w:r>
              <w:t>tudy states PI</w:t>
            </w:r>
            <w:r w:rsidR="00350AF1">
              <w:t>-</w:t>
            </w:r>
            <w:r>
              <w:t>RADS ratio was determined after imaging or more than one threshold was trialled to optimise diagnostic accuracy</w:t>
            </w:r>
            <w:r w:rsidR="00F65B49">
              <w:t>.</w:t>
            </w:r>
          </w:p>
          <w:p w14:paraId="708AE79E" w14:textId="30972726" w:rsidR="00B56DB3" w:rsidRDefault="00B56DB3" w:rsidP="00B56DB3">
            <w:pPr>
              <w:pStyle w:val="Tabletext1"/>
            </w:pPr>
            <w:r>
              <w:t xml:space="preserve">Unclear: </w:t>
            </w:r>
            <w:r w:rsidR="00F65B49">
              <w:t>S</w:t>
            </w:r>
            <w:r w:rsidR="00350AF1">
              <w:t>tudy does not report whether P</w:t>
            </w:r>
            <w:r>
              <w:t>I</w:t>
            </w:r>
            <w:r w:rsidR="00350AF1">
              <w:t>-R</w:t>
            </w:r>
            <w:r>
              <w:t xml:space="preserve">ADS was determined before or after study </w:t>
            </w:r>
            <w:r>
              <w:lastRenderedPageBreak/>
              <w:t>started.</w:t>
            </w:r>
          </w:p>
        </w:tc>
        <w:tc>
          <w:tcPr>
            <w:tcW w:w="3905" w:type="dxa"/>
            <w:shd w:val="clear" w:color="auto" w:fill="auto"/>
          </w:tcPr>
          <w:p w14:paraId="1BE48319" w14:textId="1338ECF3" w:rsidR="00B56DB3" w:rsidRDefault="00B56DB3" w:rsidP="009A220C">
            <w:pPr>
              <w:pStyle w:val="Tabletext1"/>
            </w:pPr>
            <w:r>
              <w:lastRenderedPageBreak/>
              <w:t>Selecting the PI</w:t>
            </w:r>
            <w:r w:rsidR="00350AF1">
              <w:t>-</w:t>
            </w:r>
            <w:r>
              <w:t xml:space="preserve">RADS criteria during the study to optimise results may overestimate diagnostic accuracy – results are likely to be worse in an independent sample of patients for whom the ratio has not been optimised. </w:t>
            </w:r>
          </w:p>
        </w:tc>
      </w:tr>
      <w:tr w:rsidR="00B56DB3" w14:paraId="2A0C56E8" w14:textId="77777777" w:rsidTr="00B56DB3">
        <w:tc>
          <w:tcPr>
            <w:tcW w:w="1529" w:type="dxa"/>
            <w:shd w:val="clear" w:color="auto" w:fill="auto"/>
          </w:tcPr>
          <w:p w14:paraId="3CF50D4D" w14:textId="5E35918A" w:rsidR="00B56DB3" w:rsidRPr="00AC2941" w:rsidRDefault="00CC5DE9" w:rsidP="00CC5DE9">
            <w:pPr>
              <w:pStyle w:val="Tabletext1"/>
              <w:rPr>
                <w:highlight w:val="yellow"/>
              </w:rPr>
            </w:pPr>
            <w:r w:rsidRPr="00CC5DE9">
              <w:lastRenderedPageBreak/>
              <w:t>Applicability</w:t>
            </w:r>
          </w:p>
        </w:tc>
        <w:tc>
          <w:tcPr>
            <w:tcW w:w="3808" w:type="dxa"/>
            <w:shd w:val="clear" w:color="auto" w:fill="auto"/>
          </w:tcPr>
          <w:p w14:paraId="200C0B6E" w14:textId="4D7D626B" w:rsidR="00B56DB3" w:rsidRDefault="00CC5DE9" w:rsidP="00B56DB3">
            <w:pPr>
              <w:pStyle w:val="Tabletext1"/>
            </w:pPr>
            <w:r w:rsidRPr="00AC2941">
              <w:t>What aspects of intervention do not match the review question?</w:t>
            </w:r>
          </w:p>
        </w:tc>
        <w:tc>
          <w:tcPr>
            <w:tcW w:w="3905" w:type="dxa"/>
            <w:shd w:val="clear" w:color="auto" w:fill="auto"/>
          </w:tcPr>
          <w:p w14:paraId="6F339C9E" w14:textId="5327A582" w:rsidR="00B56DB3" w:rsidRDefault="00B56DB3" w:rsidP="00CC5DE9">
            <w:pPr>
              <w:pStyle w:val="Tabletext1"/>
            </w:pPr>
            <w:r>
              <w:t>This may include things like the threshold in the protocol for a yes is PI</w:t>
            </w:r>
            <w:r w:rsidR="00350AF1">
              <w:t>-</w:t>
            </w:r>
            <w:r>
              <w:t xml:space="preserve">RADS 4 or 5, the study may use ≥3. </w:t>
            </w:r>
          </w:p>
        </w:tc>
      </w:tr>
      <w:tr w:rsidR="00B56DB3" w14:paraId="0E5225B5" w14:textId="77777777" w:rsidTr="00B56DB3">
        <w:tc>
          <w:tcPr>
            <w:tcW w:w="1529" w:type="dxa"/>
            <w:shd w:val="clear" w:color="auto" w:fill="auto"/>
          </w:tcPr>
          <w:p w14:paraId="366EBF59" w14:textId="77777777" w:rsidR="00B56DB3" w:rsidRPr="00AC2941" w:rsidRDefault="00B56DB3" w:rsidP="00B56DB3">
            <w:pPr>
              <w:pStyle w:val="Tabletext1"/>
            </w:pPr>
            <w:r w:rsidRPr="00AC2941">
              <w:t>Is the reference standard likely to correctly classify the condition?</w:t>
            </w:r>
          </w:p>
        </w:tc>
        <w:tc>
          <w:tcPr>
            <w:tcW w:w="3808" w:type="dxa"/>
            <w:shd w:val="clear" w:color="auto" w:fill="auto"/>
          </w:tcPr>
          <w:p w14:paraId="51AF9498" w14:textId="7805F53D" w:rsidR="00B56DB3" w:rsidRDefault="00B56DB3" w:rsidP="00B56DB3">
            <w:pPr>
              <w:pStyle w:val="Tabletext1"/>
            </w:pPr>
            <w:r>
              <w:t>YES</w:t>
            </w:r>
            <w:r w:rsidR="00F65B49">
              <w:t>:</w:t>
            </w:r>
            <w:r>
              <w:t xml:space="preserve"> </w:t>
            </w:r>
            <w:r w:rsidR="00F65B49">
              <w:t>A</w:t>
            </w:r>
            <w:r>
              <w:t>n appropriate reference standard (biopsy or follow-up or surgical specimen) used</w:t>
            </w:r>
            <w:r w:rsidR="00F65B49">
              <w:t>.</w:t>
            </w:r>
          </w:p>
          <w:p w14:paraId="57E46E33" w14:textId="636A267C" w:rsidR="00B56DB3" w:rsidRDefault="00B56DB3" w:rsidP="00B56DB3">
            <w:pPr>
              <w:pStyle w:val="Tabletext1"/>
            </w:pPr>
            <w:r>
              <w:t xml:space="preserve">NO: </w:t>
            </w:r>
            <w:r w:rsidR="00F65B49">
              <w:t>A</w:t>
            </w:r>
            <w:r>
              <w:t>n inappropriate ref</w:t>
            </w:r>
            <w:r w:rsidR="00F65B49">
              <w:t>erence</w:t>
            </w:r>
            <w:r>
              <w:t xml:space="preserve"> st</w:t>
            </w:r>
            <w:r w:rsidR="00F65B49">
              <w:t>andar</w:t>
            </w:r>
            <w:r>
              <w:t>d used i</w:t>
            </w:r>
            <w:r w:rsidR="00F65B49">
              <w:t>.</w:t>
            </w:r>
            <w:r>
              <w:t>e</w:t>
            </w:r>
            <w:r w:rsidR="00F65B49">
              <w:t>.</w:t>
            </w:r>
            <w:r>
              <w:t xml:space="preserve"> CT, or PET – NOT these st</w:t>
            </w:r>
            <w:r w:rsidR="004E13AC">
              <w:t>udies should have been excluded.</w:t>
            </w:r>
          </w:p>
          <w:p w14:paraId="71647257" w14:textId="4A18C041" w:rsidR="00B56DB3" w:rsidRDefault="00B56DB3" w:rsidP="00B56DB3">
            <w:pPr>
              <w:pStyle w:val="Tabletext1"/>
            </w:pPr>
            <w:r>
              <w:t xml:space="preserve">Unclear: </w:t>
            </w:r>
            <w:r w:rsidR="00F65B49">
              <w:t>S</w:t>
            </w:r>
            <w:r>
              <w:t>tudy doesn’t report reference standard NOTE – these should be excluded</w:t>
            </w:r>
            <w:r w:rsidR="00F65B49">
              <w:t>.</w:t>
            </w:r>
          </w:p>
        </w:tc>
        <w:tc>
          <w:tcPr>
            <w:tcW w:w="3905" w:type="dxa"/>
            <w:shd w:val="clear" w:color="auto" w:fill="auto"/>
          </w:tcPr>
          <w:p w14:paraId="35836F50" w14:textId="77777777" w:rsidR="00B56DB3" w:rsidRDefault="00B56DB3" w:rsidP="00B56DB3">
            <w:pPr>
              <w:pStyle w:val="Tabletext1"/>
            </w:pPr>
            <w:r>
              <w:t xml:space="preserve">Diagnostic accuracy assumes reference standard is 100% sensitive and 100% specific and is therefore accurately able to assess the performance of other diagnostic tests. </w:t>
            </w:r>
          </w:p>
        </w:tc>
      </w:tr>
      <w:tr w:rsidR="00B56DB3" w14:paraId="2873106E" w14:textId="77777777" w:rsidTr="00B56DB3">
        <w:tc>
          <w:tcPr>
            <w:tcW w:w="1529" w:type="dxa"/>
            <w:shd w:val="clear" w:color="auto" w:fill="auto"/>
          </w:tcPr>
          <w:p w14:paraId="007D5BD6" w14:textId="77777777" w:rsidR="00B56DB3" w:rsidRPr="00AC2941" w:rsidRDefault="00B56DB3" w:rsidP="00B56DB3">
            <w:pPr>
              <w:pStyle w:val="Tabletext1"/>
            </w:pPr>
            <w:r w:rsidRPr="00AC2941">
              <w:t>Were reference standard results interpreted without knowledge of the index test?</w:t>
            </w:r>
          </w:p>
        </w:tc>
        <w:tc>
          <w:tcPr>
            <w:tcW w:w="3808" w:type="dxa"/>
            <w:shd w:val="clear" w:color="auto" w:fill="auto"/>
          </w:tcPr>
          <w:p w14:paraId="6438D45E" w14:textId="32945176" w:rsidR="00B56DB3" w:rsidRDefault="00B56DB3" w:rsidP="00B56DB3">
            <w:pPr>
              <w:pStyle w:val="Tabletext1"/>
            </w:pPr>
            <w:r>
              <w:t xml:space="preserve">YES: </w:t>
            </w:r>
            <w:r w:rsidR="00F65B49">
              <w:t>S</w:t>
            </w:r>
            <w:r>
              <w:t>tudy states e</w:t>
            </w:r>
            <w:r w:rsidR="007935C0">
              <w:t>.</w:t>
            </w:r>
            <w:r>
              <w:t>g</w:t>
            </w:r>
            <w:r w:rsidR="007935C0">
              <w:t>.</w:t>
            </w:r>
            <w:r>
              <w:t xml:space="preserve"> biopsy results read without knowledge of MRI (blind)</w:t>
            </w:r>
            <w:r w:rsidR="00F65B49">
              <w:t>.</w:t>
            </w:r>
          </w:p>
          <w:p w14:paraId="7337F9C1" w14:textId="342880B8" w:rsidR="00B56DB3" w:rsidRDefault="00B56DB3" w:rsidP="00B56DB3">
            <w:pPr>
              <w:pStyle w:val="Tabletext1"/>
            </w:pPr>
            <w:r>
              <w:t xml:space="preserve">NO: </w:t>
            </w:r>
            <w:r w:rsidR="00F65B49">
              <w:t>S</w:t>
            </w:r>
            <w:r>
              <w:t>tudy states</w:t>
            </w:r>
            <w:r w:rsidR="009A220C">
              <w:t xml:space="preserve"> </w:t>
            </w:r>
            <w:r w:rsidR="007935C0">
              <w:t>e.g.</w:t>
            </w:r>
            <w:r w:rsidR="00FA05F6">
              <w:t xml:space="preserve"> </w:t>
            </w:r>
            <w:r>
              <w:t>biopsy results read with knowledge of MRI</w:t>
            </w:r>
            <w:r w:rsidR="00F65B49">
              <w:t>.</w:t>
            </w:r>
          </w:p>
          <w:p w14:paraId="45756417" w14:textId="5B40AC6D" w:rsidR="00B56DB3" w:rsidRDefault="00B56DB3" w:rsidP="00B56DB3">
            <w:pPr>
              <w:pStyle w:val="Tabletext1"/>
            </w:pPr>
            <w:r>
              <w:t>Unclear: study doesn’t mention this</w:t>
            </w:r>
            <w:r w:rsidR="00F65B49">
              <w:t xml:space="preserve"> standard</w:t>
            </w:r>
            <w:r>
              <w:t>.</w:t>
            </w:r>
          </w:p>
        </w:tc>
        <w:tc>
          <w:tcPr>
            <w:tcW w:w="3905" w:type="dxa"/>
            <w:shd w:val="clear" w:color="auto" w:fill="auto"/>
          </w:tcPr>
          <w:p w14:paraId="438D8D50" w14:textId="10DEF2C1" w:rsidR="00B56DB3" w:rsidRDefault="00B56DB3" w:rsidP="00B56DB3">
            <w:pPr>
              <w:pStyle w:val="Tabletext1"/>
            </w:pPr>
            <w:r>
              <w:t>As above, knowing the</w:t>
            </w:r>
            <w:r w:rsidR="00FD5BE0">
              <w:t xml:space="preserve"> </w:t>
            </w:r>
            <w:r w:rsidR="007935C0">
              <w:t>e.g.</w:t>
            </w:r>
            <w:r w:rsidR="00CE2F17">
              <w:t xml:space="preserve"> </w:t>
            </w:r>
            <w:r>
              <w:t>MRI results could influence the biopsy results and therefore introduce bias.</w:t>
            </w:r>
          </w:p>
        </w:tc>
      </w:tr>
      <w:tr w:rsidR="00CC5DE9" w14:paraId="4B9144C8" w14:textId="77777777" w:rsidTr="00B56DB3">
        <w:tc>
          <w:tcPr>
            <w:tcW w:w="1529" w:type="dxa"/>
            <w:shd w:val="clear" w:color="auto" w:fill="auto"/>
          </w:tcPr>
          <w:p w14:paraId="3082CF05" w14:textId="4AF3C655" w:rsidR="00CC5DE9" w:rsidRPr="00AC2941" w:rsidRDefault="00CC5DE9" w:rsidP="00B56DB3">
            <w:pPr>
              <w:pStyle w:val="Tabletext1"/>
            </w:pPr>
            <w:r>
              <w:t>Applicability</w:t>
            </w:r>
          </w:p>
        </w:tc>
        <w:tc>
          <w:tcPr>
            <w:tcW w:w="3808" w:type="dxa"/>
            <w:shd w:val="clear" w:color="auto" w:fill="auto"/>
          </w:tcPr>
          <w:p w14:paraId="254CCCA8" w14:textId="5B23C0DD" w:rsidR="00CC5DE9" w:rsidRDefault="00CC5DE9" w:rsidP="00B56DB3">
            <w:pPr>
              <w:pStyle w:val="Tabletext1"/>
            </w:pPr>
            <w:r w:rsidRPr="00AC2941">
              <w:t>Are there concerns the reference standard might be different from the specifications in the protocol</w:t>
            </w:r>
            <w:r w:rsidR="00F65B49">
              <w:t>.</w:t>
            </w:r>
          </w:p>
        </w:tc>
        <w:tc>
          <w:tcPr>
            <w:tcW w:w="3905" w:type="dxa"/>
            <w:shd w:val="clear" w:color="auto" w:fill="auto"/>
          </w:tcPr>
          <w:p w14:paraId="0E541AB5" w14:textId="1430A7B7" w:rsidR="00CC5DE9" w:rsidRDefault="00CC5DE9" w:rsidP="00B56DB3">
            <w:pPr>
              <w:pStyle w:val="Tabletext1"/>
            </w:pPr>
          </w:p>
        </w:tc>
      </w:tr>
      <w:tr w:rsidR="00CC5DE9" w14:paraId="2E6D3A15" w14:textId="77777777" w:rsidTr="00B56DB3">
        <w:tc>
          <w:tcPr>
            <w:tcW w:w="1529" w:type="dxa"/>
            <w:shd w:val="clear" w:color="auto" w:fill="auto"/>
          </w:tcPr>
          <w:p w14:paraId="1F087AE2" w14:textId="77777777" w:rsidR="00CC5DE9" w:rsidRPr="00AC2941" w:rsidRDefault="00CC5DE9" w:rsidP="00B56DB3">
            <w:pPr>
              <w:pStyle w:val="Tabletext1"/>
            </w:pPr>
            <w:r w:rsidRPr="00AC2941">
              <w:t>Was the refere</w:t>
            </w:r>
            <w:r>
              <w:t>nce standard performed within 90</w:t>
            </w:r>
            <w:r w:rsidRPr="00AC2941">
              <w:t xml:space="preserve"> days of the index test?</w:t>
            </w:r>
          </w:p>
        </w:tc>
        <w:tc>
          <w:tcPr>
            <w:tcW w:w="3808" w:type="dxa"/>
            <w:shd w:val="clear" w:color="auto" w:fill="auto"/>
          </w:tcPr>
          <w:p w14:paraId="235EFBDB" w14:textId="1783B0CC" w:rsidR="00CC5DE9" w:rsidRDefault="00CC5DE9" w:rsidP="00B56DB3">
            <w:pPr>
              <w:pStyle w:val="Tabletext1"/>
            </w:pPr>
            <w:r>
              <w:t xml:space="preserve">YES: </w:t>
            </w:r>
            <w:r w:rsidR="00F65B49">
              <w:t>S</w:t>
            </w:r>
            <w:r>
              <w:t>tudy reports timing o</w:t>
            </w:r>
            <w:r w:rsidR="009A220C">
              <w:t xml:space="preserve">f </w:t>
            </w:r>
            <w:r w:rsidR="007935C0">
              <w:t>e.g.</w:t>
            </w:r>
            <w:r w:rsidR="009A220C">
              <w:t xml:space="preserve"> </w:t>
            </w:r>
            <w:r>
              <w:t>both MRI and biopsy and these are within 30 days</w:t>
            </w:r>
            <w:r w:rsidR="00F65B49">
              <w:t>.</w:t>
            </w:r>
          </w:p>
          <w:p w14:paraId="0DF0CC8A" w14:textId="32224851" w:rsidR="00CC5DE9" w:rsidRDefault="00CC5DE9" w:rsidP="00B56DB3">
            <w:pPr>
              <w:pStyle w:val="Tabletext1"/>
            </w:pPr>
            <w:r>
              <w:t xml:space="preserve">NO: </w:t>
            </w:r>
            <w:r w:rsidR="00F65B49">
              <w:t>S</w:t>
            </w:r>
            <w:r>
              <w:t>tudy reports timing of</w:t>
            </w:r>
            <w:r w:rsidR="009A220C">
              <w:t xml:space="preserve"> </w:t>
            </w:r>
            <w:r w:rsidR="007935C0">
              <w:t>e.g.</w:t>
            </w:r>
            <w:r w:rsidR="009A220C">
              <w:t xml:space="preserve"> </w:t>
            </w:r>
            <w:r>
              <w:t>MRI and biopsy but these are not within 90 days</w:t>
            </w:r>
            <w:r w:rsidR="00F65B49">
              <w:t>.</w:t>
            </w:r>
          </w:p>
          <w:p w14:paraId="69E384A6" w14:textId="67DAC270" w:rsidR="00CC5DE9" w:rsidRDefault="00CC5DE9" w:rsidP="00B56DB3">
            <w:pPr>
              <w:pStyle w:val="Tabletext1"/>
            </w:pPr>
            <w:r>
              <w:t xml:space="preserve">Unclear: </w:t>
            </w:r>
            <w:r w:rsidR="00F65B49">
              <w:t>S</w:t>
            </w:r>
            <w:r>
              <w:t>tudy does not report timing of tests</w:t>
            </w:r>
            <w:r w:rsidR="00F65B49">
              <w:t>.</w:t>
            </w:r>
          </w:p>
        </w:tc>
        <w:tc>
          <w:tcPr>
            <w:tcW w:w="3905" w:type="dxa"/>
            <w:shd w:val="clear" w:color="auto" w:fill="auto"/>
          </w:tcPr>
          <w:p w14:paraId="5864CF30" w14:textId="683D2CD5" w:rsidR="00CC5DE9" w:rsidRDefault="00CC5DE9" w:rsidP="00B56DB3">
            <w:pPr>
              <w:pStyle w:val="Tabletext1"/>
            </w:pPr>
            <w:r>
              <w:t>Ideally results of</w:t>
            </w:r>
            <w:r w:rsidR="009A220C">
              <w:t xml:space="preserve"> </w:t>
            </w:r>
            <w:r w:rsidR="007935C0">
              <w:t>e.g.</w:t>
            </w:r>
            <w:r w:rsidR="009A220C">
              <w:t xml:space="preserve"> </w:t>
            </w:r>
            <w:r>
              <w:t xml:space="preserve">MRI and biopsy would be performed on the same day but not always applicable. </w:t>
            </w:r>
          </w:p>
        </w:tc>
      </w:tr>
      <w:tr w:rsidR="00CC5DE9" w14:paraId="7970C487" w14:textId="77777777" w:rsidTr="00B56DB3">
        <w:tc>
          <w:tcPr>
            <w:tcW w:w="1529" w:type="dxa"/>
            <w:shd w:val="clear" w:color="auto" w:fill="auto"/>
          </w:tcPr>
          <w:p w14:paraId="2F5A02B5" w14:textId="77777777" w:rsidR="00CC5DE9" w:rsidRPr="00AC2941" w:rsidRDefault="00CC5DE9" w:rsidP="00B56DB3">
            <w:pPr>
              <w:pStyle w:val="Tabletext1"/>
            </w:pPr>
            <w:r w:rsidRPr="00AC2941">
              <w:t>Did all patients receive a reference standard</w:t>
            </w:r>
          </w:p>
        </w:tc>
        <w:tc>
          <w:tcPr>
            <w:tcW w:w="3808" w:type="dxa"/>
            <w:shd w:val="clear" w:color="auto" w:fill="auto"/>
          </w:tcPr>
          <w:p w14:paraId="2B26B3BF" w14:textId="75C9C2DC" w:rsidR="00CC5DE9" w:rsidRDefault="00CC5DE9" w:rsidP="00B56DB3">
            <w:pPr>
              <w:pStyle w:val="Tabletext1"/>
            </w:pPr>
            <w:r>
              <w:t xml:space="preserve">YES: all received a reference </w:t>
            </w:r>
            <w:r w:rsidR="009A220C">
              <w:t>standard</w:t>
            </w:r>
            <w:r>
              <w:t xml:space="preserve"> (biopsy or follow-up or surgical specimen)</w:t>
            </w:r>
          </w:p>
          <w:p w14:paraId="06CA5FA3" w14:textId="7AFBAA02" w:rsidR="00CC5DE9" w:rsidRDefault="00CC5DE9" w:rsidP="00B56DB3">
            <w:pPr>
              <w:pStyle w:val="Tabletext1"/>
            </w:pPr>
            <w:r>
              <w:t xml:space="preserve">NO: not all received a </w:t>
            </w:r>
            <w:r w:rsidR="00F65B49">
              <w:t>reference standard</w:t>
            </w:r>
            <w:r>
              <w:t xml:space="preserve"> </w:t>
            </w:r>
          </w:p>
          <w:p w14:paraId="1CC39B00" w14:textId="1BCEE1F8" w:rsidR="00CC5DE9" w:rsidRDefault="00CC5DE9" w:rsidP="00590695">
            <w:pPr>
              <w:pStyle w:val="Tabletext1"/>
            </w:pPr>
            <w:r>
              <w:t xml:space="preserve">Unclear: study does not report whether all received a </w:t>
            </w:r>
            <w:r w:rsidR="00F65B49">
              <w:t>reference standard.</w:t>
            </w:r>
          </w:p>
        </w:tc>
        <w:tc>
          <w:tcPr>
            <w:tcW w:w="3905" w:type="dxa"/>
            <w:shd w:val="clear" w:color="auto" w:fill="auto"/>
          </w:tcPr>
          <w:p w14:paraId="171E1DFA" w14:textId="55975CBE" w:rsidR="00CC5DE9" w:rsidRDefault="00590695" w:rsidP="00FA05F6">
            <w:pPr>
              <w:pStyle w:val="Tabletext1"/>
            </w:pPr>
            <w:r>
              <w:t>All</w:t>
            </w:r>
            <w:r w:rsidR="00CC5DE9">
              <w:t xml:space="preserve"> patients must receive a valid ref</w:t>
            </w:r>
            <w:r w:rsidR="00FA05F6">
              <w:t xml:space="preserve">erence </w:t>
            </w:r>
            <w:r w:rsidR="00CC5DE9">
              <w:t>st</w:t>
            </w:r>
            <w:r w:rsidR="00FA05F6">
              <w:t>andar</w:t>
            </w:r>
            <w:r w:rsidR="00CC5DE9">
              <w:t>d – this is an inclusion criteria for our CA.</w:t>
            </w:r>
          </w:p>
        </w:tc>
      </w:tr>
      <w:tr w:rsidR="00CC5DE9" w14:paraId="67EF3E65" w14:textId="77777777" w:rsidTr="00B56DB3">
        <w:tc>
          <w:tcPr>
            <w:tcW w:w="1529" w:type="dxa"/>
            <w:shd w:val="clear" w:color="auto" w:fill="auto"/>
          </w:tcPr>
          <w:p w14:paraId="76305E89" w14:textId="77777777" w:rsidR="00CC5DE9" w:rsidRPr="00AC2941" w:rsidRDefault="00CC5DE9" w:rsidP="00B56DB3">
            <w:pPr>
              <w:pStyle w:val="Tabletext1"/>
            </w:pPr>
            <w:r w:rsidRPr="00AC2941">
              <w:t>Did all patients receive the same reference standard?</w:t>
            </w:r>
          </w:p>
        </w:tc>
        <w:tc>
          <w:tcPr>
            <w:tcW w:w="3808" w:type="dxa"/>
            <w:shd w:val="clear" w:color="auto" w:fill="auto"/>
          </w:tcPr>
          <w:p w14:paraId="38A79266" w14:textId="0D913AA6" w:rsidR="00CC5DE9" w:rsidRDefault="00CC5DE9" w:rsidP="00B56DB3">
            <w:pPr>
              <w:pStyle w:val="Tabletext1"/>
            </w:pPr>
            <w:r>
              <w:t xml:space="preserve">YES: </w:t>
            </w:r>
            <w:r w:rsidR="00F65B49">
              <w:t>A</w:t>
            </w:r>
            <w:r>
              <w:t>ll patients received</w:t>
            </w:r>
            <w:r w:rsidR="009A220C">
              <w:t xml:space="preserve"> </w:t>
            </w:r>
            <w:r w:rsidR="007935C0">
              <w:t>e.g.</w:t>
            </w:r>
            <w:r w:rsidR="009A220C">
              <w:t xml:space="preserve"> </w:t>
            </w:r>
            <w:r>
              <w:t>biopsy</w:t>
            </w:r>
            <w:r w:rsidR="00F65B49">
              <w:t>.</w:t>
            </w:r>
          </w:p>
          <w:p w14:paraId="0FA82ACD" w14:textId="0DEDC651" w:rsidR="00CC5DE9" w:rsidRDefault="00CC5DE9" w:rsidP="00B56DB3">
            <w:pPr>
              <w:pStyle w:val="Tabletext1"/>
            </w:pPr>
            <w:r>
              <w:t xml:space="preserve">NO: </w:t>
            </w:r>
            <w:r w:rsidR="00F65B49">
              <w:t>S</w:t>
            </w:r>
            <w:r>
              <w:t>ome patients received biopsy, some were followed up and some had surgery (or any other combination)</w:t>
            </w:r>
            <w:r w:rsidR="00F65B49">
              <w:t>.</w:t>
            </w:r>
          </w:p>
          <w:p w14:paraId="417EA27C" w14:textId="58A3BA68" w:rsidR="00CC5DE9" w:rsidRDefault="00CC5DE9" w:rsidP="00F65B49">
            <w:pPr>
              <w:pStyle w:val="Tabletext1"/>
            </w:pPr>
            <w:r>
              <w:t>Unclear</w:t>
            </w:r>
            <w:r w:rsidR="00F65B49">
              <w:t>:</w:t>
            </w:r>
            <w:r>
              <w:t xml:space="preserve"> </w:t>
            </w:r>
            <w:r w:rsidR="00F65B49">
              <w:t>S</w:t>
            </w:r>
            <w:r>
              <w:t>tudy does not report this info – unlikely</w:t>
            </w:r>
            <w:r w:rsidR="00F65B49">
              <w:t>.</w:t>
            </w:r>
            <w:r>
              <w:t xml:space="preserve"> </w:t>
            </w:r>
          </w:p>
        </w:tc>
        <w:tc>
          <w:tcPr>
            <w:tcW w:w="3905" w:type="dxa"/>
            <w:shd w:val="clear" w:color="auto" w:fill="auto"/>
          </w:tcPr>
          <w:p w14:paraId="322C48BD" w14:textId="545E0FEA" w:rsidR="00CC5DE9" w:rsidRDefault="00CC5DE9" w:rsidP="00B56DB3">
            <w:pPr>
              <w:pStyle w:val="Tabletext1"/>
            </w:pPr>
            <w:r>
              <w:t>This assess verification bias, for example if those with high risk by MRI get biopsy but</w:t>
            </w:r>
            <w:r w:rsidR="00FD5BE0">
              <w:t xml:space="preserve"> </w:t>
            </w:r>
            <w:r>
              <w:t xml:space="preserve">low risk on MRI do not receive biopsy and are followed up then some false negatives may be inaccurately classified as true negatives by clinical follow-up. </w:t>
            </w:r>
          </w:p>
        </w:tc>
      </w:tr>
      <w:tr w:rsidR="00CC5DE9" w14:paraId="76948474" w14:textId="77777777" w:rsidTr="00B56DB3">
        <w:tc>
          <w:tcPr>
            <w:tcW w:w="1529" w:type="dxa"/>
            <w:shd w:val="clear" w:color="auto" w:fill="auto"/>
          </w:tcPr>
          <w:p w14:paraId="60398A52" w14:textId="77777777" w:rsidR="00CC5DE9" w:rsidRPr="00AC2941" w:rsidRDefault="00CC5DE9" w:rsidP="00B56DB3">
            <w:pPr>
              <w:pStyle w:val="Tabletext1"/>
            </w:pPr>
            <w:r w:rsidRPr="00AC2941">
              <w:t>Were all patients included in the analysis</w:t>
            </w:r>
          </w:p>
        </w:tc>
        <w:tc>
          <w:tcPr>
            <w:tcW w:w="3808" w:type="dxa"/>
            <w:shd w:val="clear" w:color="auto" w:fill="auto"/>
          </w:tcPr>
          <w:p w14:paraId="1A7C5FA1" w14:textId="1C330F8F" w:rsidR="00CC5DE9" w:rsidRDefault="00CC5DE9" w:rsidP="00B56DB3">
            <w:pPr>
              <w:pStyle w:val="Tabletext1"/>
            </w:pPr>
            <w:r>
              <w:t xml:space="preserve">YES: </w:t>
            </w:r>
            <w:r w:rsidR="00F65B49">
              <w:t>N</w:t>
            </w:r>
            <w:r>
              <w:t>umber in effectiveness outcomes (TP, TN, FP, FN) match the number included in the study after exclusion criteria applied.</w:t>
            </w:r>
          </w:p>
          <w:p w14:paraId="306D7649" w14:textId="6DE8AA60" w:rsidR="00CC5DE9" w:rsidRDefault="00CC5DE9" w:rsidP="00B56DB3">
            <w:pPr>
              <w:pStyle w:val="Tabletext1"/>
            </w:pPr>
            <w:r>
              <w:t xml:space="preserve">NO: </w:t>
            </w:r>
            <w:r w:rsidR="00F65B49">
              <w:t>S</w:t>
            </w:r>
            <w:r>
              <w:t>ome patients lost to follow-up</w:t>
            </w:r>
            <w:r w:rsidR="00F65B49">
              <w:t>.</w:t>
            </w:r>
          </w:p>
          <w:p w14:paraId="725F9D57" w14:textId="11DD2561" w:rsidR="00CC5DE9" w:rsidRPr="0055146C" w:rsidRDefault="00CC5DE9" w:rsidP="0055146C">
            <w:pPr>
              <w:pStyle w:val="Tabletext1"/>
            </w:pPr>
            <w:r>
              <w:t xml:space="preserve">Unclear: </w:t>
            </w:r>
            <w:r w:rsidR="00F65B49">
              <w:t>S</w:t>
            </w:r>
            <w:r>
              <w:t xml:space="preserve">tudy doesn’t report how many were included (possible?) or doesn’t report how </w:t>
            </w:r>
            <w:r w:rsidRPr="0055146C">
              <w:t>many in results (unlikely)</w:t>
            </w:r>
            <w:r w:rsidR="00F65B49">
              <w:t>.</w:t>
            </w:r>
          </w:p>
          <w:p w14:paraId="5924161A" w14:textId="59DAD096" w:rsidR="00CC5DE9" w:rsidRDefault="00CC5DE9" w:rsidP="0055146C">
            <w:pPr>
              <w:pStyle w:val="Tabletext1"/>
            </w:pPr>
            <w:r w:rsidRPr="0055146C">
              <w:t>Unclear: It also may be unclear if the included number reported is before or after losses to follow-up</w:t>
            </w:r>
            <w:r w:rsidR="00F65B49">
              <w:t>.</w:t>
            </w:r>
          </w:p>
        </w:tc>
        <w:tc>
          <w:tcPr>
            <w:tcW w:w="3905" w:type="dxa"/>
            <w:shd w:val="clear" w:color="auto" w:fill="auto"/>
          </w:tcPr>
          <w:p w14:paraId="5870DB41" w14:textId="3A80E382" w:rsidR="00CC5DE9" w:rsidRDefault="00CC5DE9" w:rsidP="00B56DB3">
            <w:pPr>
              <w:pStyle w:val="Tabletext1"/>
            </w:pPr>
            <w:r>
              <w:t>All recruited patients should be in analysis. Bias may be introduced by losses to follow-up</w:t>
            </w:r>
            <w:r w:rsidR="00F65B49">
              <w:t>.</w:t>
            </w:r>
          </w:p>
          <w:p w14:paraId="7C983775" w14:textId="77777777" w:rsidR="00CC5DE9" w:rsidRPr="007C4E58" w:rsidRDefault="00CC5DE9" w:rsidP="00B56DB3">
            <w:pPr>
              <w:pStyle w:val="Tabletext1"/>
              <w:rPr>
                <w:i/>
              </w:rPr>
            </w:pPr>
          </w:p>
        </w:tc>
      </w:tr>
    </w:tbl>
    <w:p w14:paraId="3098B9A6" w14:textId="50389C9C" w:rsidR="00A22E63" w:rsidRPr="00A22E63" w:rsidRDefault="00CE2F17" w:rsidP="00FA05F6">
      <w:pPr>
        <w:pStyle w:val="TableNotes"/>
        <w:rPr>
          <w:rFonts w:eastAsiaTheme="minorHAnsi"/>
          <w:lang w:eastAsia="en-US"/>
        </w:rPr>
      </w:pPr>
      <w:r>
        <w:rPr>
          <w:rFonts w:eastAsiaTheme="minorHAnsi"/>
          <w:lang w:eastAsia="en-US"/>
        </w:rPr>
        <w:t xml:space="preserve">PCa = prostate cancer, MRI = Magnetic resonance imaging, </w:t>
      </w:r>
      <w:r w:rsidR="00FA05F6">
        <w:rPr>
          <w:rFonts w:eastAsiaTheme="minorHAnsi"/>
          <w:lang w:eastAsia="en-US"/>
        </w:rPr>
        <w:t xml:space="preserve">PI-RADS = </w:t>
      </w:r>
      <w:r w:rsidR="00FA05F6">
        <w:rPr>
          <w:rStyle w:val="st"/>
        </w:rPr>
        <w:t>Prostate Imaging Reporting and Data System</w:t>
      </w:r>
      <w:r w:rsidR="00FA05F6">
        <w:rPr>
          <w:rFonts w:eastAsiaTheme="minorHAnsi"/>
          <w:lang w:eastAsia="en-US"/>
        </w:rPr>
        <w:t>,</w:t>
      </w:r>
      <w:r w:rsidR="004E13AC">
        <w:rPr>
          <w:rFonts w:eastAsiaTheme="minorHAnsi"/>
          <w:lang w:eastAsia="en-US"/>
        </w:rPr>
        <w:t xml:space="preserve"> </w:t>
      </w:r>
      <w:r w:rsidR="00FA05F6">
        <w:rPr>
          <w:rFonts w:eastAsiaTheme="minorHAnsi"/>
          <w:lang w:eastAsia="en-US"/>
        </w:rPr>
        <w:t>CT = computed tomography, PET = positron emission tomography,</w:t>
      </w:r>
      <w:r w:rsidR="00AC5433">
        <w:rPr>
          <w:rFonts w:eastAsiaTheme="minorHAnsi"/>
          <w:lang w:eastAsia="en-US"/>
        </w:rPr>
        <w:t xml:space="preserve"> </w:t>
      </w:r>
      <w:r>
        <w:rPr>
          <w:rFonts w:eastAsiaTheme="minorHAnsi"/>
          <w:lang w:eastAsia="en-US"/>
        </w:rPr>
        <w:t xml:space="preserve">CA = contracted assessment, TP = true positive, </w:t>
      </w:r>
      <w:r w:rsidR="00AC5433">
        <w:rPr>
          <w:rFonts w:eastAsiaTheme="minorHAnsi"/>
          <w:lang w:eastAsia="en-US"/>
        </w:rPr>
        <w:t xml:space="preserve">FP = false positive, </w:t>
      </w:r>
      <w:r>
        <w:rPr>
          <w:rFonts w:eastAsiaTheme="minorHAnsi"/>
          <w:lang w:eastAsia="en-US"/>
        </w:rPr>
        <w:t>TN = true negative, FN = false negative</w:t>
      </w:r>
    </w:p>
    <w:p w14:paraId="03914588" w14:textId="6FD2F8C1" w:rsidR="00256AA2" w:rsidRDefault="00256AA2" w:rsidP="00256AA2">
      <w:pPr>
        <w:pStyle w:val="Heading2"/>
        <w:rPr>
          <w:rFonts w:eastAsiaTheme="minorHAnsi"/>
          <w:lang w:eastAsia="en-US"/>
        </w:rPr>
      </w:pPr>
      <w:bookmarkStart w:id="815" w:name="_Toc460514030"/>
      <w:r>
        <w:rPr>
          <w:rFonts w:eastAsiaTheme="minorHAnsi"/>
          <w:lang w:eastAsia="en-US"/>
        </w:rPr>
        <w:lastRenderedPageBreak/>
        <w:t>Reference standard (Section B3.1)</w:t>
      </w:r>
      <w:bookmarkEnd w:id="815"/>
    </w:p>
    <w:p w14:paraId="0B9DF063" w14:textId="369D47BC" w:rsidR="00256AA2" w:rsidRDefault="00256AA2" w:rsidP="00256AA2">
      <w:pPr>
        <w:pStyle w:val="Caption"/>
      </w:pPr>
      <w:bookmarkStart w:id="816" w:name="_Ref456622526"/>
      <w:bookmarkStart w:id="817" w:name="_Toc460514581"/>
      <w:r>
        <w:t xml:space="preserve">Table </w:t>
      </w:r>
      <w:fldSimple w:instr=" SEQ Table \* ARABIC ">
        <w:r w:rsidR="0029649D">
          <w:rPr>
            <w:noProof/>
          </w:rPr>
          <w:t>81</w:t>
        </w:r>
      </w:fldSimple>
      <w:bookmarkEnd w:id="816"/>
      <w:r>
        <w:tab/>
        <w:t>Risk of bias assessment for systematic reviews reporting the diagnostic accuracy of biopsy</w:t>
      </w:r>
      <w:r w:rsidR="00417E7C">
        <w:t xml:space="preserve"> (AMSTAR)</w:t>
      </w:r>
      <w:bookmarkEnd w:id="817"/>
    </w:p>
    <w:tbl>
      <w:tblPr>
        <w:tblStyle w:val="TableGrid1"/>
        <w:tblW w:w="8221" w:type="dxa"/>
        <w:tblLayout w:type="fixed"/>
        <w:tblLook w:val="04A0" w:firstRow="1" w:lastRow="0" w:firstColumn="1" w:lastColumn="0" w:noHBand="0" w:noVBand="1"/>
        <w:tblCaption w:val="Table 31 Methodological quality appraisal of systematic reviews on ultrasound guidance for percutaneous neural blockade using the AMSTAR tool"/>
        <w:tblDescription w:val="Methodological quality appraisal of systematic reviews on ultrasound guidance for percutaneous neural blockade using the AMSTAR tool"/>
      </w:tblPr>
      <w:tblGrid>
        <w:gridCol w:w="4678"/>
        <w:gridCol w:w="1701"/>
        <w:gridCol w:w="1842"/>
      </w:tblGrid>
      <w:tr w:rsidR="00256AA2" w:rsidRPr="008832A0" w14:paraId="1ADEF3E1" w14:textId="77777777" w:rsidTr="006C4425">
        <w:trPr>
          <w:cnfStyle w:val="100000000000" w:firstRow="1" w:lastRow="0" w:firstColumn="0" w:lastColumn="0" w:oddVBand="0" w:evenVBand="0" w:oddHBand="0" w:evenHBand="0" w:firstRowFirstColumn="0" w:firstRowLastColumn="0" w:lastRowFirstColumn="0" w:lastRowLastColumn="0"/>
          <w:tblHeader/>
        </w:trPr>
        <w:tc>
          <w:tcPr>
            <w:tcW w:w="4678" w:type="dxa"/>
          </w:tcPr>
          <w:p w14:paraId="451BCB93" w14:textId="77777777" w:rsidR="00256AA2" w:rsidRPr="008832A0" w:rsidRDefault="00256AA2" w:rsidP="00723373">
            <w:pPr>
              <w:pStyle w:val="TableHeading"/>
            </w:pPr>
            <w:r w:rsidRPr="008832A0">
              <w:t>Review characteristics</w:t>
            </w:r>
          </w:p>
        </w:tc>
        <w:tc>
          <w:tcPr>
            <w:tcW w:w="1701" w:type="dxa"/>
          </w:tcPr>
          <w:p w14:paraId="565D966D" w14:textId="77777777" w:rsidR="00256AA2" w:rsidRPr="008832A0" w:rsidRDefault="00256AA2" w:rsidP="00723373">
            <w:pPr>
              <w:pStyle w:val="TableHeading"/>
            </w:pPr>
            <w:r w:rsidRPr="008832A0">
              <w:t>Shen et al. (2012)</w:t>
            </w:r>
          </w:p>
        </w:tc>
        <w:tc>
          <w:tcPr>
            <w:tcW w:w="1842" w:type="dxa"/>
          </w:tcPr>
          <w:p w14:paraId="5F60AD23" w14:textId="77777777" w:rsidR="00256AA2" w:rsidRPr="008832A0" w:rsidRDefault="00256AA2" w:rsidP="00723373">
            <w:pPr>
              <w:pStyle w:val="TableHeading"/>
            </w:pPr>
            <w:r w:rsidRPr="008832A0">
              <w:t>Schoots et al. (2015)</w:t>
            </w:r>
          </w:p>
        </w:tc>
      </w:tr>
      <w:tr w:rsidR="00256AA2" w:rsidRPr="008832A0" w14:paraId="59C1BA11" w14:textId="77777777" w:rsidTr="009A220C">
        <w:trPr>
          <w:trHeight w:val="341"/>
        </w:trPr>
        <w:tc>
          <w:tcPr>
            <w:tcW w:w="4678" w:type="dxa"/>
          </w:tcPr>
          <w:p w14:paraId="763EC23F" w14:textId="77777777" w:rsidR="00256AA2" w:rsidRPr="008832A0" w:rsidRDefault="00256AA2" w:rsidP="00723373">
            <w:pPr>
              <w:pStyle w:val="Tabletext1"/>
            </w:pPr>
            <w:r w:rsidRPr="008832A0">
              <w:t>Was an ‘</w:t>
            </w:r>
            <w:r w:rsidRPr="00E95C28">
              <w:rPr>
                <w:i/>
              </w:rPr>
              <w:t>a priori</w:t>
            </w:r>
            <w:r w:rsidRPr="008832A0">
              <w:t xml:space="preserve">’ design provided? </w:t>
            </w:r>
          </w:p>
        </w:tc>
        <w:tc>
          <w:tcPr>
            <w:tcW w:w="1701" w:type="dxa"/>
          </w:tcPr>
          <w:p w14:paraId="60AEDDFA" w14:textId="77777777" w:rsidR="00256AA2" w:rsidRPr="008832A0" w:rsidRDefault="00256AA2" w:rsidP="00723373">
            <w:pPr>
              <w:pStyle w:val="Tabletext1"/>
            </w:pPr>
            <w:r w:rsidRPr="008832A0">
              <w:rPr>
                <w:snapToGrid w:val="0"/>
                <w:color w:val="00B050"/>
              </w:rPr>
              <w:sym w:font="Wingdings" w:char="F04A"/>
            </w:r>
          </w:p>
        </w:tc>
        <w:tc>
          <w:tcPr>
            <w:tcW w:w="1842" w:type="dxa"/>
          </w:tcPr>
          <w:p w14:paraId="2F8699A9" w14:textId="77777777" w:rsidR="00256AA2" w:rsidRPr="008832A0" w:rsidRDefault="00256AA2" w:rsidP="00723373">
            <w:pPr>
              <w:pStyle w:val="Tabletext1"/>
            </w:pPr>
            <w:r w:rsidRPr="008832A0">
              <w:rPr>
                <w:snapToGrid w:val="0"/>
                <w:color w:val="00B050"/>
              </w:rPr>
              <w:sym w:font="Wingdings" w:char="F04A"/>
            </w:r>
          </w:p>
        </w:tc>
      </w:tr>
      <w:tr w:rsidR="00256AA2" w:rsidRPr="008832A0" w14:paraId="0FAE528A" w14:textId="77777777" w:rsidTr="00723373">
        <w:tc>
          <w:tcPr>
            <w:tcW w:w="4678" w:type="dxa"/>
          </w:tcPr>
          <w:p w14:paraId="780BF790" w14:textId="77777777" w:rsidR="00256AA2" w:rsidRPr="008832A0" w:rsidRDefault="00256AA2" w:rsidP="00723373">
            <w:pPr>
              <w:pStyle w:val="Tabletext1"/>
            </w:pPr>
            <w:r w:rsidRPr="008832A0">
              <w:t>Was there duplicate study selection and data extraction?</w:t>
            </w:r>
          </w:p>
        </w:tc>
        <w:tc>
          <w:tcPr>
            <w:tcW w:w="1701" w:type="dxa"/>
          </w:tcPr>
          <w:p w14:paraId="7E2543E6" w14:textId="77777777" w:rsidR="00256AA2" w:rsidRPr="008832A0" w:rsidRDefault="00256AA2" w:rsidP="00723373">
            <w:pPr>
              <w:pStyle w:val="Tabletext1"/>
            </w:pPr>
            <w:r w:rsidRPr="008832A0">
              <w:rPr>
                <w:snapToGrid w:val="0"/>
                <w:color w:val="00B050"/>
              </w:rPr>
              <w:sym w:font="Wingdings" w:char="F04A"/>
            </w:r>
          </w:p>
        </w:tc>
        <w:tc>
          <w:tcPr>
            <w:tcW w:w="1842" w:type="dxa"/>
          </w:tcPr>
          <w:p w14:paraId="76AAC0AB" w14:textId="77777777" w:rsidR="00256AA2" w:rsidRPr="008832A0" w:rsidRDefault="00256AA2" w:rsidP="00723373">
            <w:pPr>
              <w:pStyle w:val="Tabletext1"/>
            </w:pPr>
            <w:r w:rsidRPr="008832A0">
              <w:rPr>
                <w:snapToGrid w:val="0"/>
                <w:color w:val="00B050"/>
              </w:rPr>
              <w:sym w:font="Wingdings" w:char="F04A"/>
            </w:r>
          </w:p>
        </w:tc>
      </w:tr>
      <w:tr w:rsidR="00256AA2" w:rsidRPr="008832A0" w14:paraId="5203DBC4" w14:textId="77777777" w:rsidTr="00723373">
        <w:tc>
          <w:tcPr>
            <w:tcW w:w="4678" w:type="dxa"/>
          </w:tcPr>
          <w:p w14:paraId="2DA139B2" w14:textId="77777777" w:rsidR="00256AA2" w:rsidRPr="008832A0" w:rsidRDefault="00256AA2" w:rsidP="00723373">
            <w:pPr>
              <w:pStyle w:val="Tabletext1"/>
            </w:pPr>
            <w:r w:rsidRPr="008832A0">
              <w:t xml:space="preserve">Was a comprehensive literature search performed? </w:t>
            </w:r>
          </w:p>
        </w:tc>
        <w:tc>
          <w:tcPr>
            <w:tcW w:w="1701" w:type="dxa"/>
          </w:tcPr>
          <w:p w14:paraId="1D2F3908" w14:textId="77777777" w:rsidR="00256AA2" w:rsidRPr="008832A0" w:rsidRDefault="00256AA2" w:rsidP="00723373">
            <w:pPr>
              <w:pStyle w:val="Tabletext1"/>
            </w:pPr>
            <w:r w:rsidRPr="008832A0">
              <w:rPr>
                <w:snapToGrid w:val="0"/>
                <w:color w:val="00B050"/>
              </w:rPr>
              <w:sym w:font="Wingdings" w:char="F04A"/>
            </w:r>
          </w:p>
        </w:tc>
        <w:tc>
          <w:tcPr>
            <w:tcW w:w="1842" w:type="dxa"/>
          </w:tcPr>
          <w:p w14:paraId="37ABB9CE" w14:textId="77777777" w:rsidR="00256AA2" w:rsidRPr="008832A0" w:rsidRDefault="00256AA2" w:rsidP="00723373">
            <w:pPr>
              <w:pStyle w:val="Tabletext1"/>
            </w:pPr>
            <w:r w:rsidRPr="008832A0">
              <w:rPr>
                <w:snapToGrid w:val="0"/>
                <w:color w:val="00B050"/>
              </w:rPr>
              <w:sym w:font="Wingdings" w:char="F04A"/>
            </w:r>
          </w:p>
        </w:tc>
      </w:tr>
      <w:tr w:rsidR="00256AA2" w:rsidRPr="008832A0" w14:paraId="3E20E2BF" w14:textId="77777777" w:rsidTr="00723373">
        <w:trPr>
          <w:trHeight w:val="558"/>
        </w:trPr>
        <w:tc>
          <w:tcPr>
            <w:tcW w:w="4678" w:type="dxa"/>
          </w:tcPr>
          <w:p w14:paraId="7912D66D" w14:textId="77777777" w:rsidR="00256AA2" w:rsidRPr="008832A0" w:rsidRDefault="00256AA2" w:rsidP="00723373">
            <w:pPr>
              <w:pStyle w:val="Tabletext1"/>
            </w:pPr>
            <w:r w:rsidRPr="008832A0">
              <w:t>Was the status of publication (i.e. grey literature) used as an inclusion criterion?</w:t>
            </w:r>
          </w:p>
        </w:tc>
        <w:tc>
          <w:tcPr>
            <w:tcW w:w="1701" w:type="dxa"/>
          </w:tcPr>
          <w:p w14:paraId="62B906D6" w14:textId="71E9FAD5" w:rsidR="00256AA2" w:rsidRPr="008832A0" w:rsidRDefault="00E7473C" w:rsidP="00723373">
            <w:pPr>
              <w:pStyle w:val="Tabletext1"/>
            </w:pPr>
            <w:r w:rsidRPr="005C07FC">
              <w:rPr>
                <w:color w:val="00B050"/>
              </w:rPr>
              <w:sym w:font="Wingdings" w:char="F04A"/>
            </w:r>
          </w:p>
        </w:tc>
        <w:tc>
          <w:tcPr>
            <w:tcW w:w="1842" w:type="dxa"/>
          </w:tcPr>
          <w:p w14:paraId="6F482784" w14:textId="77777777" w:rsidR="00256AA2" w:rsidRPr="008832A0" w:rsidRDefault="00256AA2" w:rsidP="00723373">
            <w:pPr>
              <w:pStyle w:val="Tabletext1"/>
            </w:pPr>
            <w:r w:rsidRPr="008832A0">
              <w:rPr>
                <w:snapToGrid w:val="0"/>
                <w:color w:val="00B050"/>
              </w:rPr>
              <w:sym w:font="Wingdings" w:char="F04A"/>
            </w:r>
          </w:p>
        </w:tc>
      </w:tr>
      <w:tr w:rsidR="00256AA2" w:rsidRPr="008832A0" w14:paraId="2877AC8C" w14:textId="77777777" w:rsidTr="00723373">
        <w:tc>
          <w:tcPr>
            <w:tcW w:w="4678" w:type="dxa"/>
          </w:tcPr>
          <w:p w14:paraId="0EA79387" w14:textId="77777777" w:rsidR="00256AA2" w:rsidRPr="008832A0" w:rsidRDefault="00256AA2" w:rsidP="00723373">
            <w:pPr>
              <w:pStyle w:val="Tabletext1"/>
            </w:pPr>
            <w:r w:rsidRPr="008832A0">
              <w:t>Was a list of studies (included and excluded) provided?</w:t>
            </w:r>
          </w:p>
        </w:tc>
        <w:tc>
          <w:tcPr>
            <w:tcW w:w="1701" w:type="dxa"/>
          </w:tcPr>
          <w:p w14:paraId="4DD36939" w14:textId="77777777" w:rsidR="00256AA2" w:rsidRPr="008832A0" w:rsidRDefault="00256AA2" w:rsidP="00723373">
            <w:pPr>
              <w:pStyle w:val="Tabletext1"/>
            </w:pPr>
            <w:r w:rsidRPr="008832A0">
              <w:rPr>
                <w:snapToGrid w:val="0"/>
                <w:color w:val="FF0000"/>
              </w:rPr>
              <w:sym w:font="Wingdings" w:char="F04C"/>
            </w:r>
          </w:p>
        </w:tc>
        <w:tc>
          <w:tcPr>
            <w:tcW w:w="1842" w:type="dxa"/>
          </w:tcPr>
          <w:p w14:paraId="42789EFA" w14:textId="77777777" w:rsidR="00256AA2" w:rsidRPr="008832A0" w:rsidRDefault="00256AA2" w:rsidP="00723373">
            <w:pPr>
              <w:pStyle w:val="Tabletext1"/>
            </w:pPr>
            <w:r w:rsidRPr="008832A0">
              <w:rPr>
                <w:snapToGrid w:val="0"/>
                <w:color w:val="FF0000"/>
              </w:rPr>
              <w:sym w:font="Wingdings" w:char="F04C"/>
            </w:r>
          </w:p>
        </w:tc>
      </w:tr>
      <w:tr w:rsidR="00256AA2" w:rsidRPr="008832A0" w14:paraId="575CDAEE" w14:textId="77777777" w:rsidTr="00723373">
        <w:tc>
          <w:tcPr>
            <w:tcW w:w="4678" w:type="dxa"/>
          </w:tcPr>
          <w:p w14:paraId="12233487" w14:textId="77777777" w:rsidR="00256AA2" w:rsidRPr="008832A0" w:rsidRDefault="00256AA2" w:rsidP="00723373">
            <w:pPr>
              <w:pStyle w:val="Tabletext1"/>
            </w:pPr>
            <w:r w:rsidRPr="008832A0">
              <w:t>Were the characteristics of the included studies provided?</w:t>
            </w:r>
          </w:p>
        </w:tc>
        <w:tc>
          <w:tcPr>
            <w:tcW w:w="1701" w:type="dxa"/>
          </w:tcPr>
          <w:p w14:paraId="6BA2E553" w14:textId="77777777" w:rsidR="00256AA2" w:rsidRPr="008832A0" w:rsidRDefault="00256AA2" w:rsidP="00723373">
            <w:pPr>
              <w:pStyle w:val="Tabletext1"/>
            </w:pPr>
            <w:r w:rsidRPr="008832A0">
              <w:rPr>
                <w:snapToGrid w:val="0"/>
                <w:color w:val="00B050"/>
              </w:rPr>
              <w:sym w:font="Wingdings" w:char="F04A"/>
            </w:r>
          </w:p>
        </w:tc>
        <w:tc>
          <w:tcPr>
            <w:tcW w:w="1842" w:type="dxa"/>
          </w:tcPr>
          <w:p w14:paraId="63448987" w14:textId="77777777" w:rsidR="00256AA2" w:rsidRPr="008832A0" w:rsidRDefault="00256AA2" w:rsidP="00723373">
            <w:pPr>
              <w:pStyle w:val="Tabletext1"/>
            </w:pPr>
            <w:r w:rsidRPr="008832A0">
              <w:rPr>
                <w:snapToGrid w:val="0"/>
                <w:color w:val="00B050"/>
              </w:rPr>
              <w:sym w:font="Wingdings" w:char="F04A"/>
            </w:r>
          </w:p>
        </w:tc>
      </w:tr>
      <w:tr w:rsidR="00256AA2" w:rsidRPr="008832A0" w14:paraId="08D7E560" w14:textId="77777777" w:rsidTr="009A220C">
        <w:trPr>
          <w:trHeight w:val="502"/>
        </w:trPr>
        <w:tc>
          <w:tcPr>
            <w:tcW w:w="4678" w:type="dxa"/>
          </w:tcPr>
          <w:p w14:paraId="2047C2F7" w14:textId="77777777" w:rsidR="00256AA2" w:rsidRPr="008832A0" w:rsidRDefault="00256AA2" w:rsidP="00723373">
            <w:pPr>
              <w:pStyle w:val="Tabletext1"/>
            </w:pPr>
            <w:r w:rsidRPr="008832A0">
              <w:t>Was the scientific quality of the included studies assessed and documented?</w:t>
            </w:r>
          </w:p>
        </w:tc>
        <w:tc>
          <w:tcPr>
            <w:tcW w:w="1701" w:type="dxa"/>
          </w:tcPr>
          <w:p w14:paraId="7C0F43C9" w14:textId="77777777" w:rsidR="00256AA2" w:rsidRPr="008832A0" w:rsidRDefault="00256AA2" w:rsidP="00723373">
            <w:pPr>
              <w:pStyle w:val="Tabletext1"/>
            </w:pPr>
            <w:r w:rsidRPr="008832A0">
              <w:rPr>
                <w:snapToGrid w:val="0"/>
                <w:color w:val="00B050"/>
              </w:rPr>
              <w:sym w:font="Wingdings" w:char="F04A"/>
            </w:r>
          </w:p>
        </w:tc>
        <w:tc>
          <w:tcPr>
            <w:tcW w:w="1842" w:type="dxa"/>
          </w:tcPr>
          <w:p w14:paraId="70A86FDA" w14:textId="77777777" w:rsidR="00256AA2" w:rsidRPr="008832A0" w:rsidRDefault="00256AA2" w:rsidP="00723373">
            <w:pPr>
              <w:pStyle w:val="Tabletext1"/>
            </w:pPr>
            <w:r w:rsidRPr="008832A0">
              <w:rPr>
                <w:snapToGrid w:val="0"/>
                <w:color w:val="00B050"/>
              </w:rPr>
              <w:sym w:font="Wingdings" w:char="F04A"/>
            </w:r>
          </w:p>
        </w:tc>
      </w:tr>
      <w:tr w:rsidR="00256AA2" w:rsidRPr="008832A0" w14:paraId="2D395CEE" w14:textId="77777777" w:rsidTr="009A220C">
        <w:trPr>
          <w:trHeight w:val="579"/>
        </w:trPr>
        <w:tc>
          <w:tcPr>
            <w:tcW w:w="4678" w:type="dxa"/>
          </w:tcPr>
          <w:p w14:paraId="5D874BFF" w14:textId="77777777" w:rsidR="00256AA2" w:rsidRPr="008832A0" w:rsidRDefault="00256AA2" w:rsidP="00723373">
            <w:pPr>
              <w:pStyle w:val="Tabletext1"/>
            </w:pPr>
            <w:r w:rsidRPr="008832A0">
              <w:t>Was the scientific quality of the included studies used appropriately in formulating conclusions?</w:t>
            </w:r>
          </w:p>
        </w:tc>
        <w:tc>
          <w:tcPr>
            <w:tcW w:w="1701" w:type="dxa"/>
          </w:tcPr>
          <w:p w14:paraId="2A7B515A" w14:textId="77777777" w:rsidR="00256AA2" w:rsidRPr="008832A0" w:rsidRDefault="00256AA2" w:rsidP="00723373">
            <w:pPr>
              <w:pStyle w:val="Tabletext1"/>
            </w:pPr>
            <w:r w:rsidRPr="008832A0">
              <w:rPr>
                <w:snapToGrid w:val="0"/>
                <w:color w:val="00B050"/>
              </w:rPr>
              <w:sym w:font="Wingdings" w:char="F04A"/>
            </w:r>
          </w:p>
        </w:tc>
        <w:tc>
          <w:tcPr>
            <w:tcW w:w="1842" w:type="dxa"/>
          </w:tcPr>
          <w:p w14:paraId="57ECA9C2" w14:textId="77777777" w:rsidR="00256AA2" w:rsidRPr="008832A0" w:rsidRDefault="00256AA2" w:rsidP="00723373">
            <w:pPr>
              <w:pStyle w:val="Tabletext1"/>
            </w:pPr>
            <w:r w:rsidRPr="008832A0">
              <w:rPr>
                <w:snapToGrid w:val="0"/>
                <w:color w:val="00B050"/>
              </w:rPr>
              <w:sym w:font="Wingdings" w:char="F04A"/>
            </w:r>
          </w:p>
        </w:tc>
      </w:tr>
      <w:tr w:rsidR="00256AA2" w:rsidRPr="008832A0" w14:paraId="09D9AF06" w14:textId="77777777" w:rsidTr="00723373">
        <w:tc>
          <w:tcPr>
            <w:tcW w:w="4678" w:type="dxa"/>
          </w:tcPr>
          <w:p w14:paraId="0CAEEE0E" w14:textId="77777777" w:rsidR="00256AA2" w:rsidRPr="008832A0" w:rsidRDefault="00256AA2" w:rsidP="00723373">
            <w:pPr>
              <w:pStyle w:val="Tabletext1"/>
            </w:pPr>
            <w:r w:rsidRPr="008832A0">
              <w:t>Were the methods used to combine the findings of studies appropriate?</w:t>
            </w:r>
          </w:p>
        </w:tc>
        <w:tc>
          <w:tcPr>
            <w:tcW w:w="1701" w:type="dxa"/>
          </w:tcPr>
          <w:p w14:paraId="2DEF4F87" w14:textId="77777777" w:rsidR="00256AA2" w:rsidRPr="008832A0" w:rsidRDefault="00256AA2" w:rsidP="00723373">
            <w:pPr>
              <w:pStyle w:val="Tabletext1"/>
            </w:pPr>
            <w:r w:rsidRPr="008832A0">
              <w:rPr>
                <w:snapToGrid w:val="0"/>
                <w:color w:val="00B050"/>
              </w:rPr>
              <w:sym w:font="Wingdings" w:char="F04A"/>
            </w:r>
          </w:p>
        </w:tc>
        <w:tc>
          <w:tcPr>
            <w:tcW w:w="1842" w:type="dxa"/>
          </w:tcPr>
          <w:p w14:paraId="50CAA99C" w14:textId="77777777" w:rsidR="00256AA2" w:rsidRPr="008832A0" w:rsidRDefault="00256AA2" w:rsidP="00723373">
            <w:pPr>
              <w:pStyle w:val="Tabletext1"/>
            </w:pPr>
            <w:r w:rsidRPr="008832A0">
              <w:rPr>
                <w:snapToGrid w:val="0"/>
                <w:color w:val="00B050"/>
              </w:rPr>
              <w:sym w:font="Wingdings" w:char="F04A"/>
            </w:r>
          </w:p>
        </w:tc>
      </w:tr>
      <w:tr w:rsidR="00256AA2" w:rsidRPr="008832A0" w14:paraId="101B631B" w14:textId="77777777" w:rsidTr="00723373">
        <w:tc>
          <w:tcPr>
            <w:tcW w:w="4678" w:type="dxa"/>
          </w:tcPr>
          <w:p w14:paraId="7F1C3B7D" w14:textId="77777777" w:rsidR="00256AA2" w:rsidRPr="008832A0" w:rsidRDefault="00256AA2" w:rsidP="00723373">
            <w:pPr>
              <w:pStyle w:val="Tabletext1"/>
            </w:pPr>
            <w:r w:rsidRPr="008832A0">
              <w:t xml:space="preserve">Was the likelihood of publication bias assessed? </w:t>
            </w:r>
          </w:p>
        </w:tc>
        <w:tc>
          <w:tcPr>
            <w:tcW w:w="1701" w:type="dxa"/>
          </w:tcPr>
          <w:p w14:paraId="79232118" w14:textId="77777777" w:rsidR="00256AA2" w:rsidRPr="008832A0" w:rsidRDefault="00256AA2" w:rsidP="00723373">
            <w:pPr>
              <w:pStyle w:val="Tabletext1"/>
            </w:pPr>
            <w:r w:rsidRPr="008832A0">
              <w:rPr>
                <w:snapToGrid w:val="0"/>
                <w:color w:val="00B050"/>
              </w:rPr>
              <w:sym w:font="Wingdings" w:char="F04A"/>
            </w:r>
          </w:p>
        </w:tc>
        <w:tc>
          <w:tcPr>
            <w:tcW w:w="1842" w:type="dxa"/>
          </w:tcPr>
          <w:p w14:paraId="53B98B21" w14:textId="77777777" w:rsidR="00256AA2" w:rsidRPr="008832A0" w:rsidRDefault="00256AA2" w:rsidP="00723373">
            <w:pPr>
              <w:pStyle w:val="Tabletext1"/>
            </w:pPr>
            <w:r w:rsidRPr="008832A0">
              <w:rPr>
                <w:snapToGrid w:val="0"/>
                <w:color w:val="00B050"/>
              </w:rPr>
              <w:sym w:font="Wingdings" w:char="F04A"/>
            </w:r>
          </w:p>
        </w:tc>
      </w:tr>
      <w:tr w:rsidR="00256AA2" w:rsidRPr="008832A0" w14:paraId="49C84555" w14:textId="77777777" w:rsidTr="00723373">
        <w:tc>
          <w:tcPr>
            <w:tcW w:w="4678" w:type="dxa"/>
            <w:tcBorders>
              <w:bottom w:val="single" w:sz="4" w:space="0" w:color="auto"/>
            </w:tcBorders>
          </w:tcPr>
          <w:p w14:paraId="05B5CECA" w14:textId="77777777" w:rsidR="00256AA2" w:rsidRPr="008832A0" w:rsidRDefault="00256AA2" w:rsidP="00723373">
            <w:pPr>
              <w:pStyle w:val="Tabletext1"/>
            </w:pPr>
            <w:r w:rsidRPr="008832A0">
              <w:t xml:space="preserve">Was the conflict of interest stated? </w:t>
            </w:r>
          </w:p>
        </w:tc>
        <w:tc>
          <w:tcPr>
            <w:tcW w:w="1701" w:type="dxa"/>
            <w:tcBorders>
              <w:bottom w:val="single" w:sz="4" w:space="0" w:color="auto"/>
            </w:tcBorders>
          </w:tcPr>
          <w:p w14:paraId="2ACAD5E7" w14:textId="77777777" w:rsidR="00256AA2" w:rsidRPr="008832A0" w:rsidRDefault="00256AA2" w:rsidP="00723373">
            <w:pPr>
              <w:pStyle w:val="Tabletext1"/>
            </w:pPr>
            <w:r w:rsidRPr="008832A0">
              <w:rPr>
                <w:snapToGrid w:val="0"/>
                <w:color w:val="00B050"/>
              </w:rPr>
              <w:sym w:font="Wingdings" w:char="F04A"/>
            </w:r>
          </w:p>
        </w:tc>
        <w:tc>
          <w:tcPr>
            <w:tcW w:w="1842" w:type="dxa"/>
            <w:tcBorders>
              <w:bottom w:val="single" w:sz="4" w:space="0" w:color="auto"/>
            </w:tcBorders>
          </w:tcPr>
          <w:p w14:paraId="427CD370" w14:textId="77777777" w:rsidR="00256AA2" w:rsidRPr="008832A0" w:rsidRDefault="00256AA2" w:rsidP="00723373">
            <w:pPr>
              <w:pStyle w:val="Tabletext1"/>
            </w:pPr>
            <w:r w:rsidRPr="008832A0">
              <w:rPr>
                <w:snapToGrid w:val="0"/>
                <w:color w:val="00B050"/>
              </w:rPr>
              <w:sym w:font="Wingdings" w:char="F04A"/>
            </w:r>
          </w:p>
        </w:tc>
      </w:tr>
    </w:tbl>
    <w:p w14:paraId="561BBA15" w14:textId="17B372E3" w:rsidR="00E7473C" w:rsidRDefault="00E7473C" w:rsidP="008A4C54">
      <w:pPr>
        <w:pStyle w:val="TableNotes"/>
      </w:pPr>
      <w:r w:rsidRPr="009251E2">
        <w:rPr>
          <w:color w:val="00B050"/>
        </w:rPr>
        <w:sym w:font="Wingdings" w:char="F04A"/>
      </w:r>
      <w:r w:rsidR="00FA05F6">
        <w:rPr>
          <w:color w:val="00B050"/>
        </w:rPr>
        <w:t xml:space="preserve"> </w:t>
      </w:r>
      <w:r w:rsidR="00FA05F6" w:rsidRPr="00FA05F6">
        <w:t>=</w:t>
      </w:r>
      <w:r w:rsidRPr="00FA05F6">
        <w:t xml:space="preserve"> </w:t>
      </w:r>
      <w:r w:rsidR="00FA05F6">
        <w:t>l</w:t>
      </w:r>
      <w:r>
        <w:t xml:space="preserve">ow </w:t>
      </w:r>
      <w:r w:rsidR="00FA05F6">
        <w:t>r</w:t>
      </w:r>
      <w:r>
        <w:t>isk</w:t>
      </w:r>
      <w:r w:rsidR="00FA05F6">
        <w:t>,</w:t>
      </w:r>
      <w:r>
        <w:t xml:space="preserve"> </w:t>
      </w:r>
      <w:r w:rsidRPr="009251E2">
        <w:rPr>
          <w:color w:val="FF0000"/>
        </w:rPr>
        <w:sym w:font="Wingdings" w:char="F04C"/>
      </w:r>
      <w:r>
        <w:t xml:space="preserve"> </w:t>
      </w:r>
      <w:r w:rsidR="00FA05F6" w:rsidRPr="00FA05F6">
        <w:t xml:space="preserve">= </w:t>
      </w:r>
      <w:r w:rsidR="00FA05F6">
        <w:t>h</w:t>
      </w:r>
      <w:r>
        <w:t xml:space="preserve">igh </w:t>
      </w:r>
      <w:r w:rsidR="00FA05F6">
        <w:t>r</w:t>
      </w:r>
      <w:r>
        <w:t>isk</w:t>
      </w:r>
      <w:r w:rsidR="00FA05F6">
        <w:t xml:space="preserve">, </w:t>
      </w:r>
      <w:r w:rsidR="000C0CCE">
        <w:t xml:space="preserve">? </w:t>
      </w:r>
      <w:r w:rsidR="00FA05F6" w:rsidRPr="00FA05F6">
        <w:t xml:space="preserve">= </w:t>
      </w:r>
      <w:r w:rsidR="00FA05F6">
        <w:t>u</w:t>
      </w:r>
      <w:r>
        <w:t xml:space="preserve">nclear </w:t>
      </w:r>
      <w:r w:rsidR="00FA05F6">
        <w:t>r</w:t>
      </w:r>
      <w:r>
        <w:t>isk</w:t>
      </w:r>
      <w:r w:rsidR="00FA05F6">
        <w:t>.</w:t>
      </w:r>
    </w:p>
    <w:p w14:paraId="771EB357" w14:textId="5B2A6963" w:rsidR="00256AA2" w:rsidRDefault="002A6B91" w:rsidP="002A6B91">
      <w:pPr>
        <w:pStyle w:val="Heading2"/>
        <w:rPr>
          <w:rFonts w:eastAsiaTheme="minorHAnsi"/>
          <w:lang w:eastAsia="en-US"/>
        </w:rPr>
      </w:pPr>
      <w:bookmarkStart w:id="818" w:name="_Toc460514031"/>
      <w:r>
        <w:rPr>
          <w:rFonts w:eastAsiaTheme="minorHAnsi"/>
          <w:lang w:eastAsia="en-US"/>
        </w:rPr>
        <w:t>Diagnostic accuracy studies</w:t>
      </w:r>
      <w:r w:rsidR="00113789">
        <w:rPr>
          <w:rFonts w:eastAsiaTheme="minorHAnsi"/>
          <w:lang w:eastAsia="en-US"/>
        </w:rPr>
        <w:t xml:space="preserve"> Population 1</w:t>
      </w:r>
      <w:r>
        <w:rPr>
          <w:rFonts w:eastAsiaTheme="minorHAnsi"/>
          <w:lang w:eastAsia="en-US"/>
        </w:rPr>
        <w:t xml:space="preserve"> (Section B3.3)</w:t>
      </w:r>
      <w:bookmarkEnd w:id="818"/>
    </w:p>
    <w:p w14:paraId="5164BDB9" w14:textId="40FA2674" w:rsidR="002A6B91" w:rsidRDefault="002A6B91" w:rsidP="002A6B91">
      <w:pPr>
        <w:pStyle w:val="Caption"/>
      </w:pPr>
      <w:bookmarkStart w:id="819" w:name="_Ref456768816"/>
      <w:bookmarkStart w:id="820" w:name="_Toc460514582"/>
      <w:r>
        <w:t xml:space="preserve">Table </w:t>
      </w:r>
      <w:fldSimple w:instr=" SEQ Table \* ARABIC ">
        <w:r w:rsidR="0029649D">
          <w:rPr>
            <w:noProof/>
          </w:rPr>
          <w:t>82</w:t>
        </w:r>
      </w:fldSimple>
      <w:bookmarkEnd w:id="819"/>
      <w:r>
        <w:tab/>
        <w:t xml:space="preserve">Quality appraisal of studies assessing the diagnostic accuracy of mpMRI in </w:t>
      </w:r>
      <w:r w:rsidR="000B1DB4">
        <w:t>Population 1 using the QUADAS-2</w:t>
      </w:r>
      <w:r>
        <w:t xml:space="preserve"> tool</w:t>
      </w:r>
      <w:bookmarkEnd w:id="820"/>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59"/>
        <w:gridCol w:w="1114"/>
        <w:gridCol w:w="1114"/>
        <w:gridCol w:w="1114"/>
        <w:gridCol w:w="1114"/>
        <w:gridCol w:w="1114"/>
        <w:gridCol w:w="1114"/>
        <w:gridCol w:w="1112"/>
      </w:tblGrid>
      <w:tr w:rsidR="002A6B91" w:rsidRPr="00D73769" w14:paraId="55EFECC7" w14:textId="77777777" w:rsidTr="0005426D">
        <w:trPr>
          <w:tblHeader/>
        </w:trPr>
        <w:tc>
          <w:tcPr>
            <w:tcW w:w="695" w:type="pct"/>
            <w:tcBorders>
              <w:right w:val="nil"/>
            </w:tcBorders>
            <w:shd w:val="clear" w:color="auto" w:fill="auto"/>
            <w:vAlign w:val="center"/>
          </w:tcPr>
          <w:p w14:paraId="20CF5094" w14:textId="77777777" w:rsidR="002A6B91" w:rsidRPr="00D73769" w:rsidRDefault="002A6B91" w:rsidP="00723373">
            <w:pPr>
              <w:pStyle w:val="TableHeading"/>
              <w:keepNext w:val="0"/>
              <w:rPr>
                <w:snapToGrid w:val="0"/>
                <w:lang w:eastAsia="en-US"/>
              </w:rPr>
            </w:pPr>
          </w:p>
        </w:tc>
        <w:tc>
          <w:tcPr>
            <w:tcW w:w="615" w:type="pct"/>
            <w:tcBorders>
              <w:left w:val="nil"/>
              <w:right w:val="nil"/>
            </w:tcBorders>
            <w:shd w:val="clear" w:color="auto" w:fill="auto"/>
            <w:vAlign w:val="center"/>
          </w:tcPr>
          <w:p w14:paraId="4C530698" w14:textId="77777777" w:rsidR="002A6B91" w:rsidRPr="00D73769" w:rsidRDefault="002A6B91" w:rsidP="00723373">
            <w:pPr>
              <w:pStyle w:val="TableHeading"/>
              <w:keepNext w:val="0"/>
              <w:rPr>
                <w:snapToGrid w:val="0"/>
                <w:lang w:eastAsia="en-US"/>
              </w:rPr>
            </w:pPr>
          </w:p>
        </w:tc>
        <w:tc>
          <w:tcPr>
            <w:tcW w:w="615" w:type="pct"/>
            <w:tcBorders>
              <w:left w:val="nil"/>
              <w:right w:val="nil"/>
            </w:tcBorders>
            <w:shd w:val="clear" w:color="auto" w:fill="auto"/>
            <w:vAlign w:val="center"/>
          </w:tcPr>
          <w:p w14:paraId="2830E457" w14:textId="77777777" w:rsidR="002A6B91" w:rsidRPr="00D73769" w:rsidRDefault="002A6B91" w:rsidP="00723373">
            <w:pPr>
              <w:pStyle w:val="TableHeading"/>
              <w:keepNext w:val="0"/>
              <w:rPr>
                <w:snapToGrid w:val="0"/>
                <w:lang w:eastAsia="en-US"/>
              </w:rPr>
            </w:pPr>
            <w:r w:rsidRPr="00D73769">
              <w:rPr>
                <w:snapToGrid w:val="0"/>
                <w:lang w:eastAsia="en-US"/>
              </w:rPr>
              <w:t>Risk of bias</w:t>
            </w:r>
          </w:p>
        </w:tc>
        <w:tc>
          <w:tcPr>
            <w:tcW w:w="615" w:type="pct"/>
            <w:tcBorders>
              <w:left w:val="nil"/>
              <w:right w:val="nil"/>
            </w:tcBorders>
            <w:shd w:val="clear" w:color="auto" w:fill="auto"/>
            <w:vAlign w:val="center"/>
          </w:tcPr>
          <w:p w14:paraId="76B49F64" w14:textId="77777777" w:rsidR="002A6B91" w:rsidRPr="00D73769" w:rsidRDefault="002A6B91" w:rsidP="00723373">
            <w:pPr>
              <w:pStyle w:val="TableHeading"/>
              <w:keepNext w:val="0"/>
              <w:rPr>
                <w:snapToGrid w:val="0"/>
                <w:lang w:eastAsia="en-US"/>
              </w:rPr>
            </w:pPr>
          </w:p>
        </w:tc>
        <w:tc>
          <w:tcPr>
            <w:tcW w:w="615" w:type="pct"/>
            <w:tcBorders>
              <w:left w:val="nil"/>
            </w:tcBorders>
            <w:shd w:val="clear" w:color="auto" w:fill="auto"/>
            <w:vAlign w:val="center"/>
          </w:tcPr>
          <w:p w14:paraId="0A53AB9A" w14:textId="77777777" w:rsidR="002A6B91" w:rsidRPr="00D73769" w:rsidRDefault="002A6B91" w:rsidP="00723373">
            <w:pPr>
              <w:pStyle w:val="TableHeading"/>
              <w:keepNext w:val="0"/>
              <w:rPr>
                <w:snapToGrid w:val="0"/>
                <w:lang w:eastAsia="en-US"/>
              </w:rPr>
            </w:pPr>
          </w:p>
        </w:tc>
        <w:tc>
          <w:tcPr>
            <w:tcW w:w="615" w:type="pct"/>
            <w:tcBorders>
              <w:right w:val="nil"/>
            </w:tcBorders>
            <w:shd w:val="clear" w:color="auto" w:fill="D9D9D9" w:themeFill="background1" w:themeFillShade="D9"/>
            <w:vAlign w:val="center"/>
          </w:tcPr>
          <w:p w14:paraId="46EAF88E" w14:textId="77777777" w:rsidR="002A6B91" w:rsidRPr="00D73769" w:rsidRDefault="002A6B91" w:rsidP="00723373">
            <w:pPr>
              <w:pStyle w:val="TableHeading"/>
              <w:keepNext w:val="0"/>
              <w:rPr>
                <w:snapToGrid w:val="0"/>
                <w:lang w:eastAsia="en-US"/>
              </w:rPr>
            </w:pPr>
          </w:p>
        </w:tc>
        <w:tc>
          <w:tcPr>
            <w:tcW w:w="615" w:type="pct"/>
            <w:tcBorders>
              <w:left w:val="nil"/>
              <w:right w:val="nil"/>
            </w:tcBorders>
            <w:shd w:val="clear" w:color="auto" w:fill="D9D9D9" w:themeFill="background1" w:themeFillShade="D9"/>
            <w:vAlign w:val="center"/>
          </w:tcPr>
          <w:p w14:paraId="3F4E2F9C" w14:textId="77777777" w:rsidR="002A6B91" w:rsidRPr="00D73769" w:rsidRDefault="002A6B91" w:rsidP="00723373">
            <w:pPr>
              <w:pStyle w:val="TableHeading"/>
              <w:keepNext w:val="0"/>
              <w:rPr>
                <w:snapToGrid w:val="0"/>
                <w:lang w:eastAsia="en-US"/>
              </w:rPr>
            </w:pPr>
            <w:r w:rsidRPr="00D73769">
              <w:rPr>
                <w:snapToGrid w:val="0"/>
                <w:lang w:eastAsia="en-US"/>
              </w:rPr>
              <w:t>Applicability concerns</w:t>
            </w:r>
          </w:p>
        </w:tc>
        <w:tc>
          <w:tcPr>
            <w:tcW w:w="614" w:type="pct"/>
            <w:tcBorders>
              <w:left w:val="nil"/>
            </w:tcBorders>
            <w:shd w:val="clear" w:color="auto" w:fill="D9D9D9" w:themeFill="background1" w:themeFillShade="D9"/>
            <w:vAlign w:val="center"/>
          </w:tcPr>
          <w:p w14:paraId="35854D36" w14:textId="77777777" w:rsidR="002A6B91" w:rsidRPr="00D73769" w:rsidRDefault="002A6B91" w:rsidP="00723373">
            <w:pPr>
              <w:pStyle w:val="TableHeading"/>
              <w:keepNext w:val="0"/>
              <w:rPr>
                <w:snapToGrid w:val="0"/>
                <w:lang w:eastAsia="en-US"/>
              </w:rPr>
            </w:pPr>
          </w:p>
        </w:tc>
      </w:tr>
      <w:tr w:rsidR="002A6B91" w:rsidRPr="00D73769" w14:paraId="2CF3B95C" w14:textId="77777777" w:rsidTr="0005426D">
        <w:trPr>
          <w:tblHeader/>
        </w:trPr>
        <w:tc>
          <w:tcPr>
            <w:tcW w:w="695" w:type="pct"/>
            <w:shd w:val="clear" w:color="auto" w:fill="auto"/>
            <w:vAlign w:val="center"/>
          </w:tcPr>
          <w:p w14:paraId="705B782A" w14:textId="77777777" w:rsidR="002A6B91" w:rsidRPr="00D73769" w:rsidRDefault="002A6B91" w:rsidP="00723373">
            <w:pPr>
              <w:pStyle w:val="TableHeading"/>
              <w:keepNext w:val="0"/>
              <w:rPr>
                <w:snapToGrid w:val="0"/>
                <w:highlight w:val="cyan"/>
              </w:rPr>
            </w:pPr>
            <w:r w:rsidRPr="00D73769">
              <w:rPr>
                <w:snapToGrid w:val="0"/>
                <w:lang w:eastAsia="en-US"/>
              </w:rPr>
              <w:t>Study</w:t>
            </w:r>
          </w:p>
        </w:tc>
        <w:tc>
          <w:tcPr>
            <w:tcW w:w="615" w:type="pct"/>
            <w:shd w:val="clear" w:color="auto" w:fill="auto"/>
            <w:vAlign w:val="center"/>
          </w:tcPr>
          <w:p w14:paraId="001DD65A" w14:textId="77777777" w:rsidR="002A6B91" w:rsidRPr="00D73769" w:rsidRDefault="002A6B91" w:rsidP="00723373">
            <w:pPr>
              <w:pStyle w:val="TableHeading"/>
              <w:keepNext w:val="0"/>
              <w:rPr>
                <w:snapToGrid w:val="0"/>
              </w:rPr>
            </w:pPr>
            <w:r w:rsidRPr="00D73769">
              <w:rPr>
                <w:snapToGrid w:val="0"/>
              </w:rPr>
              <w:t>Patient selection</w:t>
            </w:r>
          </w:p>
        </w:tc>
        <w:tc>
          <w:tcPr>
            <w:tcW w:w="615" w:type="pct"/>
            <w:shd w:val="clear" w:color="auto" w:fill="auto"/>
            <w:vAlign w:val="center"/>
          </w:tcPr>
          <w:p w14:paraId="13B4EE2D" w14:textId="77777777" w:rsidR="002A6B91" w:rsidRPr="00D73769" w:rsidRDefault="002A6B91" w:rsidP="00723373">
            <w:pPr>
              <w:pStyle w:val="TableHeading"/>
              <w:keepNext w:val="0"/>
              <w:rPr>
                <w:snapToGrid w:val="0"/>
              </w:rPr>
            </w:pPr>
            <w:r w:rsidRPr="00D73769">
              <w:rPr>
                <w:snapToGrid w:val="0"/>
              </w:rPr>
              <w:t>Index test</w:t>
            </w:r>
          </w:p>
        </w:tc>
        <w:tc>
          <w:tcPr>
            <w:tcW w:w="615" w:type="pct"/>
            <w:shd w:val="clear" w:color="auto" w:fill="auto"/>
            <w:vAlign w:val="center"/>
          </w:tcPr>
          <w:p w14:paraId="1F21DFA9" w14:textId="77777777" w:rsidR="002A6B91" w:rsidRPr="00D73769" w:rsidRDefault="002A6B91" w:rsidP="00723373">
            <w:pPr>
              <w:pStyle w:val="TableHeading"/>
              <w:keepNext w:val="0"/>
              <w:rPr>
                <w:snapToGrid w:val="0"/>
              </w:rPr>
            </w:pPr>
            <w:r w:rsidRPr="00D73769">
              <w:rPr>
                <w:snapToGrid w:val="0"/>
              </w:rPr>
              <w:t>Reference standard</w:t>
            </w:r>
          </w:p>
        </w:tc>
        <w:tc>
          <w:tcPr>
            <w:tcW w:w="615" w:type="pct"/>
            <w:shd w:val="clear" w:color="auto" w:fill="auto"/>
            <w:vAlign w:val="center"/>
          </w:tcPr>
          <w:p w14:paraId="718E17C9" w14:textId="77777777" w:rsidR="002A6B91" w:rsidRPr="00D73769" w:rsidRDefault="002A6B91" w:rsidP="00723373">
            <w:pPr>
              <w:pStyle w:val="TableHeading"/>
              <w:keepNext w:val="0"/>
              <w:rPr>
                <w:snapToGrid w:val="0"/>
              </w:rPr>
            </w:pPr>
            <w:r w:rsidRPr="00D73769">
              <w:rPr>
                <w:snapToGrid w:val="0"/>
              </w:rPr>
              <w:t>Flow and timing</w:t>
            </w:r>
          </w:p>
        </w:tc>
        <w:tc>
          <w:tcPr>
            <w:tcW w:w="615" w:type="pct"/>
            <w:shd w:val="clear" w:color="auto" w:fill="D9D9D9" w:themeFill="background1" w:themeFillShade="D9"/>
            <w:vAlign w:val="center"/>
          </w:tcPr>
          <w:p w14:paraId="733371AD" w14:textId="77777777" w:rsidR="002A6B91" w:rsidRPr="00D73769" w:rsidRDefault="002A6B91" w:rsidP="00723373">
            <w:pPr>
              <w:pStyle w:val="TableHeading"/>
              <w:keepNext w:val="0"/>
              <w:rPr>
                <w:snapToGrid w:val="0"/>
              </w:rPr>
            </w:pPr>
            <w:r w:rsidRPr="00D73769">
              <w:rPr>
                <w:snapToGrid w:val="0"/>
              </w:rPr>
              <w:t>Patient selection</w:t>
            </w:r>
          </w:p>
        </w:tc>
        <w:tc>
          <w:tcPr>
            <w:tcW w:w="615" w:type="pct"/>
            <w:shd w:val="clear" w:color="auto" w:fill="D9D9D9" w:themeFill="background1" w:themeFillShade="D9"/>
            <w:vAlign w:val="center"/>
          </w:tcPr>
          <w:p w14:paraId="179CFD33" w14:textId="77777777" w:rsidR="002A6B91" w:rsidRPr="00D73769" w:rsidRDefault="002A6B91" w:rsidP="00723373">
            <w:pPr>
              <w:pStyle w:val="TableHeading"/>
              <w:keepNext w:val="0"/>
              <w:rPr>
                <w:snapToGrid w:val="0"/>
              </w:rPr>
            </w:pPr>
            <w:r w:rsidRPr="00D73769">
              <w:rPr>
                <w:snapToGrid w:val="0"/>
              </w:rPr>
              <w:t>Index test</w:t>
            </w:r>
          </w:p>
        </w:tc>
        <w:tc>
          <w:tcPr>
            <w:tcW w:w="614" w:type="pct"/>
            <w:shd w:val="clear" w:color="auto" w:fill="D9D9D9" w:themeFill="background1" w:themeFillShade="D9"/>
            <w:vAlign w:val="center"/>
          </w:tcPr>
          <w:p w14:paraId="7CAA5109" w14:textId="77777777" w:rsidR="002A6B91" w:rsidRPr="00D73769" w:rsidRDefault="002A6B91" w:rsidP="00723373">
            <w:pPr>
              <w:pStyle w:val="TableHeading"/>
              <w:keepNext w:val="0"/>
              <w:rPr>
                <w:snapToGrid w:val="0"/>
              </w:rPr>
            </w:pPr>
            <w:r w:rsidRPr="00D73769">
              <w:rPr>
                <w:snapToGrid w:val="0"/>
              </w:rPr>
              <w:t>Reference standard</w:t>
            </w:r>
          </w:p>
        </w:tc>
      </w:tr>
      <w:tr w:rsidR="00E7473C" w:rsidRPr="00D73769" w14:paraId="2EB04E90" w14:textId="77777777" w:rsidTr="00E7473C">
        <w:tc>
          <w:tcPr>
            <w:tcW w:w="695" w:type="pct"/>
            <w:shd w:val="clear" w:color="auto" w:fill="auto"/>
            <w:vAlign w:val="bottom"/>
          </w:tcPr>
          <w:p w14:paraId="1D1AD843" w14:textId="77777777" w:rsidR="00E7473C" w:rsidRPr="00D73769" w:rsidRDefault="00E7473C" w:rsidP="00723373">
            <w:pPr>
              <w:pStyle w:val="TableText0"/>
              <w:keepNext w:val="0"/>
              <w:rPr>
                <w:snapToGrid w:val="0"/>
              </w:rPr>
            </w:pPr>
            <w:r w:rsidRPr="00D73769">
              <w:t>Abd-Alazeez et al. 2014b</w:t>
            </w:r>
          </w:p>
        </w:tc>
        <w:tc>
          <w:tcPr>
            <w:tcW w:w="615" w:type="pct"/>
            <w:shd w:val="clear" w:color="auto" w:fill="auto"/>
            <w:vAlign w:val="center"/>
          </w:tcPr>
          <w:p w14:paraId="29E75403" w14:textId="7FAAC846" w:rsidR="00E7473C" w:rsidRPr="00E7473C" w:rsidRDefault="00E7473C" w:rsidP="00723373">
            <w:pPr>
              <w:pStyle w:val="TableText0"/>
              <w:keepNext w:val="0"/>
              <w:rPr>
                <w:snapToGrid w:val="0"/>
                <w:sz w:val="18"/>
                <w:szCs w:val="18"/>
              </w:rPr>
            </w:pPr>
            <w:r w:rsidRPr="009251E2">
              <w:rPr>
                <w:b/>
                <w:color w:val="1F497D" w:themeColor="text2"/>
              </w:rPr>
              <w:t>?</w:t>
            </w:r>
          </w:p>
        </w:tc>
        <w:tc>
          <w:tcPr>
            <w:tcW w:w="615" w:type="pct"/>
            <w:shd w:val="clear" w:color="auto" w:fill="auto"/>
            <w:vAlign w:val="center"/>
          </w:tcPr>
          <w:p w14:paraId="2A8ED07B" w14:textId="213EA212" w:rsidR="00E7473C" w:rsidRPr="00E7473C" w:rsidRDefault="00E7473C" w:rsidP="00723373">
            <w:pPr>
              <w:pStyle w:val="TableText0"/>
              <w:keepNext w:val="0"/>
              <w:rPr>
                <w:snapToGrid w:val="0"/>
                <w:sz w:val="18"/>
                <w:szCs w:val="18"/>
              </w:rPr>
            </w:pPr>
            <w:r w:rsidRPr="009251E2">
              <w:rPr>
                <w:color w:val="00B050"/>
              </w:rPr>
              <w:sym w:font="Wingdings" w:char="F04A"/>
            </w:r>
          </w:p>
        </w:tc>
        <w:tc>
          <w:tcPr>
            <w:tcW w:w="615" w:type="pct"/>
            <w:shd w:val="clear" w:color="auto" w:fill="auto"/>
          </w:tcPr>
          <w:p w14:paraId="43E0CCE9" w14:textId="1F142956" w:rsidR="00E7473C" w:rsidRPr="00E7473C" w:rsidRDefault="00E7473C" w:rsidP="00723373">
            <w:pPr>
              <w:pStyle w:val="TableText0"/>
              <w:keepNext w:val="0"/>
              <w:rPr>
                <w:snapToGrid w:val="0"/>
                <w:sz w:val="18"/>
                <w:szCs w:val="18"/>
              </w:rPr>
            </w:pPr>
            <w:r w:rsidRPr="00F676E9">
              <w:rPr>
                <w:b/>
                <w:color w:val="1F497D" w:themeColor="text2"/>
              </w:rPr>
              <w:t>?</w:t>
            </w:r>
          </w:p>
        </w:tc>
        <w:tc>
          <w:tcPr>
            <w:tcW w:w="615" w:type="pct"/>
            <w:shd w:val="clear" w:color="auto" w:fill="auto"/>
          </w:tcPr>
          <w:p w14:paraId="2221D266" w14:textId="22971393" w:rsidR="00E7473C" w:rsidRPr="00E7473C" w:rsidRDefault="00E7473C" w:rsidP="00723373">
            <w:pPr>
              <w:pStyle w:val="TableText0"/>
              <w:keepNext w:val="0"/>
              <w:rPr>
                <w:snapToGrid w:val="0"/>
                <w:sz w:val="18"/>
                <w:szCs w:val="18"/>
              </w:rPr>
            </w:pPr>
            <w:r w:rsidRPr="00F676E9">
              <w:rPr>
                <w:b/>
                <w:color w:val="1F497D" w:themeColor="text2"/>
              </w:rPr>
              <w:t>?</w:t>
            </w:r>
          </w:p>
        </w:tc>
        <w:tc>
          <w:tcPr>
            <w:tcW w:w="615" w:type="pct"/>
            <w:shd w:val="clear" w:color="auto" w:fill="auto"/>
          </w:tcPr>
          <w:p w14:paraId="06915F09" w14:textId="7DBEC1A6"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11F796CB" w14:textId="179DE393" w:rsidR="00E7473C" w:rsidRPr="00E7473C" w:rsidRDefault="00E7473C" w:rsidP="00723373">
            <w:pPr>
              <w:pStyle w:val="TableText0"/>
              <w:keepNext w:val="0"/>
              <w:rPr>
                <w:snapToGrid w:val="0"/>
                <w:sz w:val="18"/>
                <w:szCs w:val="18"/>
              </w:rPr>
            </w:pPr>
            <w:r w:rsidRPr="00363440">
              <w:rPr>
                <w:color w:val="00B050"/>
              </w:rPr>
              <w:sym w:font="Wingdings" w:char="F04A"/>
            </w:r>
          </w:p>
        </w:tc>
        <w:tc>
          <w:tcPr>
            <w:tcW w:w="614" w:type="pct"/>
            <w:shd w:val="clear" w:color="auto" w:fill="auto"/>
          </w:tcPr>
          <w:p w14:paraId="626097E6" w14:textId="175E410B"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251B32C8" w14:textId="77777777" w:rsidTr="0005426D">
        <w:tc>
          <w:tcPr>
            <w:tcW w:w="695" w:type="pct"/>
            <w:shd w:val="clear" w:color="auto" w:fill="auto"/>
            <w:vAlign w:val="bottom"/>
          </w:tcPr>
          <w:p w14:paraId="3CC2B564" w14:textId="77777777" w:rsidR="00E7473C" w:rsidRPr="00D73769" w:rsidRDefault="00E7473C" w:rsidP="00723373">
            <w:pPr>
              <w:pStyle w:val="TableText0"/>
              <w:keepNext w:val="0"/>
              <w:rPr>
                <w:snapToGrid w:val="0"/>
              </w:rPr>
            </w:pPr>
            <w:r w:rsidRPr="00D73769">
              <w:t>Baldisserotto et al. (2016)</w:t>
            </w:r>
          </w:p>
        </w:tc>
        <w:tc>
          <w:tcPr>
            <w:tcW w:w="615" w:type="pct"/>
            <w:shd w:val="clear" w:color="auto" w:fill="auto"/>
          </w:tcPr>
          <w:p w14:paraId="14B59752" w14:textId="1FB304D5" w:rsidR="00E7473C" w:rsidRPr="00E7473C" w:rsidRDefault="00E7473C" w:rsidP="00723373">
            <w:pPr>
              <w:pStyle w:val="TableText0"/>
              <w:keepNext w:val="0"/>
              <w:rPr>
                <w:snapToGrid w:val="0"/>
                <w:sz w:val="18"/>
                <w:szCs w:val="18"/>
              </w:rPr>
            </w:pPr>
            <w:r w:rsidRPr="000267A6">
              <w:rPr>
                <w:color w:val="00B050"/>
              </w:rPr>
              <w:sym w:font="Wingdings" w:char="F04A"/>
            </w:r>
          </w:p>
        </w:tc>
        <w:tc>
          <w:tcPr>
            <w:tcW w:w="615" w:type="pct"/>
            <w:shd w:val="clear" w:color="auto" w:fill="auto"/>
            <w:vAlign w:val="center"/>
          </w:tcPr>
          <w:p w14:paraId="157ADE0A" w14:textId="5CC6874A" w:rsidR="00E7473C" w:rsidRPr="00E7473C" w:rsidRDefault="00E7473C" w:rsidP="00723373">
            <w:pPr>
              <w:pStyle w:val="TableText0"/>
              <w:keepNext w:val="0"/>
              <w:rPr>
                <w:snapToGrid w:val="0"/>
                <w:sz w:val="18"/>
                <w:szCs w:val="18"/>
              </w:rPr>
            </w:pPr>
            <w:r w:rsidRPr="009251E2">
              <w:rPr>
                <w:color w:val="FF0000"/>
              </w:rPr>
              <w:sym w:font="Wingdings" w:char="F04C"/>
            </w:r>
          </w:p>
        </w:tc>
        <w:tc>
          <w:tcPr>
            <w:tcW w:w="615" w:type="pct"/>
            <w:shd w:val="clear" w:color="auto" w:fill="auto"/>
            <w:vAlign w:val="center"/>
          </w:tcPr>
          <w:p w14:paraId="25A4D06B" w14:textId="5A67D5F2" w:rsidR="00E7473C" w:rsidRPr="00E7473C" w:rsidRDefault="00E7473C" w:rsidP="00723373">
            <w:pPr>
              <w:pStyle w:val="TableText0"/>
              <w:keepNext w:val="0"/>
              <w:rPr>
                <w:snapToGrid w:val="0"/>
                <w:sz w:val="18"/>
                <w:szCs w:val="18"/>
              </w:rPr>
            </w:pPr>
            <w:r w:rsidRPr="009251E2">
              <w:rPr>
                <w:color w:val="00B050"/>
              </w:rPr>
              <w:sym w:font="Wingdings" w:char="F04A"/>
            </w:r>
          </w:p>
        </w:tc>
        <w:tc>
          <w:tcPr>
            <w:tcW w:w="615" w:type="pct"/>
            <w:shd w:val="clear" w:color="auto" w:fill="auto"/>
            <w:vAlign w:val="center"/>
          </w:tcPr>
          <w:p w14:paraId="3EDC67D9" w14:textId="79BE2C3C" w:rsidR="00E7473C" w:rsidRPr="00E7473C" w:rsidRDefault="00E7473C" w:rsidP="00723373">
            <w:pPr>
              <w:pStyle w:val="TableText0"/>
              <w:keepNext w:val="0"/>
              <w:rPr>
                <w:snapToGrid w:val="0"/>
                <w:sz w:val="18"/>
                <w:szCs w:val="18"/>
              </w:rPr>
            </w:pPr>
            <w:r w:rsidRPr="009251E2">
              <w:rPr>
                <w:b/>
                <w:color w:val="1F497D" w:themeColor="text2"/>
              </w:rPr>
              <w:t>?</w:t>
            </w:r>
          </w:p>
        </w:tc>
        <w:tc>
          <w:tcPr>
            <w:tcW w:w="615" w:type="pct"/>
            <w:shd w:val="clear" w:color="auto" w:fill="auto"/>
          </w:tcPr>
          <w:p w14:paraId="2888B48B" w14:textId="271A2251"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1F8301A1" w14:textId="16583D87" w:rsidR="00E7473C" w:rsidRPr="00E7473C" w:rsidRDefault="00E7473C" w:rsidP="00723373">
            <w:pPr>
              <w:pStyle w:val="TableText0"/>
              <w:keepNext w:val="0"/>
              <w:rPr>
                <w:snapToGrid w:val="0"/>
                <w:sz w:val="18"/>
                <w:szCs w:val="18"/>
              </w:rPr>
            </w:pPr>
            <w:r w:rsidRPr="00363440">
              <w:rPr>
                <w:color w:val="00B050"/>
              </w:rPr>
              <w:sym w:font="Wingdings" w:char="F04A"/>
            </w:r>
          </w:p>
        </w:tc>
        <w:tc>
          <w:tcPr>
            <w:tcW w:w="614" w:type="pct"/>
            <w:shd w:val="clear" w:color="auto" w:fill="auto"/>
          </w:tcPr>
          <w:p w14:paraId="7FE23BC0" w14:textId="01E7AAD6"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356DE608" w14:textId="77777777" w:rsidTr="00E7473C">
        <w:tc>
          <w:tcPr>
            <w:tcW w:w="695" w:type="pct"/>
            <w:shd w:val="clear" w:color="auto" w:fill="auto"/>
            <w:vAlign w:val="bottom"/>
          </w:tcPr>
          <w:p w14:paraId="1F77EA11" w14:textId="77777777" w:rsidR="00E7473C" w:rsidRPr="00D73769" w:rsidRDefault="00E7473C" w:rsidP="00723373">
            <w:pPr>
              <w:pStyle w:val="TableText0"/>
              <w:keepNext w:val="0"/>
              <w:rPr>
                <w:snapToGrid w:val="0"/>
              </w:rPr>
            </w:pPr>
            <w:r w:rsidRPr="00D73769">
              <w:t>Baur et al. (2016)</w:t>
            </w:r>
          </w:p>
        </w:tc>
        <w:tc>
          <w:tcPr>
            <w:tcW w:w="615" w:type="pct"/>
            <w:shd w:val="clear" w:color="auto" w:fill="auto"/>
          </w:tcPr>
          <w:p w14:paraId="565B459F" w14:textId="26500B17" w:rsidR="00E7473C" w:rsidRPr="00E7473C" w:rsidRDefault="00E7473C" w:rsidP="00723373">
            <w:pPr>
              <w:pStyle w:val="TableText0"/>
              <w:keepNext w:val="0"/>
              <w:rPr>
                <w:snapToGrid w:val="0"/>
                <w:sz w:val="18"/>
                <w:szCs w:val="18"/>
              </w:rPr>
            </w:pPr>
            <w:r w:rsidRPr="000267A6">
              <w:rPr>
                <w:color w:val="00B050"/>
              </w:rPr>
              <w:sym w:font="Wingdings" w:char="F04A"/>
            </w:r>
          </w:p>
        </w:tc>
        <w:tc>
          <w:tcPr>
            <w:tcW w:w="615" w:type="pct"/>
            <w:shd w:val="clear" w:color="auto" w:fill="auto"/>
            <w:vAlign w:val="center"/>
          </w:tcPr>
          <w:p w14:paraId="068ACE7D" w14:textId="275E3D0E" w:rsidR="00E7473C" w:rsidRPr="00E7473C" w:rsidRDefault="00E7473C" w:rsidP="00723373">
            <w:pPr>
              <w:pStyle w:val="TableText0"/>
              <w:keepNext w:val="0"/>
              <w:rPr>
                <w:snapToGrid w:val="0"/>
                <w:sz w:val="18"/>
                <w:szCs w:val="18"/>
              </w:rPr>
            </w:pPr>
            <w:r w:rsidRPr="009251E2">
              <w:rPr>
                <w:color w:val="00B050"/>
              </w:rPr>
              <w:sym w:font="Wingdings" w:char="F04A"/>
            </w:r>
          </w:p>
        </w:tc>
        <w:tc>
          <w:tcPr>
            <w:tcW w:w="615" w:type="pct"/>
            <w:shd w:val="clear" w:color="auto" w:fill="auto"/>
          </w:tcPr>
          <w:p w14:paraId="16205034" w14:textId="2649A4E0" w:rsidR="00E7473C" w:rsidRPr="00E7473C" w:rsidRDefault="00E7473C" w:rsidP="00723373">
            <w:pPr>
              <w:pStyle w:val="TableText0"/>
              <w:keepNext w:val="0"/>
              <w:rPr>
                <w:snapToGrid w:val="0"/>
                <w:sz w:val="18"/>
                <w:szCs w:val="18"/>
              </w:rPr>
            </w:pPr>
            <w:r w:rsidRPr="007E17D9">
              <w:rPr>
                <w:color w:val="FF0000"/>
              </w:rPr>
              <w:sym w:font="Wingdings" w:char="F04C"/>
            </w:r>
          </w:p>
        </w:tc>
        <w:tc>
          <w:tcPr>
            <w:tcW w:w="615" w:type="pct"/>
            <w:shd w:val="clear" w:color="auto" w:fill="auto"/>
          </w:tcPr>
          <w:p w14:paraId="70B1969B" w14:textId="232512EE" w:rsidR="00E7473C" w:rsidRPr="00E7473C" w:rsidRDefault="00E7473C" w:rsidP="00723373">
            <w:pPr>
              <w:pStyle w:val="TableText0"/>
              <w:keepNext w:val="0"/>
              <w:rPr>
                <w:snapToGrid w:val="0"/>
                <w:sz w:val="18"/>
                <w:szCs w:val="18"/>
              </w:rPr>
            </w:pPr>
            <w:r w:rsidRPr="007E17D9">
              <w:rPr>
                <w:color w:val="FF0000"/>
              </w:rPr>
              <w:sym w:font="Wingdings" w:char="F04C"/>
            </w:r>
          </w:p>
        </w:tc>
        <w:tc>
          <w:tcPr>
            <w:tcW w:w="615" w:type="pct"/>
            <w:shd w:val="clear" w:color="auto" w:fill="auto"/>
          </w:tcPr>
          <w:p w14:paraId="67EBAF98" w14:textId="046EC7DB"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57BC3AA6" w14:textId="0C23C1D9" w:rsidR="00E7473C" w:rsidRPr="00E7473C" w:rsidRDefault="00E7473C" w:rsidP="00723373">
            <w:pPr>
              <w:pStyle w:val="TableText0"/>
              <w:keepNext w:val="0"/>
              <w:rPr>
                <w:snapToGrid w:val="0"/>
                <w:sz w:val="18"/>
                <w:szCs w:val="18"/>
              </w:rPr>
            </w:pPr>
            <w:r w:rsidRPr="00363440">
              <w:rPr>
                <w:color w:val="00B050"/>
              </w:rPr>
              <w:sym w:font="Wingdings" w:char="F04A"/>
            </w:r>
          </w:p>
        </w:tc>
        <w:tc>
          <w:tcPr>
            <w:tcW w:w="614" w:type="pct"/>
            <w:shd w:val="clear" w:color="auto" w:fill="auto"/>
          </w:tcPr>
          <w:p w14:paraId="6B22E9BD" w14:textId="7B9E90CB"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168BB071" w14:textId="77777777" w:rsidTr="00E7473C">
        <w:tc>
          <w:tcPr>
            <w:tcW w:w="695" w:type="pct"/>
            <w:shd w:val="clear" w:color="auto" w:fill="auto"/>
            <w:vAlign w:val="bottom"/>
          </w:tcPr>
          <w:p w14:paraId="541E89D0" w14:textId="77777777" w:rsidR="00E7473C" w:rsidRPr="00D73769" w:rsidRDefault="00E7473C" w:rsidP="00723373">
            <w:pPr>
              <w:pStyle w:val="TableText0"/>
              <w:keepNext w:val="0"/>
              <w:rPr>
                <w:snapToGrid w:val="0"/>
              </w:rPr>
            </w:pPr>
            <w:r w:rsidRPr="00D73769">
              <w:t>Busetto et al. (2013)</w:t>
            </w:r>
          </w:p>
        </w:tc>
        <w:tc>
          <w:tcPr>
            <w:tcW w:w="615" w:type="pct"/>
            <w:shd w:val="clear" w:color="auto" w:fill="auto"/>
          </w:tcPr>
          <w:p w14:paraId="3299C04A" w14:textId="3B1D6769" w:rsidR="00E7473C" w:rsidRPr="00E7473C" w:rsidRDefault="00E7473C" w:rsidP="00723373">
            <w:pPr>
              <w:pStyle w:val="TableText0"/>
              <w:keepNext w:val="0"/>
              <w:rPr>
                <w:snapToGrid w:val="0"/>
                <w:sz w:val="18"/>
                <w:szCs w:val="18"/>
              </w:rPr>
            </w:pPr>
            <w:r w:rsidRPr="000267A6">
              <w:rPr>
                <w:color w:val="00B050"/>
              </w:rPr>
              <w:sym w:font="Wingdings" w:char="F04A"/>
            </w:r>
          </w:p>
        </w:tc>
        <w:tc>
          <w:tcPr>
            <w:tcW w:w="615" w:type="pct"/>
            <w:shd w:val="clear" w:color="auto" w:fill="auto"/>
            <w:vAlign w:val="center"/>
          </w:tcPr>
          <w:p w14:paraId="4F72948C" w14:textId="4823B8ED" w:rsidR="00E7473C" w:rsidRPr="00E7473C" w:rsidRDefault="00E7473C" w:rsidP="00723373">
            <w:pPr>
              <w:pStyle w:val="TableText0"/>
              <w:keepNext w:val="0"/>
              <w:rPr>
                <w:snapToGrid w:val="0"/>
                <w:sz w:val="18"/>
                <w:szCs w:val="18"/>
              </w:rPr>
            </w:pPr>
            <w:r w:rsidRPr="009251E2">
              <w:rPr>
                <w:b/>
                <w:color w:val="1F497D" w:themeColor="text2"/>
              </w:rPr>
              <w:t>?</w:t>
            </w:r>
          </w:p>
        </w:tc>
        <w:tc>
          <w:tcPr>
            <w:tcW w:w="615" w:type="pct"/>
            <w:shd w:val="clear" w:color="auto" w:fill="auto"/>
            <w:vAlign w:val="center"/>
          </w:tcPr>
          <w:p w14:paraId="79B9AB81" w14:textId="10235AC6" w:rsidR="00E7473C" w:rsidRPr="00E7473C" w:rsidRDefault="00E7473C" w:rsidP="00723373">
            <w:pPr>
              <w:pStyle w:val="TableText0"/>
              <w:keepNext w:val="0"/>
              <w:rPr>
                <w:snapToGrid w:val="0"/>
                <w:sz w:val="18"/>
                <w:szCs w:val="18"/>
              </w:rPr>
            </w:pPr>
            <w:r w:rsidRPr="009251E2">
              <w:rPr>
                <w:color w:val="FF0000"/>
              </w:rPr>
              <w:sym w:font="Wingdings" w:char="F04C"/>
            </w:r>
          </w:p>
        </w:tc>
        <w:tc>
          <w:tcPr>
            <w:tcW w:w="615" w:type="pct"/>
            <w:shd w:val="clear" w:color="auto" w:fill="auto"/>
          </w:tcPr>
          <w:p w14:paraId="62F55C3D" w14:textId="6E32F760" w:rsidR="00E7473C" w:rsidRPr="00E7473C" w:rsidRDefault="00E7473C" w:rsidP="00723373">
            <w:pPr>
              <w:pStyle w:val="TableText0"/>
              <w:keepNext w:val="0"/>
              <w:rPr>
                <w:snapToGrid w:val="0"/>
                <w:sz w:val="18"/>
                <w:szCs w:val="18"/>
              </w:rPr>
            </w:pPr>
            <w:r w:rsidRPr="00166A43">
              <w:rPr>
                <w:b/>
                <w:color w:val="1F497D" w:themeColor="text2"/>
              </w:rPr>
              <w:t>?</w:t>
            </w:r>
          </w:p>
        </w:tc>
        <w:tc>
          <w:tcPr>
            <w:tcW w:w="615" w:type="pct"/>
            <w:shd w:val="clear" w:color="auto" w:fill="auto"/>
          </w:tcPr>
          <w:p w14:paraId="79E06B0C" w14:textId="7771AF80"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317791DD" w14:textId="5FFE8490" w:rsidR="00E7473C" w:rsidRPr="00E7473C" w:rsidRDefault="00E7473C" w:rsidP="00723373">
            <w:pPr>
              <w:pStyle w:val="TableText0"/>
              <w:keepNext w:val="0"/>
              <w:rPr>
                <w:snapToGrid w:val="0"/>
                <w:sz w:val="18"/>
                <w:szCs w:val="18"/>
              </w:rPr>
            </w:pPr>
            <w:r w:rsidRPr="00C24BA4">
              <w:rPr>
                <w:color w:val="FF0000"/>
              </w:rPr>
              <w:sym w:font="Wingdings" w:char="F04C"/>
            </w:r>
          </w:p>
        </w:tc>
        <w:tc>
          <w:tcPr>
            <w:tcW w:w="614" w:type="pct"/>
            <w:shd w:val="clear" w:color="auto" w:fill="auto"/>
          </w:tcPr>
          <w:p w14:paraId="53239158" w14:textId="79E4DF40"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402C52CC" w14:textId="77777777" w:rsidTr="00E7473C">
        <w:tc>
          <w:tcPr>
            <w:tcW w:w="695" w:type="pct"/>
            <w:shd w:val="clear" w:color="auto" w:fill="auto"/>
            <w:vAlign w:val="bottom"/>
          </w:tcPr>
          <w:p w14:paraId="07FC9FDE" w14:textId="77777777" w:rsidR="00E7473C" w:rsidRPr="00D73769" w:rsidRDefault="00E7473C" w:rsidP="00723373">
            <w:pPr>
              <w:pStyle w:val="TableText0"/>
              <w:keepNext w:val="0"/>
              <w:rPr>
                <w:snapToGrid w:val="0"/>
              </w:rPr>
            </w:pPr>
            <w:r w:rsidRPr="00D73769">
              <w:t>De Visschere et al. (2016)</w:t>
            </w:r>
          </w:p>
        </w:tc>
        <w:tc>
          <w:tcPr>
            <w:tcW w:w="615" w:type="pct"/>
            <w:shd w:val="clear" w:color="auto" w:fill="auto"/>
          </w:tcPr>
          <w:p w14:paraId="018DBFB3" w14:textId="7CDE3D3B" w:rsidR="00E7473C" w:rsidRPr="00E7473C" w:rsidRDefault="00E7473C" w:rsidP="00723373">
            <w:pPr>
              <w:pStyle w:val="TableText0"/>
              <w:keepNext w:val="0"/>
              <w:rPr>
                <w:snapToGrid w:val="0"/>
                <w:sz w:val="18"/>
                <w:szCs w:val="18"/>
              </w:rPr>
            </w:pPr>
            <w:r w:rsidRPr="00E1199D">
              <w:rPr>
                <w:color w:val="00B050"/>
              </w:rPr>
              <w:sym w:font="Wingdings" w:char="F04A"/>
            </w:r>
          </w:p>
        </w:tc>
        <w:tc>
          <w:tcPr>
            <w:tcW w:w="615" w:type="pct"/>
            <w:shd w:val="clear" w:color="auto" w:fill="auto"/>
          </w:tcPr>
          <w:p w14:paraId="35FFE469" w14:textId="4D2F854C" w:rsidR="00E7473C" w:rsidRPr="00E7473C" w:rsidRDefault="00E7473C" w:rsidP="00723373">
            <w:pPr>
              <w:pStyle w:val="TableText0"/>
              <w:keepNext w:val="0"/>
              <w:rPr>
                <w:snapToGrid w:val="0"/>
                <w:sz w:val="18"/>
                <w:szCs w:val="18"/>
              </w:rPr>
            </w:pPr>
            <w:r w:rsidRPr="00E1199D">
              <w:rPr>
                <w:color w:val="00B050"/>
              </w:rPr>
              <w:sym w:font="Wingdings" w:char="F04A"/>
            </w:r>
          </w:p>
        </w:tc>
        <w:tc>
          <w:tcPr>
            <w:tcW w:w="615" w:type="pct"/>
            <w:shd w:val="clear" w:color="auto" w:fill="auto"/>
          </w:tcPr>
          <w:p w14:paraId="34EA5455" w14:textId="61395829" w:rsidR="00E7473C" w:rsidRPr="00E7473C" w:rsidRDefault="00E7473C" w:rsidP="00723373">
            <w:pPr>
              <w:pStyle w:val="TableText0"/>
              <w:keepNext w:val="0"/>
              <w:rPr>
                <w:snapToGrid w:val="0"/>
                <w:sz w:val="18"/>
                <w:szCs w:val="18"/>
              </w:rPr>
            </w:pPr>
            <w:r w:rsidRPr="00530623">
              <w:rPr>
                <w:b/>
                <w:color w:val="1F497D" w:themeColor="text2"/>
              </w:rPr>
              <w:t>?</w:t>
            </w:r>
          </w:p>
        </w:tc>
        <w:tc>
          <w:tcPr>
            <w:tcW w:w="615" w:type="pct"/>
            <w:shd w:val="clear" w:color="auto" w:fill="auto"/>
          </w:tcPr>
          <w:p w14:paraId="1CB20B0F" w14:textId="7011851B" w:rsidR="00E7473C" w:rsidRPr="00E7473C" w:rsidRDefault="00E7473C" w:rsidP="00723373">
            <w:pPr>
              <w:pStyle w:val="TableText0"/>
              <w:keepNext w:val="0"/>
              <w:rPr>
                <w:snapToGrid w:val="0"/>
                <w:sz w:val="18"/>
                <w:szCs w:val="18"/>
              </w:rPr>
            </w:pPr>
            <w:r w:rsidRPr="00166A43">
              <w:rPr>
                <w:b/>
                <w:color w:val="1F497D" w:themeColor="text2"/>
              </w:rPr>
              <w:t>?</w:t>
            </w:r>
          </w:p>
        </w:tc>
        <w:tc>
          <w:tcPr>
            <w:tcW w:w="615" w:type="pct"/>
            <w:shd w:val="clear" w:color="auto" w:fill="auto"/>
          </w:tcPr>
          <w:p w14:paraId="755F118B" w14:textId="0486838A"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5B30EC31" w14:textId="58EF78C6" w:rsidR="00E7473C" w:rsidRPr="00E7473C" w:rsidRDefault="00E7473C" w:rsidP="00723373">
            <w:pPr>
              <w:pStyle w:val="TableText0"/>
              <w:keepNext w:val="0"/>
              <w:rPr>
                <w:snapToGrid w:val="0"/>
                <w:sz w:val="18"/>
                <w:szCs w:val="18"/>
              </w:rPr>
            </w:pPr>
            <w:r w:rsidRPr="00C24BA4">
              <w:rPr>
                <w:color w:val="FF0000"/>
              </w:rPr>
              <w:sym w:font="Wingdings" w:char="F04C"/>
            </w:r>
          </w:p>
        </w:tc>
        <w:tc>
          <w:tcPr>
            <w:tcW w:w="614" w:type="pct"/>
            <w:shd w:val="clear" w:color="auto" w:fill="auto"/>
          </w:tcPr>
          <w:p w14:paraId="7EE206D0" w14:textId="5A3B8F83"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27F1915F" w14:textId="77777777" w:rsidTr="00E7473C">
        <w:tc>
          <w:tcPr>
            <w:tcW w:w="695" w:type="pct"/>
            <w:shd w:val="clear" w:color="auto" w:fill="auto"/>
            <w:vAlign w:val="bottom"/>
          </w:tcPr>
          <w:p w14:paraId="7F7131E6" w14:textId="77777777" w:rsidR="00E7473C" w:rsidRPr="00D73769" w:rsidRDefault="00E7473C" w:rsidP="00723373">
            <w:pPr>
              <w:pStyle w:val="TableText0"/>
              <w:keepNext w:val="0"/>
              <w:rPr>
                <w:snapToGrid w:val="0"/>
              </w:rPr>
            </w:pPr>
            <w:r w:rsidRPr="00D73769">
              <w:t>Dikaios et al. (2015)</w:t>
            </w:r>
          </w:p>
        </w:tc>
        <w:tc>
          <w:tcPr>
            <w:tcW w:w="615" w:type="pct"/>
            <w:shd w:val="clear" w:color="auto" w:fill="auto"/>
          </w:tcPr>
          <w:p w14:paraId="349443EF" w14:textId="0B56F6A2" w:rsidR="00E7473C" w:rsidRPr="00E7473C" w:rsidRDefault="00E7473C" w:rsidP="00723373">
            <w:pPr>
              <w:pStyle w:val="TableText0"/>
              <w:keepNext w:val="0"/>
              <w:rPr>
                <w:snapToGrid w:val="0"/>
                <w:sz w:val="18"/>
                <w:szCs w:val="18"/>
              </w:rPr>
            </w:pPr>
            <w:r w:rsidRPr="00575112">
              <w:rPr>
                <w:b/>
                <w:color w:val="1F497D" w:themeColor="text2"/>
              </w:rPr>
              <w:t>?</w:t>
            </w:r>
          </w:p>
        </w:tc>
        <w:tc>
          <w:tcPr>
            <w:tcW w:w="615" w:type="pct"/>
            <w:shd w:val="clear" w:color="auto" w:fill="auto"/>
          </w:tcPr>
          <w:p w14:paraId="36FEF992" w14:textId="1B83496E" w:rsidR="00E7473C" w:rsidRPr="00E7473C" w:rsidRDefault="00E7473C" w:rsidP="00723373">
            <w:pPr>
              <w:pStyle w:val="TableText0"/>
              <w:keepNext w:val="0"/>
              <w:rPr>
                <w:snapToGrid w:val="0"/>
                <w:sz w:val="18"/>
                <w:szCs w:val="18"/>
              </w:rPr>
            </w:pPr>
            <w:r w:rsidRPr="00575112">
              <w:rPr>
                <w:b/>
                <w:color w:val="1F497D" w:themeColor="text2"/>
              </w:rPr>
              <w:t>?</w:t>
            </w:r>
          </w:p>
        </w:tc>
        <w:tc>
          <w:tcPr>
            <w:tcW w:w="615" w:type="pct"/>
            <w:shd w:val="clear" w:color="auto" w:fill="auto"/>
          </w:tcPr>
          <w:p w14:paraId="6EB93665" w14:textId="179BD225" w:rsidR="00E7473C" w:rsidRPr="00E7473C" w:rsidRDefault="00E7473C" w:rsidP="00723373">
            <w:pPr>
              <w:pStyle w:val="TableText0"/>
              <w:keepNext w:val="0"/>
              <w:rPr>
                <w:snapToGrid w:val="0"/>
                <w:sz w:val="18"/>
                <w:szCs w:val="18"/>
              </w:rPr>
            </w:pPr>
            <w:r w:rsidRPr="00530623">
              <w:rPr>
                <w:b/>
                <w:color w:val="1F497D" w:themeColor="text2"/>
              </w:rPr>
              <w:t>?</w:t>
            </w:r>
          </w:p>
        </w:tc>
        <w:tc>
          <w:tcPr>
            <w:tcW w:w="615" w:type="pct"/>
            <w:shd w:val="clear" w:color="auto" w:fill="auto"/>
          </w:tcPr>
          <w:p w14:paraId="5268B128" w14:textId="52FCBD42" w:rsidR="00E7473C" w:rsidRPr="00E7473C" w:rsidRDefault="00E7473C" w:rsidP="00723373">
            <w:pPr>
              <w:pStyle w:val="TableText0"/>
              <w:keepNext w:val="0"/>
              <w:rPr>
                <w:snapToGrid w:val="0"/>
                <w:sz w:val="18"/>
                <w:szCs w:val="18"/>
              </w:rPr>
            </w:pPr>
            <w:r w:rsidRPr="006B6770">
              <w:rPr>
                <w:color w:val="FF0000"/>
              </w:rPr>
              <w:sym w:font="Wingdings" w:char="F04C"/>
            </w:r>
          </w:p>
        </w:tc>
        <w:tc>
          <w:tcPr>
            <w:tcW w:w="615" w:type="pct"/>
            <w:shd w:val="clear" w:color="auto" w:fill="auto"/>
          </w:tcPr>
          <w:p w14:paraId="15613E19" w14:textId="054E9B37"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vAlign w:val="center"/>
          </w:tcPr>
          <w:p w14:paraId="4E981481" w14:textId="22D5AED5" w:rsidR="00E7473C" w:rsidRPr="00E7473C" w:rsidRDefault="00E7473C" w:rsidP="00723373">
            <w:pPr>
              <w:pStyle w:val="TableText0"/>
              <w:keepNext w:val="0"/>
              <w:rPr>
                <w:snapToGrid w:val="0"/>
                <w:sz w:val="18"/>
                <w:szCs w:val="18"/>
              </w:rPr>
            </w:pPr>
            <w:r w:rsidRPr="009251E2">
              <w:rPr>
                <w:color w:val="00B050"/>
              </w:rPr>
              <w:sym w:font="Wingdings" w:char="F04A"/>
            </w:r>
          </w:p>
        </w:tc>
        <w:tc>
          <w:tcPr>
            <w:tcW w:w="614" w:type="pct"/>
            <w:shd w:val="clear" w:color="auto" w:fill="auto"/>
          </w:tcPr>
          <w:p w14:paraId="3B578762" w14:textId="4AC460A8"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3F9E285C" w14:textId="77777777" w:rsidTr="00E7473C">
        <w:tc>
          <w:tcPr>
            <w:tcW w:w="695" w:type="pct"/>
            <w:shd w:val="clear" w:color="auto" w:fill="auto"/>
            <w:vAlign w:val="bottom"/>
          </w:tcPr>
          <w:p w14:paraId="7962AA06" w14:textId="77777777" w:rsidR="00E7473C" w:rsidRPr="00D73769" w:rsidRDefault="00E7473C" w:rsidP="00723373">
            <w:pPr>
              <w:pStyle w:val="TableText0"/>
              <w:keepNext w:val="0"/>
              <w:rPr>
                <w:snapToGrid w:val="0"/>
              </w:rPr>
            </w:pPr>
            <w:r w:rsidRPr="00D73769">
              <w:t>Ferda et al. (2013)</w:t>
            </w:r>
          </w:p>
        </w:tc>
        <w:tc>
          <w:tcPr>
            <w:tcW w:w="615" w:type="pct"/>
            <w:shd w:val="clear" w:color="auto" w:fill="auto"/>
            <w:vAlign w:val="center"/>
          </w:tcPr>
          <w:p w14:paraId="59219114" w14:textId="224DC228" w:rsidR="00E7473C" w:rsidRPr="00E7473C" w:rsidRDefault="00E7473C" w:rsidP="00723373">
            <w:pPr>
              <w:pStyle w:val="TableText0"/>
              <w:keepNext w:val="0"/>
              <w:rPr>
                <w:snapToGrid w:val="0"/>
                <w:sz w:val="18"/>
                <w:szCs w:val="18"/>
              </w:rPr>
            </w:pPr>
            <w:r w:rsidRPr="009251E2">
              <w:rPr>
                <w:color w:val="FF0000"/>
              </w:rPr>
              <w:sym w:font="Wingdings" w:char="F04C"/>
            </w:r>
          </w:p>
        </w:tc>
        <w:tc>
          <w:tcPr>
            <w:tcW w:w="615" w:type="pct"/>
            <w:shd w:val="clear" w:color="auto" w:fill="auto"/>
          </w:tcPr>
          <w:p w14:paraId="77C7917E" w14:textId="67A580F9" w:rsidR="00E7473C" w:rsidRPr="00E7473C" w:rsidRDefault="00E7473C" w:rsidP="00723373">
            <w:pPr>
              <w:pStyle w:val="TableText0"/>
              <w:keepNext w:val="0"/>
              <w:rPr>
                <w:snapToGrid w:val="0"/>
                <w:sz w:val="18"/>
                <w:szCs w:val="18"/>
              </w:rPr>
            </w:pPr>
            <w:r w:rsidRPr="005D4072">
              <w:rPr>
                <w:color w:val="00B050"/>
              </w:rPr>
              <w:sym w:font="Wingdings" w:char="F04A"/>
            </w:r>
          </w:p>
        </w:tc>
        <w:tc>
          <w:tcPr>
            <w:tcW w:w="615" w:type="pct"/>
            <w:shd w:val="clear" w:color="auto" w:fill="auto"/>
          </w:tcPr>
          <w:p w14:paraId="3E2577D3" w14:textId="6663BCAE" w:rsidR="00E7473C" w:rsidRPr="00E7473C" w:rsidRDefault="00E7473C" w:rsidP="00723373">
            <w:pPr>
              <w:pStyle w:val="TableText0"/>
              <w:keepNext w:val="0"/>
              <w:rPr>
                <w:snapToGrid w:val="0"/>
                <w:sz w:val="18"/>
                <w:szCs w:val="18"/>
              </w:rPr>
            </w:pPr>
            <w:r w:rsidRPr="00530623">
              <w:rPr>
                <w:b/>
                <w:color w:val="1F497D" w:themeColor="text2"/>
              </w:rPr>
              <w:t>?</w:t>
            </w:r>
          </w:p>
        </w:tc>
        <w:tc>
          <w:tcPr>
            <w:tcW w:w="615" w:type="pct"/>
            <w:shd w:val="clear" w:color="auto" w:fill="auto"/>
          </w:tcPr>
          <w:p w14:paraId="3E72A674" w14:textId="185050C0" w:rsidR="00E7473C" w:rsidRPr="00E7473C" w:rsidRDefault="00E7473C" w:rsidP="00723373">
            <w:pPr>
              <w:pStyle w:val="TableText0"/>
              <w:keepNext w:val="0"/>
              <w:rPr>
                <w:snapToGrid w:val="0"/>
                <w:sz w:val="18"/>
                <w:szCs w:val="18"/>
              </w:rPr>
            </w:pPr>
            <w:r w:rsidRPr="006B6770">
              <w:rPr>
                <w:color w:val="FF0000"/>
              </w:rPr>
              <w:sym w:font="Wingdings" w:char="F04C"/>
            </w:r>
          </w:p>
        </w:tc>
        <w:tc>
          <w:tcPr>
            <w:tcW w:w="615" w:type="pct"/>
            <w:shd w:val="clear" w:color="auto" w:fill="auto"/>
          </w:tcPr>
          <w:p w14:paraId="4F6890F3" w14:textId="68109E5E"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798D87D3" w14:textId="21DA542A" w:rsidR="00E7473C" w:rsidRPr="00E7473C" w:rsidRDefault="00E7473C" w:rsidP="00723373">
            <w:pPr>
              <w:pStyle w:val="TableText0"/>
              <w:keepNext w:val="0"/>
              <w:rPr>
                <w:snapToGrid w:val="0"/>
                <w:sz w:val="18"/>
                <w:szCs w:val="18"/>
              </w:rPr>
            </w:pPr>
            <w:r w:rsidRPr="00EE089D">
              <w:rPr>
                <w:color w:val="FF0000"/>
              </w:rPr>
              <w:sym w:font="Wingdings" w:char="F04C"/>
            </w:r>
          </w:p>
        </w:tc>
        <w:tc>
          <w:tcPr>
            <w:tcW w:w="614" w:type="pct"/>
            <w:shd w:val="clear" w:color="auto" w:fill="auto"/>
          </w:tcPr>
          <w:p w14:paraId="45A0A9C8" w14:textId="6EEB8869"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2C987DA8" w14:textId="77777777" w:rsidTr="0005426D">
        <w:tc>
          <w:tcPr>
            <w:tcW w:w="695" w:type="pct"/>
            <w:shd w:val="clear" w:color="auto" w:fill="auto"/>
            <w:vAlign w:val="bottom"/>
          </w:tcPr>
          <w:p w14:paraId="317F2EEF" w14:textId="77777777" w:rsidR="00E7473C" w:rsidRPr="00D73769" w:rsidRDefault="00E7473C" w:rsidP="00723373">
            <w:pPr>
              <w:pStyle w:val="TableText0"/>
              <w:keepNext w:val="0"/>
              <w:rPr>
                <w:snapToGrid w:val="0"/>
              </w:rPr>
            </w:pPr>
            <w:r w:rsidRPr="00D73769">
              <w:lastRenderedPageBreak/>
              <w:t>Girometti et al. (2012)</w:t>
            </w:r>
          </w:p>
        </w:tc>
        <w:tc>
          <w:tcPr>
            <w:tcW w:w="615" w:type="pct"/>
            <w:shd w:val="clear" w:color="auto" w:fill="auto"/>
          </w:tcPr>
          <w:p w14:paraId="773854AC" w14:textId="505ACAA1" w:rsidR="00E7473C" w:rsidRPr="00E7473C" w:rsidRDefault="00E7473C" w:rsidP="00723373">
            <w:pPr>
              <w:pStyle w:val="TableText0"/>
              <w:keepNext w:val="0"/>
              <w:rPr>
                <w:snapToGrid w:val="0"/>
                <w:sz w:val="18"/>
                <w:szCs w:val="18"/>
              </w:rPr>
            </w:pPr>
            <w:r w:rsidRPr="009251E2">
              <w:rPr>
                <w:color w:val="00B050"/>
              </w:rPr>
              <w:sym w:font="Wingdings" w:char="F04A"/>
            </w:r>
          </w:p>
        </w:tc>
        <w:tc>
          <w:tcPr>
            <w:tcW w:w="615" w:type="pct"/>
            <w:shd w:val="clear" w:color="auto" w:fill="auto"/>
          </w:tcPr>
          <w:p w14:paraId="4715401F" w14:textId="0299ADC6" w:rsidR="00E7473C" w:rsidRPr="00E7473C" w:rsidRDefault="00E7473C" w:rsidP="00723373">
            <w:pPr>
              <w:pStyle w:val="TableText0"/>
              <w:keepNext w:val="0"/>
              <w:rPr>
                <w:snapToGrid w:val="0"/>
                <w:sz w:val="18"/>
                <w:szCs w:val="18"/>
              </w:rPr>
            </w:pPr>
            <w:r w:rsidRPr="005D4072">
              <w:rPr>
                <w:color w:val="00B050"/>
              </w:rPr>
              <w:sym w:font="Wingdings" w:char="F04A"/>
            </w:r>
          </w:p>
        </w:tc>
        <w:tc>
          <w:tcPr>
            <w:tcW w:w="615" w:type="pct"/>
            <w:shd w:val="clear" w:color="auto" w:fill="auto"/>
          </w:tcPr>
          <w:p w14:paraId="1549C5D9" w14:textId="3F46E497" w:rsidR="00E7473C" w:rsidRPr="00E7473C" w:rsidRDefault="00E7473C" w:rsidP="00723373">
            <w:pPr>
              <w:pStyle w:val="TableText0"/>
              <w:keepNext w:val="0"/>
              <w:rPr>
                <w:snapToGrid w:val="0"/>
                <w:sz w:val="18"/>
                <w:szCs w:val="18"/>
              </w:rPr>
            </w:pPr>
            <w:r w:rsidRPr="00091BFC">
              <w:rPr>
                <w:color w:val="FF0000"/>
              </w:rPr>
              <w:sym w:font="Wingdings" w:char="F04C"/>
            </w:r>
          </w:p>
        </w:tc>
        <w:tc>
          <w:tcPr>
            <w:tcW w:w="615" w:type="pct"/>
            <w:shd w:val="clear" w:color="auto" w:fill="auto"/>
          </w:tcPr>
          <w:p w14:paraId="4A37CE7A" w14:textId="37461930" w:rsidR="00E7473C" w:rsidRPr="00E7473C" w:rsidRDefault="00E7473C" w:rsidP="00723373">
            <w:pPr>
              <w:pStyle w:val="TableText0"/>
              <w:keepNext w:val="0"/>
              <w:rPr>
                <w:snapToGrid w:val="0"/>
                <w:sz w:val="18"/>
                <w:szCs w:val="18"/>
              </w:rPr>
            </w:pPr>
            <w:r w:rsidRPr="006B6770">
              <w:rPr>
                <w:color w:val="FF0000"/>
              </w:rPr>
              <w:sym w:font="Wingdings" w:char="F04C"/>
            </w:r>
          </w:p>
        </w:tc>
        <w:tc>
          <w:tcPr>
            <w:tcW w:w="615" w:type="pct"/>
            <w:shd w:val="clear" w:color="auto" w:fill="auto"/>
          </w:tcPr>
          <w:p w14:paraId="59F90472" w14:textId="5449417B"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412C795B" w14:textId="368611B0" w:rsidR="00E7473C" w:rsidRPr="00E7473C" w:rsidRDefault="00E7473C" w:rsidP="00723373">
            <w:pPr>
              <w:pStyle w:val="TableText0"/>
              <w:keepNext w:val="0"/>
              <w:rPr>
                <w:snapToGrid w:val="0"/>
                <w:sz w:val="18"/>
                <w:szCs w:val="18"/>
              </w:rPr>
            </w:pPr>
            <w:r w:rsidRPr="00EE089D">
              <w:rPr>
                <w:color w:val="FF0000"/>
              </w:rPr>
              <w:sym w:font="Wingdings" w:char="F04C"/>
            </w:r>
          </w:p>
        </w:tc>
        <w:tc>
          <w:tcPr>
            <w:tcW w:w="614" w:type="pct"/>
            <w:shd w:val="clear" w:color="auto" w:fill="auto"/>
          </w:tcPr>
          <w:p w14:paraId="62388022" w14:textId="2807FBB1"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13401024" w14:textId="77777777" w:rsidTr="00E7473C">
        <w:tc>
          <w:tcPr>
            <w:tcW w:w="695" w:type="pct"/>
            <w:shd w:val="clear" w:color="auto" w:fill="auto"/>
            <w:vAlign w:val="bottom"/>
          </w:tcPr>
          <w:p w14:paraId="71195FAF" w14:textId="77777777" w:rsidR="00E7473C" w:rsidRPr="00D73769" w:rsidRDefault="00E7473C" w:rsidP="00723373">
            <w:pPr>
              <w:pStyle w:val="TableText0"/>
              <w:keepNext w:val="0"/>
              <w:rPr>
                <w:snapToGrid w:val="0"/>
              </w:rPr>
            </w:pPr>
            <w:r w:rsidRPr="00D73769">
              <w:t>Haffner et al. (2011)</w:t>
            </w:r>
          </w:p>
        </w:tc>
        <w:tc>
          <w:tcPr>
            <w:tcW w:w="615" w:type="pct"/>
            <w:shd w:val="clear" w:color="auto" w:fill="auto"/>
          </w:tcPr>
          <w:p w14:paraId="7578AB9D" w14:textId="69C5E489" w:rsidR="00E7473C" w:rsidRPr="00E7473C" w:rsidRDefault="00E7473C" w:rsidP="00723373">
            <w:pPr>
              <w:pStyle w:val="TableText0"/>
              <w:keepNext w:val="0"/>
              <w:rPr>
                <w:snapToGrid w:val="0"/>
                <w:sz w:val="18"/>
                <w:szCs w:val="18"/>
              </w:rPr>
            </w:pPr>
            <w:r w:rsidRPr="00AB1E0D">
              <w:rPr>
                <w:color w:val="00B050"/>
              </w:rPr>
              <w:sym w:font="Wingdings" w:char="F04A"/>
            </w:r>
          </w:p>
        </w:tc>
        <w:tc>
          <w:tcPr>
            <w:tcW w:w="615" w:type="pct"/>
            <w:shd w:val="clear" w:color="auto" w:fill="auto"/>
          </w:tcPr>
          <w:p w14:paraId="315CAD95" w14:textId="5325802D" w:rsidR="00E7473C" w:rsidRPr="00E7473C" w:rsidRDefault="00E7473C" w:rsidP="00723373">
            <w:pPr>
              <w:pStyle w:val="TableText0"/>
              <w:keepNext w:val="0"/>
              <w:rPr>
                <w:snapToGrid w:val="0"/>
                <w:sz w:val="18"/>
                <w:szCs w:val="18"/>
              </w:rPr>
            </w:pPr>
            <w:r w:rsidRPr="005D4072">
              <w:rPr>
                <w:color w:val="00B050"/>
              </w:rPr>
              <w:sym w:font="Wingdings" w:char="F04A"/>
            </w:r>
          </w:p>
        </w:tc>
        <w:tc>
          <w:tcPr>
            <w:tcW w:w="615" w:type="pct"/>
            <w:shd w:val="clear" w:color="auto" w:fill="auto"/>
          </w:tcPr>
          <w:p w14:paraId="4B7BF73C" w14:textId="5B605D21" w:rsidR="00E7473C" w:rsidRPr="00E7473C" w:rsidRDefault="00E7473C" w:rsidP="00723373">
            <w:pPr>
              <w:pStyle w:val="TableText0"/>
              <w:keepNext w:val="0"/>
              <w:rPr>
                <w:snapToGrid w:val="0"/>
                <w:sz w:val="18"/>
                <w:szCs w:val="18"/>
              </w:rPr>
            </w:pPr>
            <w:r w:rsidRPr="00091BFC">
              <w:rPr>
                <w:color w:val="FF0000"/>
              </w:rPr>
              <w:sym w:font="Wingdings" w:char="F04C"/>
            </w:r>
          </w:p>
        </w:tc>
        <w:tc>
          <w:tcPr>
            <w:tcW w:w="615" w:type="pct"/>
            <w:shd w:val="clear" w:color="auto" w:fill="auto"/>
          </w:tcPr>
          <w:p w14:paraId="6DC884EC" w14:textId="2092F51A" w:rsidR="00E7473C" w:rsidRPr="00E7473C" w:rsidRDefault="00E7473C" w:rsidP="00723373">
            <w:pPr>
              <w:pStyle w:val="TableText0"/>
              <w:keepNext w:val="0"/>
              <w:rPr>
                <w:snapToGrid w:val="0"/>
                <w:sz w:val="18"/>
                <w:szCs w:val="18"/>
              </w:rPr>
            </w:pPr>
            <w:r w:rsidRPr="0031538C">
              <w:rPr>
                <w:color w:val="00B050"/>
              </w:rPr>
              <w:sym w:font="Wingdings" w:char="F04A"/>
            </w:r>
          </w:p>
        </w:tc>
        <w:tc>
          <w:tcPr>
            <w:tcW w:w="615" w:type="pct"/>
            <w:shd w:val="clear" w:color="auto" w:fill="auto"/>
          </w:tcPr>
          <w:p w14:paraId="40A0408E" w14:textId="5B16BE34"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5ED953F0" w14:textId="44CA654A" w:rsidR="00E7473C" w:rsidRPr="00E7473C" w:rsidRDefault="00E7473C" w:rsidP="00723373">
            <w:pPr>
              <w:pStyle w:val="TableText0"/>
              <w:keepNext w:val="0"/>
              <w:rPr>
                <w:snapToGrid w:val="0"/>
                <w:sz w:val="18"/>
                <w:szCs w:val="18"/>
              </w:rPr>
            </w:pPr>
            <w:r w:rsidRPr="00EE089D">
              <w:rPr>
                <w:color w:val="FF0000"/>
              </w:rPr>
              <w:sym w:font="Wingdings" w:char="F04C"/>
            </w:r>
          </w:p>
        </w:tc>
        <w:tc>
          <w:tcPr>
            <w:tcW w:w="614" w:type="pct"/>
            <w:shd w:val="clear" w:color="auto" w:fill="auto"/>
          </w:tcPr>
          <w:p w14:paraId="5275FB8C" w14:textId="6436B7A9"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210A0200" w14:textId="77777777" w:rsidTr="00E7473C">
        <w:tc>
          <w:tcPr>
            <w:tcW w:w="695" w:type="pct"/>
            <w:shd w:val="clear" w:color="auto" w:fill="auto"/>
            <w:vAlign w:val="bottom"/>
          </w:tcPr>
          <w:p w14:paraId="1BB7E63C" w14:textId="77777777" w:rsidR="00E7473C" w:rsidRPr="00D73769" w:rsidRDefault="00E7473C" w:rsidP="00723373">
            <w:pPr>
              <w:pStyle w:val="TableText0"/>
              <w:keepNext w:val="0"/>
              <w:rPr>
                <w:snapToGrid w:val="0"/>
              </w:rPr>
            </w:pPr>
            <w:r w:rsidRPr="00D73769">
              <w:t>Hauth et al. (2015)</w:t>
            </w:r>
          </w:p>
        </w:tc>
        <w:tc>
          <w:tcPr>
            <w:tcW w:w="615" w:type="pct"/>
            <w:shd w:val="clear" w:color="auto" w:fill="auto"/>
          </w:tcPr>
          <w:p w14:paraId="79084544" w14:textId="2E809AC6" w:rsidR="00E7473C" w:rsidRPr="00E7473C" w:rsidRDefault="00E7473C" w:rsidP="00723373">
            <w:pPr>
              <w:pStyle w:val="TableText0"/>
              <w:keepNext w:val="0"/>
              <w:rPr>
                <w:snapToGrid w:val="0"/>
                <w:sz w:val="18"/>
                <w:szCs w:val="18"/>
              </w:rPr>
            </w:pPr>
            <w:r w:rsidRPr="00AB1E0D">
              <w:rPr>
                <w:color w:val="00B050"/>
              </w:rPr>
              <w:sym w:font="Wingdings" w:char="F04A"/>
            </w:r>
          </w:p>
        </w:tc>
        <w:tc>
          <w:tcPr>
            <w:tcW w:w="615" w:type="pct"/>
            <w:shd w:val="clear" w:color="auto" w:fill="auto"/>
          </w:tcPr>
          <w:p w14:paraId="4D5627C1" w14:textId="3E05185D" w:rsidR="00E7473C" w:rsidRPr="00E7473C" w:rsidRDefault="00E7473C" w:rsidP="00723373">
            <w:pPr>
              <w:pStyle w:val="TableText0"/>
              <w:keepNext w:val="0"/>
              <w:rPr>
                <w:snapToGrid w:val="0"/>
                <w:sz w:val="18"/>
                <w:szCs w:val="18"/>
              </w:rPr>
            </w:pPr>
            <w:r w:rsidRPr="00C73D3F">
              <w:rPr>
                <w:b/>
                <w:color w:val="1F497D" w:themeColor="text2"/>
              </w:rPr>
              <w:t>?</w:t>
            </w:r>
          </w:p>
        </w:tc>
        <w:tc>
          <w:tcPr>
            <w:tcW w:w="615" w:type="pct"/>
            <w:shd w:val="clear" w:color="auto" w:fill="auto"/>
          </w:tcPr>
          <w:p w14:paraId="7D400016" w14:textId="47C74751" w:rsidR="00E7473C" w:rsidRPr="00E7473C" w:rsidRDefault="00E7473C" w:rsidP="00723373">
            <w:pPr>
              <w:pStyle w:val="TableText0"/>
              <w:keepNext w:val="0"/>
              <w:rPr>
                <w:snapToGrid w:val="0"/>
                <w:sz w:val="18"/>
                <w:szCs w:val="18"/>
              </w:rPr>
            </w:pPr>
            <w:r w:rsidRPr="00C73D3F">
              <w:rPr>
                <w:b/>
                <w:color w:val="1F497D" w:themeColor="text2"/>
              </w:rPr>
              <w:t>?</w:t>
            </w:r>
          </w:p>
        </w:tc>
        <w:tc>
          <w:tcPr>
            <w:tcW w:w="615" w:type="pct"/>
            <w:shd w:val="clear" w:color="auto" w:fill="auto"/>
          </w:tcPr>
          <w:p w14:paraId="1B503831" w14:textId="456974A1" w:rsidR="00E7473C" w:rsidRPr="00E7473C" w:rsidRDefault="00E7473C" w:rsidP="00723373">
            <w:pPr>
              <w:pStyle w:val="TableText0"/>
              <w:keepNext w:val="0"/>
              <w:rPr>
                <w:snapToGrid w:val="0"/>
                <w:sz w:val="18"/>
                <w:szCs w:val="18"/>
              </w:rPr>
            </w:pPr>
            <w:r w:rsidRPr="0031538C">
              <w:rPr>
                <w:color w:val="00B050"/>
              </w:rPr>
              <w:sym w:font="Wingdings" w:char="F04A"/>
            </w:r>
          </w:p>
        </w:tc>
        <w:tc>
          <w:tcPr>
            <w:tcW w:w="615" w:type="pct"/>
            <w:shd w:val="clear" w:color="auto" w:fill="auto"/>
          </w:tcPr>
          <w:p w14:paraId="6F886E5D" w14:textId="170CCC79" w:rsidR="00E7473C" w:rsidRPr="00E7473C" w:rsidRDefault="00E7473C" w:rsidP="00723373">
            <w:pPr>
              <w:pStyle w:val="TableText0"/>
              <w:keepNext w:val="0"/>
              <w:rPr>
                <w:snapToGrid w:val="0"/>
                <w:sz w:val="18"/>
                <w:szCs w:val="18"/>
              </w:rPr>
            </w:pPr>
            <w:r w:rsidRPr="007E216A">
              <w:rPr>
                <w:color w:val="00B050"/>
              </w:rPr>
              <w:sym w:font="Wingdings" w:char="F04A"/>
            </w:r>
          </w:p>
        </w:tc>
        <w:tc>
          <w:tcPr>
            <w:tcW w:w="615" w:type="pct"/>
            <w:shd w:val="clear" w:color="auto" w:fill="auto"/>
          </w:tcPr>
          <w:p w14:paraId="5FFED953" w14:textId="4D9B695C" w:rsidR="00E7473C" w:rsidRPr="00E7473C" w:rsidRDefault="00E7473C" w:rsidP="00723373">
            <w:pPr>
              <w:pStyle w:val="TableText0"/>
              <w:keepNext w:val="0"/>
              <w:rPr>
                <w:snapToGrid w:val="0"/>
                <w:sz w:val="18"/>
                <w:szCs w:val="18"/>
              </w:rPr>
            </w:pPr>
            <w:r w:rsidRPr="00EE089D">
              <w:rPr>
                <w:color w:val="FF0000"/>
              </w:rPr>
              <w:sym w:font="Wingdings" w:char="F04C"/>
            </w:r>
          </w:p>
        </w:tc>
        <w:tc>
          <w:tcPr>
            <w:tcW w:w="614" w:type="pct"/>
            <w:shd w:val="clear" w:color="auto" w:fill="auto"/>
          </w:tcPr>
          <w:p w14:paraId="4EE42270" w14:textId="4067EF52"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48F56994" w14:textId="77777777" w:rsidTr="0005426D">
        <w:tc>
          <w:tcPr>
            <w:tcW w:w="695" w:type="pct"/>
            <w:shd w:val="clear" w:color="auto" w:fill="auto"/>
            <w:vAlign w:val="bottom"/>
          </w:tcPr>
          <w:p w14:paraId="17FB6F47" w14:textId="77777777" w:rsidR="00E7473C" w:rsidRPr="00D73769" w:rsidRDefault="00E7473C" w:rsidP="00723373">
            <w:pPr>
              <w:pStyle w:val="TableText0"/>
              <w:keepNext w:val="0"/>
              <w:rPr>
                <w:snapToGrid w:val="0"/>
              </w:rPr>
            </w:pPr>
            <w:r w:rsidRPr="00D73769">
              <w:t>Itatani et al. (2014)</w:t>
            </w:r>
          </w:p>
        </w:tc>
        <w:tc>
          <w:tcPr>
            <w:tcW w:w="615" w:type="pct"/>
            <w:shd w:val="clear" w:color="auto" w:fill="auto"/>
          </w:tcPr>
          <w:p w14:paraId="23E8AFE4" w14:textId="721F99C9" w:rsidR="00E7473C" w:rsidRPr="00E7473C" w:rsidRDefault="00E7473C" w:rsidP="00723373">
            <w:pPr>
              <w:pStyle w:val="TableText0"/>
              <w:keepNext w:val="0"/>
              <w:rPr>
                <w:snapToGrid w:val="0"/>
                <w:sz w:val="18"/>
                <w:szCs w:val="18"/>
              </w:rPr>
            </w:pPr>
            <w:r w:rsidRPr="00D96119">
              <w:rPr>
                <w:color w:val="00B050"/>
              </w:rPr>
              <w:sym w:font="Wingdings" w:char="F04A"/>
            </w:r>
          </w:p>
        </w:tc>
        <w:tc>
          <w:tcPr>
            <w:tcW w:w="615" w:type="pct"/>
            <w:shd w:val="clear" w:color="auto" w:fill="auto"/>
          </w:tcPr>
          <w:p w14:paraId="30B0810A" w14:textId="748B528E" w:rsidR="00E7473C" w:rsidRPr="00E7473C" w:rsidRDefault="00E7473C" w:rsidP="00723373">
            <w:pPr>
              <w:pStyle w:val="TableText0"/>
              <w:keepNext w:val="0"/>
              <w:rPr>
                <w:snapToGrid w:val="0"/>
                <w:sz w:val="18"/>
                <w:szCs w:val="18"/>
              </w:rPr>
            </w:pPr>
            <w:r w:rsidRPr="00D96119">
              <w:rPr>
                <w:color w:val="00B050"/>
              </w:rPr>
              <w:sym w:font="Wingdings" w:char="F04A"/>
            </w:r>
          </w:p>
        </w:tc>
        <w:tc>
          <w:tcPr>
            <w:tcW w:w="615" w:type="pct"/>
            <w:shd w:val="clear" w:color="auto" w:fill="auto"/>
            <w:vAlign w:val="center"/>
          </w:tcPr>
          <w:p w14:paraId="7E5333D9" w14:textId="1A65617B" w:rsidR="00E7473C" w:rsidRPr="00E7473C" w:rsidRDefault="00E7473C" w:rsidP="00723373">
            <w:pPr>
              <w:pStyle w:val="TableText0"/>
              <w:keepNext w:val="0"/>
              <w:rPr>
                <w:snapToGrid w:val="0"/>
                <w:sz w:val="18"/>
                <w:szCs w:val="18"/>
              </w:rPr>
            </w:pPr>
            <w:r w:rsidRPr="009251E2">
              <w:rPr>
                <w:b/>
                <w:color w:val="1F497D" w:themeColor="text2"/>
              </w:rPr>
              <w:t>?</w:t>
            </w:r>
          </w:p>
        </w:tc>
        <w:tc>
          <w:tcPr>
            <w:tcW w:w="615" w:type="pct"/>
            <w:shd w:val="clear" w:color="auto" w:fill="auto"/>
          </w:tcPr>
          <w:p w14:paraId="58F8F627" w14:textId="1FE59488" w:rsidR="00E7473C" w:rsidRPr="00E7473C" w:rsidRDefault="00E7473C" w:rsidP="00723373">
            <w:pPr>
              <w:pStyle w:val="TableText0"/>
              <w:keepNext w:val="0"/>
              <w:rPr>
                <w:snapToGrid w:val="0"/>
                <w:sz w:val="18"/>
                <w:szCs w:val="18"/>
              </w:rPr>
            </w:pPr>
            <w:r w:rsidRPr="00E976C4">
              <w:rPr>
                <w:color w:val="FF0000"/>
              </w:rPr>
              <w:sym w:font="Wingdings" w:char="F04C"/>
            </w:r>
          </w:p>
        </w:tc>
        <w:tc>
          <w:tcPr>
            <w:tcW w:w="615" w:type="pct"/>
            <w:shd w:val="clear" w:color="auto" w:fill="auto"/>
          </w:tcPr>
          <w:p w14:paraId="62082CC7" w14:textId="57F1C245" w:rsidR="00E7473C" w:rsidRPr="00E7473C" w:rsidRDefault="00E7473C" w:rsidP="00723373">
            <w:pPr>
              <w:pStyle w:val="TableText0"/>
              <w:keepNext w:val="0"/>
              <w:rPr>
                <w:snapToGrid w:val="0"/>
                <w:sz w:val="18"/>
                <w:szCs w:val="18"/>
              </w:rPr>
            </w:pPr>
            <w:r w:rsidRPr="00E976C4">
              <w:rPr>
                <w:color w:val="FF0000"/>
              </w:rPr>
              <w:sym w:font="Wingdings" w:char="F04C"/>
            </w:r>
          </w:p>
        </w:tc>
        <w:tc>
          <w:tcPr>
            <w:tcW w:w="615" w:type="pct"/>
            <w:shd w:val="clear" w:color="auto" w:fill="auto"/>
          </w:tcPr>
          <w:p w14:paraId="6EAABCBC" w14:textId="6869DC10" w:rsidR="00E7473C" w:rsidRPr="00E7473C" w:rsidRDefault="00E7473C" w:rsidP="00723373">
            <w:pPr>
              <w:pStyle w:val="TableText0"/>
              <w:keepNext w:val="0"/>
              <w:rPr>
                <w:snapToGrid w:val="0"/>
                <w:sz w:val="18"/>
                <w:szCs w:val="18"/>
              </w:rPr>
            </w:pPr>
            <w:r w:rsidRPr="00EE089D">
              <w:rPr>
                <w:color w:val="FF0000"/>
              </w:rPr>
              <w:sym w:font="Wingdings" w:char="F04C"/>
            </w:r>
          </w:p>
        </w:tc>
        <w:tc>
          <w:tcPr>
            <w:tcW w:w="614" w:type="pct"/>
            <w:shd w:val="clear" w:color="auto" w:fill="auto"/>
          </w:tcPr>
          <w:p w14:paraId="27176E76" w14:textId="4DCB218C"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57A06CFD" w14:textId="77777777" w:rsidTr="00E7473C">
        <w:tc>
          <w:tcPr>
            <w:tcW w:w="695" w:type="pct"/>
            <w:shd w:val="clear" w:color="auto" w:fill="auto"/>
            <w:vAlign w:val="bottom"/>
          </w:tcPr>
          <w:p w14:paraId="09E01BE6" w14:textId="77777777" w:rsidR="00E7473C" w:rsidRPr="00D73769" w:rsidRDefault="00E7473C" w:rsidP="00723373">
            <w:pPr>
              <w:pStyle w:val="TableText0"/>
              <w:keepNext w:val="0"/>
              <w:rPr>
                <w:snapToGrid w:val="0"/>
              </w:rPr>
            </w:pPr>
            <w:r w:rsidRPr="00D73769">
              <w:t>Jambor et al. (2014)</w:t>
            </w:r>
          </w:p>
        </w:tc>
        <w:tc>
          <w:tcPr>
            <w:tcW w:w="615" w:type="pct"/>
            <w:shd w:val="clear" w:color="auto" w:fill="auto"/>
          </w:tcPr>
          <w:p w14:paraId="759B04D1" w14:textId="11AE286F" w:rsidR="00E7473C" w:rsidRPr="00E7473C" w:rsidRDefault="00E7473C" w:rsidP="00723373">
            <w:pPr>
              <w:pStyle w:val="TableText0"/>
              <w:keepNext w:val="0"/>
              <w:rPr>
                <w:snapToGrid w:val="0"/>
                <w:sz w:val="18"/>
                <w:szCs w:val="18"/>
              </w:rPr>
            </w:pPr>
            <w:r w:rsidRPr="006237B3">
              <w:rPr>
                <w:b/>
                <w:color w:val="1F497D" w:themeColor="text2"/>
              </w:rPr>
              <w:t>?</w:t>
            </w:r>
          </w:p>
        </w:tc>
        <w:tc>
          <w:tcPr>
            <w:tcW w:w="615" w:type="pct"/>
            <w:shd w:val="clear" w:color="auto" w:fill="auto"/>
          </w:tcPr>
          <w:p w14:paraId="5714C3F4" w14:textId="1E3801D1" w:rsidR="00E7473C" w:rsidRPr="00E7473C" w:rsidRDefault="00E7473C" w:rsidP="00723373">
            <w:pPr>
              <w:pStyle w:val="TableText0"/>
              <w:keepNext w:val="0"/>
              <w:rPr>
                <w:snapToGrid w:val="0"/>
                <w:sz w:val="18"/>
                <w:szCs w:val="18"/>
              </w:rPr>
            </w:pPr>
            <w:r w:rsidRPr="006237B3">
              <w:rPr>
                <w:b/>
                <w:color w:val="1F497D" w:themeColor="text2"/>
              </w:rPr>
              <w:t>?</w:t>
            </w:r>
          </w:p>
        </w:tc>
        <w:tc>
          <w:tcPr>
            <w:tcW w:w="615" w:type="pct"/>
            <w:shd w:val="clear" w:color="auto" w:fill="auto"/>
          </w:tcPr>
          <w:p w14:paraId="52AE5569" w14:textId="57F7B3C6" w:rsidR="00E7473C" w:rsidRPr="00E7473C" w:rsidRDefault="00E7473C" w:rsidP="00723373">
            <w:pPr>
              <w:pStyle w:val="TableText0"/>
              <w:keepNext w:val="0"/>
              <w:rPr>
                <w:snapToGrid w:val="0"/>
                <w:sz w:val="18"/>
                <w:szCs w:val="18"/>
              </w:rPr>
            </w:pPr>
            <w:r w:rsidRPr="006237B3">
              <w:rPr>
                <w:b/>
                <w:color w:val="1F497D" w:themeColor="text2"/>
              </w:rPr>
              <w:t>?</w:t>
            </w:r>
          </w:p>
        </w:tc>
        <w:tc>
          <w:tcPr>
            <w:tcW w:w="615" w:type="pct"/>
            <w:shd w:val="clear" w:color="auto" w:fill="auto"/>
          </w:tcPr>
          <w:p w14:paraId="050F7AF5" w14:textId="48E5DD41" w:rsidR="00E7473C" w:rsidRPr="00E7473C" w:rsidRDefault="00E7473C" w:rsidP="00723373">
            <w:pPr>
              <w:pStyle w:val="TableText0"/>
              <w:keepNext w:val="0"/>
              <w:rPr>
                <w:snapToGrid w:val="0"/>
                <w:sz w:val="18"/>
                <w:szCs w:val="18"/>
              </w:rPr>
            </w:pPr>
            <w:r w:rsidRPr="006237B3">
              <w:rPr>
                <w:b/>
                <w:color w:val="1F497D" w:themeColor="text2"/>
              </w:rPr>
              <w:t>?</w:t>
            </w:r>
          </w:p>
        </w:tc>
        <w:tc>
          <w:tcPr>
            <w:tcW w:w="615" w:type="pct"/>
            <w:shd w:val="clear" w:color="auto" w:fill="auto"/>
          </w:tcPr>
          <w:p w14:paraId="3DECCC5D" w14:textId="1ECE25EC" w:rsidR="00E7473C" w:rsidRPr="00E7473C" w:rsidRDefault="00E7473C" w:rsidP="00723373">
            <w:pPr>
              <w:pStyle w:val="TableText0"/>
              <w:keepNext w:val="0"/>
              <w:rPr>
                <w:snapToGrid w:val="0"/>
                <w:sz w:val="18"/>
                <w:szCs w:val="18"/>
              </w:rPr>
            </w:pPr>
            <w:r w:rsidRPr="006237B3">
              <w:rPr>
                <w:b/>
                <w:color w:val="1F497D" w:themeColor="text2"/>
              </w:rPr>
              <w:t>?</w:t>
            </w:r>
          </w:p>
        </w:tc>
        <w:tc>
          <w:tcPr>
            <w:tcW w:w="615" w:type="pct"/>
            <w:shd w:val="clear" w:color="auto" w:fill="auto"/>
            <w:vAlign w:val="center"/>
          </w:tcPr>
          <w:p w14:paraId="4068F0F0" w14:textId="62005CAF" w:rsidR="00E7473C" w:rsidRPr="00E7473C" w:rsidRDefault="00E7473C" w:rsidP="00723373">
            <w:pPr>
              <w:pStyle w:val="TableText0"/>
              <w:keepNext w:val="0"/>
              <w:rPr>
                <w:snapToGrid w:val="0"/>
                <w:sz w:val="18"/>
                <w:szCs w:val="18"/>
              </w:rPr>
            </w:pPr>
            <w:r w:rsidRPr="009251E2">
              <w:rPr>
                <w:color w:val="00B050"/>
              </w:rPr>
              <w:sym w:font="Wingdings" w:char="F04A"/>
            </w:r>
          </w:p>
        </w:tc>
        <w:tc>
          <w:tcPr>
            <w:tcW w:w="614" w:type="pct"/>
            <w:shd w:val="clear" w:color="auto" w:fill="auto"/>
          </w:tcPr>
          <w:p w14:paraId="14F00946" w14:textId="25E91B88" w:rsidR="00E7473C" w:rsidRPr="00E7473C" w:rsidRDefault="00E7473C" w:rsidP="00723373">
            <w:pPr>
              <w:pStyle w:val="TableText0"/>
              <w:keepNext w:val="0"/>
              <w:rPr>
                <w:snapToGrid w:val="0"/>
                <w:sz w:val="18"/>
                <w:szCs w:val="18"/>
              </w:rPr>
            </w:pPr>
            <w:r w:rsidRPr="002D03A3">
              <w:rPr>
                <w:color w:val="00B050"/>
              </w:rPr>
              <w:sym w:font="Wingdings" w:char="F04A"/>
            </w:r>
          </w:p>
        </w:tc>
      </w:tr>
      <w:tr w:rsidR="00E7473C" w:rsidRPr="00D73769" w14:paraId="39459A62" w14:textId="77777777" w:rsidTr="00E7473C">
        <w:tc>
          <w:tcPr>
            <w:tcW w:w="695" w:type="pct"/>
            <w:shd w:val="clear" w:color="auto" w:fill="auto"/>
            <w:vAlign w:val="bottom"/>
          </w:tcPr>
          <w:p w14:paraId="40820658" w14:textId="77777777" w:rsidR="00E7473C" w:rsidRPr="00D73769" w:rsidRDefault="00E7473C" w:rsidP="00723373">
            <w:pPr>
              <w:pStyle w:val="TableText0"/>
              <w:keepNext w:val="0"/>
              <w:rPr>
                <w:snapToGrid w:val="0"/>
              </w:rPr>
            </w:pPr>
            <w:r w:rsidRPr="00D73769">
              <w:t>Komai et al. (2013)</w:t>
            </w:r>
          </w:p>
        </w:tc>
        <w:tc>
          <w:tcPr>
            <w:tcW w:w="615" w:type="pct"/>
            <w:shd w:val="clear" w:color="auto" w:fill="auto"/>
            <w:vAlign w:val="center"/>
          </w:tcPr>
          <w:p w14:paraId="573A2F0A" w14:textId="7095E60D"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vAlign w:val="center"/>
          </w:tcPr>
          <w:p w14:paraId="6E2B8100" w14:textId="15934CDE"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vAlign w:val="center"/>
          </w:tcPr>
          <w:p w14:paraId="1600CC32" w14:textId="6D9CD27A"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tcPr>
          <w:p w14:paraId="37A662EC" w14:textId="2FA14601" w:rsidR="00E7473C" w:rsidRPr="00D73769" w:rsidRDefault="00E7473C" w:rsidP="00723373">
            <w:pPr>
              <w:pStyle w:val="TableText0"/>
              <w:keepNext w:val="0"/>
              <w:rPr>
                <w:snapToGrid w:val="0"/>
              </w:rPr>
            </w:pPr>
            <w:r w:rsidRPr="000B7187">
              <w:rPr>
                <w:color w:val="00B050"/>
              </w:rPr>
              <w:sym w:font="Wingdings" w:char="F04A"/>
            </w:r>
          </w:p>
        </w:tc>
        <w:tc>
          <w:tcPr>
            <w:tcW w:w="615" w:type="pct"/>
            <w:shd w:val="clear" w:color="auto" w:fill="auto"/>
          </w:tcPr>
          <w:p w14:paraId="052DB986" w14:textId="0AD40CD2" w:rsidR="00E7473C" w:rsidRPr="00D73769" w:rsidRDefault="00E7473C" w:rsidP="00723373">
            <w:pPr>
              <w:pStyle w:val="TableText0"/>
              <w:keepNext w:val="0"/>
              <w:rPr>
                <w:snapToGrid w:val="0"/>
              </w:rPr>
            </w:pPr>
            <w:r w:rsidRPr="000B7187">
              <w:rPr>
                <w:color w:val="00B050"/>
              </w:rPr>
              <w:sym w:font="Wingdings" w:char="F04A"/>
            </w:r>
          </w:p>
        </w:tc>
        <w:tc>
          <w:tcPr>
            <w:tcW w:w="615" w:type="pct"/>
            <w:shd w:val="clear" w:color="auto" w:fill="auto"/>
          </w:tcPr>
          <w:p w14:paraId="46330F96" w14:textId="438569BD" w:rsidR="00E7473C" w:rsidRPr="00D73769" w:rsidRDefault="00E7473C" w:rsidP="00723373">
            <w:pPr>
              <w:pStyle w:val="TableText0"/>
              <w:keepNext w:val="0"/>
              <w:rPr>
                <w:snapToGrid w:val="0"/>
              </w:rPr>
            </w:pPr>
            <w:r w:rsidRPr="00361561">
              <w:rPr>
                <w:color w:val="FF0000"/>
              </w:rPr>
              <w:sym w:font="Wingdings" w:char="F04C"/>
            </w:r>
          </w:p>
        </w:tc>
        <w:tc>
          <w:tcPr>
            <w:tcW w:w="614" w:type="pct"/>
            <w:shd w:val="clear" w:color="auto" w:fill="auto"/>
          </w:tcPr>
          <w:p w14:paraId="2FE9D964" w14:textId="28B1A52D"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5ED0F012" w14:textId="77777777" w:rsidTr="00E7473C">
        <w:tc>
          <w:tcPr>
            <w:tcW w:w="695" w:type="pct"/>
            <w:shd w:val="clear" w:color="auto" w:fill="auto"/>
            <w:vAlign w:val="bottom"/>
          </w:tcPr>
          <w:p w14:paraId="3E407F43" w14:textId="77777777" w:rsidR="00E7473C" w:rsidRPr="00D73769" w:rsidRDefault="00E7473C" w:rsidP="00723373">
            <w:pPr>
              <w:pStyle w:val="TableText0"/>
              <w:keepNext w:val="0"/>
              <w:rPr>
                <w:snapToGrid w:val="0"/>
              </w:rPr>
            </w:pPr>
            <w:r w:rsidRPr="00D73769">
              <w:t>Lamb et al. 2015</w:t>
            </w:r>
          </w:p>
        </w:tc>
        <w:tc>
          <w:tcPr>
            <w:tcW w:w="615" w:type="pct"/>
            <w:shd w:val="clear" w:color="auto" w:fill="auto"/>
            <w:vAlign w:val="center"/>
          </w:tcPr>
          <w:p w14:paraId="4B5F0920" w14:textId="3542942A"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tcPr>
          <w:p w14:paraId="17EDFE06" w14:textId="146216FF" w:rsidR="00E7473C" w:rsidRPr="00D73769" w:rsidRDefault="00E7473C" w:rsidP="00723373">
            <w:pPr>
              <w:pStyle w:val="TableText0"/>
              <w:keepNext w:val="0"/>
              <w:rPr>
                <w:snapToGrid w:val="0"/>
              </w:rPr>
            </w:pPr>
            <w:r w:rsidRPr="00941D19">
              <w:rPr>
                <w:b/>
                <w:color w:val="1F497D" w:themeColor="text2"/>
              </w:rPr>
              <w:t>?</w:t>
            </w:r>
          </w:p>
        </w:tc>
        <w:tc>
          <w:tcPr>
            <w:tcW w:w="615" w:type="pct"/>
            <w:shd w:val="clear" w:color="auto" w:fill="auto"/>
          </w:tcPr>
          <w:p w14:paraId="2036E727" w14:textId="6292DAED" w:rsidR="00E7473C" w:rsidRPr="00D73769" w:rsidRDefault="00E7473C" w:rsidP="00723373">
            <w:pPr>
              <w:pStyle w:val="TableText0"/>
              <w:keepNext w:val="0"/>
              <w:rPr>
                <w:snapToGrid w:val="0"/>
              </w:rPr>
            </w:pPr>
            <w:r w:rsidRPr="00941D19">
              <w:rPr>
                <w:b/>
                <w:color w:val="1F497D" w:themeColor="text2"/>
              </w:rPr>
              <w:t>?</w:t>
            </w:r>
          </w:p>
        </w:tc>
        <w:tc>
          <w:tcPr>
            <w:tcW w:w="615" w:type="pct"/>
            <w:shd w:val="clear" w:color="auto" w:fill="auto"/>
          </w:tcPr>
          <w:p w14:paraId="754E74C4" w14:textId="0050CE75" w:rsidR="00E7473C" w:rsidRPr="00D73769" w:rsidRDefault="00E7473C" w:rsidP="00723373">
            <w:pPr>
              <w:pStyle w:val="TableText0"/>
              <w:keepNext w:val="0"/>
              <w:rPr>
                <w:snapToGrid w:val="0"/>
              </w:rPr>
            </w:pPr>
            <w:r w:rsidRPr="00042C6A">
              <w:rPr>
                <w:b/>
                <w:color w:val="1F497D" w:themeColor="text2"/>
              </w:rPr>
              <w:t>?</w:t>
            </w:r>
          </w:p>
        </w:tc>
        <w:tc>
          <w:tcPr>
            <w:tcW w:w="615" w:type="pct"/>
            <w:shd w:val="clear" w:color="auto" w:fill="auto"/>
          </w:tcPr>
          <w:p w14:paraId="5DE28CD8" w14:textId="46F28BDD" w:rsidR="00E7473C" w:rsidRPr="00D73769" w:rsidRDefault="00E7473C" w:rsidP="00723373">
            <w:pPr>
              <w:pStyle w:val="TableText0"/>
              <w:keepNext w:val="0"/>
              <w:rPr>
                <w:snapToGrid w:val="0"/>
              </w:rPr>
            </w:pPr>
            <w:r w:rsidRPr="00B0706B">
              <w:rPr>
                <w:color w:val="00B050"/>
              </w:rPr>
              <w:sym w:font="Wingdings" w:char="F04A"/>
            </w:r>
          </w:p>
        </w:tc>
        <w:tc>
          <w:tcPr>
            <w:tcW w:w="615" w:type="pct"/>
            <w:shd w:val="clear" w:color="auto" w:fill="auto"/>
          </w:tcPr>
          <w:p w14:paraId="57422E3B" w14:textId="6FD0026F" w:rsidR="00E7473C" w:rsidRPr="00D73769" w:rsidRDefault="00E7473C" w:rsidP="00723373">
            <w:pPr>
              <w:pStyle w:val="TableText0"/>
              <w:keepNext w:val="0"/>
              <w:rPr>
                <w:snapToGrid w:val="0"/>
              </w:rPr>
            </w:pPr>
            <w:r w:rsidRPr="00361561">
              <w:rPr>
                <w:color w:val="FF0000"/>
              </w:rPr>
              <w:sym w:font="Wingdings" w:char="F04C"/>
            </w:r>
          </w:p>
        </w:tc>
        <w:tc>
          <w:tcPr>
            <w:tcW w:w="614" w:type="pct"/>
            <w:shd w:val="clear" w:color="auto" w:fill="auto"/>
          </w:tcPr>
          <w:p w14:paraId="20F47FA0" w14:textId="0AD7D89C"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718B5DD3" w14:textId="77777777" w:rsidTr="00E7473C">
        <w:tc>
          <w:tcPr>
            <w:tcW w:w="695" w:type="pct"/>
            <w:shd w:val="clear" w:color="auto" w:fill="auto"/>
            <w:vAlign w:val="bottom"/>
          </w:tcPr>
          <w:p w14:paraId="1096BF4E" w14:textId="77777777" w:rsidR="00E7473C" w:rsidRPr="00D73769" w:rsidRDefault="00E7473C" w:rsidP="00723373">
            <w:pPr>
              <w:pStyle w:val="TableText0"/>
              <w:keepNext w:val="0"/>
              <w:rPr>
                <w:snapToGrid w:val="0"/>
              </w:rPr>
            </w:pPr>
            <w:r w:rsidRPr="00D73769">
              <w:t>Lista et al. 2015</w:t>
            </w:r>
          </w:p>
        </w:tc>
        <w:tc>
          <w:tcPr>
            <w:tcW w:w="615" w:type="pct"/>
            <w:shd w:val="clear" w:color="auto" w:fill="auto"/>
            <w:vAlign w:val="center"/>
          </w:tcPr>
          <w:p w14:paraId="0235C1DF" w14:textId="7453DEA5"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vAlign w:val="center"/>
          </w:tcPr>
          <w:p w14:paraId="635B33C5" w14:textId="2A2A76FE"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vAlign w:val="center"/>
          </w:tcPr>
          <w:p w14:paraId="3CDDE968" w14:textId="112652F6"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tcPr>
          <w:p w14:paraId="28500749" w14:textId="09AE906C" w:rsidR="00E7473C" w:rsidRPr="00D73769" w:rsidRDefault="00E7473C" w:rsidP="00723373">
            <w:pPr>
              <w:pStyle w:val="TableText0"/>
              <w:keepNext w:val="0"/>
              <w:rPr>
                <w:snapToGrid w:val="0"/>
              </w:rPr>
            </w:pPr>
            <w:r w:rsidRPr="00042C6A">
              <w:rPr>
                <w:b/>
                <w:color w:val="1F497D" w:themeColor="text2"/>
              </w:rPr>
              <w:t>?</w:t>
            </w:r>
          </w:p>
        </w:tc>
        <w:tc>
          <w:tcPr>
            <w:tcW w:w="615" w:type="pct"/>
            <w:shd w:val="clear" w:color="auto" w:fill="auto"/>
          </w:tcPr>
          <w:p w14:paraId="21344075" w14:textId="478BD955" w:rsidR="00E7473C" w:rsidRPr="00D73769" w:rsidRDefault="00E7473C" w:rsidP="00723373">
            <w:pPr>
              <w:pStyle w:val="TableText0"/>
              <w:keepNext w:val="0"/>
              <w:rPr>
                <w:snapToGrid w:val="0"/>
              </w:rPr>
            </w:pPr>
            <w:r w:rsidRPr="00B0706B">
              <w:rPr>
                <w:color w:val="00B050"/>
              </w:rPr>
              <w:sym w:font="Wingdings" w:char="F04A"/>
            </w:r>
          </w:p>
        </w:tc>
        <w:tc>
          <w:tcPr>
            <w:tcW w:w="615" w:type="pct"/>
            <w:shd w:val="clear" w:color="auto" w:fill="auto"/>
            <w:vAlign w:val="center"/>
          </w:tcPr>
          <w:p w14:paraId="6C99802C" w14:textId="1D077127" w:rsidR="00E7473C" w:rsidRPr="00D73769" w:rsidRDefault="00E7473C" w:rsidP="00723373">
            <w:pPr>
              <w:pStyle w:val="TableText0"/>
              <w:keepNext w:val="0"/>
              <w:rPr>
                <w:snapToGrid w:val="0"/>
              </w:rPr>
            </w:pPr>
            <w:r w:rsidRPr="009251E2">
              <w:rPr>
                <w:color w:val="00B050"/>
              </w:rPr>
              <w:sym w:font="Wingdings" w:char="F04A"/>
            </w:r>
          </w:p>
        </w:tc>
        <w:tc>
          <w:tcPr>
            <w:tcW w:w="614" w:type="pct"/>
            <w:shd w:val="clear" w:color="auto" w:fill="auto"/>
          </w:tcPr>
          <w:p w14:paraId="57D7169D" w14:textId="59A5ED80"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77FDBFAC" w14:textId="77777777" w:rsidTr="00E7473C">
        <w:tc>
          <w:tcPr>
            <w:tcW w:w="695" w:type="pct"/>
            <w:shd w:val="clear" w:color="auto" w:fill="auto"/>
            <w:vAlign w:val="bottom"/>
          </w:tcPr>
          <w:p w14:paraId="0A9B4ADC" w14:textId="77777777" w:rsidR="00E7473C" w:rsidRPr="00D73769" w:rsidRDefault="00E7473C" w:rsidP="00723373">
            <w:pPr>
              <w:pStyle w:val="TableText0"/>
              <w:keepNext w:val="0"/>
              <w:rPr>
                <w:snapToGrid w:val="0"/>
              </w:rPr>
            </w:pPr>
            <w:r w:rsidRPr="00D73769">
              <w:t>Panebianco et al. (2015)</w:t>
            </w:r>
          </w:p>
        </w:tc>
        <w:tc>
          <w:tcPr>
            <w:tcW w:w="615" w:type="pct"/>
            <w:shd w:val="clear" w:color="auto" w:fill="auto"/>
            <w:vAlign w:val="center"/>
          </w:tcPr>
          <w:p w14:paraId="0293A049" w14:textId="076DCCFB"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tcPr>
          <w:p w14:paraId="7478B322" w14:textId="60B90D6D" w:rsidR="00E7473C" w:rsidRPr="00D73769" w:rsidRDefault="00E7473C" w:rsidP="00723373">
            <w:pPr>
              <w:pStyle w:val="TableText0"/>
              <w:keepNext w:val="0"/>
              <w:rPr>
                <w:snapToGrid w:val="0"/>
              </w:rPr>
            </w:pPr>
            <w:r w:rsidRPr="00DA4504">
              <w:rPr>
                <w:b/>
                <w:color w:val="1F497D" w:themeColor="text2"/>
              </w:rPr>
              <w:t>?</w:t>
            </w:r>
          </w:p>
        </w:tc>
        <w:tc>
          <w:tcPr>
            <w:tcW w:w="615" w:type="pct"/>
            <w:shd w:val="clear" w:color="auto" w:fill="auto"/>
          </w:tcPr>
          <w:p w14:paraId="557D1C69" w14:textId="0D8D173E" w:rsidR="00E7473C" w:rsidRPr="00D73769" w:rsidRDefault="00E7473C" w:rsidP="00723373">
            <w:pPr>
              <w:pStyle w:val="TableText0"/>
              <w:keepNext w:val="0"/>
              <w:rPr>
                <w:snapToGrid w:val="0"/>
              </w:rPr>
            </w:pPr>
            <w:r w:rsidRPr="00DA4504">
              <w:rPr>
                <w:b/>
                <w:color w:val="1F497D" w:themeColor="text2"/>
              </w:rPr>
              <w:t>?</w:t>
            </w:r>
          </w:p>
        </w:tc>
        <w:tc>
          <w:tcPr>
            <w:tcW w:w="615" w:type="pct"/>
            <w:shd w:val="clear" w:color="auto" w:fill="auto"/>
          </w:tcPr>
          <w:p w14:paraId="3BB7B8B1" w14:textId="2B1DC46F" w:rsidR="00E7473C" w:rsidRPr="00D73769" w:rsidRDefault="00E7473C" w:rsidP="00723373">
            <w:pPr>
              <w:pStyle w:val="TableText0"/>
              <w:keepNext w:val="0"/>
              <w:rPr>
                <w:snapToGrid w:val="0"/>
              </w:rPr>
            </w:pPr>
            <w:r w:rsidRPr="00042C6A">
              <w:rPr>
                <w:b/>
                <w:color w:val="1F497D" w:themeColor="text2"/>
              </w:rPr>
              <w:t>?</w:t>
            </w:r>
          </w:p>
        </w:tc>
        <w:tc>
          <w:tcPr>
            <w:tcW w:w="615" w:type="pct"/>
            <w:shd w:val="clear" w:color="auto" w:fill="auto"/>
          </w:tcPr>
          <w:p w14:paraId="12354242" w14:textId="11DA0D9B" w:rsidR="00E7473C" w:rsidRPr="00D73769" w:rsidRDefault="00E7473C" w:rsidP="00723373">
            <w:pPr>
              <w:pStyle w:val="TableText0"/>
              <w:keepNext w:val="0"/>
              <w:rPr>
                <w:snapToGrid w:val="0"/>
              </w:rPr>
            </w:pPr>
            <w:r w:rsidRPr="00B0706B">
              <w:rPr>
                <w:color w:val="00B050"/>
              </w:rPr>
              <w:sym w:font="Wingdings" w:char="F04A"/>
            </w:r>
          </w:p>
        </w:tc>
        <w:tc>
          <w:tcPr>
            <w:tcW w:w="615" w:type="pct"/>
            <w:shd w:val="clear" w:color="auto" w:fill="auto"/>
          </w:tcPr>
          <w:p w14:paraId="203B9D4B" w14:textId="44755F6F" w:rsidR="00E7473C" w:rsidRPr="00D73769" w:rsidRDefault="00E7473C" w:rsidP="00723373">
            <w:pPr>
              <w:pStyle w:val="TableText0"/>
              <w:keepNext w:val="0"/>
              <w:rPr>
                <w:snapToGrid w:val="0"/>
              </w:rPr>
            </w:pPr>
            <w:r w:rsidRPr="008A6C46">
              <w:rPr>
                <w:color w:val="FF0000"/>
              </w:rPr>
              <w:sym w:font="Wingdings" w:char="F04C"/>
            </w:r>
          </w:p>
        </w:tc>
        <w:tc>
          <w:tcPr>
            <w:tcW w:w="614" w:type="pct"/>
            <w:shd w:val="clear" w:color="auto" w:fill="auto"/>
          </w:tcPr>
          <w:p w14:paraId="2A0E0C61" w14:textId="6D803486"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104634EA" w14:textId="77777777" w:rsidTr="00E7473C">
        <w:tc>
          <w:tcPr>
            <w:tcW w:w="695" w:type="pct"/>
            <w:shd w:val="clear" w:color="auto" w:fill="auto"/>
            <w:vAlign w:val="bottom"/>
          </w:tcPr>
          <w:p w14:paraId="5CAF32E7" w14:textId="77777777" w:rsidR="00E7473C" w:rsidRPr="00D73769" w:rsidRDefault="00E7473C" w:rsidP="00723373">
            <w:pPr>
              <w:pStyle w:val="TableText0"/>
              <w:keepNext w:val="0"/>
              <w:rPr>
                <w:snapToGrid w:val="0"/>
              </w:rPr>
            </w:pPr>
            <w:r w:rsidRPr="00D73769">
              <w:t>Pepe et al. (2014)</w:t>
            </w:r>
          </w:p>
        </w:tc>
        <w:tc>
          <w:tcPr>
            <w:tcW w:w="615" w:type="pct"/>
            <w:shd w:val="clear" w:color="auto" w:fill="auto"/>
            <w:vAlign w:val="center"/>
          </w:tcPr>
          <w:p w14:paraId="4840A6B4" w14:textId="2B10373A"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tcPr>
          <w:p w14:paraId="7348189C" w14:textId="2C41780E" w:rsidR="00E7473C" w:rsidRPr="00D73769" w:rsidRDefault="00E7473C" w:rsidP="00723373">
            <w:pPr>
              <w:pStyle w:val="TableText0"/>
              <w:keepNext w:val="0"/>
              <w:rPr>
                <w:snapToGrid w:val="0"/>
              </w:rPr>
            </w:pPr>
            <w:r w:rsidRPr="001F4D76">
              <w:rPr>
                <w:color w:val="00B050"/>
              </w:rPr>
              <w:sym w:font="Wingdings" w:char="F04A"/>
            </w:r>
          </w:p>
        </w:tc>
        <w:tc>
          <w:tcPr>
            <w:tcW w:w="615" w:type="pct"/>
            <w:shd w:val="clear" w:color="auto" w:fill="auto"/>
            <w:vAlign w:val="center"/>
          </w:tcPr>
          <w:p w14:paraId="2FE514FB" w14:textId="28CE43C6"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vAlign w:val="center"/>
          </w:tcPr>
          <w:p w14:paraId="0262A1DA" w14:textId="014FA662"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vAlign w:val="center"/>
          </w:tcPr>
          <w:p w14:paraId="1CE7D24F" w14:textId="316B0B1F"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tcPr>
          <w:p w14:paraId="047BD754" w14:textId="1FD1A508" w:rsidR="00E7473C" w:rsidRPr="00D73769" w:rsidRDefault="00E7473C" w:rsidP="00723373">
            <w:pPr>
              <w:pStyle w:val="TableText0"/>
              <w:keepNext w:val="0"/>
              <w:rPr>
                <w:snapToGrid w:val="0"/>
              </w:rPr>
            </w:pPr>
            <w:r w:rsidRPr="008A6C46">
              <w:rPr>
                <w:color w:val="FF0000"/>
              </w:rPr>
              <w:sym w:font="Wingdings" w:char="F04C"/>
            </w:r>
          </w:p>
        </w:tc>
        <w:tc>
          <w:tcPr>
            <w:tcW w:w="614" w:type="pct"/>
            <w:shd w:val="clear" w:color="auto" w:fill="auto"/>
          </w:tcPr>
          <w:p w14:paraId="1E006598" w14:textId="4A7CF02E"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1C1BB358" w14:textId="77777777" w:rsidTr="00E7473C">
        <w:tc>
          <w:tcPr>
            <w:tcW w:w="695" w:type="pct"/>
            <w:shd w:val="clear" w:color="auto" w:fill="auto"/>
            <w:vAlign w:val="bottom"/>
          </w:tcPr>
          <w:p w14:paraId="7068AD6D" w14:textId="77777777" w:rsidR="00E7473C" w:rsidRPr="00D73769" w:rsidRDefault="00E7473C" w:rsidP="00723373">
            <w:pPr>
              <w:pStyle w:val="TableText0"/>
              <w:keepNext w:val="0"/>
              <w:rPr>
                <w:snapToGrid w:val="0"/>
              </w:rPr>
            </w:pPr>
            <w:r w:rsidRPr="00D73769">
              <w:t>Petrillo et al. 2013</w:t>
            </w:r>
          </w:p>
        </w:tc>
        <w:tc>
          <w:tcPr>
            <w:tcW w:w="615" w:type="pct"/>
            <w:shd w:val="clear" w:color="auto" w:fill="auto"/>
          </w:tcPr>
          <w:p w14:paraId="7AD2262E" w14:textId="430688C2" w:rsidR="00E7473C" w:rsidRPr="00D73769" w:rsidRDefault="00E7473C" w:rsidP="00723373">
            <w:pPr>
              <w:pStyle w:val="TableText0"/>
              <w:keepNext w:val="0"/>
              <w:rPr>
                <w:snapToGrid w:val="0"/>
              </w:rPr>
            </w:pPr>
            <w:r w:rsidRPr="001B7137">
              <w:rPr>
                <w:color w:val="00B050"/>
              </w:rPr>
              <w:sym w:font="Wingdings" w:char="F04A"/>
            </w:r>
          </w:p>
        </w:tc>
        <w:tc>
          <w:tcPr>
            <w:tcW w:w="615" w:type="pct"/>
            <w:shd w:val="clear" w:color="auto" w:fill="auto"/>
          </w:tcPr>
          <w:p w14:paraId="6B0FAF04" w14:textId="435305BD" w:rsidR="00E7473C" w:rsidRPr="00D73769" w:rsidRDefault="00E7473C" w:rsidP="00723373">
            <w:pPr>
              <w:pStyle w:val="TableText0"/>
              <w:keepNext w:val="0"/>
              <w:rPr>
                <w:snapToGrid w:val="0"/>
              </w:rPr>
            </w:pPr>
            <w:r w:rsidRPr="001F4D76">
              <w:rPr>
                <w:color w:val="00B050"/>
              </w:rPr>
              <w:sym w:font="Wingdings" w:char="F04A"/>
            </w:r>
          </w:p>
        </w:tc>
        <w:tc>
          <w:tcPr>
            <w:tcW w:w="615" w:type="pct"/>
            <w:shd w:val="clear" w:color="auto" w:fill="auto"/>
          </w:tcPr>
          <w:p w14:paraId="53BA137B" w14:textId="1494C30B" w:rsidR="00E7473C" w:rsidRPr="00D73769" w:rsidRDefault="00E7473C" w:rsidP="00723373">
            <w:pPr>
              <w:pStyle w:val="TableText0"/>
              <w:keepNext w:val="0"/>
              <w:rPr>
                <w:snapToGrid w:val="0"/>
              </w:rPr>
            </w:pPr>
            <w:r w:rsidRPr="00627738">
              <w:rPr>
                <w:color w:val="00B050"/>
              </w:rPr>
              <w:sym w:font="Wingdings" w:char="F04A"/>
            </w:r>
          </w:p>
        </w:tc>
        <w:tc>
          <w:tcPr>
            <w:tcW w:w="615" w:type="pct"/>
            <w:shd w:val="clear" w:color="auto" w:fill="auto"/>
            <w:vAlign w:val="center"/>
          </w:tcPr>
          <w:p w14:paraId="248A263C" w14:textId="2B6A788C"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tcPr>
          <w:p w14:paraId="62E98963" w14:textId="1C57439B" w:rsidR="00E7473C" w:rsidRPr="00D73769" w:rsidRDefault="00E7473C" w:rsidP="00723373">
            <w:pPr>
              <w:pStyle w:val="TableText0"/>
              <w:keepNext w:val="0"/>
              <w:rPr>
                <w:snapToGrid w:val="0"/>
              </w:rPr>
            </w:pPr>
            <w:r w:rsidRPr="007D5E88">
              <w:rPr>
                <w:color w:val="00B050"/>
              </w:rPr>
              <w:sym w:font="Wingdings" w:char="F04A"/>
            </w:r>
          </w:p>
        </w:tc>
        <w:tc>
          <w:tcPr>
            <w:tcW w:w="615" w:type="pct"/>
            <w:shd w:val="clear" w:color="auto" w:fill="auto"/>
          </w:tcPr>
          <w:p w14:paraId="344880A5" w14:textId="606C3198" w:rsidR="00E7473C" w:rsidRPr="00D73769" w:rsidRDefault="00E7473C" w:rsidP="00723373">
            <w:pPr>
              <w:pStyle w:val="TableText0"/>
              <w:keepNext w:val="0"/>
              <w:rPr>
                <w:snapToGrid w:val="0"/>
              </w:rPr>
            </w:pPr>
            <w:r w:rsidRPr="008A6C46">
              <w:rPr>
                <w:color w:val="FF0000"/>
              </w:rPr>
              <w:sym w:font="Wingdings" w:char="F04C"/>
            </w:r>
          </w:p>
        </w:tc>
        <w:tc>
          <w:tcPr>
            <w:tcW w:w="614" w:type="pct"/>
            <w:shd w:val="clear" w:color="auto" w:fill="auto"/>
          </w:tcPr>
          <w:p w14:paraId="5C7C0013" w14:textId="289F4AD6"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01AEDF9D" w14:textId="77777777" w:rsidTr="00E7473C">
        <w:tc>
          <w:tcPr>
            <w:tcW w:w="695" w:type="pct"/>
            <w:shd w:val="clear" w:color="auto" w:fill="auto"/>
            <w:vAlign w:val="bottom"/>
          </w:tcPr>
          <w:p w14:paraId="6DBBF3A9" w14:textId="77777777" w:rsidR="00E7473C" w:rsidRPr="00D73769" w:rsidRDefault="00E7473C" w:rsidP="00723373">
            <w:pPr>
              <w:pStyle w:val="TableText0"/>
              <w:keepNext w:val="0"/>
              <w:rPr>
                <w:snapToGrid w:val="0"/>
              </w:rPr>
            </w:pPr>
            <w:r w:rsidRPr="00D73769">
              <w:t>Pokorny et al. (2014)</w:t>
            </w:r>
          </w:p>
        </w:tc>
        <w:tc>
          <w:tcPr>
            <w:tcW w:w="615" w:type="pct"/>
            <w:shd w:val="clear" w:color="auto" w:fill="auto"/>
          </w:tcPr>
          <w:p w14:paraId="5E7F792D" w14:textId="1F4B9D6D" w:rsidR="00E7473C" w:rsidRPr="00D73769" w:rsidRDefault="00E7473C" w:rsidP="00723373">
            <w:pPr>
              <w:pStyle w:val="TableText0"/>
              <w:keepNext w:val="0"/>
              <w:rPr>
                <w:snapToGrid w:val="0"/>
              </w:rPr>
            </w:pPr>
            <w:r w:rsidRPr="001B7137">
              <w:rPr>
                <w:color w:val="00B050"/>
              </w:rPr>
              <w:sym w:font="Wingdings" w:char="F04A"/>
            </w:r>
          </w:p>
        </w:tc>
        <w:tc>
          <w:tcPr>
            <w:tcW w:w="615" w:type="pct"/>
            <w:shd w:val="clear" w:color="auto" w:fill="auto"/>
          </w:tcPr>
          <w:p w14:paraId="5B58AB02" w14:textId="75214454" w:rsidR="00E7473C" w:rsidRPr="00D73769" w:rsidRDefault="00E7473C" w:rsidP="00723373">
            <w:pPr>
              <w:pStyle w:val="TableText0"/>
              <w:keepNext w:val="0"/>
              <w:rPr>
                <w:snapToGrid w:val="0"/>
              </w:rPr>
            </w:pPr>
            <w:r w:rsidRPr="001F4D76">
              <w:rPr>
                <w:color w:val="00B050"/>
              </w:rPr>
              <w:sym w:font="Wingdings" w:char="F04A"/>
            </w:r>
          </w:p>
        </w:tc>
        <w:tc>
          <w:tcPr>
            <w:tcW w:w="615" w:type="pct"/>
            <w:shd w:val="clear" w:color="auto" w:fill="auto"/>
          </w:tcPr>
          <w:p w14:paraId="73A548A3" w14:textId="0AAB6DDD" w:rsidR="00E7473C" w:rsidRPr="00D73769" w:rsidRDefault="00E7473C" w:rsidP="00723373">
            <w:pPr>
              <w:pStyle w:val="TableText0"/>
              <w:keepNext w:val="0"/>
              <w:rPr>
                <w:snapToGrid w:val="0"/>
              </w:rPr>
            </w:pPr>
            <w:r w:rsidRPr="00627738">
              <w:rPr>
                <w:color w:val="00B050"/>
              </w:rPr>
              <w:sym w:font="Wingdings" w:char="F04A"/>
            </w:r>
          </w:p>
        </w:tc>
        <w:tc>
          <w:tcPr>
            <w:tcW w:w="615" w:type="pct"/>
            <w:shd w:val="clear" w:color="auto" w:fill="auto"/>
            <w:vAlign w:val="center"/>
          </w:tcPr>
          <w:p w14:paraId="26E0780C" w14:textId="4FE31CB3"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tcPr>
          <w:p w14:paraId="0C6A2E51" w14:textId="75DC6AA3" w:rsidR="00E7473C" w:rsidRPr="00D73769" w:rsidRDefault="00E7473C" w:rsidP="00723373">
            <w:pPr>
              <w:pStyle w:val="TableText0"/>
              <w:keepNext w:val="0"/>
              <w:rPr>
                <w:snapToGrid w:val="0"/>
              </w:rPr>
            </w:pPr>
            <w:r w:rsidRPr="007D5E88">
              <w:rPr>
                <w:color w:val="00B050"/>
              </w:rPr>
              <w:sym w:font="Wingdings" w:char="F04A"/>
            </w:r>
          </w:p>
        </w:tc>
        <w:tc>
          <w:tcPr>
            <w:tcW w:w="615" w:type="pct"/>
            <w:shd w:val="clear" w:color="auto" w:fill="auto"/>
            <w:vAlign w:val="center"/>
          </w:tcPr>
          <w:p w14:paraId="607F979D" w14:textId="52EE5A02" w:rsidR="00E7473C" w:rsidRPr="00D73769" w:rsidRDefault="00E7473C" w:rsidP="00723373">
            <w:pPr>
              <w:pStyle w:val="TableText0"/>
              <w:keepNext w:val="0"/>
              <w:rPr>
                <w:snapToGrid w:val="0"/>
              </w:rPr>
            </w:pPr>
            <w:r w:rsidRPr="009251E2">
              <w:rPr>
                <w:color w:val="00B050"/>
              </w:rPr>
              <w:sym w:font="Wingdings" w:char="F04A"/>
            </w:r>
          </w:p>
        </w:tc>
        <w:tc>
          <w:tcPr>
            <w:tcW w:w="614" w:type="pct"/>
            <w:shd w:val="clear" w:color="auto" w:fill="auto"/>
          </w:tcPr>
          <w:p w14:paraId="19E85919" w14:textId="57BC5950"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6CD58186" w14:textId="77777777" w:rsidTr="00E7473C">
        <w:tc>
          <w:tcPr>
            <w:tcW w:w="695" w:type="pct"/>
            <w:shd w:val="clear" w:color="auto" w:fill="auto"/>
            <w:vAlign w:val="bottom"/>
          </w:tcPr>
          <w:p w14:paraId="2CC5411C" w14:textId="77777777" w:rsidR="00E7473C" w:rsidRPr="00D73769" w:rsidRDefault="00E7473C" w:rsidP="00723373">
            <w:pPr>
              <w:pStyle w:val="TableText0"/>
              <w:keepNext w:val="0"/>
              <w:rPr>
                <w:snapToGrid w:val="0"/>
              </w:rPr>
            </w:pPr>
            <w:r w:rsidRPr="00D73769">
              <w:t>Porpiglia et al. (2014)</w:t>
            </w:r>
          </w:p>
        </w:tc>
        <w:tc>
          <w:tcPr>
            <w:tcW w:w="615" w:type="pct"/>
            <w:shd w:val="clear" w:color="auto" w:fill="auto"/>
            <w:vAlign w:val="center"/>
          </w:tcPr>
          <w:p w14:paraId="265F960F" w14:textId="51505B65"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tcPr>
          <w:p w14:paraId="3C0C817C" w14:textId="7F6F6497" w:rsidR="00E7473C" w:rsidRPr="00D73769" w:rsidRDefault="00E7473C" w:rsidP="00723373">
            <w:pPr>
              <w:pStyle w:val="TableText0"/>
              <w:keepNext w:val="0"/>
              <w:rPr>
                <w:snapToGrid w:val="0"/>
              </w:rPr>
            </w:pPr>
            <w:r w:rsidRPr="001F4D76">
              <w:rPr>
                <w:color w:val="00B050"/>
              </w:rPr>
              <w:sym w:font="Wingdings" w:char="F04A"/>
            </w:r>
          </w:p>
        </w:tc>
        <w:tc>
          <w:tcPr>
            <w:tcW w:w="615" w:type="pct"/>
            <w:shd w:val="clear" w:color="auto" w:fill="auto"/>
          </w:tcPr>
          <w:p w14:paraId="46D04930" w14:textId="08C744F5" w:rsidR="00E7473C" w:rsidRPr="00D73769" w:rsidRDefault="00E7473C" w:rsidP="00723373">
            <w:pPr>
              <w:pStyle w:val="TableText0"/>
              <w:keepNext w:val="0"/>
              <w:rPr>
                <w:snapToGrid w:val="0"/>
              </w:rPr>
            </w:pPr>
            <w:r w:rsidRPr="00627738">
              <w:rPr>
                <w:color w:val="00B050"/>
              </w:rPr>
              <w:sym w:font="Wingdings" w:char="F04A"/>
            </w:r>
          </w:p>
        </w:tc>
        <w:tc>
          <w:tcPr>
            <w:tcW w:w="615" w:type="pct"/>
            <w:shd w:val="clear" w:color="auto" w:fill="auto"/>
            <w:vAlign w:val="center"/>
          </w:tcPr>
          <w:p w14:paraId="3F9499CB" w14:textId="5D3E3E5B"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tcPr>
          <w:p w14:paraId="42DCD50A" w14:textId="5FCD3246" w:rsidR="00E7473C" w:rsidRPr="00D73769" w:rsidRDefault="00E7473C" w:rsidP="00723373">
            <w:pPr>
              <w:pStyle w:val="TableText0"/>
              <w:keepNext w:val="0"/>
              <w:rPr>
                <w:snapToGrid w:val="0"/>
              </w:rPr>
            </w:pPr>
            <w:r w:rsidRPr="007D5E88">
              <w:rPr>
                <w:color w:val="00B050"/>
              </w:rPr>
              <w:sym w:font="Wingdings" w:char="F04A"/>
            </w:r>
          </w:p>
        </w:tc>
        <w:tc>
          <w:tcPr>
            <w:tcW w:w="615" w:type="pct"/>
            <w:shd w:val="clear" w:color="auto" w:fill="auto"/>
          </w:tcPr>
          <w:p w14:paraId="2CE5C7BC" w14:textId="2E42A746" w:rsidR="00E7473C" w:rsidRPr="00D73769" w:rsidRDefault="00E7473C" w:rsidP="00723373">
            <w:pPr>
              <w:pStyle w:val="TableText0"/>
              <w:keepNext w:val="0"/>
              <w:rPr>
                <w:snapToGrid w:val="0"/>
              </w:rPr>
            </w:pPr>
            <w:r w:rsidRPr="00D8526B">
              <w:rPr>
                <w:color w:val="FF0000"/>
              </w:rPr>
              <w:sym w:font="Wingdings" w:char="F04C"/>
            </w:r>
          </w:p>
        </w:tc>
        <w:tc>
          <w:tcPr>
            <w:tcW w:w="614" w:type="pct"/>
            <w:shd w:val="clear" w:color="auto" w:fill="auto"/>
          </w:tcPr>
          <w:p w14:paraId="062C4EBE" w14:textId="7A9E84F1"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7A87C1CE" w14:textId="77777777" w:rsidTr="00E7473C">
        <w:tc>
          <w:tcPr>
            <w:tcW w:w="695" w:type="pct"/>
            <w:shd w:val="clear" w:color="auto" w:fill="auto"/>
            <w:vAlign w:val="bottom"/>
          </w:tcPr>
          <w:p w14:paraId="55D6DBDA" w14:textId="77777777" w:rsidR="00E7473C" w:rsidRPr="00D73769" w:rsidRDefault="00E7473C" w:rsidP="00723373">
            <w:pPr>
              <w:pStyle w:val="TableText0"/>
              <w:keepNext w:val="0"/>
              <w:rPr>
                <w:snapToGrid w:val="0"/>
              </w:rPr>
            </w:pPr>
            <w:r w:rsidRPr="00D73769">
              <w:t>Renard-Penna et al. 2016</w:t>
            </w:r>
          </w:p>
        </w:tc>
        <w:tc>
          <w:tcPr>
            <w:tcW w:w="615" w:type="pct"/>
            <w:shd w:val="clear" w:color="auto" w:fill="auto"/>
          </w:tcPr>
          <w:p w14:paraId="2EBD22DF" w14:textId="48F3AB06" w:rsidR="00E7473C" w:rsidRPr="00D73769" w:rsidRDefault="00E7473C" w:rsidP="00723373">
            <w:pPr>
              <w:pStyle w:val="TableText0"/>
              <w:keepNext w:val="0"/>
              <w:rPr>
                <w:snapToGrid w:val="0"/>
              </w:rPr>
            </w:pPr>
            <w:r w:rsidRPr="00A20464">
              <w:rPr>
                <w:color w:val="00B050"/>
              </w:rPr>
              <w:sym w:font="Wingdings" w:char="F04A"/>
            </w:r>
          </w:p>
        </w:tc>
        <w:tc>
          <w:tcPr>
            <w:tcW w:w="615" w:type="pct"/>
            <w:shd w:val="clear" w:color="auto" w:fill="auto"/>
          </w:tcPr>
          <w:p w14:paraId="28EF9556" w14:textId="28B72C0B" w:rsidR="00E7473C" w:rsidRPr="00D73769" w:rsidRDefault="00E7473C" w:rsidP="00723373">
            <w:pPr>
              <w:pStyle w:val="TableText0"/>
              <w:keepNext w:val="0"/>
              <w:rPr>
                <w:snapToGrid w:val="0"/>
              </w:rPr>
            </w:pPr>
            <w:r w:rsidRPr="001F4D76">
              <w:rPr>
                <w:color w:val="00B050"/>
              </w:rPr>
              <w:sym w:font="Wingdings" w:char="F04A"/>
            </w:r>
          </w:p>
        </w:tc>
        <w:tc>
          <w:tcPr>
            <w:tcW w:w="615" w:type="pct"/>
            <w:shd w:val="clear" w:color="auto" w:fill="auto"/>
          </w:tcPr>
          <w:p w14:paraId="0A40D34C" w14:textId="180CB8D6" w:rsidR="00E7473C" w:rsidRPr="00D73769" w:rsidRDefault="00E7473C" w:rsidP="00723373">
            <w:pPr>
              <w:pStyle w:val="TableText0"/>
              <w:keepNext w:val="0"/>
              <w:rPr>
                <w:snapToGrid w:val="0"/>
              </w:rPr>
            </w:pPr>
            <w:r w:rsidRPr="00424B31">
              <w:rPr>
                <w:b/>
                <w:color w:val="1F497D" w:themeColor="text2"/>
              </w:rPr>
              <w:t>?</w:t>
            </w:r>
          </w:p>
        </w:tc>
        <w:tc>
          <w:tcPr>
            <w:tcW w:w="615" w:type="pct"/>
            <w:shd w:val="clear" w:color="auto" w:fill="auto"/>
          </w:tcPr>
          <w:p w14:paraId="73F6AFEC" w14:textId="301D1FFB" w:rsidR="00E7473C" w:rsidRPr="00D73769" w:rsidRDefault="00E7473C" w:rsidP="00723373">
            <w:pPr>
              <w:pStyle w:val="TableText0"/>
              <w:keepNext w:val="0"/>
              <w:rPr>
                <w:snapToGrid w:val="0"/>
              </w:rPr>
            </w:pPr>
            <w:r w:rsidRPr="00424B31">
              <w:rPr>
                <w:b/>
                <w:color w:val="1F497D" w:themeColor="text2"/>
              </w:rPr>
              <w:t>?</w:t>
            </w:r>
          </w:p>
        </w:tc>
        <w:tc>
          <w:tcPr>
            <w:tcW w:w="615" w:type="pct"/>
            <w:shd w:val="clear" w:color="auto" w:fill="auto"/>
            <w:vAlign w:val="center"/>
          </w:tcPr>
          <w:p w14:paraId="59C7DC1B" w14:textId="5A1DF245"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tcPr>
          <w:p w14:paraId="6353DCE3" w14:textId="0A891DD4" w:rsidR="00E7473C" w:rsidRPr="00D73769" w:rsidRDefault="00E7473C" w:rsidP="00723373">
            <w:pPr>
              <w:pStyle w:val="TableText0"/>
              <w:keepNext w:val="0"/>
              <w:rPr>
                <w:snapToGrid w:val="0"/>
              </w:rPr>
            </w:pPr>
            <w:r w:rsidRPr="00D8526B">
              <w:rPr>
                <w:color w:val="FF0000"/>
              </w:rPr>
              <w:sym w:font="Wingdings" w:char="F04C"/>
            </w:r>
          </w:p>
        </w:tc>
        <w:tc>
          <w:tcPr>
            <w:tcW w:w="614" w:type="pct"/>
            <w:shd w:val="clear" w:color="auto" w:fill="auto"/>
          </w:tcPr>
          <w:p w14:paraId="234DCB94" w14:textId="11751CA3" w:rsidR="00E7473C" w:rsidRPr="00D73769" w:rsidRDefault="00E7473C" w:rsidP="00723373">
            <w:pPr>
              <w:pStyle w:val="TableText0"/>
              <w:keepNext w:val="0"/>
              <w:rPr>
                <w:snapToGrid w:val="0"/>
              </w:rPr>
            </w:pPr>
            <w:r w:rsidRPr="00045191">
              <w:rPr>
                <w:color w:val="00B050"/>
              </w:rPr>
              <w:sym w:font="Wingdings" w:char="F04A"/>
            </w:r>
          </w:p>
        </w:tc>
      </w:tr>
      <w:tr w:rsidR="00E7473C" w:rsidRPr="00D73769" w14:paraId="2FED0F4E" w14:textId="77777777" w:rsidTr="00E7473C">
        <w:tc>
          <w:tcPr>
            <w:tcW w:w="695" w:type="pct"/>
            <w:shd w:val="clear" w:color="auto" w:fill="auto"/>
            <w:vAlign w:val="bottom"/>
          </w:tcPr>
          <w:p w14:paraId="45230242" w14:textId="77777777" w:rsidR="00E7473C" w:rsidRPr="00D73769" w:rsidRDefault="00E7473C" w:rsidP="00723373">
            <w:pPr>
              <w:pStyle w:val="TableText0"/>
              <w:keepNext w:val="0"/>
              <w:rPr>
                <w:snapToGrid w:val="0"/>
              </w:rPr>
            </w:pPr>
            <w:r w:rsidRPr="00D73769">
              <w:t>Rosenkrantz et al. (2013)</w:t>
            </w:r>
          </w:p>
        </w:tc>
        <w:tc>
          <w:tcPr>
            <w:tcW w:w="615" w:type="pct"/>
            <w:shd w:val="clear" w:color="auto" w:fill="auto"/>
          </w:tcPr>
          <w:p w14:paraId="6B1A7291" w14:textId="3BA68E48" w:rsidR="00E7473C" w:rsidRPr="00D73769" w:rsidRDefault="00E7473C" w:rsidP="00723373">
            <w:pPr>
              <w:pStyle w:val="TableText0"/>
              <w:keepNext w:val="0"/>
              <w:rPr>
                <w:snapToGrid w:val="0"/>
              </w:rPr>
            </w:pPr>
            <w:r w:rsidRPr="00A20464">
              <w:rPr>
                <w:color w:val="00B050"/>
              </w:rPr>
              <w:sym w:font="Wingdings" w:char="F04A"/>
            </w:r>
          </w:p>
        </w:tc>
        <w:tc>
          <w:tcPr>
            <w:tcW w:w="615" w:type="pct"/>
            <w:shd w:val="clear" w:color="auto" w:fill="auto"/>
          </w:tcPr>
          <w:p w14:paraId="70AA27A6" w14:textId="1D42564C" w:rsidR="00E7473C" w:rsidRPr="00D73769" w:rsidRDefault="00E7473C" w:rsidP="00723373">
            <w:pPr>
              <w:pStyle w:val="TableText0"/>
              <w:keepNext w:val="0"/>
              <w:rPr>
                <w:snapToGrid w:val="0"/>
              </w:rPr>
            </w:pPr>
            <w:r w:rsidRPr="001F4D76">
              <w:rPr>
                <w:color w:val="00B050"/>
              </w:rPr>
              <w:sym w:font="Wingdings" w:char="F04A"/>
            </w:r>
          </w:p>
        </w:tc>
        <w:tc>
          <w:tcPr>
            <w:tcW w:w="615" w:type="pct"/>
            <w:shd w:val="clear" w:color="auto" w:fill="auto"/>
          </w:tcPr>
          <w:p w14:paraId="4ABFF8A0" w14:textId="6412DF07" w:rsidR="00E7473C" w:rsidRPr="00D73769" w:rsidRDefault="00E7473C" w:rsidP="00723373">
            <w:pPr>
              <w:pStyle w:val="TableText0"/>
              <w:keepNext w:val="0"/>
              <w:rPr>
                <w:snapToGrid w:val="0"/>
              </w:rPr>
            </w:pPr>
            <w:r w:rsidRPr="00E67338">
              <w:rPr>
                <w:color w:val="FF0000"/>
              </w:rPr>
              <w:sym w:font="Wingdings" w:char="F04C"/>
            </w:r>
          </w:p>
        </w:tc>
        <w:tc>
          <w:tcPr>
            <w:tcW w:w="615" w:type="pct"/>
            <w:shd w:val="clear" w:color="auto" w:fill="auto"/>
          </w:tcPr>
          <w:p w14:paraId="41B1EC90" w14:textId="37C74E6F" w:rsidR="00E7473C" w:rsidRPr="00D73769" w:rsidRDefault="00E7473C" w:rsidP="00723373">
            <w:pPr>
              <w:pStyle w:val="TableText0"/>
              <w:keepNext w:val="0"/>
              <w:rPr>
                <w:snapToGrid w:val="0"/>
              </w:rPr>
            </w:pPr>
            <w:r w:rsidRPr="005C07FC">
              <w:rPr>
                <w:color w:val="00B050"/>
              </w:rPr>
              <w:sym w:font="Wingdings" w:char="F04A"/>
            </w:r>
          </w:p>
        </w:tc>
        <w:tc>
          <w:tcPr>
            <w:tcW w:w="615" w:type="pct"/>
            <w:shd w:val="clear" w:color="auto" w:fill="auto"/>
          </w:tcPr>
          <w:p w14:paraId="61CD335E" w14:textId="73EDAD56" w:rsidR="00E7473C" w:rsidRPr="00D73769" w:rsidRDefault="00E7473C" w:rsidP="00723373">
            <w:pPr>
              <w:pStyle w:val="TableText0"/>
              <w:keepNext w:val="0"/>
              <w:rPr>
                <w:snapToGrid w:val="0"/>
              </w:rPr>
            </w:pPr>
            <w:r w:rsidRPr="005C07FC">
              <w:rPr>
                <w:color w:val="00B050"/>
              </w:rPr>
              <w:sym w:font="Wingdings" w:char="F04A"/>
            </w:r>
          </w:p>
        </w:tc>
        <w:tc>
          <w:tcPr>
            <w:tcW w:w="615" w:type="pct"/>
            <w:shd w:val="clear" w:color="auto" w:fill="auto"/>
          </w:tcPr>
          <w:p w14:paraId="18387BEF" w14:textId="369E16A7" w:rsidR="00E7473C" w:rsidRPr="00D73769" w:rsidRDefault="00E7473C" w:rsidP="00723373">
            <w:pPr>
              <w:pStyle w:val="TableText0"/>
              <w:keepNext w:val="0"/>
              <w:rPr>
                <w:snapToGrid w:val="0"/>
              </w:rPr>
            </w:pPr>
            <w:r w:rsidRPr="00D8526B">
              <w:rPr>
                <w:color w:val="FF0000"/>
              </w:rPr>
              <w:sym w:font="Wingdings" w:char="F04C"/>
            </w:r>
          </w:p>
        </w:tc>
        <w:tc>
          <w:tcPr>
            <w:tcW w:w="614" w:type="pct"/>
            <w:shd w:val="clear" w:color="auto" w:fill="auto"/>
          </w:tcPr>
          <w:p w14:paraId="49F7510C" w14:textId="651CAE1D"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241273EF" w14:textId="77777777" w:rsidTr="00E7473C">
        <w:tc>
          <w:tcPr>
            <w:tcW w:w="695" w:type="pct"/>
            <w:shd w:val="clear" w:color="auto" w:fill="auto"/>
            <w:vAlign w:val="bottom"/>
          </w:tcPr>
          <w:p w14:paraId="3470E3ED" w14:textId="77777777" w:rsidR="00E7473C" w:rsidRPr="00D73769" w:rsidRDefault="00E7473C" w:rsidP="00723373">
            <w:pPr>
              <w:pStyle w:val="TableText0"/>
              <w:keepNext w:val="0"/>
              <w:rPr>
                <w:snapToGrid w:val="0"/>
              </w:rPr>
            </w:pPr>
            <w:r w:rsidRPr="00D73769">
              <w:t>Rouse et al. (2011)</w:t>
            </w:r>
          </w:p>
        </w:tc>
        <w:tc>
          <w:tcPr>
            <w:tcW w:w="615" w:type="pct"/>
            <w:shd w:val="clear" w:color="auto" w:fill="auto"/>
          </w:tcPr>
          <w:p w14:paraId="69E4C49A" w14:textId="329F886F" w:rsidR="00E7473C" w:rsidRPr="00D73769" w:rsidRDefault="00E7473C" w:rsidP="00723373">
            <w:pPr>
              <w:pStyle w:val="TableText0"/>
              <w:keepNext w:val="0"/>
              <w:rPr>
                <w:snapToGrid w:val="0"/>
              </w:rPr>
            </w:pPr>
            <w:r w:rsidRPr="00A20464">
              <w:rPr>
                <w:color w:val="00B050"/>
              </w:rPr>
              <w:sym w:font="Wingdings" w:char="F04A"/>
            </w:r>
          </w:p>
        </w:tc>
        <w:tc>
          <w:tcPr>
            <w:tcW w:w="615" w:type="pct"/>
            <w:shd w:val="clear" w:color="auto" w:fill="auto"/>
          </w:tcPr>
          <w:p w14:paraId="0857290E" w14:textId="240470B3" w:rsidR="00E7473C" w:rsidRPr="00D73769" w:rsidRDefault="00E7473C" w:rsidP="00723373">
            <w:pPr>
              <w:pStyle w:val="TableText0"/>
              <w:keepNext w:val="0"/>
              <w:rPr>
                <w:snapToGrid w:val="0"/>
              </w:rPr>
            </w:pPr>
            <w:r w:rsidRPr="001F4D76">
              <w:rPr>
                <w:color w:val="00B050"/>
              </w:rPr>
              <w:sym w:font="Wingdings" w:char="F04A"/>
            </w:r>
          </w:p>
        </w:tc>
        <w:tc>
          <w:tcPr>
            <w:tcW w:w="615" w:type="pct"/>
            <w:shd w:val="clear" w:color="auto" w:fill="auto"/>
          </w:tcPr>
          <w:p w14:paraId="12CEC126" w14:textId="64D98294" w:rsidR="00E7473C" w:rsidRPr="00D73769" w:rsidRDefault="00E7473C" w:rsidP="00723373">
            <w:pPr>
              <w:pStyle w:val="TableText0"/>
              <w:keepNext w:val="0"/>
              <w:rPr>
                <w:snapToGrid w:val="0"/>
              </w:rPr>
            </w:pPr>
            <w:r w:rsidRPr="00E67338">
              <w:rPr>
                <w:color w:val="FF0000"/>
              </w:rPr>
              <w:sym w:font="Wingdings" w:char="F04C"/>
            </w:r>
          </w:p>
        </w:tc>
        <w:tc>
          <w:tcPr>
            <w:tcW w:w="615" w:type="pct"/>
            <w:shd w:val="clear" w:color="auto" w:fill="auto"/>
            <w:vAlign w:val="center"/>
          </w:tcPr>
          <w:p w14:paraId="20D49816" w14:textId="3DD082E5"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vAlign w:val="center"/>
          </w:tcPr>
          <w:p w14:paraId="16DB5032" w14:textId="6CFCD1AF" w:rsidR="00E7473C" w:rsidRPr="00D73769" w:rsidRDefault="00E7473C" w:rsidP="00723373">
            <w:pPr>
              <w:pStyle w:val="TableText0"/>
              <w:keepNext w:val="0"/>
              <w:rPr>
                <w:snapToGrid w:val="0"/>
              </w:rPr>
            </w:pPr>
            <w:r w:rsidRPr="005C07FC">
              <w:rPr>
                <w:color w:val="00B050"/>
              </w:rPr>
              <w:sym w:font="Wingdings" w:char="F04A"/>
            </w:r>
          </w:p>
        </w:tc>
        <w:tc>
          <w:tcPr>
            <w:tcW w:w="615" w:type="pct"/>
            <w:shd w:val="clear" w:color="auto" w:fill="auto"/>
          </w:tcPr>
          <w:p w14:paraId="76A05D96" w14:textId="1A54A955" w:rsidR="00E7473C" w:rsidRPr="00D73769" w:rsidRDefault="00E7473C" w:rsidP="00723373">
            <w:pPr>
              <w:pStyle w:val="TableText0"/>
              <w:keepNext w:val="0"/>
              <w:rPr>
                <w:snapToGrid w:val="0"/>
              </w:rPr>
            </w:pPr>
            <w:r w:rsidRPr="00D8526B">
              <w:rPr>
                <w:color w:val="FF0000"/>
              </w:rPr>
              <w:sym w:font="Wingdings" w:char="F04C"/>
            </w:r>
          </w:p>
        </w:tc>
        <w:tc>
          <w:tcPr>
            <w:tcW w:w="614" w:type="pct"/>
            <w:shd w:val="clear" w:color="auto" w:fill="auto"/>
          </w:tcPr>
          <w:p w14:paraId="01333204" w14:textId="608473C0"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40E3D665" w14:textId="77777777" w:rsidTr="00E7473C">
        <w:tc>
          <w:tcPr>
            <w:tcW w:w="695" w:type="pct"/>
            <w:shd w:val="clear" w:color="auto" w:fill="auto"/>
            <w:vAlign w:val="bottom"/>
          </w:tcPr>
          <w:p w14:paraId="72F65F4E" w14:textId="77777777" w:rsidR="00E7473C" w:rsidRPr="00D73769" w:rsidRDefault="00E7473C" w:rsidP="00723373">
            <w:pPr>
              <w:pStyle w:val="TableText0"/>
              <w:keepNext w:val="0"/>
              <w:rPr>
                <w:snapToGrid w:val="0"/>
              </w:rPr>
            </w:pPr>
            <w:r w:rsidRPr="00D73769">
              <w:t>Tamada et al. (2011)</w:t>
            </w:r>
          </w:p>
        </w:tc>
        <w:tc>
          <w:tcPr>
            <w:tcW w:w="615" w:type="pct"/>
            <w:shd w:val="clear" w:color="auto" w:fill="auto"/>
          </w:tcPr>
          <w:p w14:paraId="70B3239D" w14:textId="4F68A424" w:rsidR="00E7473C" w:rsidRPr="00D73769" w:rsidRDefault="00E7473C" w:rsidP="00723373">
            <w:pPr>
              <w:pStyle w:val="TableText0"/>
              <w:keepNext w:val="0"/>
              <w:rPr>
                <w:snapToGrid w:val="0"/>
              </w:rPr>
            </w:pPr>
            <w:r w:rsidRPr="00A20464">
              <w:rPr>
                <w:color w:val="00B050"/>
              </w:rPr>
              <w:sym w:font="Wingdings" w:char="F04A"/>
            </w:r>
          </w:p>
        </w:tc>
        <w:tc>
          <w:tcPr>
            <w:tcW w:w="615" w:type="pct"/>
            <w:shd w:val="clear" w:color="auto" w:fill="auto"/>
          </w:tcPr>
          <w:p w14:paraId="236A3240" w14:textId="76C4EAED" w:rsidR="00E7473C" w:rsidRPr="00D73769" w:rsidRDefault="00E7473C" w:rsidP="00723373">
            <w:pPr>
              <w:pStyle w:val="TableText0"/>
              <w:keepNext w:val="0"/>
              <w:rPr>
                <w:snapToGrid w:val="0"/>
              </w:rPr>
            </w:pPr>
            <w:r w:rsidRPr="001F4D76">
              <w:rPr>
                <w:color w:val="00B050"/>
              </w:rPr>
              <w:sym w:font="Wingdings" w:char="F04A"/>
            </w:r>
          </w:p>
        </w:tc>
        <w:tc>
          <w:tcPr>
            <w:tcW w:w="615" w:type="pct"/>
            <w:shd w:val="clear" w:color="auto" w:fill="auto"/>
            <w:vAlign w:val="center"/>
          </w:tcPr>
          <w:p w14:paraId="3C16909A" w14:textId="4D65848E"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vAlign w:val="center"/>
          </w:tcPr>
          <w:p w14:paraId="48B62522" w14:textId="5BF1FA25"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tcPr>
          <w:p w14:paraId="0EBB643E" w14:textId="489881EA" w:rsidR="00E7473C" w:rsidRPr="00D73769" w:rsidRDefault="00E7473C" w:rsidP="00723373">
            <w:pPr>
              <w:pStyle w:val="TableText0"/>
              <w:keepNext w:val="0"/>
              <w:rPr>
                <w:snapToGrid w:val="0"/>
              </w:rPr>
            </w:pPr>
            <w:r w:rsidRPr="00D5467D">
              <w:rPr>
                <w:color w:val="00B050"/>
              </w:rPr>
              <w:sym w:font="Wingdings" w:char="F04A"/>
            </w:r>
          </w:p>
        </w:tc>
        <w:tc>
          <w:tcPr>
            <w:tcW w:w="615" w:type="pct"/>
            <w:shd w:val="clear" w:color="auto" w:fill="auto"/>
          </w:tcPr>
          <w:p w14:paraId="46015EA9" w14:textId="7E6F5324" w:rsidR="00E7473C" w:rsidRPr="00D73769" w:rsidRDefault="00E7473C" w:rsidP="00723373">
            <w:pPr>
              <w:pStyle w:val="TableText0"/>
              <w:keepNext w:val="0"/>
              <w:rPr>
                <w:snapToGrid w:val="0"/>
              </w:rPr>
            </w:pPr>
            <w:r w:rsidRPr="00D8526B">
              <w:rPr>
                <w:color w:val="FF0000"/>
              </w:rPr>
              <w:sym w:font="Wingdings" w:char="F04C"/>
            </w:r>
          </w:p>
        </w:tc>
        <w:tc>
          <w:tcPr>
            <w:tcW w:w="614" w:type="pct"/>
            <w:shd w:val="clear" w:color="auto" w:fill="auto"/>
          </w:tcPr>
          <w:p w14:paraId="3D9965D1" w14:textId="08AF9344"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3C4CDEE0" w14:textId="77777777" w:rsidTr="00E7473C">
        <w:tc>
          <w:tcPr>
            <w:tcW w:w="695" w:type="pct"/>
            <w:shd w:val="clear" w:color="auto" w:fill="auto"/>
            <w:vAlign w:val="bottom"/>
          </w:tcPr>
          <w:p w14:paraId="7FA4C7DD" w14:textId="77777777" w:rsidR="00E7473C" w:rsidRPr="00D73769" w:rsidRDefault="00E7473C" w:rsidP="00723373">
            <w:pPr>
              <w:pStyle w:val="TableText0"/>
              <w:keepNext w:val="0"/>
              <w:rPr>
                <w:snapToGrid w:val="0"/>
              </w:rPr>
            </w:pPr>
            <w:r w:rsidRPr="00D73769">
              <w:t>Tanimoto et al. (2007)</w:t>
            </w:r>
          </w:p>
        </w:tc>
        <w:tc>
          <w:tcPr>
            <w:tcW w:w="615" w:type="pct"/>
            <w:shd w:val="clear" w:color="auto" w:fill="auto"/>
          </w:tcPr>
          <w:p w14:paraId="6F946E0E" w14:textId="155FCF34" w:rsidR="00E7473C" w:rsidRPr="00D73769" w:rsidRDefault="00E7473C" w:rsidP="00723373">
            <w:pPr>
              <w:pStyle w:val="TableText0"/>
              <w:keepNext w:val="0"/>
              <w:rPr>
                <w:snapToGrid w:val="0"/>
              </w:rPr>
            </w:pPr>
            <w:r w:rsidRPr="00CE7939">
              <w:rPr>
                <w:b/>
                <w:color w:val="1F497D" w:themeColor="text2"/>
              </w:rPr>
              <w:t>?</w:t>
            </w:r>
          </w:p>
        </w:tc>
        <w:tc>
          <w:tcPr>
            <w:tcW w:w="615" w:type="pct"/>
            <w:shd w:val="clear" w:color="auto" w:fill="auto"/>
          </w:tcPr>
          <w:p w14:paraId="2C4F0A32" w14:textId="74D6AC14" w:rsidR="00E7473C" w:rsidRPr="00D73769" w:rsidRDefault="00E7473C" w:rsidP="00723373">
            <w:pPr>
              <w:pStyle w:val="TableText0"/>
              <w:keepNext w:val="0"/>
              <w:rPr>
                <w:snapToGrid w:val="0"/>
              </w:rPr>
            </w:pPr>
            <w:r w:rsidRPr="00CE7939">
              <w:rPr>
                <w:b/>
                <w:color w:val="1F497D" w:themeColor="text2"/>
              </w:rPr>
              <w:t>?</w:t>
            </w:r>
          </w:p>
        </w:tc>
        <w:tc>
          <w:tcPr>
            <w:tcW w:w="615" w:type="pct"/>
            <w:shd w:val="clear" w:color="auto" w:fill="auto"/>
          </w:tcPr>
          <w:p w14:paraId="6F46E46C" w14:textId="5E2ED24E" w:rsidR="00E7473C" w:rsidRPr="00D73769" w:rsidRDefault="00E7473C" w:rsidP="00723373">
            <w:pPr>
              <w:pStyle w:val="TableText0"/>
              <w:keepNext w:val="0"/>
              <w:rPr>
                <w:snapToGrid w:val="0"/>
              </w:rPr>
            </w:pPr>
            <w:r w:rsidRPr="00CE7939">
              <w:rPr>
                <w:b/>
                <w:color w:val="1F497D" w:themeColor="text2"/>
              </w:rPr>
              <w:t>?</w:t>
            </w:r>
          </w:p>
        </w:tc>
        <w:tc>
          <w:tcPr>
            <w:tcW w:w="615" w:type="pct"/>
            <w:shd w:val="clear" w:color="auto" w:fill="auto"/>
            <w:vAlign w:val="center"/>
          </w:tcPr>
          <w:p w14:paraId="0DB5EF49" w14:textId="3BBA31E0"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tcPr>
          <w:p w14:paraId="17A97427" w14:textId="712E6044" w:rsidR="00E7473C" w:rsidRPr="00D73769" w:rsidRDefault="00E7473C" w:rsidP="00723373">
            <w:pPr>
              <w:pStyle w:val="TableText0"/>
              <w:keepNext w:val="0"/>
              <w:rPr>
                <w:snapToGrid w:val="0"/>
              </w:rPr>
            </w:pPr>
            <w:r w:rsidRPr="00D5467D">
              <w:rPr>
                <w:color w:val="00B050"/>
              </w:rPr>
              <w:sym w:font="Wingdings" w:char="F04A"/>
            </w:r>
          </w:p>
        </w:tc>
        <w:tc>
          <w:tcPr>
            <w:tcW w:w="615" w:type="pct"/>
            <w:shd w:val="clear" w:color="auto" w:fill="auto"/>
          </w:tcPr>
          <w:p w14:paraId="5AD9AB39" w14:textId="0D87C283" w:rsidR="00E7473C" w:rsidRPr="00D73769" w:rsidRDefault="00E7473C" w:rsidP="00723373">
            <w:pPr>
              <w:pStyle w:val="TableText0"/>
              <w:keepNext w:val="0"/>
              <w:rPr>
                <w:snapToGrid w:val="0"/>
              </w:rPr>
            </w:pPr>
            <w:r w:rsidRPr="00D8526B">
              <w:rPr>
                <w:color w:val="FF0000"/>
              </w:rPr>
              <w:sym w:font="Wingdings" w:char="F04C"/>
            </w:r>
          </w:p>
        </w:tc>
        <w:tc>
          <w:tcPr>
            <w:tcW w:w="614" w:type="pct"/>
            <w:shd w:val="clear" w:color="auto" w:fill="auto"/>
          </w:tcPr>
          <w:p w14:paraId="6B8A863E" w14:textId="78DCDB84"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25A9A77B" w14:textId="77777777" w:rsidTr="00E7473C">
        <w:tc>
          <w:tcPr>
            <w:tcW w:w="695" w:type="pct"/>
            <w:shd w:val="clear" w:color="auto" w:fill="auto"/>
            <w:vAlign w:val="bottom"/>
          </w:tcPr>
          <w:p w14:paraId="6C0F15DB" w14:textId="77777777" w:rsidR="00E7473C" w:rsidRPr="00D73769" w:rsidRDefault="00E7473C" w:rsidP="00723373">
            <w:pPr>
              <w:pStyle w:val="TableText0"/>
              <w:keepNext w:val="0"/>
              <w:rPr>
                <w:snapToGrid w:val="0"/>
              </w:rPr>
            </w:pPr>
            <w:r w:rsidRPr="00D73769">
              <w:t>Thompson et al. (2014)</w:t>
            </w:r>
          </w:p>
        </w:tc>
        <w:tc>
          <w:tcPr>
            <w:tcW w:w="615" w:type="pct"/>
            <w:shd w:val="clear" w:color="auto" w:fill="auto"/>
            <w:vAlign w:val="center"/>
          </w:tcPr>
          <w:p w14:paraId="19C674A3" w14:textId="663948C7"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tcPr>
          <w:p w14:paraId="6D755147" w14:textId="313761E9" w:rsidR="00E7473C" w:rsidRPr="00D73769" w:rsidRDefault="00E7473C" w:rsidP="00723373">
            <w:pPr>
              <w:pStyle w:val="TableText0"/>
              <w:keepNext w:val="0"/>
              <w:rPr>
                <w:snapToGrid w:val="0"/>
              </w:rPr>
            </w:pPr>
            <w:r w:rsidRPr="005E6746">
              <w:rPr>
                <w:color w:val="00B050"/>
              </w:rPr>
              <w:sym w:font="Wingdings" w:char="F04A"/>
            </w:r>
          </w:p>
        </w:tc>
        <w:tc>
          <w:tcPr>
            <w:tcW w:w="615" w:type="pct"/>
            <w:shd w:val="clear" w:color="auto" w:fill="auto"/>
            <w:vAlign w:val="center"/>
          </w:tcPr>
          <w:p w14:paraId="48BBF63F" w14:textId="5C355BE8"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tcPr>
          <w:p w14:paraId="6DE2A67A" w14:textId="2899E14C" w:rsidR="00E7473C" w:rsidRPr="00D73769" w:rsidRDefault="00E7473C" w:rsidP="00723373">
            <w:pPr>
              <w:pStyle w:val="TableText0"/>
              <w:keepNext w:val="0"/>
              <w:rPr>
                <w:snapToGrid w:val="0"/>
              </w:rPr>
            </w:pPr>
            <w:r w:rsidRPr="008B2132">
              <w:rPr>
                <w:b/>
                <w:color w:val="1F497D" w:themeColor="text2"/>
              </w:rPr>
              <w:t>?</w:t>
            </w:r>
          </w:p>
        </w:tc>
        <w:tc>
          <w:tcPr>
            <w:tcW w:w="615" w:type="pct"/>
            <w:shd w:val="clear" w:color="auto" w:fill="auto"/>
          </w:tcPr>
          <w:p w14:paraId="2B197D20" w14:textId="1A762EF4" w:rsidR="00E7473C" w:rsidRPr="00D73769" w:rsidRDefault="00E7473C" w:rsidP="00723373">
            <w:pPr>
              <w:pStyle w:val="TableText0"/>
              <w:keepNext w:val="0"/>
              <w:rPr>
                <w:snapToGrid w:val="0"/>
              </w:rPr>
            </w:pPr>
            <w:r w:rsidRPr="00D5467D">
              <w:rPr>
                <w:color w:val="00B050"/>
              </w:rPr>
              <w:sym w:font="Wingdings" w:char="F04A"/>
            </w:r>
          </w:p>
        </w:tc>
        <w:tc>
          <w:tcPr>
            <w:tcW w:w="615" w:type="pct"/>
            <w:shd w:val="clear" w:color="auto" w:fill="auto"/>
            <w:vAlign w:val="center"/>
          </w:tcPr>
          <w:p w14:paraId="0BE1F032" w14:textId="03883EF0" w:rsidR="00E7473C" w:rsidRPr="00D73769" w:rsidRDefault="00E7473C" w:rsidP="00723373">
            <w:pPr>
              <w:pStyle w:val="TableText0"/>
              <w:keepNext w:val="0"/>
              <w:rPr>
                <w:snapToGrid w:val="0"/>
              </w:rPr>
            </w:pPr>
            <w:r w:rsidRPr="009251E2">
              <w:rPr>
                <w:color w:val="00B050"/>
              </w:rPr>
              <w:sym w:font="Wingdings" w:char="F04A"/>
            </w:r>
          </w:p>
        </w:tc>
        <w:tc>
          <w:tcPr>
            <w:tcW w:w="614" w:type="pct"/>
            <w:shd w:val="clear" w:color="auto" w:fill="auto"/>
          </w:tcPr>
          <w:p w14:paraId="75C87126" w14:textId="28E84C21"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60C3E12B" w14:textId="77777777" w:rsidTr="00E7473C">
        <w:tc>
          <w:tcPr>
            <w:tcW w:w="695" w:type="pct"/>
            <w:shd w:val="clear" w:color="auto" w:fill="auto"/>
            <w:vAlign w:val="bottom"/>
          </w:tcPr>
          <w:p w14:paraId="788AEA14" w14:textId="77777777" w:rsidR="00E7473C" w:rsidRPr="00D73769" w:rsidRDefault="00E7473C" w:rsidP="00723373">
            <w:pPr>
              <w:pStyle w:val="TableText0"/>
              <w:keepNext w:val="0"/>
              <w:rPr>
                <w:snapToGrid w:val="0"/>
              </w:rPr>
            </w:pPr>
            <w:r w:rsidRPr="00D73769">
              <w:t>Thompson et al. 2016</w:t>
            </w:r>
          </w:p>
        </w:tc>
        <w:tc>
          <w:tcPr>
            <w:tcW w:w="615" w:type="pct"/>
            <w:shd w:val="clear" w:color="auto" w:fill="auto"/>
            <w:vAlign w:val="center"/>
          </w:tcPr>
          <w:p w14:paraId="0442FDA7" w14:textId="35849BFE"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tcPr>
          <w:p w14:paraId="190990DD" w14:textId="79B517B0" w:rsidR="00E7473C" w:rsidRPr="00D73769" w:rsidRDefault="00E7473C" w:rsidP="00723373">
            <w:pPr>
              <w:pStyle w:val="TableText0"/>
              <w:keepNext w:val="0"/>
              <w:rPr>
                <w:snapToGrid w:val="0"/>
              </w:rPr>
            </w:pPr>
            <w:r w:rsidRPr="005E6746">
              <w:rPr>
                <w:color w:val="00B050"/>
              </w:rPr>
              <w:sym w:font="Wingdings" w:char="F04A"/>
            </w:r>
          </w:p>
        </w:tc>
        <w:tc>
          <w:tcPr>
            <w:tcW w:w="615" w:type="pct"/>
            <w:shd w:val="clear" w:color="auto" w:fill="auto"/>
            <w:vAlign w:val="center"/>
          </w:tcPr>
          <w:p w14:paraId="1F0733AC" w14:textId="1F969164" w:rsidR="00E7473C" w:rsidRPr="00D73769" w:rsidRDefault="00E7473C" w:rsidP="00723373">
            <w:pPr>
              <w:pStyle w:val="TableText0"/>
              <w:keepNext w:val="0"/>
              <w:rPr>
                <w:snapToGrid w:val="0"/>
              </w:rPr>
            </w:pPr>
            <w:r w:rsidRPr="009251E2">
              <w:rPr>
                <w:b/>
                <w:color w:val="1F497D" w:themeColor="text2"/>
              </w:rPr>
              <w:t>?</w:t>
            </w:r>
          </w:p>
        </w:tc>
        <w:tc>
          <w:tcPr>
            <w:tcW w:w="615" w:type="pct"/>
            <w:shd w:val="clear" w:color="auto" w:fill="auto"/>
          </w:tcPr>
          <w:p w14:paraId="7256089A" w14:textId="65B82D28" w:rsidR="00E7473C" w:rsidRPr="00D73769" w:rsidRDefault="00E7473C" w:rsidP="00723373">
            <w:pPr>
              <w:pStyle w:val="TableText0"/>
              <w:keepNext w:val="0"/>
              <w:rPr>
                <w:snapToGrid w:val="0"/>
              </w:rPr>
            </w:pPr>
            <w:r w:rsidRPr="008B2132">
              <w:rPr>
                <w:b/>
                <w:color w:val="1F497D" w:themeColor="text2"/>
              </w:rPr>
              <w:t>?</w:t>
            </w:r>
          </w:p>
        </w:tc>
        <w:tc>
          <w:tcPr>
            <w:tcW w:w="615" w:type="pct"/>
            <w:shd w:val="clear" w:color="auto" w:fill="auto"/>
          </w:tcPr>
          <w:p w14:paraId="6994E1D8" w14:textId="250B7FDB" w:rsidR="00E7473C" w:rsidRPr="00D73769" w:rsidRDefault="00E7473C" w:rsidP="00723373">
            <w:pPr>
              <w:pStyle w:val="TableText0"/>
              <w:keepNext w:val="0"/>
              <w:rPr>
                <w:snapToGrid w:val="0"/>
              </w:rPr>
            </w:pPr>
            <w:r w:rsidRPr="00D5467D">
              <w:rPr>
                <w:color w:val="00B050"/>
              </w:rPr>
              <w:sym w:font="Wingdings" w:char="F04A"/>
            </w:r>
          </w:p>
        </w:tc>
        <w:tc>
          <w:tcPr>
            <w:tcW w:w="615" w:type="pct"/>
            <w:shd w:val="clear" w:color="auto" w:fill="auto"/>
            <w:vAlign w:val="center"/>
          </w:tcPr>
          <w:p w14:paraId="0FA91CE0" w14:textId="5128B7C2" w:rsidR="00E7473C" w:rsidRPr="00D73769" w:rsidRDefault="00E7473C" w:rsidP="00723373">
            <w:pPr>
              <w:pStyle w:val="TableText0"/>
              <w:keepNext w:val="0"/>
              <w:rPr>
                <w:snapToGrid w:val="0"/>
              </w:rPr>
            </w:pPr>
            <w:r w:rsidRPr="009251E2">
              <w:rPr>
                <w:color w:val="00B050"/>
              </w:rPr>
              <w:sym w:font="Wingdings" w:char="F04A"/>
            </w:r>
          </w:p>
        </w:tc>
        <w:tc>
          <w:tcPr>
            <w:tcW w:w="614" w:type="pct"/>
            <w:shd w:val="clear" w:color="auto" w:fill="auto"/>
          </w:tcPr>
          <w:p w14:paraId="65C56516" w14:textId="642305C4"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51AFEC49" w14:textId="77777777" w:rsidTr="00E7473C">
        <w:tc>
          <w:tcPr>
            <w:tcW w:w="695" w:type="pct"/>
            <w:shd w:val="clear" w:color="auto" w:fill="auto"/>
            <w:vAlign w:val="bottom"/>
          </w:tcPr>
          <w:p w14:paraId="55A22934" w14:textId="77777777" w:rsidR="00E7473C" w:rsidRPr="00D73769" w:rsidRDefault="00E7473C" w:rsidP="00723373">
            <w:pPr>
              <w:pStyle w:val="TableText0"/>
              <w:keepNext w:val="0"/>
              <w:rPr>
                <w:snapToGrid w:val="0"/>
              </w:rPr>
            </w:pPr>
            <w:r w:rsidRPr="00D73769">
              <w:t>Tonttila et al. (2016)</w:t>
            </w:r>
          </w:p>
        </w:tc>
        <w:tc>
          <w:tcPr>
            <w:tcW w:w="615" w:type="pct"/>
            <w:shd w:val="clear" w:color="auto" w:fill="auto"/>
          </w:tcPr>
          <w:p w14:paraId="49139006" w14:textId="1253DFBD" w:rsidR="00E7473C" w:rsidRPr="00D73769" w:rsidRDefault="00E7473C" w:rsidP="00723373">
            <w:pPr>
              <w:pStyle w:val="TableText0"/>
              <w:keepNext w:val="0"/>
              <w:rPr>
                <w:snapToGrid w:val="0"/>
              </w:rPr>
            </w:pPr>
            <w:r w:rsidRPr="003B25DA">
              <w:rPr>
                <w:color w:val="00B050"/>
              </w:rPr>
              <w:sym w:font="Wingdings" w:char="F04A"/>
            </w:r>
          </w:p>
        </w:tc>
        <w:tc>
          <w:tcPr>
            <w:tcW w:w="615" w:type="pct"/>
            <w:shd w:val="clear" w:color="auto" w:fill="auto"/>
          </w:tcPr>
          <w:p w14:paraId="0E8911BF" w14:textId="3AC745E1" w:rsidR="00E7473C" w:rsidRPr="00D73769" w:rsidRDefault="00E7473C" w:rsidP="00723373">
            <w:pPr>
              <w:pStyle w:val="TableText0"/>
              <w:keepNext w:val="0"/>
              <w:rPr>
                <w:snapToGrid w:val="0"/>
              </w:rPr>
            </w:pPr>
            <w:r w:rsidRPr="005E6746">
              <w:rPr>
                <w:color w:val="00B050"/>
              </w:rPr>
              <w:sym w:font="Wingdings" w:char="F04A"/>
            </w:r>
          </w:p>
        </w:tc>
        <w:tc>
          <w:tcPr>
            <w:tcW w:w="615" w:type="pct"/>
            <w:shd w:val="clear" w:color="auto" w:fill="auto"/>
            <w:vAlign w:val="center"/>
          </w:tcPr>
          <w:p w14:paraId="3B7A7E84" w14:textId="57DE9771"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tcPr>
          <w:p w14:paraId="65545548" w14:textId="28FFC25B" w:rsidR="00E7473C" w:rsidRPr="00D73769" w:rsidRDefault="00E7473C" w:rsidP="00723373">
            <w:pPr>
              <w:pStyle w:val="TableText0"/>
              <w:keepNext w:val="0"/>
              <w:rPr>
                <w:snapToGrid w:val="0"/>
              </w:rPr>
            </w:pPr>
            <w:r w:rsidRPr="008B2132">
              <w:rPr>
                <w:b/>
                <w:color w:val="1F497D" w:themeColor="text2"/>
              </w:rPr>
              <w:t>?</w:t>
            </w:r>
          </w:p>
        </w:tc>
        <w:tc>
          <w:tcPr>
            <w:tcW w:w="615" w:type="pct"/>
            <w:shd w:val="clear" w:color="auto" w:fill="auto"/>
          </w:tcPr>
          <w:p w14:paraId="6F58A85C" w14:textId="14552272" w:rsidR="00E7473C" w:rsidRPr="00D73769" w:rsidRDefault="00E7473C" w:rsidP="00723373">
            <w:pPr>
              <w:pStyle w:val="TableText0"/>
              <w:keepNext w:val="0"/>
              <w:rPr>
                <w:snapToGrid w:val="0"/>
              </w:rPr>
            </w:pPr>
            <w:r w:rsidRPr="00D5467D">
              <w:rPr>
                <w:color w:val="00B050"/>
              </w:rPr>
              <w:sym w:font="Wingdings" w:char="F04A"/>
            </w:r>
          </w:p>
        </w:tc>
        <w:tc>
          <w:tcPr>
            <w:tcW w:w="615" w:type="pct"/>
            <w:shd w:val="clear" w:color="auto" w:fill="auto"/>
          </w:tcPr>
          <w:p w14:paraId="373FBF45" w14:textId="1EB29E15" w:rsidR="00E7473C" w:rsidRPr="00D73769" w:rsidRDefault="00E7473C" w:rsidP="00723373">
            <w:pPr>
              <w:pStyle w:val="TableText0"/>
              <w:keepNext w:val="0"/>
              <w:rPr>
                <w:snapToGrid w:val="0"/>
              </w:rPr>
            </w:pPr>
            <w:r w:rsidRPr="00FF3CCC">
              <w:rPr>
                <w:color w:val="FF0000"/>
              </w:rPr>
              <w:sym w:font="Wingdings" w:char="F04C"/>
            </w:r>
          </w:p>
        </w:tc>
        <w:tc>
          <w:tcPr>
            <w:tcW w:w="614" w:type="pct"/>
            <w:shd w:val="clear" w:color="auto" w:fill="auto"/>
          </w:tcPr>
          <w:p w14:paraId="2399787C" w14:textId="78915A09"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5C5FCC9D" w14:textId="77777777" w:rsidTr="00E7473C">
        <w:tc>
          <w:tcPr>
            <w:tcW w:w="695" w:type="pct"/>
            <w:shd w:val="clear" w:color="auto" w:fill="auto"/>
            <w:vAlign w:val="bottom"/>
          </w:tcPr>
          <w:p w14:paraId="6508920C" w14:textId="77777777" w:rsidR="00E7473C" w:rsidRPr="00D73769" w:rsidRDefault="00E7473C" w:rsidP="00723373">
            <w:pPr>
              <w:pStyle w:val="TableText0"/>
              <w:keepNext w:val="0"/>
              <w:rPr>
                <w:snapToGrid w:val="0"/>
              </w:rPr>
            </w:pPr>
            <w:r w:rsidRPr="00D73769">
              <w:t>Vilanova et al. (2011)</w:t>
            </w:r>
          </w:p>
        </w:tc>
        <w:tc>
          <w:tcPr>
            <w:tcW w:w="615" w:type="pct"/>
            <w:shd w:val="clear" w:color="auto" w:fill="auto"/>
          </w:tcPr>
          <w:p w14:paraId="14D7B4EC" w14:textId="3FC4DC1D" w:rsidR="00E7473C" w:rsidRPr="00D73769" w:rsidRDefault="00E7473C" w:rsidP="00723373">
            <w:pPr>
              <w:pStyle w:val="TableText0"/>
              <w:keepNext w:val="0"/>
              <w:rPr>
                <w:snapToGrid w:val="0"/>
              </w:rPr>
            </w:pPr>
            <w:r w:rsidRPr="003B25DA">
              <w:rPr>
                <w:color w:val="00B050"/>
              </w:rPr>
              <w:sym w:font="Wingdings" w:char="F04A"/>
            </w:r>
          </w:p>
        </w:tc>
        <w:tc>
          <w:tcPr>
            <w:tcW w:w="615" w:type="pct"/>
            <w:shd w:val="clear" w:color="auto" w:fill="auto"/>
          </w:tcPr>
          <w:p w14:paraId="32447E0E" w14:textId="2486B31A" w:rsidR="00E7473C" w:rsidRPr="00D73769" w:rsidRDefault="00E7473C" w:rsidP="00723373">
            <w:pPr>
              <w:pStyle w:val="TableText0"/>
              <w:keepNext w:val="0"/>
              <w:rPr>
                <w:snapToGrid w:val="0"/>
              </w:rPr>
            </w:pPr>
            <w:r w:rsidRPr="005E6746">
              <w:rPr>
                <w:color w:val="00B050"/>
              </w:rPr>
              <w:sym w:font="Wingdings" w:char="F04A"/>
            </w:r>
          </w:p>
        </w:tc>
        <w:tc>
          <w:tcPr>
            <w:tcW w:w="615" w:type="pct"/>
            <w:shd w:val="clear" w:color="auto" w:fill="auto"/>
            <w:vAlign w:val="center"/>
          </w:tcPr>
          <w:p w14:paraId="08A49B08" w14:textId="7C6A9A46" w:rsidR="00E7473C" w:rsidRPr="00D73769" w:rsidRDefault="00E7473C" w:rsidP="00723373">
            <w:pPr>
              <w:pStyle w:val="TableText0"/>
              <w:keepNext w:val="0"/>
              <w:rPr>
                <w:snapToGrid w:val="0"/>
              </w:rPr>
            </w:pPr>
            <w:r w:rsidRPr="009251E2">
              <w:rPr>
                <w:color w:val="00B050"/>
              </w:rPr>
              <w:sym w:font="Wingdings" w:char="F04A"/>
            </w:r>
          </w:p>
        </w:tc>
        <w:tc>
          <w:tcPr>
            <w:tcW w:w="615" w:type="pct"/>
            <w:shd w:val="clear" w:color="auto" w:fill="auto"/>
            <w:vAlign w:val="center"/>
          </w:tcPr>
          <w:p w14:paraId="2DDC415F" w14:textId="5904B083"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tcPr>
          <w:p w14:paraId="75C4AD94" w14:textId="13B007D1" w:rsidR="00E7473C" w:rsidRPr="00D73769" w:rsidRDefault="00E7473C" w:rsidP="00723373">
            <w:pPr>
              <w:pStyle w:val="TableText0"/>
              <w:keepNext w:val="0"/>
              <w:rPr>
                <w:snapToGrid w:val="0"/>
              </w:rPr>
            </w:pPr>
            <w:r w:rsidRPr="00D5467D">
              <w:rPr>
                <w:color w:val="00B050"/>
              </w:rPr>
              <w:sym w:font="Wingdings" w:char="F04A"/>
            </w:r>
          </w:p>
        </w:tc>
        <w:tc>
          <w:tcPr>
            <w:tcW w:w="615" w:type="pct"/>
            <w:shd w:val="clear" w:color="auto" w:fill="auto"/>
          </w:tcPr>
          <w:p w14:paraId="1543FF54" w14:textId="253A5CFE" w:rsidR="00E7473C" w:rsidRPr="00D73769" w:rsidRDefault="00E7473C" w:rsidP="00723373">
            <w:pPr>
              <w:pStyle w:val="TableText0"/>
              <w:keepNext w:val="0"/>
              <w:rPr>
                <w:snapToGrid w:val="0"/>
              </w:rPr>
            </w:pPr>
            <w:r w:rsidRPr="00FF3CCC">
              <w:rPr>
                <w:color w:val="FF0000"/>
              </w:rPr>
              <w:sym w:font="Wingdings" w:char="F04C"/>
            </w:r>
          </w:p>
        </w:tc>
        <w:tc>
          <w:tcPr>
            <w:tcW w:w="614" w:type="pct"/>
            <w:shd w:val="clear" w:color="auto" w:fill="auto"/>
          </w:tcPr>
          <w:p w14:paraId="6CA6F708" w14:textId="30E629A7"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6C312C46" w14:textId="77777777" w:rsidTr="00E7473C">
        <w:tc>
          <w:tcPr>
            <w:tcW w:w="695" w:type="pct"/>
            <w:shd w:val="clear" w:color="auto" w:fill="auto"/>
            <w:vAlign w:val="bottom"/>
          </w:tcPr>
          <w:p w14:paraId="623993A7" w14:textId="77777777" w:rsidR="00E7473C" w:rsidRPr="00D73769" w:rsidRDefault="00E7473C" w:rsidP="00723373">
            <w:pPr>
              <w:pStyle w:val="TableText0"/>
              <w:keepNext w:val="0"/>
              <w:rPr>
                <w:snapToGrid w:val="0"/>
              </w:rPr>
            </w:pPr>
            <w:r w:rsidRPr="00D73769">
              <w:t>Wang et al. (2015)</w:t>
            </w:r>
          </w:p>
        </w:tc>
        <w:tc>
          <w:tcPr>
            <w:tcW w:w="615" w:type="pct"/>
            <w:shd w:val="clear" w:color="auto" w:fill="auto"/>
          </w:tcPr>
          <w:p w14:paraId="55E247BB" w14:textId="075076BE" w:rsidR="00E7473C" w:rsidRPr="00D73769" w:rsidRDefault="00E7473C" w:rsidP="00723373">
            <w:pPr>
              <w:pStyle w:val="TableText0"/>
              <w:keepNext w:val="0"/>
              <w:rPr>
                <w:snapToGrid w:val="0"/>
              </w:rPr>
            </w:pPr>
            <w:r w:rsidRPr="003B25DA">
              <w:rPr>
                <w:color w:val="00B050"/>
              </w:rPr>
              <w:sym w:font="Wingdings" w:char="F04A"/>
            </w:r>
          </w:p>
        </w:tc>
        <w:tc>
          <w:tcPr>
            <w:tcW w:w="615" w:type="pct"/>
            <w:shd w:val="clear" w:color="auto" w:fill="auto"/>
          </w:tcPr>
          <w:p w14:paraId="64E6B782" w14:textId="17DB626E" w:rsidR="00E7473C" w:rsidRPr="00D73769" w:rsidRDefault="00E7473C" w:rsidP="00723373">
            <w:pPr>
              <w:pStyle w:val="TableText0"/>
              <w:keepNext w:val="0"/>
              <w:rPr>
                <w:snapToGrid w:val="0"/>
              </w:rPr>
            </w:pPr>
            <w:r w:rsidRPr="005E6746">
              <w:rPr>
                <w:color w:val="00B050"/>
              </w:rPr>
              <w:sym w:font="Wingdings" w:char="F04A"/>
            </w:r>
          </w:p>
        </w:tc>
        <w:tc>
          <w:tcPr>
            <w:tcW w:w="615" w:type="pct"/>
            <w:shd w:val="clear" w:color="auto" w:fill="auto"/>
          </w:tcPr>
          <w:p w14:paraId="021AE99F" w14:textId="0B0F9E2E" w:rsidR="00E7473C" w:rsidRPr="00D73769" w:rsidRDefault="00E7473C" w:rsidP="00723373">
            <w:pPr>
              <w:pStyle w:val="TableText0"/>
              <w:keepNext w:val="0"/>
              <w:rPr>
                <w:snapToGrid w:val="0"/>
              </w:rPr>
            </w:pPr>
            <w:r w:rsidRPr="00DC56DD">
              <w:rPr>
                <w:color w:val="FF0000"/>
              </w:rPr>
              <w:sym w:font="Wingdings" w:char="F04C"/>
            </w:r>
          </w:p>
        </w:tc>
        <w:tc>
          <w:tcPr>
            <w:tcW w:w="615" w:type="pct"/>
            <w:shd w:val="clear" w:color="auto" w:fill="auto"/>
          </w:tcPr>
          <w:p w14:paraId="5D8121BF" w14:textId="7537CBC0" w:rsidR="00E7473C" w:rsidRPr="00D73769" w:rsidRDefault="00E7473C" w:rsidP="00723373">
            <w:pPr>
              <w:pStyle w:val="TableText0"/>
              <w:keepNext w:val="0"/>
              <w:rPr>
                <w:snapToGrid w:val="0"/>
              </w:rPr>
            </w:pPr>
            <w:r w:rsidRPr="00DC56DD">
              <w:rPr>
                <w:color w:val="FF0000"/>
              </w:rPr>
              <w:sym w:font="Wingdings" w:char="F04C"/>
            </w:r>
          </w:p>
        </w:tc>
        <w:tc>
          <w:tcPr>
            <w:tcW w:w="615" w:type="pct"/>
            <w:shd w:val="clear" w:color="auto" w:fill="auto"/>
          </w:tcPr>
          <w:p w14:paraId="3DF883F1" w14:textId="276C2341" w:rsidR="00E7473C" w:rsidRPr="00D73769" w:rsidRDefault="00E7473C" w:rsidP="00723373">
            <w:pPr>
              <w:pStyle w:val="TableText0"/>
              <w:keepNext w:val="0"/>
              <w:rPr>
                <w:snapToGrid w:val="0"/>
              </w:rPr>
            </w:pPr>
            <w:r w:rsidRPr="00D5467D">
              <w:rPr>
                <w:color w:val="00B050"/>
              </w:rPr>
              <w:sym w:font="Wingdings" w:char="F04A"/>
            </w:r>
          </w:p>
        </w:tc>
        <w:tc>
          <w:tcPr>
            <w:tcW w:w="615" w:type="pct"/>
            <w:shd w:val="clear" w:color="auto" w:fill="auto"/>
            <w:vAlign w:val="center"/>
          </w:tcPr>
          <w:p w14:paraId="01EA8015" w14:textId="0B0B3C91" w:rsidR="00E7473C" w:rsidRPr="00D73769" w:rsidRDefault="00E7473C" w:rsidP="00723373">
            <w:pPr>
              <w:pStyle w:val="TableText0"/>
              <w:keepNext w:val="0"/>
              <w:rPr>
                <w:snapToGrid w:val="0"/>
              </w:rPr>
            </w:pPr>
            <w:r w:rsidRPr="009251E2">
              <w:rPr>
                <w:color w:val="00B050"/>
              </w:rPr>
              <w:sym w:font="Wingdings" w:char="F04A"/>
            </w:r>
          </w:p>
        </w:tc>
        <w:tc>
          <w:tcPr>
            <w:tcW w:w="614" w:type="pct"/>
            <w:shd w:val="clear" w:color="auto" w:fill="auto"/>
          </w:tcPr>
          <w:p w14:paraId="1C405CB4" w14:textId="7D1E34EA"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0405D94D" w14:textId="77777777" w:rsidTr="00E7473C">
        <w:tc>
          <w:tcPr>
            <w:tcW w:w="695" w:type="pct"/>
            <w:shd w:val="clear" w:color="auto" w:fill="auto"/>
            <w:vAlign w:val="bottom"/>
          </w:tcPr>
          <w:p w14:paraId="357C63D4" w14:textId="77777777" w:rsidR="00E7473C" w:rsidRPr="00D73769" w:rsidRDefault="00E7473C" w:rsidP="00723373">
            <w:pPr>
              <w:pStyle w:val="TableText0"/>
              <w:keepNext w:val="0"/>
              <w:rPr>
                <w:snapToGrid w:val="0"/>
              </w:rPr>
            </w:pPr>
            <w:r w:rsidRPr="00D73769">
              <w:lastRenderedPageBreak/>
              <w:t>Washino et al. (2016)</w:t>
            </w:r>
          </w:p>
        </w:tc>
        <w:tc>
          <w:tcPr>
            <w:tcW w:w="615" w:type="pct"/>
            <w:shd w:val="clear" w:color="auto" w:fill="auto"/>
          </w:tcPr>
          <w:p w14:paraId="000E9329" w14:textId="1CC31949" w:rsidR="00E7473C" w:rsidRPr="00D73769" w:rsidRDefault="00E7473C" w:rsidP="00723373">
            <w:pPr>
              <w:pStyle w:val="TableText0"/>
              <w:keepNext w:val="0"/>
              <w:rPr>
                <w:snapToGrid w:val="0"/>
              </w:rPr>
            </w:pPr>
            <w:r w:rsidRPr="009E7986">
              <w:rPr>
                <w:b/>
                <w:color w:val="1F497D" w:themeColor="text2"/>
              </w:rPr>
              <w:t>?</w:t>
            </w:r>
          </w:p>
        </w:tc>
        <w:tc>
          <w:tcPr>
            <w:tcW w:w="615" w:type="pct"/>
            <w:shd w:val="clear" w:color="auto" w:fill="auto"/>
          </w:tcPr>
          <w:p w14:paraId="4A3048E3" w14:textId="1B11F670" w:rsidR="00E7473C" w:rsidRPr="00D73769" w:rsidRDefault="00E7473C" w:rsidP="00723373">
            <w:pPr>
              <w:pStyle w:val="TableText0"/>
              <w:keepNext w:val="0"/>
              <w:rPr>
                <w:snapToGrid w:val="0"/>
              </w:rPr>
            </w:pPr>
            <w:r w:rsidRPr="005E6746">
              <w:rPr>
                <w:color w:val="00B050"/>
              </w:rPr>
              <w:sym w:font="Wingdings" w:char="F04A"/>
            </w:r>
          </w:p>
        </w:tc>
        <w:tc>
          <w:tcPr>
            <w:tcW w:w="615" w:type="pct"/>
            <w:shd w:val="clear" w:color="auto" w:fill="auto"/>
          </w:tcPr>
          <w:p w14:paraId="396900C3" w14:textId="2F9B3D73" w:rsidR="00E7473C" w:rsidRPr="00D73769" w:rsidRDefault="00E7473C" w:rsidP="00723373">
            <w:pPr>
              <w:pStyle w:val="TableText0"/>
              <w:keepNext w:val="0"/>
              <w:rPr>
                <w:snapToGrid w:val="0"/>
              </w:rPr>
            </w:pPr>
            <w:r w:rsidRPr="000F48EE">
              <w:rPr>
                <w:color w:val="FF0000"/>
              </w:rPr>
              <w:sym w:font="Wingdings" w:char="F04C"/>
            </w:r>
          </w:p>
        </w:tc>
        <w:tc>
          <w:tcPr>
            <w:tcW w:w="615" w:type="pct"/>
            <w:shd w:val="clear" w:color="auto" w:fill="auto"/>
          </w:tcPr>
          <w:p w14:paraId="0C4F0738" w14:textId="6B94EB25" w:rsidR="00E7473C" w:rsidRPr="00D73769" w:rsidRDefault="00E7473C" w:rsidP="00723373">
            <w:pPr>
              <w:pStyle w:val="TableText0"/>
              <w:keepNext w:val="0"/>
              <w:rPr>
                <w:snapToGrid w:val="0"/>
              </w:rPr>
            </w:pPr>
            <w:r w:rsidRPr="000F48EE">
              <w:rPr>
                <w:color w:val="FF0000"/>
              </w:rPr>
              <w:sym w:font="Wingdings" w:char="F04C"/>
            </w:r>
          </w:p>
        </w:tc>
        <w:tc>
          <w:tcPr>
            <w:tcW w:w="615" w:type="pct"/>
            <w:shd w:val="clear" w:color="auto" w:fill="auto"/>
          </w:tcPr>
          <w:p w14:paraId="4ED4A2AB" w14:textId="70290B19" w:rsidR="00E7473C" w:rsidRPr="00D73769" w:rsidRDefault="00E7473C" w:rsidP="00723373">
            <w:pPr>
              <w:pStyle w:val="TableText0"/>
              <w:keepNext w:val="0"/>
              <w:rPr>
                <w:snapToGrid w:val="0"/>
              </w:rPr>
            </w:pPr>
            <w:r w:rsidRPr="000F48EE">
              <w:rPr>
                <w:color w:val="FF0000"/>
              </w:rPr>
              <w:sym w:font="Wingdings" w:char="F04C"/>
            </w:r>
          </w:p>
        </w:tc>
        <w:tc>
          <w:tcPr>
            <w:tcW w:w="615" w:type="pct"/>
            <w:shd w:val="clear" w:color="auto" w:fill="auto"/>
          </w:tcPr>
          <w:p w14:paraId="4E716438" w14:textId="7EFF66C4" w:rsidR="00E7473C" w:rsidRPr="00D73769" w:rsidRDefault="00E7473C" w:rsidP="00723373">
            <w:pPr>
              <w:pStyle w:val="TableText0"/>
              <w:keepNext w:val="0"/>
              <w:rPr>
                <w:snapToGrid w:val="0"/>
              </w:rPr>
            </w:pPr>
            <w:r w:rsidRPr="000F48EE">
              <w:rPr>
                <w:color w:val="FF0000"/>
              </w:rPr>
              <w:sym w:font="Wingdings" w:char="F04C"/>
            </w:r>
          </w:p>
        </w:tc>
        <w:tc>
          <w:tcPr>
            <w:tcW w:w="614" w:type="pct"/>
            <w:shd w:val="clear" w:color="auto" w:fill="auto"/>
          </w:tcPr>
          <w:p w14:paraId="6F1E99F9" w14:textId="73CCE31E"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0F1A48AA" w14:textId="77777777" w:rsidTr="00E7473C">
        <w:tc>
          <w:tcPr>
            <w:tcW w:w="695" w:type="pct"/>
            <w:shd w:val="clear" w:color="auto" w:fill="auto"/>
            <w:vAlign w:val="bottom"/>
          </w:tcPr>
          <w:p w14:paraId="6F6E0B67" w14:textId="77777777" w:rsidR="00E7473C" w:rsidRPr="00D73769" w:rsidRDefault="00E7473C" w:rsidP="00723373">
            <w:pPr>
              <w:pStyle w:val="TableText0"/>
              <w:keepNext w:val="0"/>
              <w:rPr>
                <w:snapToGrid w:val="0"/>
              </w:rPr>
            </w:pPr>
            <w:r w:rsidRPr="00D73769">
              <w:t>Wysock et al. (2016)</w:t>
            </w:r>
          </w:p>
        </w:tc>
        <w:tc>
          <w:tcPr>
            <w:tcW w:w="615" w:type="pct"/>
            <w:shd w:val="clear" w:color="auto" w:fill="auto"/>
          </w:tcPr>
          <w:p w14:paraId="6BB8639A" w14:textId="3B00B2EA" w:rsidR="00E7473C" w:rsidRPr="00D73769" w:rsidRDefault="00E7473C" w:rsidP="00723373">
            <w:pPr>
              <w:pStyle w:val="TableText0"/>
              <w:keepNext w:val="0"/>
              <w:rPr>
                <w:snapToGrid w:val="0"/>
              </w:rPr>
            </w:pPr>
            <w:r w:rsidRPr="009E7986">
              <w:rPr>
                <w:b/>
                <w:color w:val="1F497D" w:themeColor="text2"/>
              </w:rPr>
              <w:t>?</w:t>
            </w:r>
          </w:p>
        </w:tc>
        <w:tc>
          <w:tcPr>
            <w:tcW w:w="615" w:type="pct"/>
            <w:shd w:val="clear" w:color="auto" w:fill="auto"/>
          </w:tcPr>
          <w:p w14:paraId="1BD20E72" w14:textId="427CFD81" w:rsidR="00E7473C" w:rsidRPr="00D73769" w:rsidRDefault="00E7473C" w:rsidP="00723373">
            <w:pPr>
              <w:pStyle w:val="TableText0"/>
              <w:keepNext w:val="0"/>
              <w:rPr>
                <w:snapToGrid w:val="0"/>
              </w:rPr>
            </w:pPr>
            <w:r w:rsidRPr="00F72BBE">
              <w:rPr>
                <w:b/>
                <w:color w:val="1F497D" w:themeColor="text2"/>
              </w:rPr>
              <w:t>?</w:t>
            </w:r>
          </w:p>
        </w:tc>
        <w:tc>
          <w:tcPr>
            <w:tcW w:w="615" w:type="pct"/>
            <w:shd w:val="clear" w:color="auto" w:fill="auto"/>
          </w:tcPr>
          <w:p w14:paraId="6480FCDC" w14:textId="1BF8E982" w:rsidR="00E7473C" w:rsidRPr="00D73769" w:rsidRDefault="00E7473C" w:rsidP="00723373">
            <w:pPr>
              <w:pStyle w:val="TableText0"/>
              <w:keepNext w:val="0"/>
              <w:rPr>
                <w:snapToGrid w:val="0"/>
              </w:rPr>
            </w:pPr>
            <w:r w:rsidRPr="00EB05B6">
              <w:rPr>
                <w:b/>
                <w:color w:val="1F497D" w:themeColor="text2"/>
              </w:rPr>
              <w:t>?</w:t>
            </w:r>
          </w:p>
        </w:tc>
        <w:tc>
          <w:tcPr>
            <w:tcW w:w="615" w:type="pct"/>
            <w:shd w:val="clear" w:color="auto" w:fill="auto"/>
          </w:tcPr>
          <w:p w14:paraId="43716EC5" w14:textId="4E7C6DEC" w:rsidR="00E7473C" w:rsidRPr="00D73769" w:rsidRDefault="00E7473C" w:rsidP="00723373">
            <w:pPr>
              <w:pStyle w:val="TableText0"/>
              <w:keepNext w:val="0"/>
              <w:rPr>
                <w:snapToGrid w:val="0"/>
              </w:rPr>
            </w:pPr>
            <w:r w:rsidRPr="00EB05B6">
              <w:rPr>
                <w:b/>
                <w:color w:val="1F497D" w:themeColor="text2"/>
              </w:rPr>
              <w:t>?</w:t>
            </w:r>
          </w:p>
        </w:tc>
        <w:tc>
          <w:tcPr>
            <w:tcW w:w="615" w:type="pct"/>
            <w:shd w:val="clear" w:color="auto" w:fill="auto"/>
          </w:tcPr>
          <w:p w14:paraId="71B35627" w14:textId="38829B3F" w:rsidR="00E7473C" w:rsidRPr="00D73769" w:rsidRDefault="00E7473C" w:rsidP="00723373">
            <w:pPr>
              <w:pStyle w:val="TableText0"/>
              <w:keepNext w:val="0"/>
              <w:rPr>
                <w:snapToGrid w:val="0"/>
              </w:rPr>
            </w:pPr>
            <w:r w:rsidRPr="000D7CAF">
              <w:rPr>
                <w:color w:val="FF0000"/>
              </w:rPr>
              <w:sym w:font="Wingdings" w:char="F04C"/>
            </w:r>
          </w:p>
        </w:tc>
        <w:tc>
          <w:tcPr>
            <w:tcW w:w="615" w:type="pct"/>
            <w:shd w:val="clear" w:color="auto" w:fill="auto"/>
          </w:tcPr>
          <w:p w14:paraId="07FD072A" w14:textId="2E27898D" w:rsidR="00E7473C" w:rsidRPr="00D73769" w:rsidRDefault="00E7473C" w:rsidP="00723373">
            <w:pPr>
              <w:pStyle w:val="TableText0"/>
              <w:keepNext w:val="0"/>
              <w:rPr>
                <w:snapToGrid w:val="0"/>
              </w:rPr>
            </w:pPr>
            <w:r w:rsidRPr="000D7CAF">
              <w:rPr>
                <w:color w:val="FF0000"/>
              </w:rPr>
              <w:sym w:font="Wingdings" w:char="F04C"/>
            </w:r>
          </w:p>
        </w:tc>
        <w:tc>
          <w:tcPr>
            <w:tcW w:w="614" w:type="pct"/>
            <w:shd w:val="clear" w:color="auto" w:fill="auto"/>
          </w:tcPr>
          <w:p w14:paraId="11088671" w14:textId="169E2AE7" w:rsidR="00E7473C" w:rsidRPr="00D73769" w:rsidRDefault="00E7473C" w:rsidP="00723373">
            <w:pPr>
              <w:pStyle w:val="TableText0"/>
              <w:keepNext w:val="0"/>
              <w:rPr>
                <w:snapToGrid w:val="0"/>
              </w:rPr>
            </w:pPr>
            <w:r w:rsidRPr="00BE4FF9">
              <w:rPr>
                <w:color w:val="00B050"/>
              </w:rPr>
              <w:sym w:font="Wingdings" w:char="F04A"/>
            </w:r>
          </w:p>
        </w:tc>
      </w:tr>
      <w:tr w:rsidR="00E7473C" w:rsidRPr="00D73769" w14:paraId="62B0D08B" w14:textId="77777777" w:rsidTr="00E7473C">
        <w:tc>
          <w:tcPr>
            <w:tcW w:w="695" w:type="pct"/>
            <w:shd w:val="clear" w:color="auto" w:fill="auto"/>
            <w:vAlign w:val="bottom"/>
          </w:tcPr>
          <w:p w14:paraId="7E624A4A" w14:textId="77777777" w:rsidR="00E7473C" w:rsidRPr="00D73769" w:rsidRDefault="00E7473C" w:rsidP="00723373">
            <w:pPr>
              <w:pStyle w:val="TableText0"/>
              <w:keepNext w:val="0"/>
              <w:rPr>
                <w:snapToGrid w:val="0"/>
              </w:rPr>
            </w:pPr>
            <w:r w:rsidRPr="00D73769">
              <w:t>Zhao et al. (2016)</w:t>
            </w:r>
          </w:p>
        </w:tc>
        <w:tc>
          <w:tcPr>
            <w:tcW w:w="615" w:type="pct"/>
            <w:shd w:val="clear" w:color="auto" w:fill="auto"/>
          </w:tcPr>
          <w:p w14:paraId="1BC9035A" w14:textId="3DD9B3E9" w:rsidR="00E7473C" w:rsidRPr="00D73769" w:rsidRDefault="00E7473C" w:rsidP="00723373">
            <w:pPr>
              <w:pStyle w:val="TableText0"/>
              <w:keepNext w:val="0"/>
              <w:rPr>
                <w:snapToGrid w:val="0"/>
              </w:rPr>
            </w:pPr>
            <w:r w:rsidRPr="009E7986">
              <w:rPr>
                <w:b/>
                <w:color w:val="1F497D" w:themeColor="text2"/>
              </w:rPr>
              <w:t>?</w:t>
            </w:r>
          </w:p>
        </w:tc>
        <w:tc>
          <w:tcPr>
            <w:tcW w:w="615" w:type="pct"/>
            <w:shd w:val="clear" w:color="auto" w:fill="auto"/>
          </w:tcPr>
          <w:p w14:paraId="099260F3" w14:textId="7D2D4850" w:rsidR="00E7473C" w:rsidRPr="00D73769" w:rsidRDefault="00E7473C" w:rsidP="00723373">
            <w:pPr>
              <w:pStyle w:val="TableText0"/>
              <w:keepNext w:val="0"/>
              <w:rPr>
                <w:snapToGrid w:val="0"/>
              </w:rPr>
            </w:pPr>
            <w:r w:rsidRPr="00F72BBE">
              <w:rPr>
                <w:b/>
                <w:color w:val="1F497D" w:themeColor="text2"/>
              </w:rPr>
              <w:t>?</w:t>
            </w:r>
          </w:p>
        </w:tc>
        <w:tc>
          <w:tcPr>
            <w:tcW w:w="615" w:type="pct"/>
            <w:shd w:val="clear" w:color="auto" w:fill="auto"/>
            <w:vAlign w:val="center"/>
          </w:tcPr>
          <w:p w14:paraId="4F9E082B" w14:textId="315A9715" w:rsidR="00E7473C" w:rsidRPr="00D73769" w:rsidRDefault="00E7473C" w:rsidP="00723373">
            <w:pPr>
              <w:pStyle w:val="TableText0"/>
              <w:keepNext w:val="0"/>
              <w:rPr>
                <w:snapToGrid w:val="0"/>
              </w:rPr>
            </w:pPr>
            <w:r w:rsidRPr="009251E2">
              <w:rPr>
                <w:color w:val="FF0000"/>
              </w:rPr>
              <w:sym w:font="Wingdings" w:char="F04C"/>
            </w:r>
          </w:p>
        </w:tc>
        <w:tc>
          <w:tcPr>
            <w:tcW w:w="615" w:type="pct"/>
            <w:shd w:val="clear" w:color="auto" w:fill="auto"/>
          </w:tcPr>
          <w:p w14:paraId="7CAC34CE" w14:textId="2A2AAB11" w:rsidR="00E7473C" w:rsidRPr="00D73769" w:rsidRDefault="00E7473C" w:rsidP="00723373">
            <w:pPr>
              <w:pStyle w:val="TableText0"/>
              <w:keepNext w:val="0"/>
              <w:rPr>
                <w:snapToGrid w:val="0"/>
              </w:rPr>
            </w:pPr>
            <w:r w:rsidRPr="002503B8">
              <w:rPr>
                <w:color w:val="00B050"/>
              </w:rPr>
              <w:sym w:font="Wingdings" w:char="F04A"/>
            </w:r>
          </w:p>
        </w:tc>
        <w:tc>
          <w:tcPr>
            <w:tcW w:w="615" w:type="pct"/>
            <w:shd w:val="clear" w:color="auto" w:fill="auto"/>
          </w:tcPr>
          <w:p w14:paraId="7572C535" w14:textId="6971BD28" w:rsidR="00E7473C" w:rsidRPr="00D73769" w:rsidRDefault="00E7473C" w:rsidP="00723373">
            <w:pPr>
              <w:pStyle w:val="TableText0"/>
              <w:keepNext w:val="0"/>
              <w:rPr>
                <w:snapToGrid w:val="0"/>
              </w:rPr>
            </w:pPr>
            <w:r w:rsidRPr="002503B8">
              <w:rPr>
                <w:color w:val="00B050"/>
              </w:rPr>
              <w:sym w:font="Wingdings" w:char="F04A"/>
            </w:r>
          </w:p>
        </w:tc>
        <w:tc>
          <w:tcPr>
            <w:tcW w:w="615" w:type="pct"/>
            <w:shd w:val="clear" w:color="auto" w:fill="auto"/>
          </w:tcPr>
          <w:p w14:paraId="4F04848E" w14:textId="07BE5069" w:rsidR="00E7473C" w:rsidRPr="00D73769" w:rsidRDefault="00E7473C" w:rsidP="00723373">
            <w:pPr>
              <w:pStyle w:val="TableText0"/>
              <w:keepNext w:val="0"/>
              <w:rPr>
                <w:snapToGrid w:val="0"/>
              </w:rPr>
            </w:pPr>
            <w:r w:rsidRPr="007E7128">
              <w:rPr>
                <w:color w:val="00B050"/>
              </w:rPr>
              <w:sym w:font="Wingdings" w:char="F04A"/>
            </w:r>
          </w:p>
        </w:tc>
        <w:tc>
          <w:tcPr>
            <w:tcW w:w="614" w:type="pct"/>
            <w:shd w:val="clear" w:color="auto" w:fill="auto"/>
          </w:tcPr>
          <w:p w14:paraId="7B5E10A0" w14:textId="7113F814" w:rsidR="00E7473C" w:rsidRPr="00D73769" w:rsidRDefault="00E7473C" w:rsidP="00723373">
            <w:pPr>
              <w:pStyle w:val="TableText0"/>
              <w:keepNext w:val="0"/>
              <w:rPr>
                <w:snapToGrid w:val="0"/>
              </w:rPr>
            </w:pPr>
            <w:r w:rsidRPr="007E7128">
              <w:rPr>
                <w:color w:val="00B050"/>
              </w:rPr>
              <w:sym w:font="Wingdings" w:char="F04A"/>
            </w:r>
          </w:p>
        </w:tc>
      </w:tr>
    </w:tbl>
    <w:p w14:paraId="26F088D1" w14:textId="77777777" w:rsidR="00FA05F6" w:rsidRDefault="00FA05F6" w:rsidP="00FA05F6">
      <w:pPr>
        <w:pStyle w:val="TableNotes"/>
      </w:pPr>
      <w:r w:rsidRPr="009251E2">
        <w:rPr>
          <w:color w:val="00B050"/>
        </w:rPr>
        <w:sym w:font="Wingdings" w:char="F04A"/>
      </w:r>
      <w:r>
        <w:rPr>
          <w:color w:val="00B050"/>
        </w:rPr>
        <w:t xml:space="preserve"> </w:t>
      </w:r>
      <w:r w:rsidRPr="00FA05F6">
        <w:t xml:space="preserve">= </w:t>
      </w:r>
      <w:r>
        <w:t xml:space="preserve">low risk, </w:t>
      </w:r>
      <w:r w:rsidRPr="009251E2">
        <w:rPr>
          <w:color w:val="FF0000"/>
        </w:rPr>
        <w:sym w:font="Wingdings" w:char="F04C"/>
      </w:r>
      <w:r>
        <w:t xml:space="preserve"> </w:t>
      </w:r>
      <w:r w:rsidRPr="00FA05F6">
        <w:t xml:space="preserve">= </w:t>
      </w:r>
      <w:r>
        <w:t xml:space="preserve">high risk, ? </w:t>
      </w:r>
      <w:r w:rsidRPr="00FA05F6">
        <w:t xml:space="preserve">= </w:t>
      </w:r>
      <w:r>
        <w:t>unclear risk.</w:t>
      </w:r>
    </w:p>
    <w:p w14:paraId="3183C1C1" w14:textId="55E6413E" w:rsidR="002A6B91" w:rsidRDefault="00D86D03" w:rsidP="00D86D03">
      <w:pPr>
        <w:pStyle w:val="Heading2"/>
      </w:pPr>
      <w:bookmarkStart w:id="821" w:name="_Toc460514032"/>
      <w:r>
        <w:t xml:space="preserve">Clinical </w:t>
      </w:r>
      <w:r w:rsidR="00FD78C3">
        <w:t>u</w:t>
      </w:r>
      <w:r>
        <w:t>tility studies</w:t>
      </w:r>
      <w:r w:rsidR="00113789">
        <w:t xml:space="preserve"> (Section B5.2.3)</w:t>
      </w:r>
      <w:bookmarkEnd w:id="821"/>
    </w:p>
    <w:p w14:paraId="33557359" w14:textId="4271EF06" w:rsidR="00D86D03" w:rsidRDefault="00D86D03" w:rsidP="00D86D03">
      <w:pPr>
        <w:pStyle w:val="Caption"/>
      </w:pPr>
      <w:bookmarkStart w:id="822" w:name="_Ref456769281"/>
      <w:bookmarkStart w:id="823" w:name="_Toc460514583"/>
      <w:r>
        <w:t xml:space="preserve">Table </w:t>
      </w:r>
      <w:fldSimple w:instr=" SEQ Table \* ARABIC ">
        <w:r w:rsidR="0029649D">
          <w:rPr>
            <w:noProof/>
          </w:rPr>
          <w:t>83</w:t>
        </w:r>
      </w:fldSimple>
      <w:bookmarkEnd w:id="822"/>
      <w:r>
        <w:tab/>
        <w:t xml:space="preserve">Quality </w:t>
      </w:r>
      <w:r w:rsidR="00301B40">
        <w:t>appraisal</w:t>
      </w:r>
      <w:r>
        <w:t xml:space="preserve"> of systematic reviews using AMSTAR</w:t>
      </w:r>
      <w:bookmarkEnd w:id="823"/>
    </w:p>
    <w:tbl>
      <w:tblPr>
        <w:tblStyle w:val="TableGrid1"/>
        <w:tblW w:w="0" w:type="auto"/>
        <w:tblLook w:val="04A0" w:firstRow="1" w:lastRow="0" w:firstColumn="1" w:lastColumn="0" w:noHBand="0" w:noVBand="1"/>
        <w:tblCaption w:val="Table 31 Methodological quality appraisal of systematic reviews on ultrasound guidance for percutaneous neural blockade using the AMSTAR tool"/>
        <w:tblDescription w:val="Methodological quality appraisal of systematic reviews on ultrasound guidance for percutaneous neural blockade using the AMSTAR tool"/>
      </w:tblPr>
      <w:tblGrid>
        <w:gridCol w:w="6962"/>
        <w:gridCol w:w="2280"/>
      </w:tblGrid>
      <w:tr w:rsidR="00D86D03" w:rsidRPr="008832A0" w14:paraId="49C28DC1" w14:textId="77777777" w:rsidTr="006C4425">
        <w:trPr>
          <w:cnfStyle w:val="100000000000" w:firstRow="1" w:lastRow="0" w:firstColumn="0" w:lastColumn="0" w:oddVBand="0" w:evenVBand="0" w:oddHBand="0" w:evenHBand="0" w:firstRowFirstColumn="0" w:firstRowLastColumn="0" w:lastRowFirstColumn="0" w:lastRowLastColumn="0"/>
          <w:tblHeader/>
        </w:trPr>
        <w:tc>
          <w:tcPr>
            <w:tcW w:w="0" w:type="auto"/>
          </w:tcPr>
          <w:p w14:paraId="7036E5DC" w14:textId="77777777" w:rsidR="00D86D03" w:rsidRPr="008832A0" w:rsidRDefault="00D86D03" w:rsidP="00723373">
            <w:pPr>
              <w:pStyle w:val="TableHeading"/>
            </w:pPr>
            <w:r w:rsidRPr="008832A0">
              <w:t>Review characteristics</w:t>
            </w:r>
          </w:p>
        </w:tc>
        <w:tc>
          <w:tcPr>
            <w:tcW w:w="0" w:type="auto"/>
          </w:tcPr>
          <w:p w14:paraId="051D2289" w14:textId="77777777" w:rsidR="00D86D03" w:rsidRPr="00DF0E20" w:rsidRDefault="00D86D03" w:rsidP="00723373">
            <w:pPr>
              <w:pStyle w:val="TableHeading"/>
            </w:pPr>
            <w:r w:rsidRPr="00DF0E20">
              <w:t>van den Bergh et al. (2013)</w:t>
            </w:r>
          </w:p>
        </w:tc>
      </w:tr>
      <w:tr w:rsidR="00D86D03" w:rsidRPr="008832A0" w14:paraId="78B1098D" w14:textId="77777777" w:rsidTr="00723373">
        <w:trPr>
          <w:trHeight w:val="53"/>
        </w:trPr>
        <w:tc>
          <w:tcPr>
            <w:tcW w:w="0" w:type="auto"/>
          </w:tcPr>
          <w:p w14:paraId="47C4F07E" w14:textId="77777777" w:rsidR="00D86D03" w:rsidRPr="0055146C" w:rsidRDefault="00D86D03" w:rsidP="0055146C">
            <w:pPr>
              <w:pStyle w:val="Tabletext1"/>
            </w:pPr>
            <w:r w:rsidRPr="0055146C">
              <w:t>Was an ‘</w:t>
            </w:r>
            <w:r w:rsidRPr="00E95C28">
              <w:rPr>
                <w:i/>
              </w:rPr>
              <w:t>a priori</w:t>
            </w:r>
            <w:r w:rsidRPr="0055146C">
              <w:t xml:space="preserve">’ design provided? </w:t>
            </w:r>
          </w:p>
        </w:tc>
        <w:tc>
          <w:tcPr>
            <w:tcW w:w="0" w:type="auto"/>
          </w:tcPr>
          <w:p w14:paraId="694AE145" w14:textId="77777777" w:rsidR="00D86D03" w:rsidRDefault="00D86D03" w:rsidP="00723373">
            <w:pPr>
              <w:pStyle w:val="Tabletext1"/>
            </w:pPr>
            <w:r w:rsidRPr="008832A0">
              <w:rPr>
                <w:snapToGrid w:val="0"/>
                <w:color w:val="00B050"/>
                <w:sz w:val="18"/>
                <w:szCs w:val="18"/>
              </w:rPr>
              <w:sym w:font="Wingdings" w:char="F04A"/>
            </w:r>
          </w:p>
        </w:tc>
      </w:tr>
      <w:tr w:rsidR="00D86D03" w:rsidRPr="008832A0" w14:paraId="22B99BD3" w14:textId="77777777" w:rsidTr="00723373">
        <w:tc>
          <w:tcPr>
            <w:tcW w:w="0" w:type="auto"/>
          </w:tcPr>
          <w:p w14:paraId="3AC85F3C" w14:textId="77777777" w:rsidR="00D86D03" w:rsidRPr="0055146C" w:rsidRDefault="00D86D03" w:rsidP="0055146C">
            <w:pPr>
              <w:pStyle w:val="Tabletext1"/>
            </w:pPr>
            <w:r w:rsidRPr="0055146C">
              <w:t>Was there duplicate study selection and data extraction?</w:t>
            </w:r>
          </w:p>
        </w:tc>
        <w:tc>
          <w:tcPr>
            <w:tcW w:w="0" w:type="auto"/>
          </w:tcPr>
          <w:p w14:paraId="33FA41C3" w14:textId="238FD0AB" w:rsidR="00D86D03" w:rsidRDefault="00E7473C" w:rsidP="00723373">
            <w:pPr>
              <w:pStyle w:val="Tabletext1"/>
            </w:pPr>
            <w:r w:rsidRPr="009251E2">
              <w:rPr>
                <w:b/>
                <w:color w:val="1F497D" w:themeColor="text2"/>
              </w:rPr>
              <w:t>?</w:t>
            </w:r>
          </w:p>
        </w:tc>
      </w:tr>
      <w:tr w:rsidR="00D86D03" w:rsidRPr="008832A0" w14:paraId="1F789445" w14:textId="77777777" w:rsidTr="00723373">
        <w:tc>
          <w:tcPr>
            <w:tcW w:w="0" w:type="auto"/>
          </w:tcPr>
          <w:p w14:paraId="459BBA27" w14:textId="77777777" w:rsidR="00D86D03" w:rsidRPr="0055146C" w:rsidRDefault="00D86D03" w:rsidP="0055146C">
            <w:pPr>
              <w:pStyle w:val="Tabletext1"/>
            </w:pPr>
            <w:r w:rsidRPr="0055146C">
              <w:t xml:space="preserve">Was a comprehensive literature search performed? </w:t>
            </w:r>
          </w:p>
        </w:tc>
        <w:tc>
          <w:tcPr>
            <w:tcW w:w="0" w:type="auto"/>
          </w:tcPr>
          <w:p w14:paraId="02415578" w14:textId="77777777" w:rsidR="00D86D03" w:rsidRDefault="00D86D03" w:rsidP="00723373">
            <w:pPr>
              <w:pStyle w:val="Tabletext1"/>
            </w:pPr>
            <w:r w:rsidRPr="008832A0">
              <w:rPr>
                <w:snapToGrid w:val="0"/>
                <w:color w:val="00B050"/>
                <w:sz w:val="18"/>
                <w:szCs w:val="18"/>
              </w:rPr>
              <w:sym w:font="Wingdings" w:char="F04A"/>
            </w:r>
          </w:p>
        </w:tc>
      </w:tr>
      <w:tr w:rsidR="00D86D03" w:rsidRPr="008832A0" w14:paraId="77101F9A" w14:textId="77777777" w:rsidTr="00723373">
        <w:trPr>
          <w:trHeight w:val="53"/>
        </w:trPr>
        <w:tc>
          <w:tcPr>
            <w:tcW w:w="0" w:type="auto"/>
          </w:tcPr>
          <w:p w14:paraId="6FDCCCF8" w14:textId="77777777" w:rsidR="00D86D03" w:rsidRPr="0055146C" w:rsidRDefault="00D86D03" w:rsidP="0055146C">
            <w:pPr>
              <w:pStyle w:val="Tabletext1"/>
            </w:pPr>
            <w:r w:rsidRPr="0055146C">
              <w:t>Was the status of publication (i.e. grey literature) used as an inclusion criterion?</w:t>
            </w:r>
          </w:p>
        </w:tc>
        <w:tc>
          <w:tcPr>
            <w:tcW w:w="0" w:type="auto"/>
          </w:tcPr>
          <w:p w14:paraId="04B035E4" w14:textId="77777777" w:rsidR="00D86D03" w:rsidRDefault="00D86D03" w:rsidP="00723373">
            <w:pPr>
              <w:pStyle w:val="Tabletext1"/>
            </w:pPr>
            <w:r w:rsidRPr="00757CF7">
              <w:rPr>
                <w:snapToGrid w:val="0"/>
                <w:color w:val="FF0000"/>
                <w:sz w:val="18"/>
                <w:szCs w:val="18"/>
              </w:rPr>
              <w:sym w:font="Wingdings" w:char="F04C"/>
            </w:r>
          </w:p>
        </w:tc>
      </w:tr>
      <w:tr w:rsidR="00D86D03" w:rsidRPr="008832A0" w14:paraId="446E08EF" w14:textId="77777777" w:rsidTr="00723373">
        <w:tc>
          <w:tcPr>
            <w:tcW w:w="0" w:type="auto"/>
          </w:tcPr>
          <w:p w14:paraId="4099447E" w14:textId="77777777" w:rsidR="00D86D03" w:rsidRPr="0055146C" w:rsidRDefault="00D86D03" w:rsidP="0055146C">
            <w:pPr>
              <w:pStyle w:val="Tabletext1"/>
            </w:pPr>
            <w:r w:rsidRPr="0055146C">
              <w:t>Was a list of studies (included and excluded) provided?</w:t>
            </w:r>
          </w:p>
        </w:tc>
        <w:tc>
          <w:tcPr>
            <w:tcW w:w="0" w:type="auto"/>
          </w:tcPr>
          <w:p w14:paraId="52E55EAE" w14:textId="77777777" w:rsidR="00D86D03" w:rsidRDefault="00D86D03" w:rsidP="00723373">
            <w:pPr>
              <w:pStyle w:val="Tabletext1"/>
            </w:pPr>
            <w:r w:rsidRPr="00757CF7">
              <w:rPr>
                <w:snapToGrid w:val="0"/>
                <w:color w:val="FF0000"/>
                <w:sz w:val="18"/>
                <w:szCs w:val="18"/>
              </w:rPr>
              <w:sym w:font="Wingdings" w:char="F04C"/>
            </w:r>
          </w:p>
        </w:tc>
      </w:tr>
      <w:tr w:rsidR="00D86D03" w:rsidRPr="008832A0" w14:paraId="3DAE777B" w14:textId="77777777" w:rsidTr="00723373">
        <w:tc>
          <w:tcPr>
            <w:tcW w:w="0" w:type="auto"/>
          </w:tcPr>
          <w:p w14:paraId="4C599CDA" w14:textId="77777777" w:rsidR="00D86D03" w:rsidRPr="0055146C" w:rsidRDefault="00D86D03" w:rsidP="0055146C">
            <w:pPr>
              <w:pStyle w:val="Tabletext1"/>
            </w:pPr>
            <w:r w:rsidRPr="0055146C">
              <w:t>Were the characteristics of the included studies provided?</w:t>
            </w:r>
          </w:p>
        </w:tc>
        <w:tc>
          <w:tcPr>
            <w:tcW w:w="0" w:type="auto"/>
          </w:tcPr>
          <w:p w14:paraId="24E343D8" w14:textId="77777777" w:rsidR="00D86D03" w:rsidRPr="008832A0" w:rsidRDefault="00D86D03" w:rsidP="00723373">
            <w:pPr>
              <w:pStyle w:val="Tabletext1"/>
              <w:rPr>
                <w:sz w:val="18"/>
                <w:szCs w:val="18"/>
              </w:rPr>
            </w:pPr>
            <w:r w:rsidRPr="008832A0">
              <w:rPr>
                <w:snapToGrid w:val="0"/>
                <w:color w:val="00B050"/>
                <w:sz w:val="18"/>
                <w:szCs w:val="18"/>
              </w:rPr>
              <w:sym w:font="Wingdings" w:char="F04A"/>
            </w:r>
          </w:p>
        </w:tc>
      </w:tr>
      <w:tr w:rsidR="00D86D03" w:rsidRPr="008832A0" w14:paraId="23DD1FAA" w14:textId="77777777" w:rsidTr="00723373">
        <w:trPr>
          <w:trHeight w:val="53"/>
        </w:trPr>
        <w:tc>
          <w:tcPr>
            <w:tcW w:w="0" w:type="auto"/>
          </w:tcPr>
          <w:p w14:paraId="692A847F" w14:textId="77777777" w:rsidR="00D86D03" w:rsidRPr="0055146C" w:rsidRDefault="00D86D03" w:rsidP="0055146C">
            <w:pPr>
              <w:pStyle w:val="Tabletext1"/>
            </w:pPr>
            <w:r w:rsidRPr="0055146C">
              <w:t>Was the scientific quality of the included studies assessed and documented?</w:t>
            </w:r>
          </w:p>
        </w:tc>
        <w:tc>
          <w:tcPr>
            <w:tcW w:w="0" w:type="auto"/>
          </w:tcPr>
          <w:p w14:paraId="1F29DBAC" w14:textId="77777777" w:rsidR="00D86D03" w:rsidRPr="00EA3144" w:rsidRDefault="00D86D03" w:rsidP="00723373">
            <w:pPr>
              <w:pStyle w:val="Tabletext1"/>
              <w:rPr>
                <w:snapToGrid w:val="0"/>
                <w:color w:val="FF0000"/>
                <w:sz w:val="18"/>
                <w:szCs w:val="18"/>
              </w:rPr>
            </w:pPr>
            <w:r w:rsidRPr="008832A0">
              <w:rPr>
                <w:snapToGrid w:val="0"/>
                <w:color w:val="FF0000"/>
                <w:sz w:val="18"/>
                <w:szCs w:val="18"/>
              </w:rPr>
              <w:sym w:font="Wingdings" w:char="F04C"/>
            </w:r>
          </w:p>
        </w:tc>
      </w:tr>
      <w:tr w:rsidR="00D86D03" w:rsidRPr="008832A0" w14:paraId="0A9385D9" w14:textId="77777777" w:rsidTr="00723373">
        <w:trPr>
          <w:trHeight w:val="53"/>
        </w:trPr>
        <w:tc>
          <w:tcPr>
            <w:tcW w:w="0" w:type="auto"/>
          </w:tcPr>
          <w:p w14:paraId="75148FDA" w14:textId="77777777" w:rsidR="00D86D03" w:rsidRPr="0055146C" w:rsidRDefault="00D86D03" w:rsidP="0055146C">
            <w:pPr>
              <w:pStyle w:val="Tabletext1"/>
            </w:pPr>
            <w:r w:rsidRPr="0055146C">
              <w:t>Was the scientific quality of the included studies used appropriately in formulating conclusions?</w:t>
            </w:r>
          </w:p>
        </w:tc>
        <w:tc>
          <w:tcPr>
            <w:tcW w:w="0" w:type="auto"/>
          </w:tcPr>
          <w:p w14:paraId="30DF88E5" w14:textId="77777777" w:rsidR="00D86D03" w:rsidRPr="00EA3144" w:rsidRDefault="00D86D03" w:rsidP="00723373">
            <w:pPr>
              <w:pStyle w:val="Tabletext1"/>
              <w:rPr>
                <w:snapToGrid w:val="0"/>
                <w:color w:val="FF0000"/>
                <w:sz w:val="18"/>
                <w:szCs w:val="18"/>
              </w:rPr>
            </w:pPr>
            <w:r w:rsidRPr="008832A0">
              <w:rPr>
                <w:snapToGrid w:val="0"/>
                <w:color w:val="FF0000"/>
                <w:sz w:val="18"/>
                <w:szCs w:val="18"/>
              </w:rPr>
              <w:sym w:font="Wingdings" w:char="F04C"/>
            </w:r>
          </w:p>
        </w:tc>
      </w:tr>
      <w:tr w:rsidR="00D86D03" w:rsidRPr="008832A0" w14:paraId="210E3712" w14:textId="77777777" w:rsidTr="00723373">
        <w:tc>
          <w:tcPr>
            <w:tcW w:w="0" w:type="auto"/>
          </w:tcPr>
          <w:p w14:paraId="58828257" w14:textId="77777777" w:rsidR="00D86D03" w:rsidRPr="0055146C" w:rsidRDefault="00D86D03" w:rsidP="0055146C">
            <w:pPr>
              <w:pStyle w:val="Tabletext1"/>
            </w:pPr>
            <w:r w:rsidRPr="0055146C">
              <w:t>Were the methods used to combine the findings of studies appropriate?</w:t>
            </w:r>
          </w:p>
        </w:tc>
        <w:tc>
          <w:tcPr>
            <w:tcW w:w="0" w:type="auto"/>
          </w:tcPr>
          <w:p w14:paraId="21CF1967" w14:textId="77777777" w:rsidR="00D86D03" w:rsidRPr="00EA3144" w:rsidRDefault="00D86D03" w:rsidP="00723373">
            <w:pPr>
              <w:pStyle w:val="Tabletext1"/>
              <w:rPr>
                <w:snapToGrid w:val="0"/>
                <w:color w:val="FF0000"/>
                <w:sz w:val="18"/>
                <w:szCs w:val="18"/>
              </w:rPr>
            </w:pPr>
            <w:r w:rsidRPr="00DF0E20">
              <w:rPr>
                <w:snapToGrid w:val="0"/>
                <w:sz w:val="18"/>
                <w:szCs w:val="18"/>
              </w:rPr>
              <w:t>NA</w:t>
            </w:r>
          </w:p>
        </w:tc>
      </w:tr>
      <w:tr w:rsidR="00D86D03" w:rsidRPr="008832A0" w14:paraId="4096C8D8" w14:textId="77777777" w:rsidTr="00723373">
        <w:tc>
          <w:tcPr>
            <w:tcW w:w="0" w:type="auto"/>
          </w:tcPr>
          <w:p w14:paraId="39637F49" w14:textId="77777777" w:rsidR="00D86D03" w:rsidRPr="0055146C" w:rsidRDefault="00D86D03" w:rsidP="0055146C">
            <w:pPr>
              <w:pStyle w:val="Tabletext1"/>
            </w:pPr>
            <w:r w:rsidRPr="0055146C">
              <w:t xml:space="preserve">Was the likelihood of publication bias assessed? </w:t>
            </w:r>
          </w:p>
        </w:tc>
        <w:tc>
          <w:tcPr>
            <w:tcW w:w="0" w:type="auto"/>
          </w:tcPr>
          <w:p w14:paraId="3916F3E1" w14:textId="77777777" w:rsidR="00D86D03" w:rsidRPr="00EA3144" w:rsidRDefault="00D86D03" w:rsidP="00723373">
            <w:pPr>
              <w:pStyle w:val="Tabletext1"/>
              <w:rPr>
                <w:snapToGrid w:val="0"/>
                <w:color w:val="FF0000"/>
                <w:sz w:val="18"/>
                <w:szCs w:val="18"/>
              </w:rPr>
            </w:pPr>
            <w:r w:rsidRPr="008832A0">
              <w:rPr>
                <w:snapToGrid w:val="0"/>
                <w:color w:val="FF0000"/>
                <w:sz w:val="18"/>
                <w:szCs w:val="18"/>
              </w:rPr>
              <w:sym w:font="Wingdings" w:char="F04C"/>
            </w:r>
          </w:p>
        </w:tc>
      </w:tr>
      <w:tr w:rsidR="00D86D03" w:rsidRPr="008832A0" w14:paraId="2FB54BFC" w14:textId="77777777" w:rsidTr="00723373">
        <w:tc>
          <w:tcPr>
            <w:tcW w:w="0" w:type="auto"/>
            <w:tcBorders>
              <w:bottom w:val="single" w:sz="4" w:space="0" w:color="auto"/>
            </w:tcBorders>
          </w:tcPr>
          <w:p w14:paraId="73A3D298" w14:textId="77777777" w:rsidR="00D86D03" w:rsidRPr="0055146C" w:rsidRDefault="00D86D03" w:rsidP="0055146C">
            <w:pPr>
              <w:pStyle w:val="Tabletext1"/>
            </w:pPr>
            <w:r w:rsidRPr="0055146C">
              <w:t xml:space="preserve">Was the conflict of interest stated? </w:t>
            </w:r>
          </w:p>
        </w:tc>
        <w:tc>
          <w:tcPr>
            <w:tcW w:w="0" w:type="auto"/>
            <w:tcBorders>
              <w:bottom w:val="single" w:sz="4" w:space="0" w:color="auto"/>
            </w:tcBorders>
          </w:tcPr>
          <w:p w14:paraId="6ED30009" w14:textId="77777777" w:rsidR="00D86D03" w:rsidRPr="008832A0" w:rsidRDefault="00D86D03" w:rsidP="00723373">
            <w:pPr>
              <w:pStyle w:val="Tabletext1"/>
              <w:rPr>
                <w:sz w:val="18"/>
                <w:szCs w:val="18"/>
              </w:rPr>
            </w:pPr>
            <w:r w:rsidRPr="008832A0">
              <w:rPr>
                <w:snapToGrid w:val="0"/>
                <w:color w:val="FF0000"/>
                <w:sz w:val="18"/>
                <w:szCs w:val="18"/>
              </w:rPr>
              <w:sym w:font="Wingdings" w:char="F04C"/>
            </w:r>
          </w:p>
        </w:tc>
      </w:tr>
    </w:tbl>
    <w:p w14:paraId="40207C17" w14:textId="3D3002C2" w:rsidR="00D86D03" w:rsidRPr="00D86D03" w:rsidRDefault="00D86D03" w:rsidP="008A4C54">
      <w:pPr>
        <w:pStyle w:val="TableNotes"/>
      </w:pPr>
      <w:r w:rsidRPr="008832A0">
        <w:rPr>
          <w:color w:val="00B050"/>
        </w:rPr>
        <w:sym w:font="Wingdings" w:char="F04A"/>
      </w:r>
      <w:r>
        <w:rPr>
          <w:color w:val="00B050"/>
        </w:rPr>
        <w:t xml:space="preserve"> </w:t>
      </w:r>
      <w:r w:rsidRPr="003478E7">
        <w:t xml:space="preserve">= criteria met, </w:t>
      </w:r>
      <w:r w:rsidRPr="008832A0">
        <w:rPr>
          <w:color w:val="FF0000"/>
        </w:rPr>
        <w:sym w:font="Wingdings" w:char="F04C"/>
      </w:r>
      <w:r>
        <w:t xml:space="preserve"> = criteria not met, </w:t>
      </w:r>
      <w:r w:rsidR="00E7473C" w:rsidRPr="009251E2">
        <w:rPr>
          <w:b/>
          <w:color w:val="1F497D" w:themeColor="text2"/>
        </w:rPr>
        <w:t>?</w:t>
      </w:r>
      <w:r>
        <w:t xml:space="preserve"> = not clear from reporting if criteria met, NA = not applicable</w:t>
      </w:r>
      <w:r w:rsidR="00FA05F6">
        <w:t>.</w:t>
      </w:r>
    </w:p>
    <w:p w14:paraId="00E93A7D" w14:textId="08B0B2C9" w:rsidR="00ED2862" w:rsidRDefault="009530EE" w:rsidP="00A709B8">
      <w:pPr>
        <w:pStyle w:val="Caption"/>
      </w:pPr>
      <w:bookmarkStart w:id="824" w:name="_Ref456769282"/>
      <w:bookmarkStart w:id="825" w:name="_Toc460514584"/>
      <w:r>
        <w:t xml:space="preserve">Table </w:t>
      </w:r>
      <w:fldSimple w:instr=" SEQ Table \* ARABIC ">
        <w:r w:rsidR="0029649D">
          <w:rPr>
            <w:noProof/>
          </w:rPr>
          <w:t>84</w:t>
        </w:r>
      </w:fldSimple>
      <w:bookmarkEnd w:id="824"/>
      <w:r>
        <w:tab/>
        <w:t>Quality a</w:t>
      </w:r>
      <w:r w:rsidR="00301B40">
        <w:t>ppraisal</w:t>
      </w:r>
      <w:r>
        <w:t xml:space="preserve"> of non-comparative studies using modified </w:t>
      </w:r>
      <w:r w:rsidR="00ED2862">
        <w:t xml:space="preserve">Downs and Black </w:t>
      </w:r>
      <w:r w:rsidR="00A709B8">
        <w:t>checklist for non</w:t>
      </w:r>
      <w:r w:rsidR="00417E7C">
        <w:t>-</w:t>
      </w:r>
      <w:r w:rsidR="00ED2862" w:rsidRPr="00457031">
        <w:t>randomized studies</w:t>
      </w:r>
      <w:bookmarkEnd w:id="825"/>
    </w:p>
    <w:tbl>
      <w:tblPr>
        <w:tblW w:w="0" w:type="auto"/>
        <w:tblInd w:w="93" w:type="dxa"/>
        <w:tblLook w:val="04A0" w:firstRow="1" w:lastRow="0" w:firstColumn="1" w:lastColumn="0" w:noHBand="0" w:noVBand="1"/>
      </w:tblPr>
      <w:tblGrid>
        <w:gridCol w:w="2865"/>
        <w:gridCol w:w="991"/>
        <w:gridCol w:w="797"/>
        <w:gridCol w:w="845"/>
        <w:gridCol w:w="963"/>
        <w:gridCol w:w="795"/>
        <w:gridCol w:w="884"/>
        <w:gridCol w:w="1009"/>
      </w:tblGrid>
      <w:tr w:rsidR="00002958" w:rsidRPr="00002958" w14:paraId="698823CF" w14:textId="77777777" w:rsidTr="00E27B35">
        <w:trPr>
          <w:trHeight w:val="300"/>
          <w:tblHeader/>
        </w:trPr>
        <w:tc>
          <w:tcPr>
            <w:tcW w:w="0" w:type="auto"/>
            <w:tcBorders>
              <w:top w:val="single" w:sz="4" w:space="0" w:color="auto"/>
              <w:left w:val="single" w:sz="4" w:space="0" w:color="auto"/>
              <w:bottom w:val="single" w:sz="4" w:space="0" w:color="auto"/>
              <w:right w:val="single" w:sz="4" w:space="0" w:color="auto"/>
            </w:tcBorders>
          </w:tcPr>
          <w:p w14:paraId="67A58111" w14:textId="58C49A5E" w:rsidR="00002958" w:rsidRPr="00002958" w:rsidRDefault="008073A2" w:rsidP="0055146C">
            <w:pPr>
              <w:pStyle w:val="TableHeading"/>
              <w:rPr>
                <w:lang w:eastAsia="zh-CN"/>
              </w:rPr>
            </w:pPr>
            <w:r>
              <w:rPr>
                <w:lang w:eastAsia="zh-CN"/>
              </w:rPr>
              <w:t>Study ID</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35547CF" w14:textId="41A2AEE8" w:rsidR="00002958" w:rsidRPr="00002958" w:rsidRDefault="00002958" w:rsidP="0055146C">
            <w:pPr>
              <w:pStyle w:val="TableHeading"/>
              <w:rPr>
                <w:lang w:eastAsia="zh-CN"/>
              </w:rPr>
            </w:pPr>
            <w:r w:rsidRPr="00002958">
              <w:rPr>
                <w:lang w:eastAsia="zh-CN"/>
              </w:rPr>
              <w:t>Boorjian et al. (2005)</w:t>
            </w:r>
          </w:p>
        </w:tc>
        <w:tc>
          <w:tcPr>
            <w:tcW w:w="0" w:type="auto"/>
            <w:tcBorders>
              <w:top w:val="single" w:sz="4" w:space="0" w:color="auto"/>
              <w:left w:val="nil"/>
              <w:bottom w:val="single" w:sz="4" w:space="0" w:color="auto"/>
              <w:right w:val="single" w:sz="4" w:space="0" w:color="auto"/>
            </w:tcBorders>
            <w:shd w:val="clear" w:color="auto" w:fill="auto"/>
            <w:vAlign w:val="bottom"/>
          </w:tcPr>
          <w:p w14:paraId="09B0B9DA" w14:textId="191CC510" w:rsidR="00002958" w:rsidRPr="00002958" w:rsidRDefault="00002958" w:rsidP="0055146C">
            <w:pPr>
              <w:pStyle w:val="TableHeading"/>
              <w:rPr>
                <w:lang w:eastAsia="zh-CN"/>
              </w:rPr>
            </w:pPr>
            <w:r w:rsidRPr="00002958">
              <w:rPr>
                <w:lang w:eastAsia="zh-CN"/>
              </w:rPr>
              <w:t>Dong et al. (2016)</w:t>
            </w:r>
          </w:p>
        </w:tc>
        <w:tc>
          <w:tcPr>
            <w:tcW w:w="0" w:type="auto"/>
            <w:tcBorders>
              <w:top w:val="single" w:sz="4" w:space="0" w:color="auto"/>
              <w:left w:val="nil"/>
              <w:bottom w:val="single" w:sz="4" w:space="0" w:color="auto"/>
              <w:right w:val="single" w:sz="4" w:space="0" w:color="auto"/>
            </w:tcBorders>
            <w:shd w:val="clear" w:color="auto" w:fill="auto"/>
            <w:vAlign w:val="bottom"/>
          </w:tcPr>
          <w:p w14:paraId="5BD69804" w14:textId="7FC0B4ED" w:rsidR="00002958" w:rsidRPr="00002958" w:rsidRDefault="00002958" w:rsidP="0055146C">
            <w:pPr>
              <w:pStyle w:val="TableHeading"/>
              <w:rPr>
                <w:lang w:eastAsia="zh-CN"/>
              </w:rPr>
            </w:pPr>
            <w:r w:rsidRPr="00002958">
              <w:rPr>
                <w:lang w:eastAsia="zh-CN"/>
              </w:rPr>
              <w:t>Eroglu et al. (2014)</w:t>
            </w:r>
          </w:p>
        </w:tc>
        <w:tc>
          <w:tcPr>
            <w:tcW w:w="0" w:type="auto"/>
            <w:tcBorders>
              <w:top w:val="single" w:sz="4" w:space="0" w:color="auto"/>
              <w:left w:val="nil"/>
              <w:bottom w:val="single" w:sz="4" w:space="0" w:color="auto"/>
              <w:right w:val="single" w:sz="4" w:space="0" w:color="auto"/>
            </w:tcBorders>
            <w:shd w:val="clear" w:color="auto" w:fill="auto"/>
            <w:vAlign w:val="bottom"/>
          </w:tcPr>
          <w:p w14:paraId="5292B7A8" w14:textId="20B37018" w:rsidR="00002958" w:rsidRPr="00002958" w:rsidRDefault="0055146C" w:rsidP="0055146C">
            <w:pPr>
              <w:pStyle w:val="TableHeading"/>
              <w:rPr>
                <w:lang w:eastAsia="zh-CN"/>
              </w:rPr>
            </w:pPr>
            <w:r>
              <w:rPr>
                <w:lang w:eastAsia="zh-CN"/>
              </w:rPr>
              <w:t xml:space="preserve">Hussein et </w:t>
            </w:r>
            <w:r w:rsidR="00002958" w:rsidRPr="00002958">
              <w:rPr>
                <w:lang w:eastAsia="zh-CN"/>
              </w:rPr>
              <w:t>al. (2015)</w:t>
            </w:r>
          </w:p>
        </w:tc>
        <w:tc>
          <w:tcPr>
            <w:tcW w:w="0" w:type="auto"/>
            <w:tcBorders>
              <w:top w:val="single" w:sz="4" w:space="0" w:color="auto"/>
              <w:left w:val="nil"/>
              <w:bottom w:val="single" w:sz="4" w:space="0" w:color="auto"/>
              <w:right w:val="single" w:sz="4" w:space="0" w:color="auto"/>
            </w:tcBorders>
            <w:shd w:val="clear" w:color="auto" w:fill="auto"/>
            <w:vAlign w:val="bottom"/>
          </w:tcPr>
          <w:p w14:paraId="619C7894" w14:textId="0C179F74" w:rsidR="00002958" w:rsidRPr="00002958" w:rsidRDefault="00002958" w:rsidP="0055146C">
            <w:pPr>
              <w:pStyle w:val="TableHeading"/>
              <w:rPr>
                <w:lang w:eastAsia="zh-CN"/>
              </w:rPr>
            </w:pPr>
            <w:r w:rsidRPr="00002958">
              <w:rPr>
                <w:lang w:eastAsia="zh-CN"/>
              </w:rPr>
              <w:t>Loeb et al. (2016)</w:t>
            </w:r>
          </w:p>
        </w:tc>
        <w:tc>
          <w:tcPr>
            <w:tcW w:w="0" w:type="auto"/>
            <w:tcBorders>
              <w:top w:val="single" w:sz="4" w:space="0" w:color="auto"/>
              <w:left w:val="nil"/>
              <w:bottom w:val="single" w:sz="4" w:space="0" w:color="auto"/>
              <w:right w:val="single" w:sz="4" w:space="0" w:color="auto"/>
            </w:tcBorders>
            <w:shd w:val="clear" w:color="auto" w:fill="auto"/>
            <w:vAlign w:val="bottom"/>
          </w:tcPr>
          <w:p w14:paraId="4ACAA9B8" w14:textId="014CDBD8" w:rsidR="00002958" w:rsidRPr="00002958" w:rsidRDefault="00002958" w:rsidP="0055146C">
            <w:pPr>
              <w:pStyle w:val="TableHeading"/>
              <w:rPr>
                <w:lang w:eastAsia="zh-CN"/>
              </w:rPr>
            </w:pPr>
            <w:r w:rsidRPr="00002958">
              <w:rPr>
                <w:lang w:eastAsia="zh-CN"/>
              </w:rPr>
              <w:t>O'Kelly et al. (2013)</w:t>
            </w:r>
          </w:p>
        </w:tc>
        <w:tc>
          <w:tcPr>
            <w:tcW w:w="0" w:type="auto"/>
            <w:tcBorders>
              <w:top w:val="single" w:sz="4" w:space="0" w:color="auto"/>
              <w:left w:val="nil"/>
              <w:bottom w:val="single" w:sz="4" w:space="0" w:color="auto"/>
              <w:right w:val="single" w:sz="4" w:space="0" w:color="auto"/>
            </w:tcBorders>
            <w:shd w:val="clear" w:color="auto" w:fill="auto"/>
            <w:vAlign w:val="bottom"/>
          </w:tcPr>
          <w:p w14:paraId="5BDDDD85" w14:textId="7C9A9182" w:rsidR="00002958" w:rsidRPr="00002958" w:rsidRDefault="00002958" w:rsidP="0055146C">
            <w:pPr>
              <w:pStyle w:val="TableHeading"/>
              <w:rPr>
                <w:lang w:eastAsia="zh-CN"/>
              </w:rPr>
            </w:pPr>
            <w:r w:rsidRPr="00002958">
              <w:rPr>
                <w:lang w:eastAsia="zh-CN"/>
              </w:rPr>
              <w:t>Redaniel et al. (2013)</w:t>
            </w:r>
          </w:p>
        </w:tc>
      </w:tr>
      <w:tr w:rsidR="00ED2862" w:rsidRPr="00002958" w14:paraId="765C2CD3" w14:textId="77777777" w:rsidTr="00E27B35">
        <w:trPr>
          <w:trHeight w:val="300"/>
        </w:trPr>
        <w:tc>
          <w:tcPr>
            <w:tcW w:w="0" w:type="auto"/>
            <w:tcBorders>
              <w:top w:val="nil"/>
              <w:left w:val="single" w:sz="4" w:space="0" w:color="auto"/>
              <w:bottom w:val="single" w:sz="4" w:space="0" w:color="auto"/>
              <w:right w:val="single" w:sz="4" w:space="0" w:color="auto"/>
            </w:tcBorders>
          </w:tcPr>
          <w:p w14:paraId="3CB1405E" w14:textId="57C910FE" w:rsidR="00ED2862" w:rsidRPr="00002958" w:rsidRDefault="00ED2862" w:rsidP="0055146C">
            <w:pPr>
              <w:pStyle w:val="Tabletext1"/>
              <w:rPr>
                <w:rFonts w:cs="Times New Roman"/>
                <w:color w:val="000000"/>
                <w:lang w:eastAsia="zh-CN"/>
              </w:rPr>
            </w:pPr>
            <w:r w:rsidRPr="00F273D6">
              <w:t>Is the hypothesis/aim/objective of the study clearly described?</w:t>
            </w:r>
          </w:p>
        </w:tc>
        <w:tc>
          <w:tcPr>
            <w:tcW w:w="0" w:type="auto"/>
            <w:tcBorders>
              <w:top w:val="nil"/>
              <w:left w:val="single" w:sz="4" w:space="0" w:color="auto"/>
              <w:bottom w:val="single" w:sz="4" w:space="0" w:color="auto"/>
              <w:right w:val="single" w:sz="4" w:space="0" w:color="auto"/>
            </w:tcBorders>
            <w:shd w:val="clear" w:color="auto" w:fill="auto"/>
            <w:hideMark/>
          </w:tcPr>
          <w:p w14:paraId="469441E5" w14:textId="05CFCA0F"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0B0D585" w14:textId="45478EEF"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5AFC154C" w14:textId="12CB32D1"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3C9F77A" w14:textId="1BF64EC7"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627C841" w14:textId="4F33E76A"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F3A43A5" w14:textId="08BAB897"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9420F91" w14:textId="6F14EB94"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r>
      <w:tr w:rsidR="00ED2862" w:rsidRPr="00002958" w14:paraId="480252D6" w14:textId="77777777" w:rsidTr="00E27B35">
        <w:trPr>
          <w:trHeight w:val="900"/>
        </w:trPr>
        <w:tc>
          <w:tcPr>
            <w:tcW w:w="0" w:type="auto"/>
            <w:tcBorders>
              <w:top w:val="nil"/>
              <w:left w:val="single" w:sz="4" w:space="0" w:color="auto"/>
              <w:bottom w:val="single" w:sz="4" w:space="0" w:color="auto"/>
              <w:right w:val="single" w:sz="4" w:space="0" w:color="auto"/>
            </w:tcBorders>
          </w:tcPr>
          <w:p w14:paraId="33E1511D" w14:textId="579DCD4B" w:rsidR="00ED2862" w:rsidRPr="00002958" w:rsidRDefault="00ED2862" w:rsidP="0055146C">
            <w:pPr>
              <w:pStyle w:val="Tabletext1"/>
              <w:rPr>
                <w:rFonts w:cs="Times New Roman"/>
                <w:color w:val="000000"/>
                <w:lang w:eastAsia="zh-CN"/>
              </w:rPr>
            </w:pPr>
            <w:r w:rsidRPr="00F273D6">
              <w:t>Are the main outcomes to be measured clearly described in the Introduction or Methods section?</w:t>
            </w:r>
          </w:p>
        </w:tc>
        <w:tc>
          <w:tcPr>
            <w:tcW w:w="0" w:type="auto"/>
            <w:tcBorders>
              <w:top w:val="nil"/>
              <w:left w:val="single" w:sz="4" w:space="0" w:color="auto"/>
              <w:bottom w:val="single" w:sz="4" w:space="0" w:color="auto"/>
              <w:right w:val="single" w:sz="4" w:space="0" w:color="auto"/>
            </w:tcBorders>
            <w:shd w:val="clear" w:color="auto" w:fill="auto"/>
            <w:hideMark/>
          </w:tcPr>
          <w:p w14:paraId="4930A44C" w14:textId="563F14DB"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A1BC502" w14:textId="61595CD0"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661CFEB" w14:textId="1A5445AA"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1723D51" w14:textId="491FD18C"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6A72931" w14:textId="12B81344"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55E3EB55" w14:textId="325804DD"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3C7EE01" w14:textId="29BBC412"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r>
      <w:tr w:rsidR="00ED2862" w:rsidRPr="00002958" w14:paraId="35B204A6" w14:textId="77777777" w:rsidTr="00E27B35">
        <w:trPr>
          <w:trHeight w:val="900"/>
        </w:trPr>
        <w:tc>
          <w:tcPr>
            <w:tcW w:w="0" w:type="auto"/>
            <w:tcBorders>
              <w:top w:val="nil"/>
              <w:left w:val="single" w:sz="4" w:space="0" w:color="auto"/>
              <w:bottom w:val="single" w:sz="4" w:space="0" w:color="auto"/>
              <w:right w:val="single" w:sz="4" w:space="0" w:color="auto"/>
            </w:tcBorders>
          </w:tcPr>
          <w:p w14:paraId="7F990D45" w14:textId="5BD99B19" w:rsidR="00ED2862" w:rsidRPr="00002958" w:rsidRDefault="00ED2862" w:rsidP="0055146C">
            <w:pPr>
              <w:pStyle w:val="Tabletext1"/>
              <w:rPr>
                <w:rFonts w:cs="Times New Roman"/>
                <w:color w:val="000000"/>
                <w:lang w:eastAsia="zh-CN"/>
              </w:rPr>
            </w:pPr>
            <w:r w:rsidRPr="00F273D6">
              <w:t>Are the characteristics of the patients included in the study clearly described?</w:t>
            </w:r>
          </w:p>
        </w:tc>
        <w:tc>
          <w:tcPr>
            <w:tcW w:w="0" w:type="auto"/>
            <w:tcBorders>
              <w:top w:val="nil"/>
              <w:left w:val="single" w:sz="4" w:space="0" w:color="auto"/>
              <w:bottom w:val="single" w:sz="4" w:space="0" w:color="auto"/>
              <w:right w:val="single" w:sz="4" w:space="0" w:color="auto"/>
            </w:tcBorders>
            <w:shd w:val="clear" w:color="auto" w:fill="auto"/>
            <w:hideMark/>
          </w:tcPr>
          <w:p w14:paraId="1C30B79B" w14:textId="76D5F3EE"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4008350" w14:textId="13CFB5D6"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2BA4AE8" w14:textId="032D1969"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FD8A4FB" w14:textId="510C8EE4"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53E3761" w14:textId="1EF567EF"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EDF6A5E" w14:textId="47654A2F"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C0061BA" w14:textId="5E2300FD" w:rsidR="00ED2862" w:rsidRPr="00002958" w:rsidRDefault="00ED2862" w:rsidP="008073A2">
            <w:pPr>
              <w:keepNext/>
              <w:spacing w:after="0" w:line="240" w:lineRule="auto"/>
              <w:rPr>
                <w:rFonts w:cs="Times New Roman"/>
                <w:color w:val="000000"/>
                <w:lang w:eastAsia="zh-CN"/>
              </w:rPr>
            </w:pPr>
            <w:r w:rsidRPr="00581B8D">
              <w:rPr>
                <w:snapToGrid w:val="0"/>
                <w:color w:val="00B050"/>
                <w:sz w:val="18"/>
                <w:szCs w:val="18"/>
              </w:rPr>
              <w:sym w:font="Wingdings" w:char="F04A"/>
            </w:r>
          </w:p>
        </w:tc>
      </w:tr>
      <w:tr w:rsidR="00ED2862" w:rsidRPr="00002958" w14:paraId="1C628EF9" w14:textId="77777777" w:rsidTr="00E27B35">
        <w:trPr>
          <w:trHeight w:val="600"/>
        </w:trPr>
        <w:tc>
          <w:tcPr>
            <w:tcW w:w="0" w:type="auto"/>
            <w:tcBorders>
              <w:top w:val="nil"/>
              <w:left w:val="single" w:sz="4" w:space="0" w:color="auto"/>
              <w:bottom w:val="single" w:sz="4" w:space="0" w:color="auto"/>
              <w:right w:val="single" w:sz="4" w:space="0" w:color="auto"/>
            </w:tcBorders>
          </w:tcPr>
          <w:p w14:paraId="4A73B67C" w14:textId="461FFAA7" w:rsidR="00ED2862" w:rsidRPr="00002958" w:rsidRDefault="00ED2862" w:rsidP="0055146C">
            <w:pPr>
              <w:pStyle w:val="Tabletext1"/>
              <w:rPr>
                <w:rFonts w:cs="Times New Roman"/>
                <w:color w:val="000000"/>
                <w:lang w:eastAsia="zh-CN"/>
              </w:rPr>
            </w:pPr>
            <w:r w:rsidRPr="00F273D6">
              <w:lastRenderedPageBreak/>
              <w:t>Are the interventions of interest clearly described?</w:t>
            </w:r>
          </w:p>
        </w:tc>
        <w:tc>
          <w:tcPr>
            <w:tcW w:w="0" w:type="auto"/>
            <w:tcBorders>
              <w:top w:val="nil"/>
              <w:left w:val="single" w:sz="4" w:space="0" w:color="auto"/>
              <w:bottom w:val="single" w:sz="4" w:space="0" w:color="auto"/>
              <w:right w:val="single" w:sz="4" w:space="0" w:color="auto"/>
            </w:tcBorders>
            <w:shd w:val="clear" w:color="auto" w:fill="auto"/>
            <w:hideMark/>
          </w:tcPr>
          <w:p w14:paraId="09691353" w14:textId="3B0E21B9" w:rsidR="00ED2862" w:rsidRPr="00002958" w:rsidRDefault="00ED2862" w:rsidP="008073A2">
            <w:pPr>
              <w:keepNext/>
              <w:spacing w:after="0" w:line="240" w:lineRule="auto"/>
              <w:rPr>
                <w:rFonts w:cs="Times New Roman"/>
                <w:color w:val="000000"/>
                <w:lang w:eastAsia="zh-CN"/>
              </w:rPr>
            </w:pPr>
            <w:r w:rsidRPr="005B19F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1F17016A" w14:textId="67A32A18" w:rsidR="00ED2862" w:rsidRPr="00002958" w:rsidRDefault="00ED2862" w:rsidP="008073A2">
            <w:pPr>
              <w:keepNext/>
              <w:spacing w:after="0" w:line="240" w:lineRule="auto"/>
              <w:rPr>
                <w:rFonts w:cs="Times New Roman"/>
                <w:color w:val="000000"/>
                <w:lang w:eastAsia="zh-CN"/>
              </w:rPr>
            </w:pPr>
            <w:r w:rsidRPr="005B19F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509E0411" w14:textId="0DDD6FD6" w:rsidR="00ED2862" w:rsidRPr="00002958" w:rsidRDefault="00ED2862" w:rsidP="008073A2">
            <w:pPr>
              <w:keepNext/>
              <w:spacing w:after="0" w:line="240" w:lineRule="auto"/>
              <w:rPr>
                <w:rFonts w:cs="Times New Roman"/>
                <w:color w:val="000000"/>
                <w:lang w:eastAsia="zh-CN"/>
              </w:rPr>
            </w:pPr>
            <w:r w:rsidRPr="005B19F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590EE1BB" w14:textId="51964949" w:rsidR="00ED2862" w:rsidRPr="00002958" w:rsidRDefault="00ED2862" w:rsidP="008073A2">
            <w:pPr>
              <w:keepNext/>
              <w:spacing w:after="0" w:line="240" w:lineRule="auto"/>
              <w:rPr>
                <w:rFonts w:cs="Times New Roman"/>
                <w:color w:val="000000"/>
                <w:lang w:eastAsia="zh-CN"/>
              </w:rPr>
            </w:pPr>
            <w:r w:rsidRPr="005B19F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2AF6AFCE" w14:textId="77628548" w:rsidR="00ED2862" w:rsidRPr="00002958" w:rsidRDefault="00ED2862" w:rsidP="008073A2">
            <w:pPr>
              <w:keepNext/>
              <w:spacing w:after="0" w:line="240" w:lineRule="auto"/>
              <w:rPr>
                <w:rFonts w:cs="Times New Roman"/>
                <w:color w:val="000000"/>
                <w:lang w:eastAsia="zh-CN"/>
              </w:rPr>
            </w:pPr>
            <w:r w:rsidRPr="005B19F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54C348C0" w14:textId="2A66B6B6" w:rsidR="00ED2862" w:rsidRPr="00002958" w:rsidRDefault="00ED2862" w:rsidP="008073A2">
            <w:pPr>
              <w:keepNext/>
              <w:spacing w:after="0" w:line="240" w:lineRule="auto"/>
              <w:rPr>
                <w:rFonts w:cs="Times New Roman"/>
                <w:color w:val="000000"/>
                <w:lang w:eastAsia="zh-CN"/>
              </w:rPr>
            </w:pPr>
            <w:r w:rsidRPr="005B19F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62CAE290" w14:textId="56A98E71" w:rsidR="00ED2862" w:rsidRPr="00002958" w:rsidRDefault="00ED2862" w:rsidP="008073A2">
            <w:pPr>
              <w:keepNext/>
              <w:spacing w:after="0" w:line="240" w:lineRule="auto"/>
              <w:rPr>
                <w:rFonts w:cs="Times New Roman"/>
                <w:color w:val="000000"/>
                <w:lang w:eastAsia="zh-CN"/>
              </w:rPr>
            </w:pPr>
            <w:r w:rsidRPr="005B19F6">
              <w:rPr>
                <w:rFonts w:cs="Times New Roman"/>
                <w:color w:val="000000"/>
                <w:lang w:eastAsia="zh-CN"/>
              </w:rPr>
              <w:t>NA</w:t>
            </w:r>
          </w:p>
        </w:tc>
      </w:tr>
      <w:tr w:rsidR="00ED2862" w:rsidRPr="00002958" w14:paraId="2277FC8E" w14:textId="77777777" w:rsidTr="00E27B35">
        <w:trPr>
          <w:trHeight w:val="600"/>
        </w:trPr>
        <w:tc>
          <w:tcPr>
            <w:tcW w:w="0" w:type="auto"/>
            <w:tcBorders>
              <w:top w:val="nil"/>
              <w:left w:val="single" w:sz="4" w:space="0" w:color="auto"/>
              <w:bottom w:val="single" w:sz="4" w:space="0" w:color="auto"/>
              <w:right w:val="single" w:sz="4" w:space="0" w:color="auto"/>
            </w:tcBorders>
          </w:tcPr>
          <w:p w14:paraId="4D81827D" w14:textId="53DFBA13" w:rsidR="00ED2862" w:rsidRPr="00002958" w:rsidRDefault="00ED2862" w:rsidP="0055146C">
            <w:pPr>
              <w:pStyle w:val="Tabletext1"/>
              <w:rPr>
                <w:rFonts w:cs="Times New Roman"/>
                <w:color w:val="000000"/>
                <w:lang w:eastAsia="zh-CN"/>
              </w:rPr>
            </w:pPr>
            <w:r w:rsidRPr="00F273D6">
              <w:t>Are the distributions of principal confounders in each group of subjects to be compared clearly described?</w:t>
            </w:r>
          </w:p>
        </w:tc>
        <w:tc>
          <w:tcPr>
            <w:tcW w:w="0" w:type="auto"/>
            <w:tcBorders>
              <w:top w:val="nil"/>
              <w:left w:val="single" w:sz="4" w:space="0" w:color="auto"/>
              <w:bottom w:val="single" w:sz="4" w:space="0" w:color="auto"/>
              <w:right w:val="single" w:sz="4" w:space="0" w:color="auto"/>
            </w:tcBorders>
            <w:shd w:val="clear" w:color="auto" w:fill="auto"/>
            <w:hideMark/>
          </w:tcPr>
          <w:p w14:paraId="0C13A613" w14:textId="3E5859E9"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8D6E28B" w14:textId="55010AE5"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6BDDED1" w14:textId="5BA1E019"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D19B61F" w14:textId="18BAF415"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E6C6D99" w14:textId="4A6E8B27"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0B5521D" w14:textId="3019B1C2"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71BD99C" w14:textId="2B27AAD4"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r>
      <w:tr w:rsidR="00ED2862" w:rsidRPr="00002958" w14:paraId="04A55CDB" w14:textId="77777777" w:rsidTr="009A220C">
        <w:trPr>
          <w:trHeight w:val="610"/>
        </w:trPr>
        <w:tc>
          <w:tcPr>
            <w:tcW w:w="0" w:type="auto"/>
            <w:tcBorders>
              <w:top w:val="nil"/>
              <w:left w:val="single" w:sz="4" w:space="0" w:color="auto"/>
              <w:bottom w:val="single" w:sz="4" w:space="0" w:color="auto"/>
              <w:right w:val="single" w:sz="4" w:space="0" w:color="auto"/>
            </w:tcBorders>
          </w:tcPr>
          <w:p w14:paraId="1B483C92" w14:textId="48F249D6" w:rsidR="00ED2862" w:rsidRPr="00002958" w:rsidRDefault="00ED2862" w:rsidP="0055146C">
            <w:pPr>
              <w:pStyle w:val="Tabletext1"/>
              <w:rPr>
                <w:rFonts w:cs="Times New Roman"/>
                <w:color w:val="000000"/>
                <w:lang w:eastAsia="zh-CN"/>
              </w:rPr>
            </w:pPr>
            <w:r w:rsidRPr="00F273D6">
              <w:t>Are the main findings of the study clearly described?</w:t>
            </w:r>
          </w:p>
        </w:tc>
        <w:tc>
          <w:tcPr>
            <w:tcW w:w="0" w:type="auto"/>
            <w:tcBorders>
              <w:top w:val="nil"/>
              <w:left w:val="single" w:sz="4" w:space="0" w:color="auto"/>
              <w:bottom w:val="single" w:sz="4" w:space="0" w:color="auto"/>
              <w:right w:val="single" w:sz="4" w:space="0" w:color="auto"/>
            </w:tcBorders>
            <w:shd w:val="clear" w:color="auto" w:fill="auto"/>
            <w:hideMark/>
          </w:tcPr>
          <w:p w14:paraId="7020A6FA" w14:textId="288D25BC"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FB2CB65" w14:textId="768E5D81"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9319DDB" w14:textId="7CFDD35B"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F81D54A" w14:textId="4AD0459F"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2E065F4" w14:textId="7954CF68"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5B41509" w14:textId="7D73E740"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897DA7A" w14:textId="164793BB"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r>
      <w:tr w:rsidR="00ED2862" w:rsidRPr="00002958" w14:paraId="1C634AA1" w14:textId="77777777" w:rsidTr="00E27B35">
        <w:trPr>
          <w:trHeight w:val="900"/>
        </w:trPr>
        <w:tc>
          <w:tcPr>
            <w:tcW w:w="0" w:type="auto"/>
            <w:tcBorders>
              <w:top w:val="nil"/>
              <w:left w:val="single" w:sz="4" w:space="0" w:color="auto"/>
              <w:bottom w:val="single" w:sz="4" w:space="0" w:color="auto"/>
              <w:right w:val="single" w:sz="4" w:space="0" w:color="auto"/>
            </w:tcBorders>
          </w:tcPr>
          <w:p w14:paraId="1FB396B6" w14:textId="2A282A70" w:rsidR="00ED2862" w:rsidRPr="00002958" w:rsidRDefault="00ED2862" w:rsidP="0055146C">
            <w:pPr>
              <w:pStyle w:val="Tabletext1"/>
              <w:rPr>
                <w:rFonts w:cs="Times New Roman"/>
                <w:color w:val="000000"/>
                <w:lang w:eastAsia="zh-CN"/>
              </w:rPr>
            </w:pPr>
            <w:r w:rsidRPr="00F273D6">
              <w:t>Does the study provide estimates of the random variability in the data for the main outcomes?</w:t>
            </w:r>
          </w:p>
        </w:tc>
        <w:tc>
          <w:tcPr>
            <w:tcW w:w="0" w:type="auto"/>
            <w:tcBorders>
              <w:top w:val="nil"/>
              <w:left w:val="single" w:sz="4" w:space="0" w:color="auto"/>
              <w:bottom w:val="single" w:sz="4" w:space="0" w:color="auto"/>
              <w:right w:val="single" w:sz="4" w:space="0" w:color="auto"/>
            </w:tcBorders>
            <w:shd w:val="clear" w:color="auto" w:fill="auto"/>
            <w:hideMark/>
          </w:tcPr>
          <w:p w14:paraId="56E7EB90" w14:textId="346DDD7E"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A44E163" w14:textId="521C2F1E"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5F873FEC" w14:textId="5EFBE795"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2AC19F9" w14:textId="67A128D4"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F6D4C1B" w14:textId="00310A5C"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F0DA22B" w14:textId="352086B8"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91316EC" w14:textId="08A6BBD8" w:rsidR="00ED2862" w:rsidRPr="00002958" w:rsidRDefault="00ED2862" w:rsidP="008073A2">
            <w:pPr>
              <w:keepNext/>
              <w:spacing w:after="0" w:line="240" w:lineRule="auto"/>
              <w:rPr>
                <w:rFonts w:cs="Times New Roman"/>
                <w:color w:val="000000"/>
                <w:lang w:eastAsia="zh-CN"/>
              </w:rPr>
            </w:pPr>
            <w:r w:rsidRPr="003D0DDB">
              <w:rPr>
                <w:snapToGrid w:val="0"/>
                <w:color w:val="00B050"/>
                <w:sz w:val="18"/>
                <w:szCs w:val="18"/>
              </w:rPr>
              <w:sym w:font="Wingdings" w:char="F04A"/>
            </w:r>
          </w:p>
        </w:tc>
      </w:tr>
      <w:tr w:rsidR="00ED2862" w:rsidRPr="00002958" w14:paraId="28B6BB11" w14:textId="77777777" w:rsidTr="00E27B35">
        <w:trPr>
          <w:trHeight w:val="900"/>
        </w:trPr>
        <w:tc>
          <w:tcPr>
            <w:tcW w:w="0" w:type="auto"/>
            <w:tcBorders>
              <w:top w:val="nil"/>
              <w:left w:val="single" w:sz="4" w:space="0" w:color="auto"/>
              <w:bottom w:val="single" w:sz="4" w:space="0" w:color="auto"/>
              <w:right w:val="single" w:sz="4" w:space="0" w:color="auto"/>
            </w:tcBorders>
          </w:tcPr>
          <w:p w14:paraId="4B46D4ED" w14:textId="61F0DA42" w:rsidR="00ED2862" w:rsidRPr="00002958" w:rsidRDefault="00ED2862" w:rsidP="0055146C">
            <w:pPr>
              <w:pStyle w:val="Tabletext1"/>
              <w:rPr>
                <w:rFonts w:cs="Times New Roman"/>
                <w:color w:val="000000"/>
                <w:lang w:eastAsia="zh-CN"/>
              </w:rPr>
            </w:pPr>
            <w:r w:rsidRPr="00F273D6">
              <w:t>Have all important adverse events that may be a consequence of the intervention been reported?</w:t>
            </w:r>
          </w:p>
        </w:tc>
        <w:tc>
          <w:tcPr>
            <w:tcW w:w="0" w:type="auto"/>
            <w:tcBorders>
              <w:top w:val="nil"/>
              <w:left w:val="single" w:sz="4" w:space="0" w:color="auto"/>
              <w:bottom w:val="single" w:sz="4" w:space="0" w:color="auto"/>
              <w:right w:val="single" w:sz="4" w:space="0" w:color="auto"/>
            </w:tcBorders>
            <w:shd w:val="clear" w:color="auto" w:fill="auto"/>
            <w:hideMark/>
          </w:tcPr>
          <w:p w14:paraId="2832D5BC" w14:textId="173D79A6" w:rsidR="00ED2862" w:rsidRPr="00002958" w:rsidRDefault="00ED2862" w:rsidP="008073A2">
            <w:pPr>
              <w:keepNext/>
              <w:spacing w:after="0" w:line="240" w:lineRule="auto"/>
              <w:rPr>
                <w:rFonts w:cs="Times New Roman"/>
                <w:color w:val="000000"/>
                <w:lang w:eastAsia="zh-CN"/>
              </w:rPr>
            </w:pPr>
            <w:r w:rsidRPr="00841E63">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413E5F92" w14:textId="758F6311" w:rsidR="00ED2862" w:rsidRPr="00002958" w:rsidRDefault="00ED2862" w:rsidP="008073A2">
            <w:pPr>
              <w:keepNext/>
              <w:spacing w:after="0" w:line="240" w:lineRule="auto"/>
              <w:rPr>
                <w:rFonts w:cs="Times New Roman"/>
                <w:color w:val="000000"/>
                <w:lang w:eastAsia="zh-CN"/>
              </w:rPr>
            </w:pPr>
            <w:r w:rsidRPr="00841E63">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10E52874" w14:textId="41411F82" w:rsidR="00ED2862" w:rsidRPr="00002958" w:rsidRDefault="00ED2862" w:rsidP="008073A2">
            <w:pPr>
              <w:keepNext/>
              <w:spacing w:after="0" w:line="240" w:lineRule="auto"/>
              <w:rPr>
                <w:rFonts w:cs="Times New Roman"/>
                <w:color w:val="000000"/>
                <w:lang w:eastAsia="zh-CN"/>
              </w:rPr>
            </w:pPr>
            <w:r w:rsidRPr="00841E63">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424D9766" w14:textId="3356B703" w:rsidR="00ED2862" w:rsidRPr="00002958" w:rsidRDefault="00ED2862" w:rsidP="008073A2">
            <w:pPr>
              <w:keepNext/>
              <w:spacing w:after="0" w:line="240" w:lineRule="auto"/>
              <w:rPr>
                <w:rFonts w:cs="Times New Roman"/>
                <w:color w:val="000000"/>
                <w:lang w:eastAsia="zh-CN"/>
              </w:rPr>
            </w:pPr>
            <w:r w:rsidRPr="00841E63">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35B5F2CE" w14:textId="453E89FA" w:rsidR="00ED2862" w:rsidRPr="00002958" w:rsidRDefault="00ED2862" w:rsidP="008073A2">
            <w:pPr>
              <w:keepNext/>
              <w:spacing w:after="0" w:line="240" w:lineRule="auto"/>
              <w:rPr>
                <w:rFonts w:cs="Times New Roman"/>
                <w:color w:val="000000"/>
                <w:lang w:eastAsia="zh-CN"/>
              </w:rPr>
            </w:pPr>
            <w:r w:rsidRPr="00841E63">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20309F01" w14:textId="36912ECA" w:rsidR="00ED2862" w:rsidRPr="00002958" w:rsidRDefault="00ED2862" w:rsidP="008073A2">
            <w:pPr>
              <w:keepNext/>
              <w:spacing w:after="0" w:line="240" w:lineRule="auto"/>
              <w:rPr>
                <w:rFonts w:cs="Times New Roman"/>
                <w:color w:val="000000"/>
                <w:lang w:eastAsia="zh-CN"/>
              </w:rPr>
            </w:pPr>
            <w:r w:rsidRPr="00841E63">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0450BEDC" w14:textId="374D1466" w:rsidR="00ED2862" w:rsidRPr="00002958" w:rsidRDefault="00ED2862" w:rsidP="008073A2">
            <w:pPr>
              <w:keepNext/>
              <w:spacing w:after="0" w:line="240" w:lineRule="auto"/>
              <w:rPr>
                <w:rFonts w:cs="Times New Roman"/>
                <w:color w:val="000000"/>
                <w:lang w:eastAsia="zh-CN"/>
              </w:rPr>
            </w:pPr>
            <w:r w:rsidRPr="00841E63">
              <w:rPr>
                <w:rFonts w:cs="Times New Roman"/>
                <w:color w:val="000000"/>
                <w:lang w:eastAsia="zh-CN"/>
              </w:rPr>
              <w:t>NA</w:t>
            </w:r>
          </w:p>
        </w:tc>
      </w:tr>
      <w:tr w:rsidR="00ED2862" w:rsidRPr="00002958" w14:paraId="7BE4317D" w14:textId="77777777" w:rsidTr="00E27B35">
        <w:trPr>
          <w:trHeight w:val="900"/>
        </w:trPr>
        <w:tc>
          <w:tcPr>
            <w:tcW w:w="0" w:type="auto"/>
            <w:tcBorders>
              <w:top w:val="nil"/>
              <w:left w:val="single" w:sz="4" w:space="0" w:color="auto"/>
              <w:bottom w:val="single" w:sz="4" w:space="0" w:color="auto"/>
              <w:right w:val="single" w:sz="4" w:space="0" w:color="auto"/>
            </w:tcBorders>
          </w:tcPr>
          <w:p w14:paraId="39D0CFF3" w14:textId="6FF2126E" w:rsidR="00ED2862" w:rsidRPr="00002958" w:rsidRDefault="00ED2862" w:rsidP="0055146C">
            <w:pPr>
              <w:pStyle w:val="Tabletext1"/>
              <w:rPr>
                <w:rFonts w:cs="Times New Roman"/>
                <w:color w:val="000000"/>
                <w:lang w:eastAsia="zh-CN"/>
              </w:rPr>
            </w:pPr>
            <w:r w:rsidRPr="00F273D6">
              <w:t>Have the characteristics of patients lost to follow-up been described?</w:t>
            </w:r>
          </w:p>
        </w:tc>
        <w:tc>
          <w:tcPr>
            <w:tcW w:w="0" w:type="auto"/>
            <w:tcBorders>
              <w:top w:val="nil"/>
              <w:left w:val="single" w:sz="4" w:space="0" w:color="auto"/>
              <w:bottom w:val="single" w:sz="4" w:space="0" w:color="auto"/>
              <w:right w:val="single" w:sz="4" w:space="0" w:color="auto"/>
            </w:tcBorders>
            <w:shd w:val="clear" w:color="auto" w:fill="auto"/>
            <w:hideMark/>
          </w:tcPr>
          <w:p w14:paraId="0533370C" w14:textId="2646F9F3" w:rsidR="00ED2862" w:rsidRPr="00002958" w:rsidRDefault="00ED2862" w:rsidP="008073A2">
            <w:pPr>
              <w:keepNext/>
              <w:spacing w:after="0" w:line="240" w:lineRule="auto"/>
              <w:rPr>
                <w:rFonts w:cs="Times New Roman"/>
                <w:color w:val="000000"/>
                <w:lang w:eastAsia="zh-CN"/>
              </w:rPr>
            </w:pPr>
            <w:r w:rsidRPr="0011396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18D37FDC" w14:textId="033C4C80" w:rsidR="00ED2862" w:rsidRPr="00002958" w:rsidRDefault="00ED2862" w:rsidP="008073A2">
            <w:pPr>
              <w:keepNext/>
              <w:spacing w:after="0" w:line="240" w:lineRule="auto"/>
              <w:rPr>
                <w:rFonts w:cs="Times New Roman"/>
                <w:color w:val="000000"/>
                <w:lang w:eastAsia="zh-CN"/>
              </w:rPr>
            </w:pPr>
            <w:r w:rsidRPr="0011396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04DCCCC1" w14:textId="757AFC27" w:rsidR="00ED2862" w:rsidRPr="00002958" w:rsidRDefault="00ED2862" w:rsidP="008073A2">
            <w:pPr>
              <w:keepNext/>
              <w:spacing w:after="0" w:line="240" w:lineRule="auto"/>
              <w:rPr>
                <w:rFonts w:cs="Times New Roman"/>
                <w:color w:val="000000"/>
                <w:lang w:eastAsia="zh-CN"/>
              </w:rPr>
            </w:pPr>
            <w:r w:rsidRPr="0011396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25A7B393" w14:textId="49D62B50" w:rsidR="00ED2862" w:rsidRPr="00002958" w:rsidRDefault="00ED2862" w:rsidP="008073A2">
            <w:pPr>
              <w:keepNext/>
              <w:spacing w:after="0" w:line="240" w:lineRule="auto"/>
              <w:rPr>
                <w:rFonts w:cs="Times New Roman"/>
                <w:color w:val="000000"/>
                <w:lang w:eastAsia="zh-CN"/>
              </w:rPr>
            </w:pPr>
            <w:r w:rsidRPr="0011396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2DA0CF5E" w14:textId="4D16E527" w:rsidR="00ED2862" w:rsidRPr="00002958" w:rsidRDefault="00ED2862" w:rsidP="008073A2">
            <w:pPr>
              <w:keepNext/>
              <w:spacing w:after="0" w:line="240" w:lineRule="auto"/>
              <w:rPr>
                <w:rFonts w:cs="Times New Roman"/>
                <w:color w:val="000000"/>
                <w:lang w:eastAsia="zh-CN"/>
              </w:rPr>
            </w:pPr>
            <w:r w:rsidRPr="0011396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0D400F23" w14:textId="00B330E0" w:rsidR="00ED2862" w:rsidRPr="00002958" w:rsidRDefault="00ED2862" w:rsidP="008073A2">
            <w:pPr>
              <w:keepNext/>
              <w:spacing w:after="0" w:line="240" w:lineRule="auto"/>
              <w:rPr>
                <w:rFonts w:cs="Times New Roman"/>
                <w:color w:val="000000"/>
                <w:lang w:eastAsia="zh-CN"/>
              </w:rPr>
            </w:pPr>
            <w:r w:rsidRPr="00113966">
              <w:rPr>
                <w:rFonts w:cs="Times New Roman"/>
                <w:color w:val="000000"/>
                <w:lang w:eastAsia="zh-CN"/>
              </w:rPr>
              <w:t>NA</w:t>
            </w:r>
          </w:p>
        </w:tc>
        <w:tc>
          <w:tcPr>
            <w:tcW w:w="0" w:type="auto"/>
            <w:tcBorders>
              <w:top w:val="nil"/>
              <w:left w:val="nil"/>
              <w:bottom w:val="single" w:sz="4" w:space="0" w:color="auto"/>
              <w:right w:val="single" w:sz="4" w:space="0" w:color="auto"/>
            </w:tcBorders>
            <w:shd w:val="clear" w:color="auto" w:fill="auto"/>
            <w:hideMark/>
          </w:tcPr>
          <w:p w14:paraId="6D9157DA" w14:textId="018548BD" w:rsidR="00ED2862" w:rsidRPr="00002958" w:rsidRDefault="00ED2862" w:rsidP="008073A2">
            <w:pPr>
              <w:keepNext/>
              <w:spacing w:after="0" w:line="240" w:lineRule="auto"/>
              <w:rPr>
                <w:rFonts w:cs="Times New Roman"/>
                <w:color w:val="000000"/>
                <w:lang w:eastAsia="zh-CN"/>
              </w:rPr>
            </w:pPr>
            <w:r w:rsidRPr="00113966">
              <w:rPr>
                <w:rFonts w:cs="Times New Roman"/>
                <w:color w:val="000000"/>
                <w:lang w:eastAsia="zh-CN"/>
              </w:rPr>
              <w:t>NA</w:t>
            </w:r>
          </w:p>
        </w:tc>
      </w:tr>
      <w:tr w:rsidR="00ED2862" w:rsidRPr="00002958" w14:paraId="0457635C" w14:textId="77777777" w:rsidTr="00E27B35">
        <w:trPr>
          <w:trHeight w:val="600"/>
        </w:trPr>
        <w:tc>
          <w:tcPr>
            <w:tcW w:w="0" w:type="auto"/>
            <w:tcBorders>
              <w:top w:val="nil"/>
              <w:left w:val="single" w:sz="4" w:space="0" w:color="auto"/>
              <w:bottom w:val="single" w:sz="4" w:space="0" w:color="auto"/>
              <w:right w:val="single" w:sz="4" w:space="0" w:color="auto"/>
            </w:tcBorders>
          </w:tcPr>
          <w:p w14:paraId="47313579" w14:textId="34B9FADA" w:rsidR="00ED2862" w:rsidRPr="00002958" w:rsidRDefault="00ED2862" w:rsidP="0055146C">
            <w:pPr>
              <w:pStyle w:val="Tabletext1"/>
              <w:rPr>
                <w:rFonts w:cs="Times New Roman"/>
                <w:b/>
                <w:color w:val="000000"/>
                <w:lang w:eastAsia="zh-CN"/>
              </w:rPr>
            </w:pPr>
            <w:r w:rsidRPr="00F273D6">
              <w:t>Have actual probability values been reported for the main outcomes except where the probability value is less than 0.001?</w:t>
            </w:r>
          </w:p>
        </w:tc>
        <w:tc>
          <w:tcPr>
            <w:tcW w:w="0" w:type="auto"/>
            <w:tcBorders>
              <w:top w:val="nil"/>
              <w:left w:val="single" w:sz="4" w:space="0" w:color="auto"/>
              <w:bottom w:val="single" w:sz="4" w:space="0" w:color="auto"/>
              <w:right w:val="single" w:sz="4" w:space="0" w:color="auto"/>
            </w:tcBorders>
            <w:shd w:val="clear" w:color="auto" w:fill="auto"/>
            <w:hideMark/>
          </w:tcPr>
          <w:p w14:paraId="7C4B8CCE" w14:textId="14BD599A" w:rsidR="00ED2862" w:rsidRPr="00002958" w:rsidRDefault="00ED2862" w:rsidP="008073A2">
            <w:pPr>
              <w:keepNext/>
              <w:spacing w:after="0" w:line="240" w:lineRule="auto"/>
              <w:rPr>
                <w:rFonts w:cs="Times New Roman"/>
                <w:b/>
                <w:bCs/>
                <w:color w:val="000000"/>
                <w:lang w:eastAsia="zh-CN"/>
              </w:rPr>
            </w:pPr>
            <w:r w:rsidRPr="007943D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965B989" w14:textId="41176C21" w:rsidR="00ED2862" w:rsidRPr="00002958" w:rsidRDefault="00ED2862" w:rsidP="008073A2">
            <w:pPr>
              <w:keepNext/>
              <w:spacing w:after="0" w:line="240" w:lineRule="auto"/>
              <w:rPr>
                <w:rFonts w:cs="Times New Roman"/>
                <w:b/>
                <w:bCs/>
                <w:color w:val="000000"/>
                <w:lang w:eastAsia="zh-CN"/>
              </w:rPr>
            </w:pPr>
            <w:r w:rsidRPr="007943D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E8BC2F7" w14:textId="10DF0AEE" w:rsidR="00ED2862" w:rsidRPr="00002958" w:rsidRDefault="00ED2862" w:rsidP="008073A2">
            <w:pPr>
              <w:keepNext/>
              <w:spacing w:after="0" w:line="240" w:lineRule="auto"/>
              <w:rPr>
                <w:rFonts w:cs="Times New Roman"/>
                <w:color w:val="000000"/>
                <w:lang w:eastAsia="zh-CN"/>
              </w:rPr>
            </w:pPr>
            <w:r w:rsidRPr="007943D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2C363DB" w14:textId="098A266E" w:rsidR="00ED2862" w:rsidRPr="00002958" w:rsidRDefault="00ED2862" w:rsidP="008073A2">
            <w:pPr>
              <w:keepNext/>
              <w:spacing w:after="0" w:line="240" w:lineRule="auto"/>
              <w:rPr>
                <w:rFonts w:cs="Times New Roman"/>
                <w:color w:val="000000"/>
                <w:lang w:eastAsia="zh-CN"/>
              </w:rPr>
            </w:pPr>
            <w:r w:rsidRPr="007943D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CDAB880" w14:textId="21F4E3CE" w:rsidR="00ED2862" w:rsidRPr="00002958" w:rsidRDefault="00ED2862" w:rsidP="008073A2">
            <w:pPr>
              <w:keepNext/>
              <w:spacing w:after="0" w:line="240" w:lineRule="auto"/>
              <w:rPr>
                <w:rFonts w:cs="Times New Roman"/>
                <w:b/>
                <w:bCs/>
                <w:color w:val="000000"/>
                <w:lang w:eastAsia="zh-CN"/>
              </w:rPr>
            </w:pPr>
            <w:r w:rsidRPr="007943D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DE4EE93" w14:textId="47EE2043" w:rsidR="00ED2862" w:rsidRPr="00002958" w:rsidRDefault="00ED2862" w:rsidP="008073A2">
            <w:pPr>
              <w:keepNext/>
              <w:spacing w:after="0" w:line="240" w:lineRule="auto"/>
              <w:rPr>
                <w:rFonts w:cs="Times New Roman"/>
                <w:color w:val="000000"/>
                <w:lang w:eastAsia="zh-CN"/>
              </w:rPr>
            </w:pPr>
            <w:r w:rsidRPr="007943D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2A162C9" w14:textId="0C98E214" w:rsidR="00ED2862" w:rsidRPr="00002958" w:rsidRDefault="00ED2862" w:rsidP="008073A2">
            <w:pPr>
              <w:keepNext/>
              <w:spacing w:after="0" w:line="240" w:lineRule="auto"/>
              <w:rPr>
                <w:rFonts w:cs="Times New Roman"/>
                <w:color w:val="000000"/>
                <w:lang w:eastAsia="zh-CN"/>
              </w:rPr>
            </w:pPr>
            <w:r w:rsidRPr="001D7B73">
              <w:rPr>
                <w:snapToGrid w:val="0"/>
                <w:color w:val="FF0000"/>
                <w:sz w:val="18"/>
                <w:szCs w:val="18"/>
              </w:rPr>
              <w:sym w:font="Wingdings" w:char="F04C"/>
            </w:r>
          </w:p>
        </w:tc>
      </w:tr>
      <w:tr w:rsidR="00ED2862" w:rsidRPr="00002958" w14:paraId="5E109BD3" w14:textId="77777777" w:rsidTr="00E27B35">
        <w:trPr>
          <w:trHeight w:val="900"/>
        </w:trPr>
        <w:tc>
          <w:tcPr>
            <w:tcW w:w="0" w:type="auto"/>
            <w:tcBorders>
              <w:top w:val="nil"/>
              <w:left w:val="single" w:sz="4" w:space="0" w:color="auto"/>
              <w:bottom w:val="single" w:sz="4" w:space="0" w:color="auto"/>
              <w:right w:val="single" w:sz="4" w:space="0" w:color="auto"/>
            </w:tcBorders>
          </w:tcPr>
          <w:p w14:paraId="52417D7D" w14:textId="5DD93E75" w:rsidR="00ED2862" w:rsidRPr="00002958" w:rsidRDefault="00ED2862" w:rsidP="0055146C">
            <w:pPr>
              <w:pStyle w:val="Tabletext1"/>
              <w:rPr>
                <w:rFonts w:cs="Times New Roman"/>
                <w:color w:val="000000"/>
                <w:lang w:eastAsia="zh-CN"/>
              </w:rPr>
            </w:pPr>
            <w:r w:rsidRPr="00F273D6">
              <w:t>Were the subjects asked to participate in the study representative of the entire population from which they were recruited?</w:t>
            </w:r>
          </w:p>
        </w:tc>
        <w:tc>
          <w:tcPr>
            <w:tcW w:w="0" w:type="auto"/>
            <w:tcBorders>
              <w:top w:val="nil"/>
              <w:left w:val="single" w:sz="4" w:space="0" w:color="auto"/>
              <w:bottom w:val="single" w:sz="4" w:space="0" w:color="auto"/>
              <w:right w:val="single" w:sz="4" w:space="0" w:color="auto"/>
            </w:tcBorders>
            <w:shd w:val="clear" w:color="auto" w:fill="auto"/>
            <w:hideMark/>
          </w:tcPr>
          <w:p w14:paraId="278B6597" w14:textId="6765CCF4" w:rsidR="00ED2862" w:rsidRPr="00002958" w:rsidRDefault="00ED2862" w:rsidP="008073A2">
            <w:pPr>
              <w:keepNext/>
              <w:spacing w:after="0" w:line="240" w:lineRule="auto"/>
              <w:rPr>
                <w:rFonts w:cs="Times New Roman"/>
                <w:color w:val="000000"/>
                <w:lang w:eastAsia="zh-CN"/>
              </w:rPr>
            </w:pPr>
            <w:r w:rsidRPr="00297695">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9C51FEE" w14:textId="6170F3A4" w:rsidR="00ED2862" w:rsidRPr="00002958" w:rsidRDefault="00ED2862" w:rsidP="008073A2">
            <w:pPr>
              <w:keepNext/>
              <w:spacing w:after="0" w:line="240" w:lineRule="auto"/>
              <w:rPr>
                <w:rFonts w:cs="Times New Roman"/>
                <w:color w:val="000000"/>
                <w:lang w:eastAsia="zh-CN"/>
              </w:rPr>
            </w:pPr>
            <w:r w:rsidRPr="00297695">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A66A3A3" w14:textId="393B300F" w:rsidR="00ED2862" w:rsidRPr="00002958" w:rsidRDefault="00ED2862" w:rsidP="008073A2">
            <w:pPr>
              <w:keepNext/>
              <w:spacing w:after="0" w:line="240" w:lineRule="auto"/>
              <w:rPr>
                <w:rFonts w:cs="Times New Roman"/>
                <w:color w:val="000000"/>
                <w:lang w:eastAsia="zh-CN"/>
              </w:rPr>
            </w:pPr>
            <w:r w:rsidRPr="00297695">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EA06435" w14:textId="1EF37067" w:rsidR="00ED2862" w:rsidRPr="00002958" w:rsidRDefault="00ED2862" w:rsidP="008073A2">
            <w:pPr>
              <w:keepNext/>
              <w:spacing w:after="0" w:line="240" w:lineRule="auto"/>
              <w:rPr>
                <w:rFonts w:cs="Times New Roman"/>
                <w:color w:val="000000"/>
                <w:lang w:eastAsia="zh-CN"/>
              </w:rPr>
            </w:pPr>
            <w:r w:rsidRPr="00297695">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A30FD61" w14:textId="3A4BD596" w:rsidR="00ED2862" w:rsidRPr="00002958" w:rsidRDefault="00ED2862" w:rsidP="008073A2">
            <w:pPr>
              <w:keepNext/>
              <w:spacing w:after="0" w:line="240" w:lineRule="auto"/>
              <w:rPr>
                <w:rFonts w:cs="Times New Roman"/>
                <w:color w:val="000000"/>
                <w:lang w:eastAsia="zh-CN"/>
              </w:rPr>
            </w:pPr>
            <w:r w:rsidRPr="00297695">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4752797" w14:textId="6032A692" w:rsidR="00ED2862" w:rsidRPr="00002958" w:rsidRDefault="00ED2862" w:rsidP="008073A2">
            <w:pPr>
              <w:keepNext/>
              <w:spacing w:after="0" w:line="240" w:lineRule="auto"/>
              <w:rPr>
                <w:rFonts w:cs="Times New Roman"/>
                <w:color w:val="000000"/>
                <w:lang w:eastAsia="zh-CN"/>
              </w:rPr>
            </w:pPr>
            <w:r w:rsidRPr="00297695">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D7C8BEB" w14:textId="655B6A2A" w:rsidR="00ED2862" w:rsidRPr="00002958" w:rsidRDefault="00ED2862" w:rsidP="008073A2">
            <w:pPr>
              <w:keepNext/>
              <w:spacing w:after="0" w:line="240" w:lineRule="auto"/>
              <w:rPr>
                <w:rFonts w:cs="Times New Roman"/>
                <w:color w:val="000000"/>
                <w:lang w:eastAsia="zh-CN"/>
              </w:rPr>
            </w:pPr>
            <w:r w:rsidRPr="00297695">
              <w:rPr>
                <w:snapToGrid w:val="0"/>
                <w:color w:val="00B050"/>
                <w:sz w:val="18"/>
                <w:szCs w:val="18"/>
              </w:rPr>
              <w:sym w:font="Wingdings" w:char="F04A"/>
            </w:r>
          </w:p>
        </w:tc>
      </w:tr>
      <w:tr w:rsidR="00ED2862" w:rsidRPr="00002958" w14:paraId="653D7251" w14:textId="77777777" w:rsidTr="00E27B35">
        <w:trPr>
          <w:trHeight w:val="600"/>
        </w:trPr>
        <w:tc>
          <w:tcPr>
            <w:tcW w:w="0" w:type="auto"/>
            <w:tcBorders>
              <w:top w:val="nil"/>
              <w:left w:val="single" w:sz="4" w:space="0" w:color="auto"/>
              <w:bottom w:val="single" w:sz="4" w:space="0" w:color="auto"/>
              <w:right w:val="single" w:sz="4" w:space="0" w:color="auto"/>
            </w:tcBorders>
          </w:tcPr>
          <w:p w14:paraId="59899617" w14:textId="723DF05C" w:rsidR="00ED2862" w:rsidRPr="00002958" w:rsidRDefault="00ED2862" w:rsidP="0055146C">
            <w:pPr>
              <w:pStyle w:val="Tabletext1"/>
              <w:rPr>
                <w:rFonts w:cs="Times New Roman"/>
                <w:color w:val="000000"/>
                <w:lang w:eastAsia="zh-CN"/>
              </w:rPr>
            </w:pPr>
            <w:r w:rsidRPr="00F273D6">
              <w:t>Were those subjects who were prepared to participate, representative of the entire population from which they were recruited?</w:t>
            </w:r>
          </w:p>
        </w:tc>
        <w:tc>
          <w:tcPr>
            <w:tcW w:w="0" w:type="auto"/>
            <w:tcBorders>
              <w:top w:val="nil"/>
              <w:left w:val="single" w:sz="4" w:space="0" w:color="auto"/>
              <w:bottom w:val="single" w:sz="4" w:space="0" w:color="auto"/>
              <w:right w:val="single" w:sz="4" w:space="0" w:color="auto"/>
            </w:tcBorders>
            <w:shd w:val="clear" w:color="auto" w:fill="auto"/>
            <w:hideMark/>
          </w:tcPr>
          <w:p w14:paraId="3E36C53E" w14:textId="56103061" w:rsidR="00ED2862" w:rsidRPr="00002958" w:rsidRDefault="00ED2862" w:rsidP="008073A2">
            <w:pPr>
              <w:keepNext/>
              <w:spacing w:after="0" w:line="240" w:lineRule="auto"/>
              <w:rPr>
                <w:rFonts w:cs="Times New Roman"/>
                <w:color w:val="000000"/>
                <w:lang w:eastAsia="zh-CN"/>
              </w:rPr>
            </w:pPr>
            <w:r w:rsidRPr="00201979">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5639C253" w14:textId="5BAC4E7F" w:rsidR="00ED2862" w:rsidRPr="00002958" w:rsidRDefault="00ED2862" w:rsidP="008073A2">
            <w:pPr>
              <w:keepNext/>
              <w:spacing w:after="0" w:line="240" w:lineRule="auto"/>
              <w:rPr>
                <w:rFonts w:cs="Times New Roman"/>
                <w:color w:val="000000"/>
                <w:lang w:eastAsia="zh-CN"/>
              </w:rPr>
            </w:pPr>
            <w:r w:rsidRPr="00201979">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0E0CC16" w14:textId="13E3D9CC" w:rsidR="00ED2862" w:rsidRPr="00002958" w:rsidRDefault="00ED2862" w:rsidP="008073A2">
            <w:pPr>
              <w:keepNext/>
              <w:spacing w:after="0" w:line="240" w:lineRule="auto"/>
              <w:rPr>
                <w:rFonts w:cs="Times New Roman"/>
                <w:color w:val="000000"/>
                <w:lang w:eastAsia="zh-CN"/>
              </w:rPr>
            </w:pPr>
            <w:r w:rsidRPr="00201979">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B022AFA" w14:textId="21D20290" w:rsidR="00ED2862" w:rsidRPr="00002958" w:rsidRDefault="00ED2862" w:rsidP="008073A2">
            <w:pPr>
              <w:keepNext/>
              <w:spacing w:after="0" w:line="240" w:lineRule="auto"/>
              <w:rPr>
                <w:rFonts w:cs="Times New Roman"/>
                <w:color w:val="000000"/>
                <w:lang w:eastAsia="zh-CN"/>
              </w:rPr>
            </w:pPr>
            <w:r w:rsidRPr="00201979">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D37A17F" w14:textId="283549A3" w:rsidR="00ED2862" w:rsidRPr="00002958" w:rsidRDefault="00ED2862" w:rsidP="008073A2">
            <w:pPr>
              <w:keepNext/>
              <w:spacing w:after="0" w:line="240" w:lineRule="auto"/>
              <w:rPr>
                <w:rFonts w:cs="Times New Roman"/>
                <w:color w:val="000000"/>
                <w:lang w:eastAsia="zh-CN"/>
              </w:rPr>
            </w:pPr>
            <w:r w:rsidRPr="00201979">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A3B60EC" w14:textId="5E74D70D" w:rsidR="00ED2862" w:rsidRPr="00002958" w:rsidRDefault="00ED2862" w:rsidP="008073A2">
            <w:pPr>
              <w:keepNext/>
              <w:spacing w:after="0" w:line="240" w:lineRule="auto"/>
              <w:rPr>
                <w:rFonts w:cs="Times New Roman"/>
                <w:color w:val="000000"/>
                <w:lang w:eastAsia="zh-CN"/>
              </w:rPr>
            </w:pPr>
            <w:r w:rsidRPr="00201979">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3022B21" w14:textId="7A44AE52" w:rsidR="00ED2862" w:rsidRPr="00002958" w:rsidRDefault="00ED2862" w:rsidP="008073A2">
            <w:pPr>
              <w:keepNext/>
              <w:spacing w:after="0" w:line="240" w:lineRule="auto"/>
              <w:rPr>
                <w:rFonts w:cs="Times New Roman"/>
                <w:color w:val="000000"/>
                <w:lang w:eastAsia="zh-CN"/>
              </w:rPr>
            </w:pPr>
            <w:r w:rsidRPr="00201979">
              <w:rPr>
                <w:snapToGrid w:val="0"/>
                <w:color w:val="00B050"/>
                <w:sz w:val="18"/>
                <w:szCs w:val="18"/>
              </w:rPr>
              <w:sym w:font="Wingdings" w:char="F04A"/>
            </w:r>
          </w:p>
        </w:tc>
      </w:tr>
      <w:tr w:rsidR="00ED2862" w:rsidRPr="00002958" w14:paraId="7062CF7D" w14:textId="77777777" w:rsidTr="00E27B35">
        <w:trPr>
          <w:trHeight w:val="1200"/>
        </w:trPr>
        <w:tc>
          <w:tcPr>
            <w:tcW w:w="0" w:type="auto"/>
            <w:tcBorders>
              <w:top w:val="nil"/>
              <w:left w:val="single" w:sz="4" w:space="0" w:color="auto"/>
              <w:bottom w:val="single" w:sz="4" w:space="0" w:color="auto"/>
              <w:right w:val="single" w:sz="4" w:space="0" w:color="auto"/>
            </w:tcBorders>
          </w:tcPr>
          <w:p w14:paraId="282359C8" w14:textId="147AA5A3" w:rsidR="00ED2862" w:rsidRPr="00002958" w:rsidRDefault="00ED2862" w:rsidP="0055146C">
            <w:pPr>
              <w:pStyle w:val="Tabletext1"/>
              <w:rPr>
                <w:rFonts w:cs="Times New Roman"/>
                <w:color w:val="000000"/>
                <w:lang w:eastAsia="zh-CN"/>
              </w:rPr>
            </w:pPr>
            <w:r w:rsidRPr="00F273D6">
              <w:t>Were the staff, places, and facilities where the patients were treated, representative of the treatment the majority of patients receive?</w:t>
            </w:r>
          </w:p>
        </w:tc>
        <w:tc>
          <w:tcPr>
            <w:tcW w:w="0" w:type="auto"/>
            <w:tcBorders>
              <w:top w:val="nil"/>
              <w:left w:val="single" w:sz="4" w:space="0" w:color="auto"/>
              <w:bottom w:val="single" w:sz="4" w:space="0" w:color="auto"/>
              <w:right w:val="single" w:sz="4" w:space="0" w:color="auto"/>
            </w:tcBorders>
            <w:shd w:val="clear" w:color="auto" w:fill="auto"/>
            <w:hideMark/>
          </w:tcPr>
          <w:p w14:paraId="01578BC2" w14:textId="16AAB0C6" w:rsidR="00ED2862" w:rsidRPr="00002958" w:rsidRDefault="00ED2862" w:rsidP="008073A2">
            <w:pPr>
              <w:keepNext/>
              <w:spacing w:after="0" w:line="240" w:lineRule="auto"/>
              <w:rPr>
                <w:rFonts w:cs="Times New Roman"/>
                <w:color w:val="000000"/>
                <w:lang w:eastAsia="zh-CN"/>
              </w:rPr>
            </w:pPr>
            <w:r w:rsidRPr="00B53BE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6994E65" w14:textId="634FDD4C" w:rsidR="00ED2862" w:rsidRPr="00002958" w:rsidRDefault="00ED2862" w:rsidP="008073A2">
            <w:pPr>
              <w:keepNext/>
              <w:spacing w:after="0" w:line="240" w:lineRule="auto"/>
              <w:rPr>
                <w:rFonts w:cs="Times New Roman"/>
                <w:color w:val="000000"/>
                <w:lang w:eastAsia="zh-CN"/>
              </w:rPr>
            </w:pPr>
            <w:r w:rsidRPr="00B53BE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2614606" w14:textId="60DD242B" w:rsidR="00ED2862" w:rsidRPr="00002958" w:rsidRDefault="00ED2862" w:rsidP="008073A2">
            <w:pPr>
              <w:keepNext/>
              <w:spacing w:after="0" w:line="240" w:lineRule="auto"/>
              <w:rPr>
                <w:rFonts w:cs="Times New Roman"/>
                <w:color w:val="000000"/>
                <w:lang w:eastAsia="zh-CN"/>
              </w:rPr>
            </w:pPr>
            <w:r w:rsidRPr="00B53BE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8C7FE2E" w14:textId="7F381857" w:rsidR="00ED2862" w:rsidRPr="00002958" w:rsidRDefault="00ED2862" w:rsidP="008073A2">
            <w:pPr>
              <w:keepNext/>
              <w:spacing w:after="0" w:line="240" w:lineRule="auto"/>
              <w:rPr>
                <w:rFonts w:cs="Times New Roman"/>
                <w:color w:val="000000"/>
                <w:lang w:eastAsia="zh-CN"/>
              </w:rPr>
            </w:pPr>
            <w:r w:rsidRPr="00B53BE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B6EEA0F" w14:textId="065AECB5" w:rsidR="00ED2862" w:rsidRPr="00002958" w:rsidRDefault="00ED2862" w:rsidP="008073A2">
            <w:pPr>
              <w:keepNext/>
              <w:spacing w:after="0" w:line="240" w:lineRule="auto"/>
              <w:rPr>
                <w:rFonts w:cs="Times New Roman"/>
                <w:color w:val="000000"/>
                <w:lang w:eastAsia="zh-CN"/>
              </w:rPr>
            </w:pPr>
            <w:r w:rsidRPr="00B53BE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91644A7" w14:textId="1461B1E4" w:rsidR="00ED2862" w:rsidRPr="00002958" w:rsidRDefault="00ED2862" w:rsidP="008073A2">
            <w:pPr>
              <w:keepNext/>
              <w:spacing w:after="0" w:line="240" w:lineRule="auto"/>
              <w:rPr>
                <w:rFonts w:cs="Times New Roman"/>
                <w:color w:val="000000"/>
                <w:lang w:eastAsia="zh-CN"/>
              </w:rPr>
            </w:pPr>
            <w:r w:rsidRPr="00B53BE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654703F" w14:textId="2256DFC6" w:rsidR="00ED2862" w:rsidRPr="00002958" w:rsidRDefault="00ED2862" w:rsidP="008073A2">
            <w:pPr>
              <w:keepNext/>
              <w:spacing w:after="0" w:line="240" w:lineRule="auto"/>
              <w:rPr>
                <w:rFonts w:cs="Times New Roman"/>
                <w:color w:val="000000"/>
                <w:lang w:eastAsia="zh-CN"/>
              </w:rPr>
            </w:pPr>
            <w:r w:rsidRPr="00B53BE3">
              <w:rPr>
                <w:snapToGrid w:val="0"/>
                <w:color w:val="00B050"/>
                <w:sz w:val="18"/>
                <w:szCs w:val="18"/>
              </w:rPr>
              <w:sym w:font="Wingdings" w:char="F04A"/>
            </w:r>
          </w:p>
        </w:tc>
      </w:tr>
      <w:tr w:rsidR="00ED2862" w:rsidRPr="00002958" w14:paraId="62343235" w14:textId="77777777" w:rsidTr="00E27B35">
        <w:trPr>
          <w:trHeight w:val="900"/>
        </w:trPr>
        <w:tc>
          <w:tcPr>
            <w:tcW w:w="0" w:type="auto"/>
            <w:tcBorders>
              <w:top w:val="nil"/>
              <w:left w:val="single" w:sz="4" w:space="0" w:color="auto"/>
              <w:bottom w:val="single" w:sz="4" w:space="0" w:color="auto"/>
              <w:right w:val="single" w:sz="4" w:space="0" w:color="auto"/>
            </w:tcBorders>
          </w:tcPr>
          <w:p w14:paraId="585B844A" w14:textId="40311609" w:rsidR="00ED2862" w:rsidRPr="00002958" w:rsidRDefault="00ED2862" w:rsidP="0055146C">
            <w:pPr>
              <w:pStyle w:val="Tabletext1"/>
              <w:rPr>
                <w:rFonts w:cs="Times New Roman"/>
                <w:color w:val="000000"/>
                <w:lang w:eastAsia="zh-CN"/>
              </w:rPr>
            </w:pPr>
            <w:r w:rsidRPr="00F273D6">
              <w:t>Was an attempt made to blind study subjects to the intervention they have received?</w:t>
            </w:r>
          </w:p>
        </w:tc>
        <w:tc>
          <w:tcPr>
            <w:tcW w:w="0" w:type="auto"/>
            <w:tcBorders>
              <w:top w:val="nil"/>
              <w:left w:val="single" w:sz="4" w:space="0" w:color="auto"/>
              <w:bottom w:val="single" w:sz="4" w:space="0" w:color="auto"/>
              <w:right w:val="single" w:sz="4" w:space="0" w:color="auto"/>
            </w:tcBorders>
            <w:shd w:val="clear" w:color="auto" w:fill="auto"/>
            <w:hideMark/>
          </w:tcPr>
          <w:p w14:paraId="19BEEDDE" w14:textId="2DB77D20"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4CB81013" w14:textId="4B81826A"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4C4D8C1B" w14:textId="37C5B3B5"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5604D487" w14:textId="158079B5"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125A2E64" w14:textId="2222EBB9"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28B262A9" w14:textId="4AA311B4"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5E7FA6F0" w14:textId="284FC63B"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r>
      <w:tr w:rsidR="00ED2862" w:rsidRPr="00002958" w14:paraId="2A54FC13" w14:textId="77777777" w:rsidTr="00E27B35">
        <w:trPr>
          <w:trHeight w:val="300"/>
        </w:trPr>
        <w:tc>
          <w:tcPr>
            <w:tcW w:w="0" w:type="auto"/>
            <w:tcBorders>
              <w:top w:val="nil"/>
              <w:left w:val="single" w:sz="4" w:space="0" w:color="auto"/>
              <w:bottom w:val="single" w:sz="4" w:space="0" w:color="auto"/>
              <w:right w:val="single" w:sz="4" w:space="0" w:color="auto"/>
            </w:tcBorders>
          </w:tcPr>
          <w:p w14:paraId="6FFF79E4" w14:textId="36273D79" w:rsidR="00ED2862" w:rsidRPr="00002958" w:rsidRDefault="00ED2862" w:rsidP="0055146C">
            <w:pPr>
              <w:pStyle w:val="Tabletext1"/>
              <w:rPr>
                <w:rFonts w:cs="Times New Roman"/>
                <w:color w:val="000000"/>
                <w:lang w:eastAsia="zh-CN"/>
              </w:rPr>
            </w:pPr>
            <w:r w:rsidRPr="00F273D6">
              <w:t>Was an attempt made to blind those measuring the main outcomes of the intervention?</w:t>
            </w:r>
          </w:p>
        </w:tc>
        <w:tc>
          <w:tcPr>
            <w:tcW w:w="0" w:type="auto"/>
            <w:tcBorders>
              <w:top w:val="nil"/>
              <w:left w:val="single" w:sz="4" w:space="0" w:color="auto"/>
              <w:bottom w:val="single" w:sz="4" w:space="0" w:color="auto"/>
              <w:right w:val="single" w:sz="4" w:space="0" w:color="auto"/>
            </w:tcBorders>
            <w:shd w:val="clear" w:color="auto" w:fill="auto"/>
            <w:hideMark/>
          </w:tcPr>
          <w:p w14:paraId="0777001C" w14:textId="2EBBB8C4"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7B4BF860" w14:textId="1A5B1A2E"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2C8482A6" w14:textId="33BA9BFF"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7294D2DF" w14:textId="6321DBF8"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526ABA88" w14:textId="64C1B37C"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6382E778" w14:textId="1132098E"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2FF6CE4C" w14:textId="6BA844CC" w:rsidR="00ED2862" w:rsidRPr="00002958" w:rsidRDefault="00ED2862" w:rsidP="008073A2">
            <w:pPr>
              <w:keepNext/>
              <w:spacing w:after="0" w:line="240" w:lineRule="auto"/>
              <w:rPr>
                <w:rFonts w:cs="Times New Roman"/>
                <w:color w:val="000000"/>
                <w:lang w:eastAsia="zh-CN"/>
              </w:rPr>
            </w:pPr>
            <w:r w:rsidRPr="009D7614">
              <w:rPr>
                <w:snapToGrid w:val="0"/>
                <w:color w:val="FF0000"/>
                <w:sz w:val="18"/>
                <w:szCs w:val="18"/>
              </w:rPr>
              <w:sym w:font="Wingdings" w:char="F04C"/>
            </w:r>
          </w:p>
        </w:tc>
      </w:tr>
      <w:tr w:rsidR="00ED2862" w:rsidRPr="00002958" w14:paraId="54B7F6D3" w14:textId="77777777" w:rsidTr="00E27B35">
        <w:trPr>
          <w:trHeight w:val="900"/>
        </w:trPr>
        <w:tc>
          <w:tcPr>
            <w:tcW w:w="0" w:type="auto"/>
            <w:tcBorders>
              <w:top w:val="nil"/>
              <w:left w:val="single" w:sz="4" w:space="0" w:color="auto"/>
              <w:bottom w:val="single" w:sz="4" w:space="0" w:color="auto"/>
              <w:right w:val="single" w:sz="4" w:space="0" w:color="auto"/>
            </w:tcBorders>
          </w:tcPr>
          <w:p w14:paraId="4A44D547" w14:textId="1A6E1B82" w:rsidR="00ED2862" w:rsidRPr="00002958" w:rsidRDefault="00ED2862" w:rsidP="0055146C">
            <w:pPr>
              <w:pStyle w:val="Tabletext1"/>
              <w:rPr>
                <w:rFonts w:cs="Times New Roman"/>
                <w:color w:val="000000"/>
                <w:lang w:eastAsia="zh-CN"/>
              </w:rPr>
            </w:pPr>
            <w:r w:rsidRPr="00F273D6">
              <w:t>If any of the results of the study were based on “data dredging”, was this made clear?</w:t>
            </w:r>
          </w:p>
        </w:tc>
        <w:tc>
          <w:tcPr>
            <w:tcW w:w="0" w:type="auto"/>
            <w:tcBorders>
              <w:top w:val="nil"/>
              <w:left w:val="single" w:sz="4" w:space="0" w:color="auto"/>
              <w:bottom w:val="single" w:sz="4" w:space="0" w:color="auto"/>
              <w:right w:val="single" w:sz="4" w:space="0" w:color="auto"/>
            </w:tcBorders>
            <w:shd w:val="clear" w:color="auto" w:fill="auto"/>
            <w:hideMark/>
          </w:tcPr>
          <w:p w14:paraId="19571CCD" w14:textId="791636A7" w:rsidR="00ED2862" w:rsidRPr="00002958" w:rsidRDefault="00ED2862" w:rsidP="008073A2">
            <w:pPr>
              <w:keepNext/>
              <w:spacing w:after="0" w:line="240" w:lineRule="auto"/>
              <w:rPr>
                <w:rFonts w:cs="Times New Roman"/>
                <w:color w:val="000000"/>
                <w:lang w:eastAsia="zh-CN"/>
              </w:rPr>
            </w:pPr>
            <w:r w:rsidRPr="00D20F5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DF8AB48" w14:textId="6061830C" w:rsidR="00ED2862" w:rsidRPr="00002958" w:rsidRDefault="00ED2862" w:rsidP="008073A2">
            <w:pPr>
              <w:keepNext/>
              <w:spacing w:after="0" w:line="240" w:lineRule="auto"/>
              <w:rPr>
                <w:rFonts w:cs="Times New Roman"/>
                <w:color w:val="000000"/>
                <w:lang w:eastAsia="zh-CN"/>
              </w:rPr>
            </w:pPr>
            <w:r w:rsidRPr="00D20F5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7CFB596" w14:textId="07D24B58" w:rsidR="00ED2862" w:rsidRPr="00002958" w:rsidRDefault="00ED2862" w:rsidP="008073A2">
            <w:pPr>
              <w:keepNext/>
              <w:spacing w:after="0" w:line="240" w:lineRule="auto"/>
              <w:rPr>
                <w:rFonts w:cs="Times New Roman"/>
                <w:color w:val="000000"/>
                <w:lang w:eastAsia="zh-CN"/>
              </w:rPr>
            </w:pPr>
            <w:r w:rsidRPr="00D20F5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675F975" w14:textId="2531E6E8" w:rsidR="00ED2862" w:rsidRPr="00002958" w:rsidRDefault="00ED2862" w:rsidP="008073A2">
            <w:pPr>
              <w:keepNext/>
              <w:spacing w:after="0" w:line="240" w:lineRule="auto"/>
              <w:rPr>
                <w:rFonts w:cs="Times New Roman"/>
                <w:color w:val="000000"/>
                <w:lang w:eastAsia="zh-CN"/>
              </w:rPr>
            </w:pPr>
            <w:r w:rsidRPr="00D20F5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6EFDFA9" w14:textId="30C7DEB4" w:rsidR="00ED2862" w:rsidRPr="00002958" w:rsidRDefault="00ED2862" w:rsidP="008073A2">
            <w:pPr>
              <w:keepNext/>
              <w:spacing w:after="0" w:line="240" w:lineRule="auto"/>
              <w:rPr>
                <w:rFonts w:cs="Times New Roman"/>
                <w:color w:val="000000"/>
                <w:lang w:eastAsia="zh-CN"/>
              </w:rPr>
            </w:pPr>
            <w:r w:rsidRPr="00D20F5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B642E49" w14:textId="5E56CDC1" w:rsidR="00ED2862" w:rsidRPr="00002958" w:rsidRDefault="00ED2862" w:rsidP="008073A2">
            <w:pPr>
              <w:keepNext/>
              <w:spacing w:after="0" w:line="240" w:lineRule="auto"/>
              <w:rPr>
                <w:rFonts w:cs="Times New Roman"/>
                <w:color w:val="000000"/>
                <w:lang w:eastAsia="zh-CN"/>
              </w:rPr>
            </w:pPr>
            <w:r w:rsidRPr="00D20F5E">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D5082D5" w14:textId="470AA917" w:rsidR="00ED2862" w:rsidRPr="00002958" w:rsidRDefault="00ED2862" w:rsidP="008073A2">
            <w:pPr>
              <w:keepNext/>
              <w:spacing w:after="0" w:line="240" w:lineRule="auto"/>
              <w:rPr>
                <w:rFonts w:cs="Times New Roman"/>
                <w:color w:val="000000"/>
                <w:lang w:eastAsia="zh-CN"/>
              </w:rPr>
            </w:pPr>
            <w:r w:rsidRPr="00D20F5E">
              <w:rPr>
                <w:snapToGrid w:val="0"/>
                <w:color w:val="00B050"/>
                <w:sz w:val="18"/>
                <w:szCs w:val="18"/>
              </w:rPr>
              <w:sym w:font="Wingdings" w:char="F04A"/>
            </w:r>
          </w:p>
        </w:tc>
      </w:tr>
      <w:tr w:rsidR="00ED2862" w:rsidRPr="00002958" w14:paraId="4EEFDD28" w14:textId="77777777" w:rsidTr="00E27B35">
        <w:trPr>
          <w:trHeight w:val="1500"/>
        </w:trPr>
        <w:tc>
          <w:tcPr>
            <w:tcW w:w="0" w:type="auto"/>
            <w:tcBorders>
              <w:top w:val="nil"/>
              <w:left w:val="single" w:sz="4" w:space="0" w:color="auto"/>
              <w:bottom w:val="single" w:sz="4" w:space="0" w:color="auto"/>
              <w:right w:val="single" w:sz="4" w:space="0" w:color="auto"/>
            </w:tcBorders>
          </w:tcPr>
          <w:p w14:paraId="7EC0B967" w14:textId="0D2207D2" w:rsidR="00ED2862" w:rsidRPr="00002958" w:rsidRDefault="00ED2862" w:rsidP="0055146C">
            <w:pPr>
              <w:pStyle w:val="Tabletext1"/>
              <w:rPr>
                <w:rFonts w:cs="Times New Roman"/>
                <w:color w:val="000000"/>
                <w:lang w:eastAsia="zh-CN"/>
              </w:rPr>
            </w:pPr>
            <w:r w:rsidRPr="00F273D6">
              <w:lastRenderedPageBreak/>
              <w:t>In trials and cohort studies, do the analyses adjust for different lengths of follow-up of patients, or in case control studies, is the time period between the intervention and outcome the same for cases and controls?</w:t>
            </w:r>
          </w:p>
        </w:tc>
        <w:tc>
          <w:tcPr>
            <w:tcW w:w="0" w:type="auto"/>
            <w:tcBorders>
              <w:top w:val="nil"/>
              <w:left w:val="single" w:sz="4" w:space="0" w:color="auto"/>
              <w:bottom w:val="single" w:sz="4" w:space="0" w:color="auto"/>
              <w:right w:val="single" w:sz="4" w:space="0" w:color="auto"/>
            </w:tcBorders>
            <w:shd w:val="clear" w:color="auto" w:fill="auto"/>
            <w:hideMark/>
          </w:tcPr>
          <w:p w14:paraId="3084E780" w14:textId="11CBD530" w:rsidR="00ED2862" w:rsidRPr="00002958" w:rsidRDefault="00ED2862" w:rsidP="008073A2">
            <w:pPr>
              <w:keepNext/>
              <w:spacing w:after="0" w:line="240" w:lineRule="auto"/>
              <w:rPr>
                <w:rFonts w:cs="Times New Roman"/>
                <w:color w:val="000000"/>
                <w:lang w:eastAsia="zh-CN"/>
              </w:rPr>
            </w:pPr>
            <w:r w:rsidRPr="00A71DB1">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5B1F416" w14:textId="45A9B263" w:rsidR="00ED2862" w:rsidRPr="00002958" w:rsidRDefault="00ED2862" w:rsidP="008073A2">
            <w:pPr>
              <w:keepNext/>
              <w:spacing w:after="0" w:line="240" w:lineRule="auto"/>
              <w:rPr>
                <w:rFonts w:cs="Times New Roman"/>
                <w:color w:val="000000"/>
                <w:lang w:eastAsia="zh-CN"/>
              </w:rPr>
            </w:pPr>
            <w:r w:rsidRPr="00A71DB1">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6EDE0FC" w14:textId="585C8B32" w:rsidR="00ED2862" w:rsidRPr="00002958" w:rsidRDefault="00ED2862" w:rsidP="008073A2">
            <w:pPr>
              <w:keepNext/>
              <w:spacing w:after="0" w:line="240" w:lineRule="auto"/>
              <w:rPr>
                <w:rFonts w:cs="Times New Roman"/>
                <w:color w:val="000000"/>
                <w:lang w:eastAsia="zh-CN"/>
              </w:rPr>
            </w:pPr>
            <w:r w:rsidRPr="00A71DB1">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EDCFA17" w14:textId="62E523B3" w:rsidR="00ED2862" w:rsidRPr="00002958" w:rsidRDefault="00ED2862" w:rsidP="008073A2">
            <w:pPr>
              <w:keepNext/>
              <w:spacing w:after="0" w:line="240" w:lineRule="auto"/>
              <w:rPr>
                <w:rFonts w:cs="Times New Roman"/>
                <w:color w:val="000000"/>
                <w:lang w:eastAsia="zh-CN"/>
              </w:rPr>
            </w:pPr>
            <w:r w:rsidRPr="00A71DB1">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E731653" w14:textId="4DBBE0D5" w:rsidR="00ED2862" w:rsidRPr="00002958" w:rsidRDefault="00ED2862" w:rsidP="008073A2">
            <w:pPr>
              <w:keepNext/>
              <w:spacing w:after="0" w:line="240" w:lineRule="auto"/>
              <w:rPr>
                <w:rFonts w:cs="Times New Roman"/>
                <w:color w:val="000000"/>
                <w:lang w:eastAsia="zh-CN"/>
              </w:rPr>
            </w:pPr>
            <w:r w:rsidRPr="00A71DB1">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502C636A" w14:textId="7CAD64AF" w:rsidR="00ED2862" w:rsidRPr="00002958" w:rsidRDefault="00ED2862" w:rsidP="008073A2">
            <w:pPr>
              <w:keepNext/>
              <w:spacing w:after="0" w:line="240" w:lineRule="auto"/>
              <w:rPr>
                <w:rFonts w:cs="Times New Roman"/>
                <w:color w:val="000000"/>
                <w:lang w:eastAsia="zh-CN"/>
              </w:rPr>
            </w:pPr>
            <w:r w:rsidRPr="00A71DB1">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51EEBDB0" w14:textId="4E28596B" w:rsidR="00ED2862" w:rsidRPr="00002958" w:rsidRDefault="00ED2862" w:rsidP="008073A2">
            <w:pPr>
              <w:keepNext/>
              <w:spacing w:after="0" w:line="240" w:lineRule="auto"/>
              <w:rPr>
                <w:rFonts w:cs="Times New Roman"/>
                <w:color w:val="000000"/>
                <w:lang w:eastAsia="zh-CN"/>
              </w:rPr>
            </w:pPr>
            <w:r w:rsidRPr="00A71DB1">
              <w:rPr>
                <w:snapToGrid w:val="0"/>
                <w:color w:val="00B050"/>
                <w:sz w:val="18"/>
                <w:szCs w:val="18"/>
              </w:rPr>
              <w:sym w:font="Wingdings" w:char="F04A"/>
            </w:r>
          </w:p>
        </w:tc>
      </w:tr>
      <w:tr w:rsidR="00ED2862" w:rsidRPr="00002958" w14:paraId="4737F8BD" w14:textId="77777777" w:rsidTr="00E27B35">
        <w:trPr>
          <w:trHeight w:val="900"/>
        </w:trPr>
        <w:tc>
          <w:tcPr>
            <w:tcW w:w="0" w:type="auto"/>
            <w:tcBorders>
              <w:top w:val="nil"/>
              <w:left w:val="single" w:sz="4" w:space="0" w:color="auto"/>
              <w:bottom w:val="single" w:sz="4" w:space="0" w:color="auto"/>
              <w:right w:val="single" w:sz="4" w:space="0" w:color="auto"/>
            </w:tcBorders>
          </w:tcPr>
          <w:p w14:paraId="02C20EF6" w14:textId="1274B2DE" w:rsidR="00ED2862" w:rsidRPr="00002958" w:rsidRDefault="00ED2862" w:rsidP="0055146C">
            <w:pPr>
              <w:pStyle w:val="Tabletext1"/>
              <w:rPr>
                <w:rFonts w:cs="Times New Roman"/>
                <w:color w:val="000000"/>
                <w:lang w:eastAsia="zh-CN"/>
              </w:rPr>
            </w:pPr>
            <w:r w:rsidRPr="00F273D6">
              <w:t>Were the statistical tests used to assess the main outcomes appropriate?</w:t>
            </w:r>
          </w:p>
        </w:tc>
        <w:tc>
          <w:tcPr>
            <w:tcW w:w="0" w:type="auto"/>
            <w:tcBorders>
              <w:top w:val="nil"/>
              <w:left w:val="single" w:sz="4" w:space="0" w:color="auto"/>
              <w:bottom w:val="single" w:sz="4" w:space="0" w:color="auto"/>
              <w:right w:val="single" w:sz="4" w:space="0" w:color="auto"/>
            </w:tcBorders>
            <w:shd w:val="clear" w:color="auto" w:fill="auto"/>
            <w:hideMark/>
          </w:tcPr>
          <w:p w14:paraId="630427AA" w14:textId="526AEC6F" w:rsidR="00ED2862" w:rsidRPr="00002958" w:rsidRDefault="00ED2862" w:rsidP="008073A2">
            <w:pPr>
              <w:keepNext/>
              <w:spacing w:after="0" w:line="240" w:lineRule="auto"/>
              <w:rPr>
                <w:rFonts w:cs="Times New Roman"/>
                <w:color w:val="000000"/>
                <w:lang w:eastAsia="zh-CN"/>
              </w:rPr>
            </w:pPr>
            <w:r w:rsidRPr="00F4180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1728052" w14:textId="133A6893" w:rsidR="00ED2862" w:rsidRPr="00002958" w:rsidRDefault="00ED2862" w:rsidP="008073A2">
            <w:pPr>
              <w:keepNext/>
              <w:spacing w:after="0" w:line="240" w:lineRule="auto"/>
              <w:rPr>
                <w:rFonts w:cs="Times New Roman"/>
                <w:color w:val="000000"/>
                <w:lang w:eastAsia="zh-CN"/>
              </w:rPr>
            </w:pPr>
            <w:r w:rsidRPr="00F4180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0B1A248" w14:textId="6EE079D6" w:rsidR="00ED2862" w:rsidRPr="00002958" w:rsidRDefault="00ED2862" w:rsidP="008073A2">
            <w:pPr>
              <w:keepNext/>
              <w:spacing w:after="0" w:line="240" w:lineRule="auto"/>
              <w:rPr>
                <w:rFonts w:cs="Times New Roman"/>
                <w:color w:val="000000"/>
                <w:lang w:eastAsia="zh-CN"/>
              </w:rPr>
            </w:pPr>
            <w:r w:rsidRPr="00F4180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9AB6B7E" w14:textId="39E3C113" w:rsidR="00ED2862" w:rsidRPr="00002958" w:rsidRDefault="00ED2862" w:rsidP="008073A2">
            <w:pPr>
              <w:keepNext/>
              <w:spacing w:after="0" w:line="240" w:lineRule="auto"/>
              <w:rPr>
                <w:rFonts w:cs="Times New Roman"/>
                <w:color w:val="000000"/>
                <w:lang w:eastAsia="zh-CN"/>
              </w:rPr>
            </w:pPr>
            <w:r w:rsidRPr="00F4180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0477141" w14:textId="5CB81C45" w:rsidR="00ED2862" w:rsidRPr="00002958" w:rsidRDefault="00ED2862" w:rsidP="008073A2">
            <w:pPr>
              <w:keepNext/>
              <w:spacing w:after="0" w:line="240" w:lineRule="auto"/>
              <w:rPr>
                <w:rFonts w:cs="Times New Roman"/>
                <w:color w:val="000000"/>
                <w:lang w:eastAsia="zh-CN"/>
              </w:rPr>
            </w:pPr>
            <w:r w:rsidRPr="00F4180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FD09219" w14:textId="059C0C6B" w:rsidR="00ED2862" w:rsidRPr="00002958" w:rsidRDefault="00ED2862" w:rsidP="008073A2">
            <w:pPr>
              <w:keepNext/>
              <w:spacing w:after="0" w:line="240" w:lineRule="auto"/>
              <w:rPr>
                <w:rFonts w:cs="Times New Roman"/>
                <w:color w:val="000000"/>
                <w:lang w:eastAsia="zh-CN"/>
              </w:rPr>
            </w:pPr>
            <w:r w:rsidRPr="00F4180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F818780" w14:textId="460B0014" w:rsidR="00ED2862" w:rsidRPr="00002958" w:rsidRDefault="00ED2862" w:rsidP="008073A2">
            <w:pPr>
              <w:keepNext/>
              <w:spacing w:after="0" w:line="240" w:lineRule="auto"/>
              <w:rPr>
                <w:rFonts w:cs="Times New Roman"/>
                <w:color w:val="000000"/>
                <w:lang w:eastAsia="zh-CN"/>
              </w:rPr>
            </w:pPr>
            <w:r w:rsidRPr="00F4180B">
              <w:rPr>
                <w:snapToGrid w:val="0"/>
                <w:color w:val="00B050"/>
                <w:sz w:val="18"/>
                <w:szCs w:val="18"/>
              </w:rPr>
              <w:sym w:font="Wingdings" w:char="F04A"/>
            </w:r>
          </w:p>
        </w:tc>
      </w:tr>
      <w:tr w:rsidR="00ED2862" w:rsidRPr="00002958" w14:paraId="020CABEA" w14:textId="77777777" w:rsidTr="009A220C">
        <w:trPr>
          <w:trHeight w:val="576"/>
        </w:trPr>
        <w:tc>
          <w:tcPr>
            <w:tcW w:w="0" w:type="auto"/>
            <w:tcBorders>
              <w:top w:val="nil"/>
              <w:left w:val="single" w:sz="4" w:space="0" w:color="auto"/>
              <w:bottom w:val="single" w:sz="4" w:space="0" w:color="auto"/>
              <w:right w:val="single" w:sz="4" w:space="0" w:color="auto"/>
            </w:tcBorders>
          </w:tcPr>
          <w:p w14:paraId="39E80B22" w14:textId="21FEB023" w:rsidR="00ED2862" w:rsidRPr="00002958" w:rsidRDefault="00ED2862" w:rsidP="0055146C">
            <w:pPr>
              <w:pStyle w:val="Tabletext1"/>
              <w:rPr>
                <w:rFonts w:cs="Times New Roman"/>
                <w:color w:val="000000"/>
                <w:lang w:eastAsia="zh-CN"/>
              </w:rPr>
            </w:pPr>
            <w:r w:rsidRPr="00F273D6">
              <w:t>Was compliance with the intervention/s reliable?</w:t>
            </w:r>
          </w:p>
        </w:tc>
        <w:tc>
          <w:tcPr>
            <w:tcW w:w="0" w:type="auto"/>
            <w:tcBorders>
              <w:top w:val="nil"/>
              <w:left w:val="single" w:sz="4" w:space="0" w:color="auto"/>
              <w:bottom w:val="single" w:sz="4" w:space="0" w:color="auto"/>
              <w:right w:val="single" w:sz="4" w:space="0" w:color="auto"/>
            </w:tcBorders>
            <w:shd w:val="clear" w:color="auto" w:fill="auto"/>
            <w:hideMark/>
          </w:tcPr>
          <w:p w14:paraId="494E5030" w14:textId="4B463F39" w:rsidR="00ED2862" w:rsidRPr="00002958" w:rsidRDefault="00ED2862" w:rsidP="008073A2">
            <w:pPr>
              <w:keepNext/>
              <w:spacing w:after="0" w:line="240" w:lineRule="auto"/>
              <w:rPr>
                <w:rFonts w:cs="Times New Roman"/>
                <w:color w:val="000000"/>
                <w:lang w:eastAsia="zh-CN"/>
              </w:rPr>
            </w:pPr>
            <w:r w:rsidRPr="00350F24">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5C671FFF" w14:textId="142AB166" w:rsidR="00ED2862" w:rsidRPr="00002958" w:rsidRDefault="00ED2862" w:rsidP="008073A2">
            <w:pPr>
              <w:keepNext/>
              <w:spacing w:after="0" w:line="240" w:lineRule="auto"/>
              <w:rPr>
                <w:rFonts w:cs="Times New Roman"/>
                <w:color w:val="000000"/>
                <w:lang w:eastAsia="zh-CN"/>
              </w:rPr>
            </w:pPr>
            <w:r w:rsidRPr="00350F24">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B435C50" w14:textId="079D58C9" w:rsidR="00ED2862" w:rsidRPr="00002958" w:rsidRDefault="00ED2862" w:rsidP="008073A2">
            <w:pPr>
              <w:keepNext/>
              <w:spacing w:after="0" w:line="240" w:lineRule="auto"/>
              <w:rPr>
                <w:rFonts w:cs="Times New Roman"/>
                <w:color w:val="000000"/>
                <w:lang w:eastAsia="zh-CN"/>
              </w:rPr>
            </w:pPr>
            <w:r w:rsidRPr="00350F24">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23971BB" w14:textId="2150BC54" w:rsidR="00ED2862" w:rsidRPr="00002958" w:rsidRDefault="00ED2862" w:rsidP="008073A2">
            <w:pPr>
              <w:keepNext/>
              <w:spacing w:after="0" w:line="240" w:lineRule="auto"/>
              <w:rPr>
                <w:rFonts w:cs="Times New Roman"/>
                <w:color w:val="000000"/>
                <w:lang w:eastAsia="zh-CN"/>
              </w:rPr>
            </w:pPr>
            <w:r w:rsidRPr="00350F24">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50CCF8C3" w14:textId="3DCF2745" w:rsidR="00ED2862" w:rsidRPr="00002958" w:rsidRDefault="00ED2862" w:rsidP="008073A2">
            <w:pPr>
              <w:keepNext/>
              <w:spacing w:after="0" w:line="240" w:lineRule="auto"/>
              <w:rPr>
                <w:rFonts w:cs="Times New Roman"/>
                <w:color w:val="000000"/>
                <w:lang w:eastAsia="zh-CN"/>
              </w:rPr>
            </w:pPr>
            <w:r w:rsidRPr="00350F24">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627024E8" w14:textId="742CA4F3" w:rsidR="00ED2862" w:rsidRPr="00002958" w:rsidRDefault="00ED2862" w:rsidP="008073A2">
            <w:pPr>
              <w:keepNext/>
              <w:spacing w:after="0" w:line="240" w:lineRule="auto"/>
              <w:rPr>
                <w:rFonts w:cs="Times New Roman"/>
                <w:color w:val="000000"/>
                <w:lang w:eastAsia="zh-CN"/>
              </w:rPr>
            </w:pPr>
            <w:r w:rsidRPr="00350F24">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0344D0D8" w14:textId="59DE4734" w:rsidR="00ED2862" w:rsidRPr="00002958" w:rsidRDefault="00ED2862" w:rsidP="008073A2">
            <w:pPr>
              <w:keepNext/>
              <w:spacing w:after="0" w:line="240" w:lineRule="auto"/>
              <w:rPr>
                <w:rFonts w:cs="Times New Roman"/>
                <w:color w:val="000000"/>
                <w:lang w:eastAsia="zh-CN"/>
              </w:rPr>
            </w:pPr>
            <w:r w:rsidRPr="00350F24">
              <w:rPr>
                <w:snapToGrid w:val="0"/>
                <w:color w:val="00B050"/>
                <w:sz w:val="18"/>
                <w:szCs w:val="18"/>
              </w:rPr>
              <w:sym w:font="Wingdings" w:char="F04A"/>
            </w:r>
          </w:p>
        </w:tc>
      </w:tr>
      <w:tr w:rsidR="00ED2862" w:rsidRPr="00002958" w14:paraId="18A42799" w14:textId="77777777" w:rsidTr="009A220C">
        <w:trPr>
          <w:trHeight w:val="556"/>
        </w:trPr>
        <w:tc>
          <w:tcPr>
            <w:tcW w:w="0" w:type="auto"/>
            <w:tcBorders>
              <w:top w:val="nil"/>
              <w:left w:val="single" w:sz="4" w:space="0" w:color="auto"/>
              <w:bottom w:val="single" w:sz="4" w:space="0" w:color="auto"/>
              <w:right w:val="single" w:sz="4" w:space="0" w:color="auto"/>
            </w:tcBorders>
          </w:tcPr>
          <w:p w14:paraId="15A9C3ED" w14:textId="42B7FF1D" w:rsidR="00ED2862" w:rsidRPr="00002958" w:rsidRDefault="00ED2862" w:rsidP="0055146C">
            <w:pPr>
              <w:pStyle w:val="Tabletext1"/>
              <w:rPr>
                <w:rFonts w:cs="Times New Roman"/>
                <w:color w:val="000000"/>
                <w:lang w:eastAsia="zh-CN"/>
              </w:rPr>
            </w:pPr>
            <w:r w:rsidRPr="00F273D6">
              <w:t>Were the main outcome measures used accurate (valid and reliable)?</w:t>
            </w:r>
          </w:p>
        </w:tc>
        <w:tc>
          <w:tcPr>
            <w:tcW w:w="0" w:type="auto"/>
            <w:tcBorders>
              <w:top w:val="nil"/>
              <w:left w:val="single" w:sz="4" w:space="0" w:color="auto"/>
              <w:bottom w:val="single" w:sz="4" w:space="0" w:color="auto"/>
              <w:right w:val="single" w:sz="4" w:space="0" w:color="auto"/>
            </w:tcBorders>
            <w:shd w:val="clear" w:color="auto" w:fill="auto"/>
            <w:hideMark/>
          </w:tcPr>
          <w:p w14:paraId="3B2BE163" w14:textId="7F64A379" w:rsidR="00ED2862" w:rsidRPr="00002958" w:rsidRDefault="00ED2862" w:rsidP="008073A2">
            <w:pPr>
              <w:keepNext/>
              <w:spacing w:after="0" w:line="240" w:lineRule="auto"/>
              <w:rPr>
                <w:rFonts w:cs="Times New Roman"/>
                <w:color w:val="000000"/>
                <w:lang w:eastAsia="zh-CN"/>
              </w:rPr>
            </w:pPr>
            <w:r w:rsidRPr="009462FA">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D727857" w14:textId="049E0213" w:rsidR="00ED2862" w:rsidRPr="00002958" w:rsidRDefault="00ED2862" w:rsidP="008073A2">
            <w:pPr>
              <w:keepNext/>
              <w:spacing w:after="0" w:line="240" w:lineRule="auto"/>
              <w:rPr>
                <w:rFonts w:cs="Times New Roman"/>
                <w:color w:val="000000"/>
                <w:lang w:eastAsia="zh-CN"/>
              </w:rPr>
            </w:pPr>
            <w:r w:rsidRPr="009462FA">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B7F6A96" w14:textId="05579A4D" w:rsidR="00ED2862" w:rsidRPr="00002958" w:rsidRDefault="00ED2862" w:rsidP="008073A2">
            <w:pPr>
              <w:keepNext/>
              <w:spacing w:after="0" w:line="240" w:lineRule="auto"/>
              <w:rPr>
                <w:rFonts w:cs="Times New Roman"/>
                <w:color w:val="000000"/>
                <w:lang w:eastAsia="zh-CN"/>
              </w:rPr>
            </w:pPr>
            <w:r w:rsidRPr="009462FA">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228D32E" w14:textId="4F96CA68" w:rsidR="00ED2862" w:rsidRPr="00002958" w:rsidRDefault="00ED2862" w:rsidP="008073A2">
            <w:pPr>
              <w:keepNext/>
              <w:spacing w:after="0" w:line="240" w:lineRule="auto"/>
              <w:rPr>
                <w:rFonts w:cs="Times New Roman"/>
                <w:color w:val="000000"/>
                <w:lang w:eastAsia="zh-CN"/>
              </w:rPr>
            </w:pPr>
            <w:r w:rsidRPr="009462FA">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33A91FC" w14:textId="34F7E13C" w:rsidR="00ED2862" w:rsidRPr="00002958" w:rsidRDefault="00ED2862" w:rsidP="008073A2">
            <w:pPr>
              <w:keepNext/>
              <w:spacing w:after="0" w:line="240" w:lineRule="auto"/>
              <w:rPr>
                <w:rFonts w:cs="Times New Roman"/>
                <w:color w:val="000000"/>
                <w:lang w:eastAsia="zh-CN"/>
              </w:rPr>
            </w:pPr>
            <w:r w:rsidRPr="009462FA">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8FF3735" w14:textId="250336AD" w:rsidR="00ED2862" w:rsidRPr="00002958" w:rsidRDefault="00ED2862" w:rsidP="008073A2">
            <w:pPr>
              <w:keepNext/>
              <w:spacing w:after="0" w:line="240" w:lineRule="auto"/>
              <w:rPr>
                <w:rFonts w:cs="Times New Roman"/>
                <w:color w:val="000000"/>
                <w:lang w:eastAsia="zh-CN"/>
              </w:rPr>
            </w:pPr>
            <w:r w:rsidRPr="009462FA">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1F5AABF" w14:textId="6EB48BC2" w:rsidR="00ED2862" w:rsidRPr="00002958" w:rsidRDefault="00ED2862" w:rsidP="008073A2">
            <w:pPr>
              <w:keepNext/>
              <w:spacing w:after="0" w:line="240" w:lineRule="auto"/>
              <w:rPr>
                <w:rFonts w:cs="Times New Roman"/>
                <w:color w:val="000000"/>
                <w:lang w:eastAsia="zh-CN"/>
              </w:rPr>
            </w:pPr>
            <w:r w:rsidRPr="009462FA">
              <w:rPr>
                <w:snapToGrid w:val="0"/>
                <w:color w:val="00B050"/>
                <w:sz w:val="18"/>
                <w:szCs w:val="18"/>
              </w:rPr>
              <w:sym w:font="Wingdings" w:char="F04A"/>
            </w:r>
          </w:p>
        </w:tc>
      </w:tr>
      <w:tr w:rsidR="00ED2862" w:rsidRPr="00002958" w14:paraId="641071AA" w14:textId="77777777" w:rsidTr="00E27B35">
        <w:trPr>
          <w:trHeight w:val="1500"/>
        </w:trPr>
        <w:tc>
          <w:tcPr>
            <w:tcW w:w="0" w:type="auto"/>
            <w:tcBorders>
              <w:top w:val="nil"/>
              <w:left w:val="single" w:sz="4" w:space="0" w:color="auto"/>
              <w:bottom w:val="single" w:sz="4" w:space="0" w:color="auto"/>
              <w:right w:val="single" w:sz="4" w:space="0" w:color="auto"/>
            </w:tcBorders>
          </w:tcPr>
          <w:p w14:paraId="78FDA477" w14:textId="27C2D18E" w:rsidR="00ED2862" w:rsidRPr="00002958" w:rsidRDefault="00ED2862" w:rsidP="0055146C">
            <w:pPr>
              <w:pStyle w:val="Tabletext1"/>
              <w:rPr>
                <w:rFonts w:cs="Times New Roman"/>
                <w:color w:val="000000"/>
                <w:lang w:eastAsia="zh-CN"/>
              </w:rPr>
            </w:pPr>
            <w:r w:rsidRPr="00F273D6">
              <w:t>Were the patients in different intervention groups (trials and cohort studies) or were the cases and controls (case-control studies) recruited from the same population?</w:t>
            </w:r>
          </w:p>
        </w:tc>
        <w:tc>
          <w:tcPr>
            <w:tcW w:w="0" w:type="auto"/>
            <w:tcBorders>
              <w:top w:val="nil"/>
              <w:left w:val="single" w:sz="4" w:space="0" w:color="auto"/>
              <w:bottom w:val="single" w:sz="4" w:space="0" w:color="auto"/>
              <w:right w:val="single" w:sz="4" w:space="0" w:color="auto"/>
            </w:tcBorders>
            <w:shd w:val="clear" w:color="auto" w:fill="auto"/>
            <w:hideMark/>
          </w:tcPr>
          <w:p w14:paraId="6C8FD3A0" w14:textId="5AE1CBE3" w:rsidR="00ED2862" w:rsidRPr="00002958" w:rsidRDefault="00ED2862" w:rsidP="008073A2">
            <w:pPr>
              <w:keepNext/>
              <w:spacing w:after="0" w:line="240" w:lineRule="auto"/>
              <w:rPr>
                <w:rFonts w:cs="Times New Roman"/>
                <w:color w:val="000000"/>
                <w:lang w:eastAsia="zh-CN"/>
              </w:rPr>
            </w:pPr>
            <w:r w:rsidRPr="00E86DDE">
              <w:rPr>
                <w:b/>
                <w:color w:val="1F497D" w:themeColor="text2"/>
              </w:rPr>
              <w:t>?</w:t>
            </w:r>
          </w:p>
        </w:tc>
        <w:tc>
          <w:tcPr>
            <w:tcW w:w="0" w:type="auto"/>
            <w:tcBorders>
              <w:top w:val="nil"/>
              <w:left w:val="nil"/>
              <w:bottom w:val="single" w:sz="4" w:space="0" w:color="auto"/>
              <w:right w:val="single" w:sz="4" w:space="0" w:color="auto"/>
            </w:tcBorders>
            <w:shd w:val="clear" w:color="auto" w:fill="auto"/>
            <w:hideMark/>
          </w:tcPr>
          <w:p w14:paraId="64B6800F" w14:textId="73EFA2DB" w:rsidR="00ED2862" w:rsidRPr="00002958" w:rsidRDefault="00ED2862" w:rsidP="008073A2">
            <w:pPr>
              <w:keepNext/>
              <w:spacing w:after="0" w:line="240" w:lineRule="auto"/>
              <w:rPr>
                <w:rFonts w:cs="Times New Roman"/>
                <w:color w:val="000000"/>
                <w:lang w:eastAsia="zh-CN"/>
              </w:rPr>
            </w:pPr>
            <w:r w:rsidRPr="00E86DDE">
              <w:rPr>
                <w:b/>
                <w:color w:val="1F497D" w:themeColor="text2"/>
              </w:rPr>
              <w:t>?</w:t>
            </w:r>
          </w:p>
        </w:tc>
        <w:tc>
          <w:tcPr>
            <w:tcW w:w="0" w:type="auto"/>
            <w:tcBorders>
              <w:top w:val="nil"/>
              <w:left w:val="nil"/>
              <w:bottom w:val="single" w:sz="4" w:space="0" w:color="auto"/>
              <w:right w:val="single" w:sz="4" w:space="0" w:color="auto"/>
            </w:tcBorders>
            <w:shd w:val="clear" w:color="auto" w:fill="auto"/>
            <w:hideMark/>
          </w:tcPr>
          <w:p w14:paraId="485B9EAF" w14:textId="66FD315F" w:rsidR="00ED2862" w:rsidRPr="00002958" w:rsidRDefault="00ED2862" w:rsidP="008073A2">
            <w:pPr>
              <w:keepNext/>
              <w:spacing w:after="0" w:line="240" w:lineRule="auto"/>
              <w:rPr>
                <w:rFonts w:cs="Times New Roman"/>
                <w:color w:val="000000"/>
                <w:lang w:eastAsia="zh-CN"/>
              </w:rPr>
            </w:pPr>
            <w:r w:rsidRPr="00D16788">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DE3743D" w14:textId="529B0074" w:rsidR="00ED2862" w:rsidRPr="00002958" w:rsidRDefault="00ED2862" w:rsidP="008073A2">
            <w:pPr>
              <w:keepNext/>
              <w:spacing w:after="0" w:line="240" w:lineRule="auto"/>
              <w:rPr>
                <w:rFonts w:cs="Times New Roman"/>
                <w:color w:val="000000"/>
                <w:lang w:eastAsia="zh-CN"/>
              </w:rPr>
            </w:pPr>
            <w:r w:rsidRPr="00D16788">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9EF521B" w14:textId="6F75567C" w:rsidR="00ED2862" w:rsidRPr="00002958" w:rsidRDefault="00ED2862" w:rsidP="008073A2">
            <w:pPr>
              <w:keepNext/>
              <w:spacing w:after="0" w:line="240" w:lineRule="auto"/>
              <w:rPr>
                <w:rFonts w:cs="Times New Roman"/>
                <w:color w:val="000000"/>
                <w:lang w:eastAsia="zh-CN"/>
              </w:rPr>
            </w:pPr>
            <w:r w:rsidRPr="00C40CB7">
              <w:rPr>
                <w:b/>
                <w:color w:val="1F497D" w:themeColor="text2"/>
              </w:rPr>
              <w:t>?</w:t>
            </w:r>
          </w:p>
        </w:tc>
        <w:tc>
          <w:tcPr>
            <w:tcW w:w="0" w:type="auto"/>
            <w:tcBorders>
              <w:top w:val="nil"/>
              <w:left w:val="nil"/>
              <w:bottom w:val="single" w:sz="4" w:space="0" w:color="auto"/>
              <w:right w:val="single" w:sz="4" w:space="0" w:color="auto"/>
            </w:tcBorders>
            <w:shd w:val="clear" w:color="auto" w:fill="auto"/>
            <w:hideMark/>
          </w:tcPr>
          <w:p w14:paraId="0D2D98B9" w14:textId="709D1D37" w:rsidR="00ED2862" w:rsidRPr="00002958" w:rsidRDefault="00ED2862" w:rsidP="008073A2">
            <w:pPr>
              <w:keepNext/>
              <w:spacing w:after="0" w:line="240" w:lineRule="auto"/>
              <w:rPr>
                <w:rFonts w:cs="Times New Roman"/>
                <w:color w:val="000000"/>
                <w:lang w:eastAsia="zh-CN"/>
              </w:rPr>
            </w:pPr>
            <w:r w:rsidRPr="00C40CB7">
              <w:rPr>
                <w:b/>
                <w:color w:val="1F497D" w:themeColor="text2"/>
              </w:rPr>
              <w:t>?</w:t>
            </w:r>
          </w:p>
        </w:tc>
        <w:tc>
          <w:tcPr>
            <w:tcW w:w="0" w:type="auto"/>
            <w:tcBorders>
              <w:top w:val="nil"/>
              <w:left w:val="nil"/>
              <w:bottom w:val="single" w:sz="4" w:space="0" w:color="auto"/>
              <w:right w:val="single" w:sz="4" w:space="0" w:color="auto"/>
            </w:tcBorders>
            <w:shd w:val="clear" w:color="auto" w:fill="auto"/>
            <w:hideMark/>
          </w:tcPr>
          <w:p w14:paraId="2948AC8D" w14:textId="231AE666" w:rsidR="00ED2862" w:rsidRPr="00002958" w:rsidRDefault="00ED2862" w:rsidP="008073A2">
            <w:pPr>
              <w:keepNext/>
              <w:spacing w:after="0" w:line="240" w:lineRule="auto"/>
              <w:rPr>
                <w:rFonts w:cs="Times New Roman"/>
                <w:color w:val="000000"/>
                <w:lang w:eastAsia="zh-CN"/>
              </w:rPr>
            </w:pPr>
            <w:r w:rsidRPr="00C40CB7">
              <w:rPr>
                <w:b/>
                <w:color w:val="1F497D" w:themeColor="text2"/>
              </w:rPr>
              <w:t>?</w:t>
            </w:r>
          </w:p>
        </w:tc>
      </w:tr>
      <w:tr w:rsidR="00ED2862" w:rsidRPr="00002958" w14:paraId="3B4A840B" w14:textId="77777777" w:rsidTr="00E27B35">
        <w:trPr>
          <w:trHeight w:val="1500"/>
        </w:trPr>
        <w:tc>
          <w:tcPr>
            <w:tcW w:w="0" w:type="auto"/>
            <w:tcBorders>
              <w:top w:val="nil"/>
              <w:left w:val="single" w:sz="4" w:space="0" w:color="auto"/>
              <w:bottom w:val="single" w:sz="4" w:space="0" w:color="auto"/>
              <w:right w:val="single" w:sz="4" w:space="0" w:color="auto"/>
            </w:tcBorders>
          </w:tcPr>
          <w:p w14:paraId="27310D2D" w14:textId="77EDFC24" w:rsidR="00ED2862" w:rsidRPr="00002958" w:rsidRDefault="00ED2862" w:rsidP="0055146C">
            <w:pPr>
              <w:pStyle w:val="Tabletext1"/>
              <w:rPr>
                <w:rFonts w:cs="Times New Roman"/>
                <w:color w:val="000000"/>
                <w:lang w:eastAsia="zh-CN"/>
              </w:rPr>
            </w:pPr>
            <w:r w:rsidRPr="00F273D6">
              <w:t>Were study subjects in different intervention groups (trials and cohort studies) or were the cases and controls (case-control studies) recruited over the same time?</w:t>
            </w:r>
          </w:p>
        </w:tc>
        <w:tc>
          <w:tcPr>
            <w:tcW w:w="0" w:type="auto"/>
            <w:tcBorders>
              <w:top w:val="nil"/>
              <w:left w:val="single" w:sz="4" w:space="0" w:color="auto"/>
              <w:bottom w:val="single" w:sz="4" w:space="0" w:color="auto"/>
              <w:right w:val="single" w:sz="4" w:space="0" w:color="auto"/>
            </w:tcBorders>
            <w:shd w:val="clear" w:color="auto" w:fill="auto"/>
            <w:hideMark/>
          </w:tcPr>
          <w:p w14:paraId="65E57BCB" w14:textId="29EAB073" w:rsidR="00ED2862" w:rsidRPr="00002958" w:rsidRDefault="00ED2862" w:rsidP="008073A2">
            <w:pPr>
              <w:keepNext/>
              <w:spacing w:after="0" w:line="240" w:lineRule="auto"/>
              <w:rPr>
                <w:rFonts w:cs="Times New Roman"/>
                <w:color w:val="000000"/>
                <w:lang w:eastAsia="zh-CN"/>
              </w:rPr>
            </w:pPr>
            <w:r w:rsidRPr="00F11B1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FCB104F" w14:textId="65621E3D" w:rsidR="00ED2862" w:rsidRPr="00002958" w:rsidRDefault="00ED2862" w:rsidP="008073A2">
            <w:pPr>
              <w:keepNext/>
              <w:spacing w:after="0" w:line="240" w:lineRule="auto"/>
              <w:rPr>
                <w:rFonts w:cs="Times New Roman"/>
                <w:color w:val="000000"/>
                <w:lang w:eastAsia="zh-CN"/>
              </w:rPr>
            </w:pPr>
            <w:r w:rsidRPr="00F11B1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C3D8051" w14:textId="23DEEF4D" w:rsidR="00ED2862" w:rsidRPr="00002958" w:rsidRDefault="00ED2862" w:rsidP="008073A2">
            <w:pPr>
              <w:keepNext/>
              <w:spacing w:after="0" w:line="240" w:lineRule="auto"/>
              <w:rPr>
                <w:rFonts w:cs="Times New Roman"/>
                <w:color w:val="000000"/>
                <w:lang w:eastAsia="zh-CN"/>
              </w:rPr>
            </w:pPr>
            <w:r w:rsidRPr="00F11B1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7E706030" w14:textId="1FC9F111" w:rsidR="00ED2862" w:rsidRPr="00002958" w:rsidRDefault="00ED2862" w:rsidP="008073A2">
            <w:pPr>
              <w:keepNext/>
              <w:spacing w:after="0" w:line="240" w:lineRule="auto"/>
              <w:rPr>
                <w:rFonts w:cs="Times New Roman"/>
                <w:color w:val="000000"/>
                <w:lang w:eastAsia="zh-CN"/>
              </w:rPr>
            </w:pPr>
            <w:r w:rsidRPr="00F11B1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8271D8E" w14:textId="121FAAD4" w:rsidR="00ED2862" w:rsidRPr="00002958" w:rsidRDefault="00ED2862" w:rsidP="008073A2">
            <w:pPr>
              <w:keepNext/>
              <w:spacing w:after="0" w:line="240" w:lineRule="auto"/>
              <w:rPr>
                <w:rFonts w:cs="Times New Roman"/>
                <w:color w:val="000000"/>
                <w:lang w:eastAsia="zh-CN"/>
              </w:rPr>
            </w:pPr>
            <w:r w:rsidRPr="00F11B1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FA59DB0" w14:textId="085E43F4" w:rsidR="00ED2862" w:rsidRPr="00002958" w:rsidRDefault="00ED2862" w:rsidP="008073A2">
            <w:pPr>
              <w:keepNext/>
              <w:spacing w:after="0" w:line="240" w:lineRule="auto"/>
              <w:rPr>
                <w:rFonts w:cs="Times New Roman"/>
                <w:color w:val="000000"/>
                <w:lang w:eastAsia="zh-CN"/>
              </w:rPr>
            </w:pPr>
            <w:r w:rsidRPr="00F11B1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F9F3F42" w14:textId="737CF493" w:rsidR="00ED2862" w:rsidRPr="00002958" w:rsidRDefault="00ED2862" w:rsidP="008073A2">
            <w:pPr>
              <w:keepNext/>
              <w:spacing w:after="0" w:line="240" w:lineRule="auto"/>
              <w:rPr>
                <w:rFonts w:cs="Times New Roman"/>
                <w:color w:val="000000"/>
                <w:lang w:eastAsia="zh-CN"/>
              </w:rPr>
            </w:pPr>
            <w:r w:rsidRPr="00F11B13">
              <w:rPr>
                <w:snapToGrid w:val="0"/>
                <w:color w:val="00B050"/>
                <w:sz w:val="18"/>
                <w:szCs w:val="18"/>
              </w:rPr>
              <w:sym w:font="Wingdings" w:char="F04A"/>
            </w:r>
          </w:p>
        </w:tc>
      </w:tr>
      <w:tr w:rsidR="00ED2862" w:rsidRPr="00002958" w14:paraId="5BFA8D80" w14:textId="77777777" w:rsidTr="00E27B35">
        <w:trPr>
          <w:trHeight w:val="900"/>
        </w:trPr>
        <w:tc>
          <w:tcPr>
            <w:tcW w:w="0" w:type="auto"/>
            <w:tcBorders>
              <w:top w:val="nil"/>
              <w:left w:val="single" w:sz="4" w:space="0" w:color="auto"/>
              <w:bottom w:val="single" w:sz="4" w:space="0" w:color="auto"/>
              <w:right w:val="single" w:sz="4" w:space="0" w:color="auto"/>
            </w:tcBorders>
          </w:tcPr>
          <w:p w14:paraId="04C53F51" w14:textId="7FEEDCD2" w:rsidR="00ED2862" w:rsidRPr="00002958" w:rsidRDefault="00ED2862" w:rsidP="0055146C">
            <w:pPr>
              <w:pStyle w:val="Tabletext1"/>
              <w:rPr>
                <w:rFonts w:cs="Times New Roman"/>
                <w:color w:val="000000"/>
                <w:lang w:eastAsia="zh-CN"/>
              </w:rPr>
            </w:pPr>
            <w:r w:rsidRPr="00F273D6">
              <w:t>Were study subjects randomised to intervention groups?</w:t>
            </w:r>
          </w:p>
        </w:tc>
        <w:tc>
          <w:tcPr>
            <w:tcW w:w="0" w:type="auto"/>
            <w:tcBorders>
              <w:top w:val="nil"/>
              <w:left w:val="single" w:sz="4" w:space="0" w:color="auto"/>
              <w:bottom w:val="single" w:sz="4" w:space="0" w:color="auto"/>
              <w:right w:val="single" w:sz="4" w:space="0" w:color="auto"/>
            </w:tcBorders>
            <w:shd w:val="clear" w:color="auto" w:fill="auto"/>
            <w:hideMark/>
          </w:tcPr>
          <w:p w14:paraId="34B87543" w14:textId="34C92F5C" w:rsidR="00ED2862" w:rsidRPr="00002958" w:rsidRDefault="00ED2862" w:rsidP="008073A2">
            <w:pPr>
              <w:keepNext/>
              <w:spacing w:after="0" w:line="240" w:lineRule="auto"/>
              <w:rPr>
                <w:rFonts w:cs="Times New Roman"/>
                <w:color w:val="000000"/>
                <w:lang w:eastAsia="zh-CN"/>
              </w:rPr>
            </w:pPr>
            <w:r w:rsidRPr="0018528E">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237747F5" w14:textId="6FBC3B3F" w:rsidR="00ED2862" w:rsidRPr="00002958" w:rsidRDefault="00ED2862" w:rsidP="008073A2">
            <w:pPr>
              <w:keepNext/>
              <w:spacing w:after="0" w:line="240" w:lineRule="auto"/>
              <w:rPr>
                <w:rFonts w:cs="Times New Roman"/>
                <w:color w:val="000000"/>
                <w:lang w:eastAsia="zh-CN"/>
              </w:rPr>
            </w:pPr>
            <w:r w:rsidRPr="0018528E">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321059D2" w14:textId="7C039ECB" w:rsidR="00ED2862" w:rsidRPr="00002958" w:rsidRDefault="00ED2862" w:rsidP="008073A2">
            <w:pPr>
              <w:keepNext/>
              <w:spacing w:after="0" w:line="240" w:lineRule="auto"/>
              <w:rPr>
                <w:rFonts w:cs="Times New Roman"/>
                <w:color w:val="000000"/>
                <w:lang w:eastAsia="zh-CN"/>
              </w:rPr>
            </w:pPr>
            <w:r w:rsidRPr="0018528E">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3852A2A2" w14:textId="59A0BA13" w:rsidR="00ED2862" w:rsidRPr="00002958" w:rsidRDefault="00ED2862" w:rsidP="008073A2">
            <w:pPr>
              <w:keepNext/>
              <w:spacing w:after="0" w:line="240" w:lineRule="auto"/>
              <w:rPr>
                <w:rFonts w:cs="Times New Roman"/>
                <w:color w:val="000000"/>
                <w:lang w:eastAsia="zh-CN"/>
              </w:rPr>
            </w:pPr>
            <w:r w:rsidRPr="0018528E">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5535F66B" w14:textId="167334AB" w:rsidR="00ED2862" w:rsidRPr="00002958" w:rsidRDefault="00ED2862" w:rsidP="008073A2">
            <w:pPr>
              <w:keepNext/>
              <w:spacing w:after="0" w:line="240" w:lineRule="auto"/>
              <w:rPr>
                <w:rFonts w:cs="Times New Roman"/>
                <w:color w:val="000000"/>
                <w:lang w:eastAsia="zh-CN"/>
              </w:rPr>
            </w:pPr>
            <w:r w:rsidRPr="0018528E">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123B5159" w14:textId="22A9D536" w:rsidR="00ED2862" w:rsidRPr="00002958" w:rsidRDefault="00ED2862" w:rsidP="008073A2">
            <w:pPr>
              <w:keepNext/>
              <w:spacing w:after="0" w:line="240" w:lineRule="auto"/>
              <w:rPr>
                <w:rFonts w:cs="Times New Roman"/>
                <w:color w:val="000000"/>
                <w:lang w:eastAsia="zh-CN"/>
              </w:rPr>
            </w:pPr>
            <w:r w:rsidRPr="0018528E">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08AC7B15" w14:textId="10F11180" w:rsidR="00ED2862" w:rsidRPr="00002958" w:rsidRDefault="00ED2862" w:rsidP="008073A2">
            <w:pPr>
              <w:keepNext/>
              <w:spacing w:after="0" w:line="240" w:lineRule="auto"/>
              <w:rPr>
                <w:rFonts w:cs="Times New Roman"/>
                <w:color w:val="000000"/>
                <w:lang w:eastAsia="zh-CN"/>
              </w:rPr>
            </w:pPr>
            <w:r w:rsidRPr="0018528E">
              <w:rPr>
                <w:snapToGrid w:val="0"/>
                <w:color w:val="FF0000"/>
                <w:sz w:val="18"/>
                <w:szCs w:val="18"/>
              </w:rPr>
              <w:sym w:font="Wingdings" w:char="F04C"/>
            </w:r>
          </w:p>
        </w:tc>
      </w:tr>
      <w:tr w:rsidR="00ED2862" w:rsidRPr="00002958" w14:paraId="19F4C6DA" w14:textId="77777777" w:rsidTr="00E27B35">
        <w:trPr>
          <w:trHeight w:val="1200"/>
        </w:trPr>
        <w:tc>
          <w:tcPr>
            <w:tcW w:w="0" w:type="auto"/>
            <w:tcBorders>
              <w:top w:val="nil"/>
              <w:left w:val="single" w:sz="4" w:space="0" w:color="auto"/>
              <w:bottom w:val="single" w:sz="4" w:space="0" w:color="auto"/>
              <w:right w:val="single" w:sz="4" w:space="0" w:color="auto"/>
            </w:tcBorders>
          </w:tcPr>
          <w:p w14:paraId="037CF788" w14:textId="792FC29F" w:rsidR="00ED2862" w:rsidRPr="00002958" w:rsidRDefault="00ED2862" w:rsidP="0055146C">
            <w:pPr>
              <w:pStyle w:val="Tabletext1"/>
              <w:rPr>
                <w:rFonts w:cs="Times New Roman"/>
                <w:color w:val="000000"/>
                <w:lang w:eastAsia="zh-CN"/>
              </w:rPr>
            </w:pPr>
            <w:r w:rsidRPr="00F273D6">
              <w:t>Was the randomised intervention assignment concealed from both patients and health care staff until recruitment was complete and irrevocable?</w:t>
            </w:r>
          </w:p>
        </w:tc>
        <w:tc>
          <w:tcPr>
            <w:tcW w:w="0" w:type="auto"/>
            <w:tcBorders>
              <w:top w:val="nil"/>
              <w:left w:val="single" w:sz="4" w:space="0" w:color="auto"/>
              <w:bottom w:val="single" w:sz="4" w:space="0" w:color="auto"/>
              <w:right w:val="single" w:sz="4" w:space="0" w:color="auto"/>
            </w:tcBorders>
            <w:shd w:val="clear" w:color="auto" w:fill="auto"/>
            <w:hideMark/>
          </w:tcPr>
          <w:p w14:paraId="36133C2B" w14:textId="6ABDEEFF" w:rsidR="00ED2862" w:rsidRPr="00002958" w:rsidRDefault="00ED2862" w:rsidP="0055146C">
            <w:pPr>
              <w:pStyle w:val="Tabletext1"/>
              <w:rPr>
                <w:lang w:eastAsia="zh-CN"/>
              </w:rPr>
            </w:pPr>
            <w:r w:rsidRPr="003D264B">
              <w:rPr>
                <w:lang w:eastAsia="zh-CN"/>
              </w:rPr>
              <w:t>NA</w:t>
            </w:r>
          </w:p>
        </w:tc>
        <w:tc>
          <w:tcPr>
            <w:tcW w:w="0" w:type="auto"/>
            <w:tcBorders>
              <w:top w:val="nil"/>
              <w:left w:val="nil"/>
              <w:bottom w:val="single" w:sz="4" w:space="0" w:color="auto"/>
              <w:right w:val="single" w:sz="4" w:space="0" w:color="auto"/>
            </w:tcBorders>
            <w:shd w:val="clear" w:color="auto" w:fill="auto"/>
            <w:hideMark/>
          </w:tcPr>
          <w:p w14:paraId="1AF82134" w14:textId="2C715604" w:rsidR="00ED2862" w:rsidRPr="00002958" w:rsidRDefault="00ED2862" w:rsidP="0055146C">
            <w:pPr>
              <w:pStyle w:val="Tabletext1"/>
              <w:rPr>
                <w:lang w:eastAsia="zh-CN"/>
              </w:rPr>
            </w:pPr>
            <w:r w:rsidRPr="003D264B">
              <w:rPr>
                <w:lang w:eastAsia="zh-CN"/>
              </w:rPr>
              <w:t>NA</w:t>
            </w:r>
          </w:p>
        </w:tc>
        <w:tc>
          <w:tcPr>
            <w:tcW w:w="0" w:type="auto"/>
            <w:tcBorders>
              <w:top w:val="nil"/>
              <w:left w:val="nil"/>
              <w:bottom w:val="single" w:sz="4" w:space="0" w:color="auto"/>
              <w:right w:val="single" w:sz="4" w:space="0" w:color="auto"/>
            </w:tcBorders>
            <w:shd w:val="clear" w:color="auto" w:fill="auto"/>
            <w:hideMark/>
          </w:tcPr>
          <w:p w14:paraId="3C1E8ABA" w14:textId="29DAB82B" w:rsidR="00ED2862" w:rsidRPr="00002958" w:rsidRDefault="00ED2862" w:rsidP="0055146C">
            <w:pPr>
              <w:pStyle w:val="Tabletext1"/>
              <w:rPr>
                <w:lang w:eastAsia="zh-CN"/>
              </w:rPr>
            </w:pPr>
            <w:r w:rsidRPr="003D264B">
              <w:rPr>
                <w:lang w:eastAsia="zh-CN"/>
              </w:rPr>
              <w:t>NA</w:t>
            </w:r>
          </w:p>
        </w:tc>
        <w:tc>
          <w:tcPr>
            <w:tcW w:w="0" w:type="auto"/>
            <w:tcBorders>
              <w:top w:val="nil"/>
              <w:left w:val="nil"/>
              <w:bottom w:val="single" w:sz="4" w:space="0" w:color="auto"/>
              <w:right w:val="single" w:sz="4" w:space="0" w:color="auto"/>
            </w:tcBorders>
            <w:shd w:val="clear" w:color="auto" w:fill="auto"/>
            <w:hideMark/>
          </w:tcPr>
          <w:p w14:paraId="7ABCDC4E" w14:textId="6C1A5FF1" w:rsidR="00ED2862" w:rsidRPr="00002958" w:rsidRDefault="00ED2862" w:rsidP="0055146C">
            <w:pPr>
              <w:pStyle w:val="Tabletext1"/>
              <w:rPr>
                <w:lang w:eastAsia="zh-CN"/>
              </w:rPr>
            </w:pPr>
            <w:r w:rsidRPr="003D264B">
              <w:rPr>
                <w:lang w:eastAsia="zh-CN"/>
              </w:rPr>
              <w:t>NA</w:t>
            </w:r>
          </w:p>
        </w:tc>
        <w:tc>
          <w:tcPr>
            <w:tcW w:w="0" w:type="auto"/>
            <w:tcBorders>
              <w:top w:val="nil"/>
              <w:left w:val="nil"/>
              <w:bottom w:val="single" w:sz="4" w:space="0" w:color="auto"/>
              <w:right w:val="single" w:sz="4" w:space="0" w:color="auto"/>
            </w:tcBorders>
            <w:shd w:val="clear" w:color="auto" w:fill="auto"/>
            <w:hideMark/>
          </w:tcPr>
          <w:p w14:paraId="3A5C9B44" w14:textId="7FFBBFB9" w:rsidR="00ED2862" w:rsidRPr="00002958" w:rsidRDefault="00ED2862" w:rsidP="0055146C">
            <w:pPr>
              <w:pStyle w:val="Tabletext1"/>
              <w:rPr>
                <w:lang w:eastAsia="zh-CN"/>
              </w:rPr>
            </w:pPr>
            <w:r w:rsidRPr="003D264B">
              <w:rPr>
                <w:lang w:eastAsia="zh-CN"/>
              </w:rPr>
              <w:t>NA</w:t>
            </w:r>
          </w:p>
        </w:tc>
        <w:tc>
          <w:tcPr>
            <w:tcW w:w="0" w:type="auto"/>
            <w:tcBorders>
              <w:top w:val="nil"/>
              <w:left w:val="nil"/>
              <w:bottom w:val="single" w:sz="4" w:space="0" w:color="auto"/>
              <w:right w:val="single" w:sz="4" w:space="0" w:color="auto"/>
            </w:tcBorders>
            <w:shd w:val="clear" w:color="auto" w:fill="auto"/>
            <w:hideMark/>
          </w:tcPr>
          <w:p w14:paraId="0DBD4E02" w14:textId="5BBC7454" w:rsidR="00ED2862" w:rsidRPr="00002958" w:rsidRDefault="00ED2862" w:rsidP="0055146C">
            <w:pPr>
              <w:pStyle w:val="Tabletext1"/>
              <w:rPr>
                <w:lang w:eastAsia="zh-CN"/>
              </w:rPr>
            </w:pPr>
            <w:r w:rsidRPr="003D264B">
              <w:rPr>
                <w:lang w:eastAsia="zh-CN"/>
              </w:rPr>
              <w:t>NA</w:t>
            </w:r>
          </w:p>
        </w:tc>
        <w:tc>
          <w:tcPr>
            <w:tcW w:w="0" w:type="auto"/>
            <w:tcBorders>
              <w:top w:val="nil"/>
              <w:left w:val="nil"/>
              <w:bottom w:val="single" w:sz="4" w:space="0" w:color="auto"/>
              <w:right w:val="single" w:sz="4" w:space="0" w:color="auto"/>
            </w:tcBorders>
            <w:shd w:val="clear" w:color="auto" w:fill="auto"/>
            <w:hideMark/>
          </w:tcPr>
          <w:p w14:paraId="32664F16" w14:textId="77777777" w:rsidR="00ED2862" w:rsidRPr="00002958" w:rsidRDefault="00ED2862" w:rsidP="0055146C">
            <w:pPr>
              <w:pStyle w:val="Tabletext1"/>
              <w:rPr>
                <w:lang w:eastAsia="zh-CN"/>
              </w:rPr>
            </w:pPr>
            <w:r w:rsidRPr="00002958">
              <w:rPr>
                <w:lang w:eastAsia="zh-CN"/>
              </w:rPr>
              <w:t>NA</w:t>
            </w:r>
          </w:p>
        </w:tc>
      </w:tr>
      <w:tr w:rsidR="00ED2862" w:rsidRPr="00002958" w14:paraId="2DF06AE7" w14:textId="77777777" w:rsidTr="009A220C">
        <w:trPr>
          <w:trHeight w:val="1064"/>
        </w:trPr>
        <w:tc>
          <w:tcPr>
            <w:tcW w:w="0" w:type="auto"/>
            <w:tcBorders>
              <w:top w:val="nil"/>
              <w:left w:val="single" w:sz="4" w:space="0" w:color="auto"/>
              <w:bottom w:val="single" w:sz="4" w:space="0" w:color="auto"/>
              <w:right w:val="single" w:sz="4" w:space="0" w:color="auto"/>
            </w:tcBorders>
          </w:tcPr>
          <w:p w14:paraId="286FF998" w14:textId="384A4DF7" w:rsidR="00ED2862" w:rsidRPr="00002958" w:rsidRDefault="00ED2862" w:rsidP="0055146C">
            <w:pPr>
              <w:pStyle w:val="Tabletext1"/>
              <w:rPr>
                <w:rFonts w:cs="Times New Roman"/>
                <w:color w:val="000000"/>
                <w:lang w:eastAsia="zh-CN"/>
              </w:rPr>
            </w:pPr>
            <w:r w:rsidRPr="00F273D6">
              <w:t>Was there adequate adjustment for confounding in the analyses from which the main findings were drawn?</w:t>
            </w:r>
          </w:p>
        </w:tc>
        <w:tc>
          <w:tcPr>
            <w:tcW w:w="0" w:type="auto"/>
            <w:tcBorders>
              <w:top w:val="nil"/>
              <w:left w:val="single" w:sz="4" w:space="0" w:color="auto"/>
              <w:bottom w:val="single" w:sz="4" w:space="0" w:color="auto"/>
              <w:right w:val="single" w:sz="4" w:space="0" w:color="auto"/>
            </w:tcBorders>
            <w:shd w:val="clear" w:color="auto" w:fill="auto"/>
            <w:hideMark/>
          </w:tcPr>
          <w:p w14:paraId="5E7D5416" w14:textId="3B09C276" w:rsidR="00ED2862" w:rsidRPr="00002958" w:rsidRDefault="00ED2862" w:rsidP="008073A2">
            <w:pPr>
              <w:keepNext/>
              <w:spacing w:after="0" w:line="240" w:lineRule="auto"/>
              <w:rPr>
                <w:rFonts w:cs="Times New Roman"/>
                <w:color w:val="000000"/>
                <w:lang w:eastAsia="zh-CN"/>
              </w:rPr>
            </w:pPr>
            <w:r w:rsidRPr="00504E36">
              <w:rPr>
                <w:b/>
                <w:color w:val="1F497D" w:themeColor="text2"/>
              </w:rPr>
              <w:t>?</w:t>
            </w:r>
          </w:p>
        </w:tc>
        <w:tc>
          <w:tcPr>
            <w:tcW w:w="0" w:type="auto"/>
            <w:tcBorders>
              <w:top w:val="nil"/>
              <w:left w:val="nil"/>
              <w:bottom w:val="single" w:sz="4" w:space="0" w:color="auto"/>
              <w:right w:val="single" w:sz="4" w:space="0" w:color="auto"/>
            </w:tcBorders>
            <w:shd w:val="clear" w:color="auto" w:fill="auto"/>
            <w:hideMark/>
          </w:tcPr>
          <w:p w14:paraId="090FC75B" w14:textId="490DDA0A" w:rsidR="00ED2862" w:rsidRPr="00002958" w:rsidRDefault="00ED2862" w:rsidP="008073A2">
            <w:pPr>
              <w:keepNext/>
              <w:spacing w:after="0" w:line="240" w:lineRule="auto"/>
              <w:rPr>
                <w:rFonts w:cs="Times New Roman"/>
                <w:color w:val="000000"/>
                <w:lang w:eastAsia="zh-CN"/>
              </w:rPr>
            </w:pPr>
            <w:r w:rsidRPr="00504E36">
              <w:rPr>
                <w:b/>
                <w:color w:val="1F497D" w:themeColor="text2"/>
              </w:rPr>
              <w:t>?</w:t>
            </w:r>
          </w:p>
        </w:tc>
        <w:tc>
          <w:tcPr>
            <w:tcW w:w="0" w:type="auto"/>
            <w:tcBorders>
              <w:top w:val="nil"/>
              <w:left w:val="nil"/>
              <w:bottom w:val="single" w:sz="4" w:space="0" w:color="auto"/>
              <w:right w:val="single" w:sz="4" w:space="0" w:color="auto"/>
            </w:tcBorders>
            <w:shd w:val="clear" w:color="auto" w:fill="auto"/>
            <w:hideMark/>
          </w:tcPr>
          <w:p w14:paraId="3D5FAF19" w14:textId="7AA6FAE6" w:rsidR="00ED2862" w:rsidRPr="00002958" w:rsidRDefault="00ED2862" w:rsidP="008073A2">
            <w:pPr>
              <w:keepNext/>
              <w:spacing w:after="0" w:line="240" w:lineRule="auto"/>
              <w:rPr>
                <w:rFonts w:cs="Times New Roman"/>
                <w:color w:val="000000"/>
                <w:lang w:eastAsia="zh-CN"/>
              </w:rPr>
            </w:pPr>
            <w:r w:rsidRPr="00D6274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ACD1F09" w14:textId="20BB8948" w:rsidR="00ED2862" w:rsidRPr="00002958" w:rsidRDefault="00ED2862" w:rsidP="008073A2">
            <w:pPr>
              <w:keepNext/>
              <w:spacing w:after="0" w:line="240" w:lineRule="auto"/>
              <w:rPr>
                <w:rFonts w:cs="Times New Roman"/>
                <w:color w:val="000000"/>
                <w:lang w:eastAsia="zh-CN"/>
              </w:rPr>
            </w:pPr>
            <w:r w:rsidRPr="00D62743">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A2C64A6" w14:textId="7E92A573" w:rsidR="00ED2862" w:rsidRPr="00002958" w:rsidRDefault="00ED2862" w:rsidP="008073A2">
            <w:pPr>
              <w:keepNext/>
              <w:spacing w:after="0" w:line="240" w:lineRule="auto"/>
              <w:rPr>
                <w:rFonts w:cs="Times New Roman"/>
                <w:color w:val="000000"/>
                <w:lang w:eastAsia="zh-CN"/>
              </w:rPr>
            </w:pPr>
            <w:r w:rsidRPr="009B3390">
              <w:rPr>
                <w:b/>
                <w:color w:val="1F497D" w:themeColor="text2"/>
              </w:rPr>
              <w:t>?</w:t>
            </w:r>
          </w:p>
        </w:tc>
        <w:tc>
          <w:tcPr>
            <w:tcW w:w="0" w:type="auto"/>
            <w:tcBorders>
              <w:top w:val="nil"/>
              <w:left w:val="nil"/>
              <w:bottom w:val="single" w:sz="4" w:space="0" w:color="auto"/>
              <w:right w:val="single" w:sz="4" w:space="0" w:color="auto"/>
            </w:tcBorders>
            <w:shd w:val="clear" w:color="auto" w:fill="auto"/>
            <w:hideMark/>
          </w:tcPr>
          <w:p w14:paraId="241E1FFB" w14:textId="2F1E6ACD" w:rsidR="00ED2862" w:rsidRPr="00002958" w:rsidRDefault="00ED2862" w:rsidP="008073A2">
            <w:pPr>
              <w:keepNext/>
              <w:spacing w:after="0" w:line="240" w:lineRule="auto"/>
              <w:rPr>
                <w:rFonts w:cs="Times New Roman"/>
                <w:color w:val="000000"/>
                <w:lang w:eastAsia="zh-CN"/>
              </w:rPr>
            </w:pPr>
            <w:r w:rsidRPr="009B3390">
              <w:rPr>
                <w:b/>
                <w:color w:val="1F497D" w:themeColor="text2"/>
              </w:rPr>
              <w:t>?</w:t>
            </w:r>
          </w:p>
        </w:tc>
        <w:tc>
          <w:tcPr>
            <w:tcW w:w="0" w:type="auto"/>
            <w:tcBorders>
              <w:top w:val="nil"/>
              <w:left w:val="nil"/>
              <w:bottom w:val="single" w:sz="4" w:space="0" w:color="auto"/>
              <w:right w:val="single" w:sz="4" w:space="0" w:color="auto"/>
            </w:tcBorders>
            <w:shd w:val="clear" w:color="auto" w:fill="auto"/>
            <w:hideMark/>
          </w:tcPr>
          <w:p w14:paraId="32BD9456" w14:textId="4E2ECC0E" w:rsidR="00ED2862" w:rsidRPr="00002958" w:rsidRDefault="00ED2862" w:rsidP="008073A2">
            <w:pPr>
              <w:keepNext/>
              <w:spacing w:after="0" w:line="240" w:lineRule="auto"/>
              <w:rPr>
                <w:rFonts w:cs="Times New Roman"/>
                <w:color w:val="000000"/>
                <w:lang w:eastAsia="zh-CN"/>
              </w:rPr>
            </w:pPr>
            <w:r w:rsidRPr="001D7B73">
              <w:rPr>
                <w:snapToGrid w:val="0"/>
                <w:color w:val="00B050"/>
                <w:sz w:val="18"/>
                <w:szCs w:val="18"/>
              </w:rPr>
              <w:sym w:font="Wingdings" w:char="F04A"/>
            </w:r>
          </w:p>
        </w:tc>
      </w:tr>
      <w:tr w:rsidR="00ED2862" w:rsidRPr="00002958" w14:paraId="477F3961" w14:textId="77777777" w:rsidTr="00E27B35">
        <w:trPr>
          <w:trHeight w:val="600"/>
        </w:trPr>
        <w:tc>
          <w:tcPr>
            <w:tcW w:w="0" w:type="auto"/>
            <w:tcBorders>
              <w:top w:val="nil"/>
              <w:left w:val="single" w:sz="4" w:space="0" w:color="auto"/>
              <w:bottom w:val="single" w:sz="4" w:space="0" w:color="auto"/>
              <w:right w:val="single" w:sz="4" w:space="0" w:color="auto"/>
            </w:tcBorders>
          </w:tcPr>
          <w:p w14:paraId="6EFCF947" w14:textId="159DCE7B" w:rsidR="00ED2862" w:rsidRPr="00002958" w:rsidRDefault="00ED2862" w:rsidP="0055146C">
            <w:pPr>
              <w:pStyle w:val="Tabletext1"/>
              <w:rPr>
                <w:rFonts w:cs="Times New Roman"/>
                <w:color w:val="000000"/>
                <w:lang w:eastAsia="zh-CN"/>
              </w:rPr>
            </w:pPr>
            <w:r w:rsidRPr="00F273D6">
              <w:t>Were losses of patients to follow-up taken into account?</w:t>
            </w:r>
          </w:p>
        </w:tc>
        <w:tc>
          <w:tcPr>
            <w:tcW w:w="0" w:type="auto"/>
            <w:tcBorders>
              <w:top w:val="nil"/>
              <w:left w:val="single" w:sz="4" w:space="0" w:color="auto"/>
              <w:bottom w:val="single" w:sz="4" w:space="0" w:color="auto"/>
              <w:right w:val="single" w:sz="4" w:space="0" w:color="auto"/>
            </w:tcBorders>
            <w:shd w:val="clear" w:color="auto" w:fill="auto"/>
            <w:hideMark/>
          </w:tcPr>
          <w:p w14:paraId="7B41FA94" w14:textId="16AB412F" w:rsidR="00ED2862" w:rsidRPr="00002958" w:rsidRDefault="00ED2862" w:rsidP="008073A2">
            <w:pPr>
              <w:keepNext/>
              <w:spacing w:after="0" w:line="240" w:lineRule="auto"/>
              <w:rPr>
                <w:rFonts w:cs="Times New Roman"/>
                <w:color w:val="000000"/>
                <w:lang w:eastAsia="zh-CN"/>
              </w:rPr>
            </w:pPr>
            <w:r w:rsidRPr="00A20B18">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2D36F7BA" w14:textId="1D9857FF" w:rsidR="00ED2862" w:rsidRPr="00002958" w:rsidRDefault="00ED2862" w:rsidP="008073A2">
            <w:pPr>
              <w:keepNext/>
              <w:spacing w:after="0" w:line="240" w:lineRule="auto"/>
              <w:rPr>
                <w:rFonts w:cs="Times New Roman"/>
                <w:color w:val="000000"/>
                <w:lang w:eastAsia="zh-CN"/>
              </w:rPr>
            </w:pPr>
            <w:r w:rsidRPr="00A20B18">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30CA6D11" w14:textId="2A31AF0D" w:rsidR="00ED2862" w:rsidRPr="00002958" w:rsidRDefault="00ED2862" w:rsidP="008073A2">
            <w:pPr>
              <w:keepNext/>
              <w:spacing w:after="0" w:line="240" w:lineRule="auto"/>
              <w:rPr>
                <w:rFonts w:cs="Times New Roman"/>
                <w:color w:val="000000"/>
                <w:lang w:eastAsia="zh-CN"/>
              </w:rPr>
            </w:pPr>
            <w:r w:rsidRPr="00A20B18">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60C6FE7D" w14:textId="015EF03B" w:rsidR="00ED2862" w:rsidRPr="00002958" w:rsidRDefault="00ED2862" w:rsidP="008073A2">
            <w:pPr>
              <w:keepNext/>
              <w:spacing w:after="0" w:line="240" w:lineRule="auto"/>
              <w:rPr>
                <w:rFonts w:cs="Times New Roman"/>
                <w:color w:val="000000"/>
                <w:lang w:eastAsia="zh-CN"/>
              </w:rPr>
            </w:pPr>
            <w:r w:rsidRPr="00A20B18">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4D1DEF08" w14:textId="5F3F0E0F" w:rsidR="00ED2862" w:rsidRPr="00002958" w:rsidRDefault="00ED2862" w:rsidP="008073A2">
            <w:pPr>
              <w:keepNext/>
              <w:spacing w:after="0" w:line="240" w:lineRule="auto"/>
              <w:rPr>
                <w:rFonts w:cs="Times New Roman"/>
                <w:color w:val="000000"/>
                <w:lang w:eastAsia="zh-CN"/>
              </w:rPr>
            </w:pPr>
            <w:r w:rsidRPr="00A20B18">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1067D5C8" w14:textId="758DC6BD" w:rsidR="00ED2862" w:rsidRPr="00002958" w:rsidRDefault="00ED2862" w:rsidP="008073A2">
            <w:pPr>
              <w:keepNext/>
              <w:spacing w:after="0" w:line="240" w:lineRule="auto"/>
              <w:rPr>
                <w:rFonts w:cs="Times New Roman"/>
                <w:color w:val="000000"/>
                <w:lang w:eastAsia="zh-CN"/>
              </w:rPr>
            </w:pPr>
            <w:r w:rsidRPr="00A20B18">
              <w:rPr>
                <w:snapToGrid w:val="0"/>
                <w:color w:val="FF0000"/>
                <w:sz w:val="18"/>
                <w:szCs w:val="18"/>
              </w:rPr>
              <w:sym w:font="Wingdings" w:char="F04C"/>
            </w:r>
          </w:p>
        </w:tc>
        <w:tc>
          <w:tcPr>
            <w:tcW w:w="0" w:type="auto"/>
            <w:tcBorders>
              <w:top w:val="nil"/>
              <w:left w:val="nil"/>
              <w:bottom w:val="single" w:sz="4" w:space="0" w:color="auto"/>
              <w:right w:val="single" w:sz="4" w:space="0" w:color="auto"/>
            </w:tcBorders>
            <w:shd w:val="clear" w:color="auto" w:fill="auto"/>
            <w:hideMark/>
          </w:tcPr>
          <w:p w14:paraId="7A812541" w14:textId="4D25ECAB" w:rsidR="00ED2862" w:rsidRPr="00002958" w:rsidRDefault="00ED2862" w:rsidP="008073A2">
            <w:pPr>
              <w:keepNext/>
              <w:spacing w:after="0" w:line="240" w:lineRule="auto"/>
              <w:rPr>
                <w:rFonts w:cs="Times New Roman"/>
                <w:color w:val="000000"/>
                <w:lang w:eastAsia="zh-CN"/>
              </w:rPr>
            </w:pPr>
            <w:r w:rsidRPr="00A20B18">
              <w:rPr>
                <w:snapToGrid w:val="0"/>
                <w:color w:val="FF0000"/>
                <w:sz w:val="18"/>
                <w:szCs w:val="18"/>
              </w:rPr>
              <w:sym w:font="Wingdings" w:char="F04C"/>
            </w:r>
          </w:p>
        </w:tc>
      </w:tr>
      <w:tr w:rsidR="00ED2862" w:rsidRPr="00002958" w14:paraId="355B1F5C" w14:textId="77777777" w:rsidTr="00E27B35">
        <w:trPr>
          <w:trHeight w:val="900"/>
        </w:trPr>
        <w:tc>
          <w:tcPr>
            <w:tcW w:w="0" w:type="auto"/>
            <w:tcBorders>
              <w:top w:val="nil"/>
              <w:left w:val="single" w:sz="4" w:space="0" w:color="auto"/>
              <w:bottom w:val="single" w:sz="4" w:space="0" w:color="auto"/>
              <w:right w:val="single" w:sz="4" w:space="0" w:color="auto"/>
            </w:tcBorders>
          </w:tcPr>
          <w:p w14:paraId="247B3FDE" w14:textId="6206FEAD" w:rsidR="00ED2862" w:rsidRPr="00002958" w:rsidRDefault="00ED2862" w:rsidP="0055146C">
            <w:pPr>
              <w:pStyle w:val="Tabletext1"/>
              <w:rPr>
                <w:rFonts w:cs="Times New Roman"/>
                <w:color w:val="000000"/>
                <w:lang w:eastAsia="zh-CN"/>
              </w:rPr>
            </w:pPr>
            <w:r w:rsidRPr="00F273D6">
              <w:t>Did the study have sufficient power to detect a clinically important effect where the probability value for a difference being due to chance &lt;5%?</w:t>
            </w:r>
          </w:p>
        </w:tc>
        <w:tc>
          <w:tcPr>
            <w:tcW w:w="0" w:type="auto"/>
            <w:tcBorders>
              <w:top w:val="nil"/>
              <w:left w:val="single" w:sz="4" w:space="0" w:color="auto"/>
              <w:bottom w:val="single" w:sz="4" w:space="0" w:color="auto"/>
              <w:right w:val="single" w:sz="4" w:space="0" w:color="auto"/>
            </w:tcBorders>
            <w:shd w:val="clear" w:color="auto" w:fill="auto"/>
            <w:hideMark/>
          </w:tcPr>
          <w:p w14:paraId="76C9275C" w14:textId="31B08B12" w:rsidR="00ED2862" w:rsidRPr="00002958" w:rsidRDefault="00ED2862" w:rsidP="008073A2">
            <w:pPr>
              <w:keepNext/>
              <w:spacing w:after="0" w:line="240" w:lineRule="auto"/>
              <w:rPr>
                <w:rFonts w:cs="Times New Roman"/>
                <w:color w:val="000000"/>
                <w:lang w:eastAsia="zh-CN"/>
              </w:rPr>
            </w:pPr>
            <w:r w:rsidRPr="00266BA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1DF7EE8F" w14:textId="4E7791E4" w:rsidR="00ED2862" w:rsidRPr="00002958" w:rsidRDefault="00ED2862" w:rsidP="008073A2">
            <w:pPr>
              <w:keepNext/>
              <w:spacing w:after="0" w:line="240" w:lineRule="auto"/>
              <w:rPr>
                <w:rFonts w:cs="Times New Roman"/>
                <w:color w:val="000000"/>
                <w:lang w:eastAsia="zh-CN"/>
              </w:rPr>
            </w:pPr>
            <w:r w:rsidRPr="00266BA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4B879A46" w14:textId="08A3A912" w:rsidR="00ED2862" w:rsidRPr="00002958" w:rsidRDefault="00ED2862" w:rsidP="008073A2">
            <w:pPr>
              <w:keepNext/>
              <w:spacing w:after="0" w:line="240" w:lineRule="auto"/>
              <w:rPr>
                <w:rFonts w:cs="Times New Roman"/>
                <w:color w:val="000000"/>
                <w:lang w:eastAsia="zh-CN"/>
              </w:rPr>
            </w:pPr>
            <w:r w:rsidRPr="00266BA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C363D5B" w14:textId="6BB7EE01" w:rsidR="00ED2862" w:rsidRPr="00002958" w:rsidRDefault="00ED2862" w:rsidP="008073A2">
            <w:pPr>
              <w:keepNext/>
              <w:spacing w:after="0" w:line="240" w:lineRule="auto"/>
              <w:rPr>
                <w:rFonts w:cs="Times New Roman"/>
                <w:color w:val="000000"/>
                <w:lang w:eastAsia="zh-CN"/>
              </w:rPr>
            </w:pPr>
            <w:r w:rsidRPr="00266BA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37DCA24D" w14:textId="4E23ECAB" w:rsidR="00ED2862" w:rsidRPr="00002958" w:rsidRDefault="00ED2862" w:rsidP="008073A2">
            <w:pPr>
              <w:keepNext/>
              <w:spacing w:after="0" w:line="240" w:lineRule="auto"/>
              <w:rPr>
                <w:rFonts w:cs="Times New Roman"/>
                <w:color w:val="000000"/>
                <w:lang w:eastAsia="zh-CN"/>
              </w:rPr>
            </w:pPr>
            <w:r w:rsidRPr="00266BA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64B4070" w14:textId="24D66A68" w:rsidR="00ED2862" w:rsidRPr="00002958" w:rsidRDefault="00ED2862" w:rsidP="008073A2">
            <w:pPr>
              <w:keepNext/>
              <w:spacing w:after="0" w:line="240" w:lineRule="auto"/>
              <w:rPr>
                <w:rFonts w:cs="Times New Roman"/>
                <w:color w:val="000000"/>
                <w:lang w:eastAsia="zh-CN"/>
              </w:rPr>
            </w:pPr>
            <w:r w:rsidRPr="00266BAB">
              <w:rPr>
                <w:snapToGrid w:val="0"/>
                <w:color w:val="00B050"/>
                <w:sz w:val="18"/>
                <w:szCs w:val="18"/>
              </w:rPr>
              <w:sym w:font="Wingdings" w:char="F04A"/>
            </w:r>
          </w:p>
        </w:tc>
        <w:tc>
          <w:tcPr>
            <w:tcW w:w="0" w:type="auto"/>
            <w:tcBorders>
              <w:top w:val="nil"/>
              <w:left w:val="nil"/>
              <w:bottom w:val="single" w:sz="4" w:space="0" w:color="auto"/>
              <w:right w:val="single" w:sz="4" w:space="0" w:color="auto"/>
            </w:tcBorders>
            <w:shd w:val="clear" w:color="auto" w:fill="auto"/>
            <w:hideMark/>
          </w:tcPr>
          <w:p w14:paraId="2FF3C1B6" w14:textId="79FEA468" w:rsidR="00ED2862" w:rsidRPr="00002958" w:rsidRDefault="00ED2862" w:rsidP="008073A2">
            <w:pPr>
              <w:keepNext/>
              <w:spacing w:after="0" w:line="240" w:lineRule="auto"/>
              <w:rPr>
                <w:rFonts w:cs="Times New Roman"/>
                <w:color w:val="000000"/>
                <w:lang w:eastAsia="zh-CN"/>
              </w:rPr>
            </w:pPr>
            <w:r w:rsidRPr="00266BAB">
              <w:rPr>
                <w:snapToGrid w:val="0"/>
                <w:color w:val="00B050"/>
                <w:sz w:val="18"/>
                <w:szCs w:val="18"/>
              </w:rPr>
              <w:sym w:font="Wingdings" w:char="F04A"/>
            </w:r>
          </w:p>
        </w:tc>
      </w:tr>
    </w:tbl>
    <w:p w14:paraId="76775D4B" w14:textId="18AF7781" w:rsidR="00ED2862" w:rsidRDefault="00ED2862" w:rsidP="00E27B35">
      <w:pPr>
        <w:pStyle w:val="TableNotes"/>
        <w:rPr>
          <w:b/>
          <w:color w:val="1F497D" w:themeColor="text2"/>
        </w:rPr>
      </w:pPr>
      <w:r w:rsidRPr="008832A0">
        <w:rPr>
          <w:color w:val="00B050"/>
        </w:rPr>
        <w:sym w:font="Wingdings" w:char="F04A"/>
      </w:r>
      <w:r w:rsidR="00FA05F6">
        <w:rPr>
          <w:color w:val="00B050"/>
        </w:rPr>
        <w:t xml:space="preserve"> </w:t>
      </w:r>
      <w:r w:rsidR="00FA05F6" w:rsidRPr="008832A0">
        <w:t>=</w:t>
      </w:r>
      <w:r>
        <w:rPr>
          <w:color w:val="00B050"/>
        </w:rPr>
        <w:t xml:space="preserve"> </w:t>
      </w:r>
      <w:r w:rsidR="00FA05F6" w:rsidRPr="008832A0">
        <w:t>Yes</w:t>
      </w:r>
      <w:r w:rsidR="00FA05F6">
        <w:t xml:space="preserve">, </w:t>
      </w:r>
      <w:r w:rsidR="00FA05F6" w:rsidRPr="008832A0">
        <w:rPr>
          <w:color w:val="FF0000"/>
        </w:rPr>
        <w:sym w:font="Wingdings" w:char="F04C"/>
      </w:r>
      <w:r w:rsidR="00FA05F6">
        <w:t xml:space="preserve"> =</w:t>
      </w:r>
      <w:r w:rsidR="00FA05F6" w:rsidRPr="008832A0">
        <w:t xml:space="preserve"> </w:t>
      </w:r>
      <w:r w:rsidRPr="008832A0">
        <w:t>No</w:t>
      </w:r>
      <w:r w:rsidR="00FA05F6">
        <w:t>,</w:t>
      </w:r>
      <w:r w:rsidRPr="008832A0">
        <w:t xml:space="preserve"> </w:t>
      </w:r>
      <w:r w:rsidR="00FA05F6">
        <w:t xml:space="preserve">NA </w:t>
      </w:r>
      <w:r w:rsidRPr="008832A0">
        <w:t xml:space="preserve">= </w:t>
      </w:r>
      <w:r w:rsidR="00FA05F6">
        <w:t>n</w:t>
      </w:r>
      <w:r w:rsidRPr="00736AC1">
        <w:t>ot applicable,</w:t>
      </w:r>
      <w:r w:rsidR="00FA05F6">
        <w:t xml:space="preserve"> ? =</w:t>
      </w:r>
      <w:r w:rsidRPr="00736AC1">
        <w:t xml:space="preserve"> </w:t>
      </w:r>
      <w:r w:rsidR="00FA05F6">
        <w:t>cannot answer.</w:t>
      </w:r>
    </w:p>
    <w:p w14:paraId="7B9B7681" w14:textId="498C64D1" w:rsidR="00113789" w:rsidRDefault="00113789" w:rsidP="00113789">
      <w:pPr>
        <w:pStyle w:val="Heading2"/>
        <w:rPr>
          <w:rFonts w:eastAsiaTheme="minorHAnsi"/>
          <w:lang w:eastAsia="en-US"/>
        </w:rPr>
      </w:pPr>
      <w:bookmarkStart w:id="826" w:name="_Toc460514033"/>
      <w:r>
        <w:rPr>
          <w:rFonts w:eastAsiaTheme="minorHAnsi"/>
          <w:lang w:eastAsia="en-US"/>
        </w:rPr>
        <w:lastRenderedPageBreak/>
        <w:t>Diagnostic accuracy studies Population 2 (Section B6.3)</w:t>
      </w:r>
      <w:bookmarkEnd w:id="826"/>
    </w:p>
    <w:p w14:paraId="09F31E91" w14:textId="77777777" w:rsidR="00113789" w:rsidRDefault="00113789" w:rsidP="00113789">
      <w:pPr>
        <w:pStyle w:val="Caption"/>
      </w:pPr>
      <w:bookmarkStart w:id="827" w:name="_Ref456275957"/>
      <w:bookmarkStart w:id="828" w:name="_Toc460514585"/>
      <w:r>
        <w:t xml:space="preserve">Table </w:t>
      </w:r>
      <w:fldSimple w:instr=" SEQ Table \* ARABIC ">
        <w:r w:rsidR="0029649D">
          <w:rPr>
            <w:noProof/>
          </w:rPr>
          <w:t>85</w:t>
        </w:r>
      </w:fldSimple>
      <w:bookmarkEnd w:id="827"/>
      <w:r>
        <w:tab/>
        <w:t>QUADAS-2 results: Population 2</w:t>
      </w:r>
      <w:bookmarkEnd w:id="828"/>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131"/>
        <w:gridCol w:w="1132"/>
        <w:gridCol w:w="1132"/>
        <w:gridCol w:w="1132"/>
        <w:gridCol w:w="1132"/>
        <w:gridCol w:w="1132"/>
        <w:gridCol w:w="1132"/>
        <w:gridCol w:w="1132"/>
      </w:tblGrid>
      <w:tr w:rsidR="00113789" w:rsidRPr="00FD78C3" w14:paraId="0B6DD52C" w14:textId="77777777" w:rsidTr="00723373">
        <w:trPr>
          <w:tblHeader/>
        </w:trPr>
        <w:tc>
          <w:tcPr>
            <w:tcW w:w="625" w:type="pct"/>
            <w:tcBorders>
              <w:right w:val="nil"/>
            </w:tcBorders>
            <w:shd w:val="clear" w:color="auto" w:fill="auto"/>
            <w:vAlign w:val="center"/>
          </w:tcPr>
          <w:p w14:paraId="4EE84CA8" w14:textId="77777777" w:rsidR="00113789" w:rsidRPr="00FD78C3" w:rsidRDefault="00113789" w:rsidP="00723373">
            <w:pPr>
              <w:pStyle w:val="TableHeading"/>
              <w:rPr>
                <w:snapToGrid w:val="0"/>
                <w:lang w:eastAsia="en-US"/>
              </w:rPr>
            </w:pPr>
          </w:p>
        </w:tc>
        <w:tc>
          <w:tcPr>
            <w:tcW w:w="625" w:type="pct"/>
            <w:tcBorders>
              <w:left w:val="nil"/>
              <w:right w:val="nil"/>
            </w:tcBorders>
            <w:shd w:val="clear" w:color="auto" w:fill="auto"/>
            <w:vAlign w:val="center"/>
          </w:tcPr>
          <w:p w14:paraId="40D1BAC6" w14:textId="77777777" w:rsidR="00113789" w:rsidRPr="00FD78C3" w:rsidRDefault="00113789" w:rsidP="00723373">
            <w:pPr>
              <w:pStyle w:val="TableHeading"/>
              <w:rPr>
                <w:snapToGrid w:val="0"/>
                <w:lang w:eastAsia="en-US"/>
              </w:rPr>
            </w:pPr>
          </w:p>
        </w:tc>
        <w:tc>
          <w:tcPr>
            <w:tcW w:w="625" w:type="pct"/>
            <w:tcBorders>
              <w:left w:val="nil"/>
              <w:right w:val="nil"/>
            </w:tcBorders>
            <w:shd w:val="clear" w:color="auto" w:fill="auto"/>
            <w:vAlign w:val="center"/>
          </w:tcPr>
          <w:p w14:paraId="48F70D6E" w14:textId="77777777" w:rsidR="00113789" w:rsidRPr="00FD78C3" w:rsidRDefault="00113789" w:rsidP="00723373">
            <w:pPr>
              <w:pStyle w:val="TableHeading"/>
              <w:rPr>
                <w:snapToGrid w:val="0"/>
                <w:lang w:eastAsia="en-US"/>
              </w:rPr>
            </w:pPr>
            <w:r w:rsidRPr="00FD78C3">
              <w:rPr>
                <w:snapToGrid w:val="0"/>
                <w:lang w:eastAsia="en-US"/>
              </w:rPr>
              <w:t>Risk of bias</w:t>
            </w:r>
          </w:p>
        </w:tc>
        <w:tc>
          <w:tcPr>
            <w:tcW w:w="625" w:type="pct"/>
            <w:tcBorders>
              <w:left w:val="nil"/>
              <w:right w:val="nil"/>
            </w:tcBorders>
            <w:shd w:val="clear" w:color="auto" w:fill="auto"/>
            <w:vAlign w:val="center"/>
          </w:tcPr>
          <w:p w14:paraId="48CB0416" w14:textId="77777777" w:rsidR="00113789" w:rsidRPr="00FD78C3" w:rsidRDefault="00113789" w:rsidP="00723373">
            <w:pPr>
              <w:pStyle w:val="TableHeading"/>
              <w:rPr>
                <w:snapToGrid w:val="0"/>
                <w:lang w:eastAsia="en-US"/>
              </w:rPr>
            </w:pPr>
          </w:p>
        </w:tc>
        <w:tc>
          <w:tcPr>
            <w:tcW w:w="625" w:type="pct"/>
            <w:tcBorders>
              <w:left w:val="nil"/>
            </w:tcBorders>
            <w:shd w:val="clear" w:color="auto" w:fill="auto"/>
            <w:vAlign w:val="center"/>
          </w:tcPr>
          <w:p w14:paraId="2F6892A4" w14:textId="77777777" w:rsidR="00113789" w:rsidRPr="00FD78C3" w:rsidRDefault="00113789" w:rsidP="00723373">
            <w:pPr>
              <w:pStyle w:val="TableHeading"/>
              <w:rPr>
                <w:snapToGrid w:val="0"/>
                <w:lang w:eastAsia="en-US"/>
              </w:rPr>
            </w:pPr>
          </w:p>
        </w:tc>
        <w:tc>
          <w:tcPr>
            <w:tcW w:w="625" w:type="pct"/>
            <w:tcBorders>
              <w:right w:val="nil"/>
            </w:tcBorders>
            <w:shd w:val="clear" w:color="auto" w:fill="D9D9D9" w:themeFill="background1" w:themeFillShade="D9"/>
            <w:vAlign w:val="center"/>
          </w:tcPr>
          <w:p w14:paraId="59CE5E77" w14:textId="77777777" w:rsidR="00113789" w:rsidRPr="00FD78C3" w:rsidRDefault="00113789" w:rsidP="00723373">
            <w:pPr>
              <w:pStyle w:val="TableHeading"/>
              <w:rPr>
                <w:snapToGrid w:val="0"/>
                <w:lang w:eastAsia="en-US"/>
              </w:rPr>
            </w:pPr>
          </w:p>
        </w:tc>
        <w:tc>
          <w:tcPr>
            <w:tcW w:w="625" w:type="pct"/>
            <w:tcBorders>
              <w:left w:val="nil"/>
              <w:right w:val="nil"/>
            </w:tcBorders>
            <w:shd w:val="clear" w:color="auto" w:fill="D9D9D9" w:themeFill="background1" w:themeFillShade="D9"/>
            <w:vAlign w:val="center"/>
          </w:tcPr>
          <w:p w14:paraId="5D0AE09B" w14:textId="77777777" w:rsidR="00113789" w:rsidRPr="00FD78C3" w:rsidRDefault="00113789" w:rsidP="00723373">
            <w:pPr>
              <w:pStyle w:val="TableHeading"/>
              <w:rPr>
                <w:snapToGrid w:val="0"/>
                <w:lang w:eastAsia="en-US"/>
              </w:rPr>
            </w:pPr>
            <w:r w:rsidRPr="00FD78C3">
              <w:rPr>
                <w:snapToGrid w:val="0"/>
                <w:lang w:eastAsia="en-US"/>
              </w:rPr>
              <w:t>Applicability concerns</w:t>
            </w:r>
          </w:p>
        </w:tc>
        <w:tc>
          <w:tcPr>
            <w:tcW w:w="625" w:type="pct"/>
            <w:tcBorders>
              <w:left w:val="nil"/>
            </w:tcBorders>
            <w:shd w:val="clear" w:color="auto" w:fill="D9D9D9" w:themeFill="background1" w:themeFillShade="D9"/>
            <w:vAlign w:val="center"/>
          </w:tcPr>
          <w:p w14:paraId="0557914C" w14:textId="77777777" w:rsidR="00113789" w:rsidRPr="00FD78C3" w:rsidRDefault="00113789" w:rsidP="00723373">
            <w:pPr>
              <w:pStyle w:val="TableHeading"/>
              <w:rPr>
                <w:snapToGrid w:val="0"/>
                <w:lang w:eastAsia="en-US"/>
              </w:rPr>
            </w:pPr>
          </w:p>
        </w:tc>
      </w:tr>
      <w:tr w:rsidR="00113789" w:rsidRPr="00FD78C3" w14:paraId="42583FD0" w14:textId="77777777" w:rsidTr="00723373">
        <w:trPr>
          <w:tblHeader/>
        </w:trPr>
        <w:tc>
          <w:tcPr>
            <w:tcW w:w="625" w:type="pct"/>
            <w:shd w:val="clear" w:color="auto" w:fill="auto"/>
            <w:vAlign w:val="center"/>
          </w:tcPr>
          <w:p w14:paraId="0F97B42E" w14:textId="77777777" w:rsidR="00113789" w:rsidRPr="00FD78C3" w:rsidRDefault="00113789" w:rsidP="00723373">
            <w:pPr>
              <w:pStyle w:val="TableHeading"/>
              <w:rPr>
                <w:snapToGrid w:val="0"/>
                <w:highlight w:val="cyan"/>
              </w:rPr>
            </w:pPr>
            <w:r w:rsidRPr="00FD78C3">
              <w:rPr>
                <w:snapToGrid w:val="0"/>
                <w:lang w:eastAsia="en-US"/>
              </w:rPr>
              <w:t>Study</w:t>
            </w:r>
          </w:p>
        </w:tc>
        <w:tc>
          <w:tcPr>
            <w:tcW w:w="625" w:type="pct"/>
            <w:shd w:val="clear" w:color="auto" w:fill="auto"/>
            <w:vAlign w:val="center"/>
          </w:tcPr>
          <w:p w14:paraId="49E80F38" w14:textId="77777777" w:rsidR="00113789" w:rsidRPr="00FD78C3" w:rsidRDefault="00113789" w:rsidP="00723373">
            <w:pPr>
              <w:pStyle w:val="TableHeading"/>
              <w:rPr>
                <w:snapToGrid w:val="0"/>
              </w:rPr>
            </w:pPr>
            <w:r w:rsidRPr="00FD78C3">
              <w:rPr>
                <w:snapToGrid w:val="0"/>
              </w:rPr>
              <w:t>Patient selection</w:t>
            </w:r>
          </w:p>
        </w:tc>
        <w:tc>
          <w:tcPr>
            <w:tcW w:w="625" w:type="pct"/>
            <w:shd w:val="clear" w:color="auto" w:fill="auto"/>
            <w:vAlign w:val="center"/>
          </w:tcPr>
          <w:p w14:paraId="669CAE42" w14:textId="77777777" w:rsidR="00113789" w:rsidRPr="00FD78C3" w:rsidRDefault="00113789" w:rsidP="00723373">
            <w:pPr>
              <w:pStyle w:val="TableHeading"/>
              <w:rPr>
                <w:snapToGrid w:val="0"/>
              </w:rPr>
            </w:pPr>
            <w:r w:rsidRPr="00FD78C3">
              <w:rPr>
                <w:snapToGrid w:val="0"/>
              </w:rPr>
              <w:t>Index test</w:t>
            </w:r>
          </w:p>
        </w:tc>
        <w:tc>
          <w:tcPr>
            <w:tcW w:w="625" w:type="pct"/>
            <w:shd w:val="clear" w:color="auto" w:fill="auto"/>
            <w:vAlign w:val="center"/>
          </w:tcPr>
          <w:p w14:paraId="23D60ECB" w14:textId="77777777" w:rsidR="00113789" w:rsidRPr="00FD78C3" w:rsidRDefault="00113789" w:rsidP="00723373">
            <w:pPr>
              <w:pStyle w:val="TableHeading"/>
              <w:rPr>
                <w:snapToGrid w:val="0"/>
              </w:rPr>
            </w:pPr>
            <w:r w:rsidRPr="00FD78C3">
              <w:rPr>
                <w:snapToGrid w:val="0"/>
              </w:rPr>
              <w:t>Reference standard</w:t>
            </w:r>
          </w:p>
        </w:tc>
        <w:tc>
          <w:tcPr>
            <w:tcW w:w="625" w:type="pct"/>
            <w:shd w:val="clear" w:color="auto" w:fill="auto"/>
            <w:vAlign w:val="center"/>
          </w:tcPr>
          <w:p w14:paraId="66023C0A" w14:textId="77777777" w:rsidR="00113789" w:rsidRPr="00FD78C3" w:rsidRDefault="00113789" w:rsidP="00723373">
            <w:pPr>
              <w:pStyle w:val="TableHeading"/>
              <w:rPr>
                <w:snapToGrid w:val="0"/>
              </w:rPr>
            </w:pPr>
            <w:r w:rsidRPr="00FD78C3">
              <w:rPr>
                <w:snapToGrid w:val="0"/>
              </w:rPr>
              <w:t>Flow and timing</w:t>
            </w:r>
          </w:p>
        </w:tc>
        <w:tc>
          <w:tcPr>
            <w:tcW w:w="625" w:type="pct"/>
            <w:shd w:val="clear" w:color="auto" w:fill="D9D9D9" w:themeFill="background1" w:themeFillShade="D9"/>
            <w:vAlign w:val="center"/>
          </w:tcPr>
          <w:p w14:paraId="7EC6319B" w14:textId="77777777" w:rsidR="00113789" w:rsidRPr="00FD78C3" w:rsidRDefault="00113789" w:rsidP="00723373">
            <w:pPr>
              <w:pStyle w:val="TableHeading"/>
              <w:rPr>
                <w:snapToGrid w:val="0"/>
              </w:rPr>
            </w:pPr>
            <w:r w:rsidRPr="00FD78C3">
              <w:rPr>
                <w:snapToGrid w:val="0"/>
              </w:rPr>
              <w:t>Patient selection</w:t>
            </w:r>
          </w:p>
        </w:tc>
        <w:tc>
          <w:tcPr>
            <w:tcW w:w="625" w:type="pct"/>
            <w:shd w:val="clear" w:color="auto" w:fill="D9D9D9" w:themeFill="background1" w:themeFillShade="D9"/>
            <w:vAlign w:val="center"/>
          </w:tcPr>
          <w:p w14:paraId="146A0FAE" w14:textId="77777777" w:rsidR="00113789" w:rsidRPr="00FD78C3" w:rsidRDefault="00113789" w:rsidP="00723373">
            <w:pPr>
              <w:pStyle w:val="TableHeading"/>
              <w:rPr>
                <w:snapToGrid w:val="0"/>
              </w:rPr>
            </w:pPr>
            <w:r w:rsidRPr="00FD78C3">
              <w:rPr>
                <w:snapToGrid w:val="0"/>
              </w:rPr>
              <w:t>Index test</w:t>
            </w:r>
          </w:p>
        </w:tc>
        <w:tc>
          <w:tcPr>
            <w:tcW w:w="625" w:type="pct"/>
            <w:shd w:val="clear" w:color="auto" w:fill="D9D9D9" w:themeFill="background1" w:themeFillShade="D9"/>
            <w:vAlign w:val="center"/>
          </w:tcPr>
          <w:p w14:paraId="43E8502A" w14:textId="77777777" w:rsidR="00113789" w:rsidRPr="00FD78C3" w:rsidRDefault="00113789" w:rsidP="00723373">
            <w:pPr>
              <w:pStyle w:val="TableHeading"/>
              <w:rPr>
                <w:snapToGrid w:val="0"/>
              </w:rPr>
            </w:pPr>
            <w:r w:rsidRPr="00FD78C3">
              <w:rPr>
                <w:snapToGrid w:val="0"/>
              </w:rPr>
              <w:t>Reference standard</w:t>
            </w:r>
          </w:p>
        </w:tc>
      </w:tr>
      <w:tr w:rsidR="00FD78C3" w:rsidRPr="00FD78C3" w14:paraId="767BE468" w14:textId="77777777" w:rsidTr="00FD78C3">
        <w:tc>
          <w:tcPr>
            <w:tcW w:w="625" w:type="pct"/>
            <w:shd w:val="clear" w:color="auto" w:fill="auto"/>
            <w:vAlign w:val="bottom"/>
          </w:tcPr>
          <w:p w14:paraId="4E94DF42" w14:textId="77777777" w:rsidR="00FD78C3" w:rsidRPr="00FD78C3" w:rsidRDefault="00FD78C3" w:rsidP="00723373">
            <w:pPr>
              <w:pStyle w:val="TableText0"/>
              <w:rPr>
                <w:snapToGrid w:val="0"/>
                <w:szCs w:val="20"/>
              </w:rPr>
            </w:pPr>
            <w:r w:rsidRPr="00FD78C3">
              <w:rPr>
                <w:szCs w:val="20"/>
              </w:rPr>
              <w:t>Abd-Alazeez et al. (2014)</w:t>
            </w:r>
          </w:p>
        </w:tc>
        <w:tc>
          <w:tcPr>
            <w:tcW w:w="625" w:type="pct"/>
            <w:shd w:val="clear" w:color="auto" w:fill="auto"/>
          </w:tcPr>
          <w:p w14:paraId="4045D8DE" w14:textId="2A46459A" w:rsidR="00FD78C3" w:rsidRPr="001D7B73" w:rsidRDefault="00FD78C3" w:rsidP="00723373">
            <w:pPr>
              <w:pStyle w:val="TableText0"/>
              <w:rPr>
                <w:b/>
                <w:snapToGrid w:val="0"/>
                <w:szCs w:val="20"/>
              </w:rPr>
            </w:pPr>
            <w:r w:rsidRPr="001D7B73">
              <w:rPr>
                <w:b/>
                <w:color w:val="1F497D" w:themeColor="text2"/>
                <w:szCs w:val="20"/>
              </w:rPr>
              <w:t>?</w:t>
            </w:r>
          </w:p>
        </w:tc>
        <w:tc>
          <w:tcPr>
            <w:tcW w:w="625" w:type="pct"/>
            <w:shd w:val="clear" w:color="auto" w:fill="auto"/>
          </w:tcPr>
          <w:p w14:paraId="529D9A15" w14:textId="521E5F1D"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032D04E1" w14:textId="0FF28B71" w:rsidR="00FD78C3" w:rsidRPr="001D7B73" w:rsidRDefault="00FD78C3" w:rsidP="00723373">
            <w:pPr>
              <w:pStyle w:val="TableText0"/>
              <w:rPr>
                <w:snapToGrid w:val="0"/>
                <w:szCs w:val="20"/>
              </w:rPr>
            </w:pPr>
            <w:r w:rsidRPr="001D7B73">
              <w:rPr>
                <w:color w:val="FF0000"/>
              </w:rPr>
              <w:sym w:font="Wingdings" w:char="F04C"/>
            </w:r>
          </w:p>
        </w:tc>
        <w:tc>
          <w:tcPr>
            <w:tcW w:w="625" w:type="pct"/>
            <w:shd w:val="clear" w:color="auto" w:fill="auto"/>
            <w:vAlign w:val="center"/>
          </w:tcPr>
          <w:p w14:paraId="7120D8C4" w14:textId="2663A531" w:rsidR="00FD78C3" w:rsidRPr="001D7B73" w:rsidRDefault="00FD78C3" w:rsidP="00723373">
            <w:pPr>
              <w:pStyle w:val="TableText0"/>
              <w:rPr>
                <w:snapToGrid w:val="0"/>
                <w:szCs w:val="20"/>
              </w:rPr>
            </w:pPr>
            <w:r w:rsidRPr="001D7B73">
              <w:rPr>
                <w:color w:val="FF0000"/>
              </w:rPr>
              <w:sym w:font="Wingdings" w:char="F04C"/>
            </w:r>
          </w:p>
        </w:tc>
        <w:tc>
          <w:tcPr>
            <w:tcW w:w="625" w:type="pct"/>
            <w:shd w:val="clear" w:color="auto" w:fill="auto"/>
          </w:tcPr>
          <w:p w14:paraId="1428DDC8" w14:textId="6E889E4A"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7ED0EE63" w14:textId="5FD2F1C6"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305636AA" w14:textId="14E35355" w:rsidR="00FD78C3" w:rsidRPr="001D7B73" w:rsidRDefault="00FD78C3" w:rsidP="00723373">
            <w:pPr>
              <w:pStyle w:val="TableText0"/>
              <w:rPr>
                <w:snapToGrid w:val="0"/>
                <w:szCs w:val="20"/>
              </w:rPr>
            </w:pPr>
            <w:r w:rsidRPr="001D7B73">
              <w:rPr>
                <w:snapToGrid w:val="0"/>
                <w:color w:val="00B050"/>
                <w:szCs w:val="20"/>
              </w:rPr>
              <w:sym w:font="Wingdings" w:char="F04A"/>
            </w:r>
          </w:p>
        </w:tc>
      </w:tr>
      <w:tr w:rsidR="001D7B73" w:rsidRPr="00FD78C3" w14:paraId="5CBD8D25" w14:textId="77777777" w:rsidTr="00FD78C3">
        <w:tc>
          <w:tcPr>
            <w:tcW w:w="625" w:type="pct"/>
            <w:shd w:val="clear" w:color="auto" w:fill="auto"/>
            <w:vAlign w:val="bottom"/>
          </w:tcPr>
          <w:p w14:paraId="09F66305" w14:textId="77777777" w:rsidR="001D7B73" w:rsidRPr="00FD78C3" w:rsidRDefault="001D7B73" w:rsidP="00723373">
            <w:pPr>
              <w:pStyle w:val="TableText0"/>
              <w:rPr>
                <w:snapToGrid w:val="0"/>
                <w:szCs w:val="20"/>
              </w:rPr>
            </w:pPr>
            <w:r w:rsidRPr="00FD78C3">
              <w:rPr>
                <w:szCs w:val="20"/>
              </w:rPr>
              <w:t>Almeida et al. (2016)</w:t>
            </w:r>
          </w:p>
        </w:tc>
        <w:tc>
          <w:tcPr>
            <w:tcW w:w="625" w:type="pct"/>
            <w:shd w:val="clear" w:color="auto" w:fill="auto"/>
          </w:tcPr>
          <w:p w14:paraId="4C41663F" w14:textId="568978F6" w:rsidR="001D7B73" w:rsidRPr="001D7B73" w:rsidRDefault="001D7B73" w:rsidP="00723373">
            <w:pPr>
              <w:pStyle w:val="TableText0"/>
              <w:rPr>
                <w:b/>
                <w:snapToGrid w:val="0"/>
                <w:szCs w:val="20"/>
              </w:rPr>
            </w:pPr>
            <w:r w:rsidRPr="001D7B73">
              <w:rPr>
                <w:b/>
                <w:color w:val="1F497D" w:themeColor="text2"/>
                <w:szCs w:val="20"/>
              </w:rPr>
              <w:t>?</w:t>
            </w:r>
          </w:p>
        </w:tc>
        <w:tc>
          <w:tcPr>
            <w:tcW w:w="625" w:type="pct"/>
            <w:shd w:val="clear" w:color="auto" w:fill="auto"/>
          </w:tcPr>
          <w:p w14:paraId="03FC57E8" w14:textId="4714FAC7"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02C50AAB" w14:textId="2C73CF11" w:rsidR="001D7B73" w:rsidRPr="001D7B73" w:rsidRDefault="001D7B73" w:rsidP="00723373">
            <w:pPr>
              <w:pStyle w:val="TableText0"/>
              <w:rPr>
                <w:snapToGrid w:val="0"/>
                <w:szCs w:val="20"/>
              </w:rPr>
            </w:pPr>
            <w:r w:rsidRPr="00B42C01">
              <w:rPr>
                <w:b/>
                <w:color w:val="1F497D" w:themeColor="text2"/>
                <w:szCs w:val="20"/>
              </w:rPr>
              <w:t>?</w:t>
            </w:r>
          </w:p>
        </w:tc>
        <w:tc>
          <w:tcPr>
            <w:tcW w:w="625" w:type="pct"/>
            <w:shd w:val="clear" w:color="auto" w:fill="auto"/>
          </w:tcPr>
          <w:p w14:paraId="5C36FC1D" w14:textId="478E9E8D"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4472D501" w14:textId="0D69AF13"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04626A7F" w14:textId="60E3B96E"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4E9C4987" w14:textId="4326C44E" w:rsidR="001D7B73" w:rsidRPr="001D7B73" w:rsidRDefault="001D7B73" w:rsidP="00723373">
            <w:pPr>
              <w:pStyle w:val="TableText0"/>
              <w:rPr>
                <w:snapToGrid w:val="0"/>
                <w:szCs w:val="20"/>
              </w:rPr>
            </w:pPr>
            <w:r w:rsidRPr="001D7B73">
              <w:rPr>
                <w:b/>
                <w:color w:val="1F497D" w:themeColor="text2"/>
                <w:szCs w:val="20"/>
              </w:rPr>
              <w:t>?</w:t>
            </w:r>
          </w:p>
        </w:tc>
      </w:tr>
      <w:tr w:rsidR="001D7B73" w:rsidRPr="00FD78C3" w14:paraId="01E9CD9E" w14:textId="77777777" w:rsidTr="00FD78C3">
        <w:tc>
          <w:tcPr>
            <w:tcW w:w="625" w:type="pct"/>
            <w:shd w:val="clear" w:color="auto" w:fill="auto"/>
            <w:vAlign w:val="bottom"/>
          </w:tcPr>
          <w:p w14:paraId="6EDC9AC2" w14:textId="77777777" w:rsidR="001D7B73" w:rsidRPr="00FD78C3" w:rsidRDefault="001D7B73" w:rsidP="00723373">
            <w:pPr>
              <w:pStyle w:val="TableText0"/>
              <w:rPr>
                <w:snapToGrid w:val="0"/>
                <w:szCs w:val="20"/>
              </w:rPr>
            </w:pPr>
            <w:r w:rsidRPr="00FD78C3">
              <w:rPr>
                <w:szCs w:val="20"/>
              </w:rPr>
              <w:t>Bonekamp et al. (2013)</w:t>
            </w:r>
          </w:p>
        </w:tc>
        <w:tc>
          <w:tcPr>
            <w:tcW w:w="625" w:type="pct"/>
            <w:shd w:val="clear" w:color="auto" w:fill="auto"/>
          </w:tcPr>
          <w:p w14:paraId="2029E7E9" w14:textId="577337CB" w:rsidR="001D7B73" w:rsidRPr="001D7B73" w:rsidRDefault="001D7B73" w:rsidP="00723373">
            <w:pPr>
              <w:pStyle w:val="TableText0"/>
              <w:rPr>
                <w:b/>
                <w:snapToGrid w:val="0"/>
                <w:szCs w:val="20"/>
              </w:rPr>
            </w:pPr>
            <w:r w:rsidRPr="001D7B73">
              <w:rPr>
                <w:b/>
                <w:color w:val="1F497D" w:themeColor="text2"/>
                <w:szCs w:val="20"/>
              </w:rPr>
              <w:t>?</w:t>
            </w:r>
          </w:p>
        </w:tc>
        <w:tc>
          <w:tcPr>
            <w:tcW w:w="625" w:type="pct"/>
            <w:shd w:val="clear" w:color="auto" w:fill="auto"/>
          </w:tcPr>
          <w:p w14:paraId="02B28A9F" w14:textId="1FBA8052"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167CB95A" w14:textId="0DA7415D" w:rsidR="001D7B73" w:rsidRPr="001D7B73" w:rsidRDefault="001D7B73" w:rsidP="00723373">
            <w:pPr>
              <w:pStyle w:val="TableText0"/>
              <w:rPr>
                <w:snapToGrid w:val="0"/>
                <w:szCs w:val="20"/>
              </w:rPr>
            </w:pPr>
            <w:r w:rsidRPr="00B42C01">
              <w:rPr>
                <w:b/>
                <w:color w:val="1F497D" w:themeColor="text2"/>
                <w:szCs w:val="20"/>
              </w:rPr>
              <w:t>?</w:t>
            </w:r>
          </w:p>
        </w:tc>
        <w:tc>
          <w:tcPr>
            <w:tcW w:w="625" w:type="pct"/>
            <w:shd w:val="clear" w:color="auto" w:fill="auto"/>
          </w:tcPr>
          <w:p w14:paraId="49DF5F07" w14:textId="5D9FB09A"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194D7C44" w14:textId="5D8B7FD9"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4CA505AF" w14:textId="1DE6A815"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vAlign w:val="center"/>
          </w:tcPr>
          <w:p w14:paraId="71D7E143" w14:textId="3D4CBFDC" w:rsidR="001D7B73" w:rsidRPr="001D7B73" w:rsidRDefault="001D7B73" w:rsidP="00723373">
            <w:pPr>
              <w:pStyle w:val="TableText0"/>
              <w:rPr>
                <w:snapToGrid w:val="0"/>
                <w:szCs w:val="20"/>
              </w:rPr>
            </w:pPr>
            <w:r w:rsidRPr="001D7B73">
              <w:rPr>
                <w:snapToGrid w:val="0"/>
                <w:color w:val="00B050"/>
                <w:szCs w:val="20"/>
              </w:rPr>
              <w:sym w:font="Wingdings" w:char="F04A"/>
            </w:r>
          </w:p>
        </w:tc>
      </w:tr>
      <w:tr w:rsidR="001D7B73" w:rsidRPr="00FD78C3" w14:paraId="2203F83D" w14:textId="77777777" w:rsidTr="00FD78C3">
        <w:tc>
          <w:tcPr>
            <w:tcW w:w="625" w:type="pct"/>
            <w:shd w:val="clear" w:color="auto" w:fill="auto"/>
            <w:vAlign w:val="bottom"/>
          </w:tcPr>
          <w:p w14:paraId="0181C6B2" w14:textId="77777777" w:rsidR="001D7B73" w:rsidRPr="00FD78C3" w:rsidRDefault="001D7B73" w:rsidP="00723373">
            <w:pPr>
              <w:pStyle w:val="TableText0"/>
              <w:rPr>
                <w:snapToGrid w:val="0"/>
                <w:szCs w:val="20"/>
              </w:rPr>
            </w:pPr>
            <w:r w:rsidRPr="00FD78C3">
              <w:rPr>
                <w:szCs w:val="20"/>
              </w:rPr>
              <w:t>de Cobelli et al. 2015</w:t>
            </w:r>
          </w:p>
        </w:tc>
        <w:tc>
          <w:tcPr>
            <w:tcW w:w="625" w:type="pct"/>
            <w:shd w:val="clear" w:color="auto" w:fill="auto"/>
          </w:tcPr>
          <w:p w14:paraId="6AB05928" w14:textId="27F10EC1" w:rsidR="001D7B73" w:rsidRPr="001D7B73" w:rsidRDefault="001D7B73" w:rsidP="00723373">
            <w:pPr>
              <w:pStyle w:val="TableText0"/>
              <w:rPr>
                <w:b/>
                <w:snapToGrid w:val="0"/>
                <w:szCs w:val="20"/>
              </w:rPr>
            </w:pPr>
            <w:r w:rsidRPr="001D7B73">
              <w:rPr>
                <w:b/>
                <w:color w:val="1F497D" w:themeColor="text2"/>
                <w:szCs w:val="20"/>
              </w:rPr>
              <w:t>?</w:t>
            </w:r>
          </w:p>
        </w:tc>
        <w:tc>
          <w:tcPr>
            <w:tcW w:w="625" w:type="pct"/>
            <w:shd w:val="clear" w:color="auto" w:fill="auto"/>
          </w:tcPr>
          <w:p w14:paraId="0A5930BD" w14:textId="45A9C8B7"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1AAF87E6" w14:textId="1DB4B471" w:rsidR="001D7B73" w:rsidRPr="001D7B73" w:rsidRDefault="001D7B73" w:rsidP="00723373">
            <w:pPr>
              <w:pStyle w:val="TableText0"/>
              <w:rPr>
                <w:snapToGrid w:val="0"/>
                <w:szCs w:val="20"/>
              </w:rPr>
            </w:pPr>
            <w:r w:rsidRPr="00B42C01">
              <w:rPr>
                <w:b/>
                <w:color w:val="1F497D" w:themeColor="text2"/>
                <w:szCs w:val="20"/>
              </w:rPr>
              <w:t>?</w:t>
            </w:r>
          </w:p>
        </w:tc>
        <w:tc>
          <w:tcPr>
            <w:tcW w:w="625" w:type="pct"/>
            <w:shd w:val="clear" w:color="auto" w:fill="auto"/>
          </w:tcPr>
          <w:p w14:paraId="5AFD2FBC" w14:textId="3C7A1B48" w:rsidR="001D7B73" w:rsidRPr="001D7B73" w:rsidRDefault="001D7B73" w:rsidP="00723373">
            <w:pPr>
              <w:pStyle w:val="TableText0"/>
              <w:rPr>
                <w:snapToGrid w:val="0"/>
                <w:szCs w:val="20"/>
              </w:rPr>
            </w:pPr>
            <w:r w:rsidRPr="001D7B73">
              <w:rPr>
                <w:color w:val="1F497D" w:themeColor="text2"/>
                <w:szCs w:val="20"/>
              </w:rPr>
              <w:t>?</w:t>
            </w:r>
          </w:p>
        </w:tc>
        <w:tc>
          <w:tcPr>
            <w:tcW w:w="625" w:type="pct"/>
            <w:shd w:val="clear" w:color="auto" w:fill="auto"/>
          </w:tcPr>
          <w:p w14:paraId="3E1D2D71" w14:textId="6A51ED73"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00652258" w14:textId="77777777" w:rsidR="001D7B73" w:rsidRPr="001D7B73" w:rsidRDefault="001D7B73" w:rsidP="00723373">
            <w:pPr>
              <w:pStyle w:val="TableText0"/>
              <w:rPr>
                <w:snapToGrid w:val="0"/>
                <w:szCs w:val="20"/>
              </w:rPr>
            </w:pPr>
            <w:r w:rsidRPr="001D7B73">
              <w:rPr>
                <w:color w:val="00B050"/>
                <w:szCs w:val="20"/>
              </w:rPr>
              <w:sym w:font="Wingdings" w:char="F04A"/>
            </w:r>
          </w:p>
        </w:tc>
        <w:tc>
          <w:tcPr>
            <w:tcW w:w="625" w:type="pct"/>
            <w:shd w:val="clear" w:color="auto" w:fill="auto"/>
            <w:vAlign w:val="center"/>
          </w:tcPr>
          <w:p w14:paraId="42E338B9" w14:textId="2D38A387" w:rsidR="001D7B73" w:rsidRPr="001D7B73" w:rsidRDefault="001D7B73" w:rsidP="00723373">
            <w:pPr>
              <w:pStyle w:val="TableText0"/>
              <w:rPr>
                <w:snapToGrid w:val="0"/>
                <w:szCs w:val="20"/>
              </w:rPr>
            </w:pPr>
            <w:r w:rsidRPr="001D7B73">
              <w:rPr>
                <w:b/>
                <w:color w:val="1F497D" w:themeColor="text2"/>
                <w:szCs w:val="20"/>
              </w:rPr>
              <w:t>?</w:t>
            </w:r>
          </w:p>
        </w:tc>
      </w:tr>
      <w:tr w:rsidR="001D7B73" w:rsidRPr="00FD78C3" w14:paraId="18E42665" w14:textId="77777777" w:rsidTr="00FD78C3">
        <w:tc>
          <w:tcPr>
            <w:tcW w:w="625" w:type="pct"/>
            <w:shd w:val="clear" w:color="auto" w:fill="auto"/>
            <w:vAlign w:val="bottom"/>
          </w:tcPr>
          <w:p w14:paraId="0D56F4A9" w14:textId="77777777" w:rsidR="001D7B73" w:rsidRPr="00FD78C3" w:rsidRDefault="001D7B73" w:rsidP="00723373">
            <w:pPr>
              <w:pStyle w:val="TableText0"/>
              <w:rPr>
                <w:snapToGrid w:val="0"/>
                <w:szCs w:val="20"/>
              </w:rPr>
            </w:pPr>
            <w:r w:rsidRPr="00FD78C3">
              <w:rPr>
                <w:szCs w:val="20"/>
              </w:rPr>
              <w:t>Felker et al. (2016)</w:t>
            </w:r>
          </w:p>
        </w:tc>
        <w:tc>
          <w:tcPr>
            <w:tcW w:w="625" w:type="pct"/>
            <w:shd w:val="clear" w:color="auto" w:fill="auto"/>
            <w:vAlign w:val="center"/>
          </w:tcPr>
          <w:p w14:paraId="5BF4A938" w14:textId="21F8E7E3"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540CC187" w14:textId="3739C445"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08693F5F" w14:textId="035D0FD2"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48B0E57F" w14:textId="41F5ADAE" w:rsidR="001D7B73" w:rsidRPr="001D7B73" w:rsidRDefault="001D7B73" w:rsidP="00723373">
            <w:pPr>
              <w:pStyle w:val="TableText0"/>
              <w:rPr>
                <w:snapToGrid w:val="0"/>
                <w:szCs w:val="20"/>
              </w:rPr>
            </w:pPr>
            <w:r w:rsidRPr="00615FC6">
              <w:rPr>
                <w:b/>
                <w:color w:val="1F497D" w:themeColor="text2"/>
                <w:szCs w:val="20"/>
              </w:rPr>
              <w:t>?</w:t>
            </w:r>
          </w:p>
        </w:tc>
        <w:tc>
          <w:tcPr>
            <w:tcW w:w="625" w:type="pct"/>
            <w:shd w:val="clear" w:color="auto" w:fill="auto"/>
          </w:tcPr>
          <w:p w14:paraId="456105A3" w14:textId="3B4A5236"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36222983" w14:textId="5CDAF44A"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579F64A0" w14:textId="404DD626" w:rsidR="001D7B73" w:rsidRPr="001D7B73" w:rsidRDefault="001D7B73" w:rsidP="00723373">
            <w:pPr>
              <w:pStyle w:val="TableText0"/>
              <w:rPr>
                <w:snapToGrid w:val="0"/>
                <w:szCs w:val="20"/>
              </w:rPr>
            </w:pPr>
            <w:r w:rsidRPr="001D7B73">
              <w:rPr>
                <w:snapToGrid w:val="0"/>
                <w:color w:val="00B050"/>
                <w:szCs w:val="20"/>
              </w:rPr>
              <w:sym w:font="Wingdings" w:char="F04A"/>
            </w:r>
          </w:p>
        </w:tc>
      </w:tr>
      <w:tr w:rsidR="001D7B73" w:rsidRPr="00FD78C3" w14:paraId="547BFD34" w14:textId="77777777" w:rsidTr="00FD78C3">
        <w:tc>
          <w:tcPr>
            <w:tcW w:w="625" w:type="pct"/>
            <w:shd w:val="clear" w:color="auto" w:fill="auto"/>
            <w:vAlign w:val="bottom"/>
          </w:tcPr>
          <w:p w14:paraId="03A1A31F" w14:textId="77777777" w:rsidR="001D7B73" w:rsidRPr="00FD78C3" w:rsidRDefault="001D7B73" w:rsidP="00723373">
            <w:pPr>
              <w:pStyle w:val="TableText0"/>
              <w:rPr>
                <w:snapToGrid w:val="0"/>
                <w:szCs w:val="20"/>
              </w:rPr>
            </w:pPr>
            <w:r w:rsidRPr="00FD78C3">
              <w:rPr>
                <w:szCs w:val="20"/>
              </w:rPr>
              <w:t>Flavell et al. (2014)</w:t>
            </w:r>
          </w:p>
        </w:tc>
        <w:tc>
          <w:tcPr>
            <w:tcW w:w="625" w:type="pct"/>
            <w:shd w:val="clear" w:color="auto" w:fill="auto"/>
            <w:vAlign w:val="center"/>
          </w:tcPr>
          <w:p w14:paraId="6AFB991A" w14:textId="6D23CB50" w:rsidR="001D7B73" w:rsidRPr="001D7B73" w:rsidRDefault="001D7B73" w:rsidP="00723373">
            <w:pPr>
              <w:pStyle w:val="TableText0"/>
              <w:rPr>
                <w:b/>
                <w:snapToGrid w:val="0"/>
                <w:szCs w:val="20"/>
              </w:rPr>
            </w:pPr>
            <w:r w:rsidRPr="001D7B73">
              <w:rPr>
                <w:b/>
                <w:color w:val="1F497D" w:themeColor="text2"/>
                <w:szCs w:val="20"/>
              </w:rPr>
              <w:t>?</w:t>
            </w:r>
          </w:p>
        </w:tc>
        <w:tc>
          <w:tcPr>
            <w:tcW w:w="625" w:type="pct"/>
            <w:shd w:val="clear" w:color="auto" w:fill="auto"/>
            <w:vAlign w:val="center"/>
          </w:tcPr>
          <w:p w14:paraId="512D672A" w14:textId="05CCD879"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vAlign w:val="center"/>
          </w:tcPr>
          <w:p w14:paraId="55DBA5AD" w14:textId="2027DA10"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666FBB82" w14:textId="7E04469F" w:rsidR="001D7B73" w:rsidRPr="001D7B73" w:rsidRDefault="001D7B73" w:rsidP="00723373">
            <w:pPr>
              <w:pStyle w:val="TableText0"/>
              <w:rPr>
                <w:snapToGrid w:val="0"/>
                <w:szCs w:val="20"/>
              </w:rPr>
            </w:pPr>
            <w:r w:rsidRPr="00615FC6">
              <w:rPr>
                <w:b/>
                <w:color w:val="1F497D" w:themeColor="text2"/>
                <w:szCs w:val="20"/>
              </w:rPr>
              <w:t>?</w:t>
            </w:r>
          </w:p>
        </w:tc>
        <w:tc>
          <w:tcPr>
            <w:tcW w:w="625" w:type="pct"/>
            <w:shd w:val="clear" w:color="auto" w:fill="auto"/>
          </w:tcPr>
          <w:p w14:paraId="67794603" w14:textId="243C8D85"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327FCE7C" w14:textId="0917A90B"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6C214C60" w14:textId="4D014EBF" w:rsidR="001D7B73" w:rsidRPr="001D7B73" w:rsidRDefault="001D7B73" w:rsidP="00723373">
            <w:pPr>
              <w:pStyle w:val="TableText0"/>
              <w:rPr>
                <w:snapToGrid w:val="0"/>
                <w:szCs w:val="20"/>
              </w:rPr>
            </w:pPr>
            <w:r w:rsidRPr="001D7B73">
              <w:rPr>
                <w:snapToGrid w:val="0"/>
                <w:color w:val="00B050"/>
                <w:szCs w:val="20"/>
              </w:rPr>
              <w:sym w:font="Wingdings" w:char="F04A"/>
            </w:r>
          </w:p>
        </w:tc>
      </w:tr>
      <w:tr w:rsidR="00FD78C3" w:rsidRPr="00FD78C3" w14:paraId="4682C98E" w14:textId="77777777" w:rsidTr="00FD78C3">
        <w:tc>
          <w:tcPr>
            <w:tcW w:w="625" w:type="pct"/>
            <w:shd w:val="clear" w:color="auto" w:fill="auto"/>
            <w:vAlign w:val="bottom"/>
          </w:tcPr>
          <w:p w14:paraId="33AD972C" w14:textId="77777777" w:rsidR="00FD78C3" w:rsidRPr="00FD78C3" w:rsidRDefault="00FD78C3" w:rsidP="00723373">
            <w:pPr>
              <w:pStyle w:val="TableText0"/>
              <w:rPr>
                <w:snapToGrid w:val="0"/>
                <w:szCs w:val="20"/>
              </w:rPr>
            </w:pPr>
            <w:r w:rsidRPr="00FD78C3">
              <w:rPr>
                <w:szCs w:val="20"/>
              </w:rPr>
              <w:t>Margel et al. (2012)</w:t>
            </w:r>
          </w:p>
        </w:tc>
        <w:tc>
          <w:tcPr>
            <w:tcW w:w="625" w:type="pct"/>
            <w:shd w:val="clear" w:color="auto" w:fill="auto"/>
          </w:tcPr>
          <w:p w14:paraId="258D4050" w14:textId="7482A338"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36E901EC" w14:textId="005E3850" w:rsidR="00FD78C3" w:rsidRPr="001D7B73" w:rsidRDefault="001D7B73" w:rsidP="00723373">
            <w:pPr>
              <w:pStyle w:val="TableText0"/>
              <w:rPr>
                <w:snapToGrid w:val="0"/>
                <w:szCs w:val="20"/>
              </w:rPr>
            </w:pPr>
            <w:r w:rsidRPr="001D7B73">
              <w:rPr>
                <w:b/>
                <w:color w:val="1F497D" w:themeColor="text2"/>
                <w:szCs w:val="20"/>
              </w:rPr>
              <w:t>?</w:t>
            </w:r>
          </w:p>
        </w:tc>
        <w:tc>
          <w:tcPr>
            <w:tcW w:w="625" w:type="pct"/>
            <w:shd w:val="clear" w:color="auto" w:fill="auto"/>
            <w:vAlign w:val="center"/>
          </w:tcPr>
          <w:p w14:paraId="23FB91CE" w14:textId="202E9FDE" w:rsidR="00FD78C3" w:rsidRPr="001D7B73" w:rsidRDefault="00FD78C3" w:rsidP="00723373">
            <w:pPr>
              <w:pStyle w:val="TableText0"/>
              <w:rPr>
                <w:snapToGrid w:val="0"/>
                <w:szCs w:val="20"/>
              </w:rPr>
            </w:pPr>
            <w:r w:rsidRPr="001D7B73">
              <w:rPr>
                <w:color w:val="FF0000"/>
              </w:rPr>
              <w:sym w:font="Wingdings" w:char="F04C"/>
            </w:r>
          </w:p>
        </w:tc>
        <w:tc>
          <w:tcPr>
            <w:tcW w:w="625" w:type="pct"/>
            <w:shd w:val="clear" w:color="auto" w:fill="auto"/>
          </w:tcPr>
          <w:p w14:paraId="051541DD" w14:textId="2D41013F" w:rsidR="00FD78C3" w:rsidRPr="001D7B73" w:rsidRDefault="00FD78C3" w:rsidP="00723373">
            <w:pPr>
              <w:pStyle w:val="TableText0"/>
              <w:rPr>
                <w:snapToGrid w:val="0"/>
                <w:szCs w:val="20"/>
              </w:rPr>
            </w:pPr>
            <w:r w:rsidRPr="001D7B73">
              <w:rPr>
                <w:color w:val="FF0000"/>
              </w:rPr>
              <w:sym w:font="Wingdings" w:char="F04C"/>
            </w:r>
          </w:p>
        </w:tc>
        <w:tc>
          <w:tcPr>
            <w:tcW w:w="625" w:type="pct"/>
            <w:shd w:val="clear" w:color="auto" w:fill="auto"/>
          </w:tcPr>
          <w:p w14:paraId="1B8C6D57" w14:textId="298F43E9"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754B62F7" w14:textId="5AE49BA7" w:rsidR="00FD78C3" w:rsidRPr="001D7B73" w:rsidRDefault="00FD78C3" w:rsidP="00723373">
            <w:pPr>
              <w:pStyle w:val="TableText0"/>
              <w:rPr>
                <w:snapToGrid w:val="0"/>
                <w:szCs w:val="20"/>
              </w:rPr>
            </w:pPr>
            <w:r w:rsidRPr="001D7B73">
              <w:rPr>
                <w:color w:val="FF0000"/>
              </w:rPr>
              <w:sym w:font="Wingdings" w:char="F04C"/>
            </w:r>
          </w:p>
        </w:tc>
        <w:tc>
          <w:tcPr>
            <w:tcW w:w="625" w:type="pct"/>
            <w:shd w:val="clear" w:color="auto" w:fill="auto"/>
          </w:tcPr>
          <w:p w14:paraId="68209F0E" w14:textId="3FD29494" w:rsidR="00FD78C3" w:rsidRPr="001D7B73" w:rsidRDefault="00FD78C3" w:rsidP="00723373">
            <w:pPr>
              <w:pStyle w:val="TableText0"/>
              <w:rPr>
                <w:snapToGrid w:val="0"/>
                <w:szCs w:val="20"/>
              </w:rPr>
            </w:pPr>
            <w:r w:rsidRPr="001D7B73">
              <w:rPr>
                <w:snapToGrid w:val="0"/>
                <w:color w:val="00B050"/>
                <w:szCs w:val="20"/>
              </w:rPr>
              <w:sym w:font="Wingdings" w:char="F04A"/>
            </w:r>
          </w:p>
        </w:tc>
      </w:tr>
      <w:tr w:rsidR="00FD78C3" w:rsidRPr="00FD78C3" w14:paraId="72D825F4" w14:textId="77777777" w:rsidTr="00FD78C3">
        <w:tc>
          <w:tcPr>
            <w:tcW w:w="625" w:type="pct"/>
            <w:shd w:val="clear" w:color="auto" w:fill="auto"/>
            <w:vAlign w:val="bottom"/>
          </w:tcPr>
          <w:p w14:paraId="227B34E3" w14:textId="77777777" w:rsidR="00FD78C3" w:rsidRPr="00FD78C3" w:rsidRDefault="00FD78C3" w:rsidP="00723373">
            <w:pPr>
              <w:pStyle w:val="TableText0"/>
              <w:rPr>
                <w:snapToGrid w:val="0"/>
                <w:szCs w:val="20"/>
              </w:rPr>
            </w:pPr>
            <w:r w:rsidRPr="00FD78C3">
              <w:rPr>
                <w:szCs w:val="20"/>
              </w:rPr>
              <w:t>Mullins et al. 2013</w:t>
            </w:r>
          </w:p>
        </w:tc>
        <w:tc>
          <w:tcPr>
            <w:tcW w:w="625" w:type="pct"/>
            <w:shd w:val="clear" w:color="auto" w:fill="auto"/>
          </w:tcPr>
          <w:p w14:paraId="6BA8BC4F" w14:textId="292695EB"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434D065B" w14:textId="4F5D008A" w:rsidR="00FD78C3" w:rsidRPr="001D7B73" w:rsidRDefault="00FD78C3" w:rsidP="00723373">
            <w:pPr>
              <w:pStyle w:val="TableText0"/>
              <w:rPr>
                <w:snapToGrid w:val="0"/>
                <w:szCs w:val="20"/>
              </w:rPr>
            </w:pPr>
            <w:r w:rsidRPr="001D7B73">
              <w:rPr>
                <w:color w:val="FF0000"/>
              </w:rPr>
              <w:sym w:font="Wingdings" w:char="F04C"/>
            </w:r>
          </w:p>
        </w:tc>
        <w:tc>
          <w:tcPr>
            <w:tcW w:w="625" w:type="pct"/>
            <w:shd w:val="clear" w:color="auto" w:fill="auto"/>
            <w:vAlign w:val="center"/>
          </w:tcPr>
          <w:p w14:paraId="7CF99ADC" w14:textId="6362B2F4" w:rsidR="00FD78C3" w:rsidRPr="001D7B73" w:rsidRDefault="001D7B73" w:rsidP="00723373">
            <w:pPr>
              <w:pStyle w:val="TableText0"/>
              <w:rPr>
                <w:snapToGrid w:val="0"/>
                <w:szCs w:val="20"/>
              </w:rPr>
            </w:pPr>
            <w:r w:rsidRPr="001D7B73">
              <w:rPr>
                <w:b/>
                <w:color w:val="1F497D" w:themeColor="text2"/>
                <w:szCs w:val="20"/>
              </w:rPr>
              <w:t>?</w:t>
            </w:r>
          </w:p>
        </w:tc>
        <w:tc>
          <w:tcPr>
            <w:tcW w:w="625" w:type="pct"/>
            <w:shd w:val="clear" w:color="auto" w:fill="auto"/>
          </w:tcPr>
          <w:p w14:paraId="0EB6E6E8" w14:textId="05A86062" w:rsidR="00FD78C3" w:rsidRPr="001D7B73" w:rsidRDefault="00FD78C3" w:rsidP="00723373">
            <w:pPr>
              <w:pStyle w:val="TableText0"/>
              <w:rPr>
                <w:snapToGrid w:val="0"/>
                <w:szCs w:val="20"/>
              </w:rPr>
            </w:pPr>
            <w:r w:rsidRPr="001D7B73">
              <w:rPr>
                <w:color w:val="FF0000"/>
              </w:rPr>
              <w:sym w:font="Wingdings" w:char="F04C"/>
            </w:r>
          </w:p>
        </w:tc>
        <w:tc>
          <w:tcPr>
            <w:tcW w:w="625" w:type="pct"/>
            <w:shd w:val="clear" w:color="auto" w:fill="auto"/>
          </w:tcPr>
          <w:p w14:paraId="19C504DC" w14:textId="7239FB9C"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365836B4" w14:textId="60AD78C9" w:rsidR="00FD78C3" w:rsidRPr="001D7B73" w:rsidRDefault="00FD78C3" w:rsidP="00723373">
            <w:pPr>
              <w:pStyle w:val="TableText0"/>
              <w:rPr>
                <w:snapToGrid w:val="0"/>
                <w:szCs w:val="20"/>
              </w:rPr>
            </w:pPr>
            <w:r w:rsidRPr="001D7B73">
              <w:rPr>
                <w:color w:val="FF0000"/>
              </w:rPr>
              <w:sym w:font="Wingdings" w:char="F04C"/>
            </w:r>
          </w:p>
        </w:tc>
        <w:tc>
          <w:tcPr>
            <w:tcW w:w="625" w:type="pct"/>
            <w:shd w:val="clear" w:color="auto" w:fill="auto"/>
          </w:tcPr>
          <w:p w14:paraId="71375581" w14:textId="29A1698F" w:rsidR="00FD78C3" w:rsidRPr="001D7B73" w:rsidRDefault="00FD78C3" w:rsidP="00723373">
            <w:pPr>
              <w:pStyle w:val="TableText0"/>
              <w:rPr>
                <w:snapToGrid w:val="0"/>
                <w:szCs w:val="20"/>
              </w:rPr>
            </w:pPr>
            <w:r w:rsidRPr="001D7B73">
              <w:rPr>
                <w:snapToGrid w:val="0"/>
                <w:color w:val="00B050"/>
                <w:szCs w:val="20"/>
              </w:rPr>
              <w:sym w:font="Wingdings" w:char="F04A"/>
            </w:r>
          </w:p>
        </w:tc>
      </w:tr>
      <w:tr w:rsidR="00FD78C3" w:rsidRPr="00FD78C3" w14:paraId="77BCC5C2" w14:textId="77777777" w:rsidTr="00FD78C3">
        <w:tc>
          <w:tcPr>
            <w:tcW w:w="625" w:type="pct"/>
            <w:shd w:val="clear" w:color="auto" w:fill="auto"/>
            <w:vAlign w:val="bottom"/>
          </w:tcPr>
          <w:p w14:paraId="6934F7A7" w14:textId="77777777" w:rsidR="00FD78C3" w:rsidRPr="00FD78C3" w:rsidRDefault="00FD78C3" w:rsidP="00723373">
            <w:pPr>
              <w:pStyle w:val="TableText0"/>
              <w:rPr>
                <w:snapToGrid w:val="0"/>
                <w:szCs w:val="20"/>
              </w:rPr>
            </w:pPr>
            <w:r w:rsidRPr="00FD78C3">
              <w:rPr>
                <w:szCs w:val="20"/>
              </w:rPr>
              <w:t>Porpiglia et al. (2015)</w:t>
            </w:r>
          </w:p>
        </w:tc>
        <w:tc>
          <w:tcPr>
            <w:tcW w:w="625" w:type="pct"/>
            <w:shd w:val="clear" w:color="auto" w:fill="auto"/>
            <w:vAlign w:val="center"/>
          </w:tcPr>
          <w:p w14:paraId="300D9ECE" w14:textId="553B15A3" w:rsidR="00FD78C3" w:rsidRPr="001D7B73" w:rsidRDefault="001D7B73" w:rsidP="00723373">
            <w:pPr>
              <w:pStyle w:val="TableText0"/>
              <w:rPr>
                <w:snapToGrid w:val="0"/>
                <w:szCs w:val="20"/>
              </w:rPr>
            </w:pPr>
            <w:r w:rsidRPr="001D7B73">
              <w:rPr>
                <w:b/>
                <w:color w:val="1F497D" w:themeColor="text2"/>
                <w:szCs w:val="20"/>
              </w:rPr>
              <w:t>?</w:t>
            </w:r>
          </w:p>
        </w:tc>
        <w:tc>
          <w:tcPr>
            <w:tcW w:w="625" w:type="pct"/>
            <w:shd w:val="clear" w:color="auto" w:fill="auto"/>
          </w:tcPr>
          <w:p w14:paraId="15921636" w14:textId="4EDCEA3B"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206AD323" w14:textId="4C2E6251"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3D329E10" w14:textId="54DA04BF"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59E69611" w14:textId="1D66B98F"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7E17E43C" w14:textId="2117094B" w:rsidR="00FD78C3" w:rsidRPr="001D7B73" w:rsidRDefault="00FD78C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759BDEBC" w14:textId="4BD4E779" w:rsidR="00FD78C3" w:rsidRPr="001D7B73" w:rsidRDefault="001D7B73" w:rsidP="00723373">
            <w:pPr>
              <w:pStyle w:val="TableText0"/>
              <w:rPr>
                <w:snapToGrid w:val="0"/>
                <w:szCs w:val="20"/>
              </w:rPr>
            </w:pPr>
            <w:r w:rsidRPr="001D7B73">
              <w:rPr>
                <w:b/>
                <w:color w:val="1F497D" w:themeColor="text2"/>
                <w:szCs w:val="20"/>
              </w:rPr>
              <w:t>?</w:t>
            </w:r>
          </w:p>
        </w:tc>
      </w:tr>
      <w:tr w:rsidR="001D7B73" w:rsidRPr="00FD78C3" w14:paraId="3977788A" w14:textId="77777777" w:rsidTr="00FD78C3">
        <w:tc>
          <w:tcPr>
            <w:tcW w:w="625" w:type="pct"/>
            <w:shd w:val="clear" w:color="auto" w:fill="auto"/>
            <w:vAlign w:val="bottom"/>
          </w:tcPr>
          <w:p w14:paraId="1FFBA03C" w14:textId="77777777" w:rsidR="001D7B73" w:rsidRPr="00FD78C3" w:rsidRDefault="001D7B73" w:rsidP="00723373">
            <w:pPr>
              <w:pStyle w:val="TableText0"/>
              <w:rPr>
                <w:snapToGrid w:val="0"/>
                <w:szCs w:val="20"/>
              </w:rPr>
            </w:pPr>
            <w:r w:rsidRPr="00FD78C3">
              <w:rPr>
                <w:szCs w:val="20"/>
              </w:rPr>
              <w:t>Rebcal et al. 2016)</w:t>
            </w:r>
          </w:p>
        </w:tc>
        <w:tc>
          <w:tcPr>
            <w:tcW w:w="625" w:type="pct"/>
            <w:shd w:val="clear" w:color="auto" w:fill="auto"/>
          </w:tcPr>
          <w:p w14:paraId="133EE1E9" w14:textId="2D81B2E8"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6E6D5F64" w14:textId="42B9AA05"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74F15E8F" w14:textId="79E1C64A"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6AC58F0E" w14:textId="602EAA16" w:rsidR="001D7B73" w:rsidRPr="001D7B73" w:rsidRDefault="001D7B73" w:rsidP="00723373">
            <w:pPr>
              <w:pStyle w:val="TableText0"/>
              <w:rPr>
                <w:snapToGrid w:val="0"/>
                <w:szCs w:val="20"/>
              </w:rPr>
            </w:pPr>
            <w:r w:rsidRPr="00CC00A6">
              <w:rPr>
                <w:b/>
                <w:color w:val="1F497D" w:themeColor="text2"/>
                <w:szCs w:val="20"/>
              </w:rPr>
              <w:t>?</w:t>
            </w:r>
          </w:p>
        </w:tc>
        <w:tc>
          <w:tcPr>
            <w:tcW w:w="625" w:type="pct"/>
            <w:shd w:val="clear" w:color="auto" w:fill="auto"/>
          </w:tcPr>
          <w:p w14:paraId="380DF6B6" w14:textId="7E1D9D4E"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0ABE69E1" w14:textId="74A23712"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45F09456" w14:textId="7EFF825D" w:rsidR="001D7B73" w:rsidRPr="001D7B73" w:rsidRDefault="001D7B73" w:rsidP="00723373">
            <w:pPr>
              <w:pStyle w:val="TableText0"/>
              <w:rPr>
                <w:snapToGrid w:val="0"/>
                <w:szCs w:val="20"/>
              </w:rPr>
            </w:pPr>
            <w:r w:rsidRPr="001D7B73">
              <w:rPr>
                <w:snapToGrid w:val="0"/>
                <w:color w:val="00B050"/>
                <w:szCs w:val="20"/>
              </w:rPr>
              <w:sym w:font="Wingdings" w:char="F04A"/>
            </w:r>
          </w:p>
        </w:tc>
      </w:tr>
      <w:tr w:rsidR="001D7B73" w:rsidRPr="00FD78C3" w14:paraId="42E2C5CF" w14:textId="77777777" w:rsidTr="00FD78C3">
        <w:tc>
          <w:tcPr>
            <w:tcW w:w="625" w:type="pct"/>
            <w:shd w:val="clear" w:color="auto" w:fill="auto"/>
            <w:vAlign w:val="bottom"/>
          </w:tcPr>
          <w:p w14:paraId="3758230B" w14:textId="77777777" w:rsidR="001D7B73" w:rsidRPr="00FD78C3" w:rsidRDefault="001D7B73" w:rsidP="00723373">
            <w:pPr>
              <w:pStyle w:val="TableText0"/>
              <w:rPr>
                <w:snapToGrid w:val="0"/>
                <w:szCs w:val="20"/>
              </w:rPr>
            </w:pPr>
            <w:r w:rsidRPr="00FD78C3">
              <w:rPr>
                <w:szCs w:val="20"/>
              </w:rPr>
              <w:t>Sahibzada et al. 2016</w:t>
            </w:r>
          </w:p>
        </w:tc>
        <w:tc>
          <w:tcPr>
            <w:tcW w:w="625" w:type="pct"/>
            <w:shd w:val="clear" w:color="auto" w:fill="auto"/>
          </w:tcPr>
          <w:p w14:paraId="4B453FD3" w14:textId="545E9276"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3AAE71E5" w14:textId="010CD3F3" w:rsidR="001D7B73" w:rsidRPr="001D7B73" w:rsidRDefault="001D7B73" w:rsidP="00723373">
            <w:pPr>
              <w:pStyle w:val="TableText0"/>
              <w:rPr>
                <w:snapToGrid w:val="0"/>
                <w:szCs w:val="20"/>
              </w:rPr>
            </w:pPr>
            <w:r w:rsidRPr="001D7B73">
              <w:rPr>
                <w:b/>
                <w:color w:val="1F497D" w:themeColor="text2"/>
                <w:szCs w:val="20"/>
              </w:rPr>
              <w:t>?</w:t>
            </w:r>
          </w:p>
        </w:tc>
        <w:tc>
          <w:tcPr>
            <w:tcW w:w="625" w:type="pct"/>
            <w:shd w:val="clear" w:color="auto" w:fill="auto"/>
            <w:vAlign w:val="center"/>
          </w:tcPr>
          <w:p w14:paraId="51543BC7" w14:textId="3683115E"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2786161D" w14:textId="237FAA1F" w:rsidR="001D7B73" w:rsidRPr="001D7B73" w:rsidRDefault="001D7B73" w:rsidP="00723373">
            <w:pPr>
              <w:pStyle w:val="TableText0"/>
              <w:rPr>
                <w:snapToGrid w:val="0"/>
                <w:szCs w:val="20"/>
              </w:rPr>
            </w:pPr>
            <w:r w:rsidRPr="00CC00A6">
              <w:rPr>
                <w:b/>
                <w:color w:val="1F497D" w:themeColor="text2"/>
                <w:szCs w:val="20"/>
              </w:rPr>
              <w:t>?</w:t>
            </w:r>
          </w:p>
        </w:tc>
        <w:tc>
          <w:tcPr>
            <w:tcW w:w="625" w:type="pct"/>
            <w:shd w:val="clear" w:color="auto" w:fill="auto"/>
          </w:tcPr>
          <w:p w14:paraId="5E0B21B0" w14:textId="2134E263"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6C183DE4" w14:textId="710537B1"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790B55AD" w14:textId="4A88669B" w:rsidR="001D7B73" w:rsidRPr="001D7B73" w:rsidRDefault="001D7B73" w:rsidP="00723373">
            <w:pPr>
              <w:pStyle w:val="TableText0"/>
              <w:rPr>
                <w:snapToGrid w:val="0"/>
                <w:szCs w:val="20"/>
              </w:rPr>
            </w:pPr>
            <w:r w:rsidRPr="001D7B73">
              <w:rPr>
                <w:snapToGrid w:val="0"/>
                <w:color w:val="00B050"/>
                <w:szCs w:val="20"/>
              </w:rPr>
              <w:sym w:font="Wingdings" w:char="F04A"/>
            </w:r>
          </w:p>
        </w:tc>
      </w:tr>
      <w:tr w:rsidR="001D7B73" w:rsidRPr="00FD78C3" w14:paraId="7A6EB286" w14:textId="77777777" w:rsidTr="00FD78C3">
        <w:tc>
          <w:tcPr>
            <w:tcW w:w="625" w:type="pct"/>
            <w:shd w:val="clear" w:color="auto" w:fill="auto"/>
            <w:vAlign w:val="bottom"/>
          </w:tcPr>
          <w:p w14:paraId="10CB68B3" w14:textId="77777777" w:rsidR="001D7B73" w:rsidRPr="00FD78C3" w:rsidRDefault="001D7B73" w:rsidP="00723373">
            <w:pPr>
              <w:pStyle w:val="TableText0"/>
              <w:rPr>
                <w:snapToGrid w:val="0"/>
                <w:szCs w:val="20"/>
              </w:rPr>
            </w:pPr>
            <w:r w:rsidRPr="00FD78C3">
              <w:rPr>
                <w:szCs w:val="20"/>
              </w:rPr>
              <w:t>Siddiqui et al. 2015</w:t>
            </w:r>
          </w:p>
        </w:tc>
        <w:tc>
          <w:tcPr>
            <w:tcW w:w="625" w:type="pct"/>
            <w:shd w:val="clear" w:color="auto" w:fill="auto"/>
          </w:tcPr>
          <w:p w14:paraId="667C4DFA" w14:textId="5366FB97" w:rsidR="001D7B73" w:rsidRPr="001D7B73" w:rsidRDefault="001D7B73" w:rsidP="00723373">
            <w:pPr>
              <w:pStyle w:val="TableText0"/>
              <w:rPr>
                <w:snapToGrid w:val="0"/>
                <w:szCs w:val="20"/>
              </w:rPr>
            </w:pPr>
            <w:r w:rsidRPr="00410C05">
              <w:rPr>
                <w:b/>
                <w:color w:val="1F497D" w:themeColor="text2"/>
                <w:szCs w:val="20"/>
              </w:rPr>
              <w:t>?</w:t>
            </w:r>
          </w:p>
        </w:tc>
        <w:tc>
          <w:tcPr>
            <w:tcW w:w="625" w:type="pct"/>
            <w:shd w:val="clear" w:color="auto" w:fill="auto"/>
            <w:vAlign w:val="center"/>
          </w:tcPr>
          <w:p w14:paraId="49C85D71" w14:textId="709B06D4"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26B587ED" w14:textId="08D5A068" w:rsidR="001D7B73" w:rsidRPr="001D7B73" w:rsidRDefault="001D7B73" w:rsidP="00723373">
            <w:pPr>
              <w:pStyle w:val="TableText0"/>
              <w:rPr>
                <w:snapToGrid w:val="0"/>
                <w:szCs w:val="20"/>
              </w:rPr>
            </w:pPr>
            <w:r w:rsidRPr="001D7B73">
              <w:rPr>
                <w:b/>
                <w:color w:val="1F497D" w:themeColor="text2"/>
                <w:szCs w:val="20"/>
              </w:rPr>
              <w:t>?</w:t>
            </w:r>
          </w:p>
        </w:tc>
        <w:tc>
          <w:tcPr>
            <w:tcW w:w="625" w:type="pct"/>
            <w:shd w:val="clear" w:color="auto" w:fill="auto"/>
          </w:tcPr>
          <w:p w14:paraId="1D2C5AB4" w14:textId="7D552783" w:rsidR="001D7B73" w:rsidRPr="001D7B73" w:rsidRDefault="001D7B73" w:rsidP="00723373">
            <w:pPr>
              <w:pStyle w:val="TableText0"/>
              <w:rPr>
                <w:snapToGrid w:val="0"/>
                <w:szCs w:val="20"/>
              </w:rPr>
            </w:pPr>
            <w:r w:rsidRPr="00CC00A6">
              <w:rPr>
                <w:b/>
                <w:color w:val="1F497D" w:themeColor="text2"/>
                <w:szCs w:val="20"/>
              </w:rPr>
              <w:t>?</w:t>
            </w:r>
          </w:p>
        </w:tc>
        <w:tc>
          <w:tcPr>
            <w:tcW w:w="625" w:type="pct"/>
            <w:shd w:val="clear" w:color="auto" w:fill="auto"/>
          </w:tcPr>
          <w:p w14:paraId="49A0696E" w14:textId="475DC601"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29F98A16" w14:textId="75AB8843"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653341C3" w14:textId="252FB61B" w:rsidR="001D7B73" w:rsidRPr="001D7B73" w:rsidRDefault="001D7B73" w:rsidP="00723373">
            <w:pPr>
              <w:pStyle w:val="TableText0"/>
              <w:rPr>
                <w:snapToGrid w:val="0"/>
                <w:szCs w:val="20"/>
              </w:rPr>
            </w:pPr>
            <w:r w:rsidRPr="001D7B73">
              <w:rPr>
                <w:snapToGrid w:val="0"/>
                <w:color w:val="00B050"/>
                <w:szCs w:val="20"/>
              </w:rPr>
              <w:sym w:font="Wingdings" w:char="F04A"/>
            </w:r>
          </w:p>
        </w:tc>
      </w:tr>
      <w:tr w:rsidR="001D7B73" w:rsidRPr="00FD78C3" w14:paraId="0E13C6B5" w14:textId="77777777" w:rsidTr="00FD78C3">
        <w:tc>
          <w:tcPr>
            <w:tcW w:w="625" w:type="pct"/>
            <w:shd w:val="clear" w:color="auto" w:fill="auto"/>
            <w:vAlign w:val="bottom"/>
          </w:tcPr>
          <w:p w14:paraId="03C3B2F9" w14:textId="77777777" w:rsidR="001D7B73" w:rsidRPr="00FD78C3" w:rsidRDefault="001D7B73" w:rsidP="00723373">
            <w:pPr>
              <w:pStyle w:val="TableText0"/>
              <w:rPr>
                <w:snapToGrid w:val="0"/>
                <w:szCs w:val="20"/>
              </w:rPr>
            </w:pPr>
            <w:r w:rsidRPr="00FD78C3">
              <w:rPr>
                <w:szCs w:val="20"/>
              </w:rPr>
              <w:t>Stamatakis et al. (2013)</w:t>
            </w:r>
          </w:p>
        </w:tc>
        <w:tc>
          <w:tcPr>
            <w:tcW w:w="625" w:type="pct"/>
            <w:shd w:val="clear" w:color="auto" w:fill="auto"/>
          </w:tcPr>
          <w:p w14:paraId="05B5AA57" w14:textId="070B3867" w:rsidR="001D7B73" w:rsidRPr="001D7B73" w:rsidRDefault="001D7B73" w:rsidP="00723373">
            <w:pPr>
              <w:pStyle w:val="TableText0"/>
              <w:rPr>
                <w:snapToGrid w:val="0"/>
                <w:szCs w:val="20"/>
              </w:rPr>
            </w:pPr>
            <w:r w:rsidRPr="00410C05">
              <w:rPr>
                <w:b/>
                <w:color w:val="1F497D" w:themeColor="text2"/>
                <w:szCs w:val="20"/>
              </w:rPr>
              <w:t>?</w:t>
            </w:r>
          </w:p>
        </w:tc>
        <w:tc>
          <w:tcPr>
            <w:tcW w:w="625" w:type="pct"/>
            <w:shd w:val="clear" w:color="auto" w:fill="auto"/>
            <w:vAlign w:val="center"/>
          </w:tcPr>
          <w:p w14:paraId="255481B5" w14:textId="68EDD2F2"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vAlign w:val="center"/>
          </w:tcPr>
          <w:p w14:paraId="3600B5C6" w14:textId="559AEFBC"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544A4F89" w14:textId="2D27D2C5" w:rsidR="001D7B73" w:rsidRPr="001D7B73" w:rsidRDefault="001D7B73" w:rsidP="00723373">
            <w:pPr>
              <w:pStyle w:val="TableText0"/>
              <w:rPr>
                <w:snapToGrid w:val="0"/>
                <w:szCs w:val="20"/>
              </w:rPr>
            </w:pPr>
            <w:r w:rsidRPr="00CC00A6">
              <w:rPr>
                <w:b/>
                <w:color w:val="1F497D" w:themeColor="text2"/>
                <w:szCs w:val="20"/>
              </w:rPr>
              <w:t>?</w:t>
            </w:r>
          </w:p>
        </w:tc>
        <w:tc>
          <w:tcPr>
            <w:tcW w:w="625" w:type="pct"/>
            <w:shd w:val="clear" w:color="auto" w:fill="auto"/>
          </w:tcPr>
          <w:p w14:paraId="41DA161B" w14:textId="5C2BA096"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668EF3C1" w14:textId="5D4B8DA8"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152A2D2D" w14:textId="275751C6" w:rsidR="001D7B73" w:rsidRPr="001D7B73" w:rsidRDefault="001D7B73" w:rsidP="00723373">
            <w:pPr>
              <w:pStyle w:val="TableText0"/>
              <w:rPr>
                <w:snapToGrid w:val="0"/>
                <w:szCs w:val="20"/>
              </w:rPr>
            </w:pPr>
            <w:r w:rsidRPr="001D7B73">
              <w:rPr>
                <w:snapToGrid w:val="0"/>
                <w:color w:val="00B050"/>
                <w:szCs w:val="20"/>
              </w:rPr>
              <w:sym w:font="Wingdings" w:char="F04A"/>
            </w:r>
          </w:p>
        </w:tc>
      </w:tr>
      <w:tr w:rsidR="001D7B73" w:rsidRPr="00FD78C3" w14:paraId="6A4DB78E" w14:textId="77777777" w:rsidTr="00FD78C3">
        <w:tc>
          <w:tcPr>
            <w:tcW w:w="625" w:type="pct"/>
            <w:shd w:val="clear" w:color="auto" w:fill="auto"/>
            <w:vAlign w:val="bottom"/>
          </w:tcPr>
          <w:p w14:paraId="27BAB970" w14:textId="77777777" w:rsidR="001D7B73" w:rsidRPr="00FD78C3" w:rsidRDefault="001D7B73" w:rsidP="00723373">
            <w:pPr>
              <w:pStyle w:val="TableText0"/>
              <w:rPr>
                <w:snapToGrid w:val="0"/>
                <w:szCs w:val="20"/>
              </w:rPr>
            </w:pPr>
            <w:r w:rsidRPr="00FD78C3">
              <w:rPr>
                <w:szCs w:val="20"/>
              </w:rPr>
              <w:t>Vos et al. 2016</w:t>
            </w:r>
          </w:p>
        </w:tc>
        <w:tc>
          <w:tcPr>
            <w:tcW w:w="625" w:type="pct"/>
            <w:shd w:val="clear" w:color="auto" w:fill="auto"/>
          </w:tcPr>
          <w:p w14:paraId="4168D38E" w14:textId="3B779F65" w:rsidR="001D7B73" w:rsidRPr="001D7B73" w:rsidRDefault="001D7B73" w:rsidP="00723373">
            <w:pPr>
              <w:pStyle w:val="TableText0"/>
              <w:rPr>
                <w:snapToGrid w:val="0"/>
                <w:szCs w:val="20"/>
              </w:rPr>
            </w:pPr>
            <w:r w:rsidRPr="00410C05">
              <w:rPr>
                <w:b/>
                <w:color w:val="1F497D" w:themeColor="text2"/>
                <w:szCs w:val="20"/>
              </w:rPr>
              <w:t>?</w:t>
            </w:r>
          </w:p>
        </w:tc>
        <w:tc>
          <w:tcPr>
            <w:tcW w:w="625" w:type="pct"/>
            <w:shd w:val="clear" w:color="auto" w:fill="auto"/>
            <w:vAlign w:val="center"/>
          </w:tcPr>
          <w:p w14:paraId="6D88CE91" w14:textId="7CAD8D96"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vAlign w:val="center"/>
          </w:tcPr>
          <w:p w14:paraId="346984AA" w14:textId="2EC5D25F" w:rsidR="001D7B73" w:rsidRPr="001D7B73" w:rsidRDefault="001D7B73" w:rsidP="00723373">
            <w:pPr>
              <w:pStyle w:val="TableText0"/>
              <w:rPr>
                <w:snapToGrid w:val="0"/>
                <w:szCs w:val="20"/>
              </w:rPr>
            </w:pPr>
            <w:r w:rsidRPr="001D7B73">
              <w:rPr>
                <w:b/>
                <w:color w:val="1F497D" w:themeColor="text2"/>
                <w:szCs w:val="20"/>
              </w:rPr>
              <w:t>?</w:t>
            </w:r>
          </w:p>
        </w:tc>
        <w:tc>
          <w:tcPr>
            <w:tcW w:w="625" w:type="pct"/>
            <w:shd w:val="clear" w:color="auto" w:fill="auto"/>
            <w:vAlign w:val="center"/>
          </w:tcPr>
          <w:p w14:paraId="4F134E7D" w14:textId="673ACBBE"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32B6FE5B" w14:textId="291DEEAC"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3148C6F2" w14:textId="576CBE43"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5004FC3E" w14:textId="0EA5B00F" w:rsidR="001D7B73" w:rsidRPr="001D7B73" w:rsidRDefault="001D7B73" w:rsidP="00723373">
            <w:pPr>
              <w:pStyle w:val="TableText0"/>
              <w:rPr>
                <w:snapToGrid w:val="0"/>
                <w:szCs w:val="20"/>
              </w:rPr>
            </w:pPr>
            <w:r w:rsidRPr="001D7B73">
              <w:rPr>
                <w:snapToGrid w:val="0"/>
                <w:color w:val="00B050"/>
                <w:szCs w:val="20"/>
              </w:rPr>
              <w:sym w:font="Wingdings" w:char="F04A"/>
            </w:r>
          </w:p>
        </w:tc>
      </w:tr>
      <w:tr w:rsidR="001D7B73" w:rsidRPr="00FD78C3" w14:paraId="2636C19E" w14:textId="77777777" w:rsidTr="00FD78C3">
        <w:tc>
          <w:tcPr>
            <w:tcW w:w="625" w:type="pct"/>
            <w:shd w:val="clear" w:color="auto" w:fill="auto"/>
            <w:vAlign w:val="bottom"/>
          </w:tcPr>
          <w:p w14:paraId="4287A50B" w14:textId="77777777" w:rsidR="001D7B73" w:rsidRPr="00FD78C3" w:rsidRDefault="001D7B73" w:rsidP="00723373">
            <w:pPr>
              <w:pStyle w:val="TableText0"/>
              <w:rPr>
                <w:snapToGrid w:val="0"/>
                <w:szCs w:val="20"/>
              </w:rPr>
            </w:pPr>
            <w:r w:rsidRPr="00FD78C3">
              <w:rPr>
                <w:szCs w:val="20"/>
              </w:rPr>
              <w:t>Walton Diaz et al. (2015)</w:t>
            </w:r>
          </w:p>
        </w:tc>
        <w:tc>
          <w:tcPr>
            <w:tcW w:w="625" w:type="pct"/>
            <w:shd w:val="clear" w:color="auto" w:fill="auto"/>
          </w:tcPr>
          <w:p w14:paraId="68D36465" w14:textId="3EE88BBB" w:rsidR="001D7B73" w:rsidRPr="001D7B73" w:rsidRDefault="001D7B73" w:rsidP="00723373">
            <w:pPr>
              <w:pStyle w:val="TableText0"/>
              <w:rPr>
                <w:snapToGrid w:val="0"/>
                <w:szCs w:val="20"/>
              </w:rPr>
            </w:pPr>
            <w:r w:rsidRPr="00410C05">
              <w:rPr>
                <w:b/>
                <w:color w:val="1F497D" w:themeColor="text2"/>
                <w:szCs w:val="20"/>
              </w:rPr>
              <w:t>?</w:t>
            </w:r>
          </w:p>
        </w:tc>
        <w:tc>
          <w:tcPr>
            <w:tcW w:w="625" w:type="pct"/>
            <w:shd w:val="clear" w:color="auto" w:fill="auto"/>
          </w:tcPr>
          <w:p w14:paraId="10BF68E3" w14:textId="78CEF8B3" w:rsidR="001D7B73" w:rsidRPr="001D7B73" w:rsidRDefault="001D7B73" w:rsidP="00723373">
            <w:pPr>
              <w:pStyle w:val="TableText0"/>
              <w:rPr>
                <w:snapToGrid w:val="0"/>
                <w:szCs w:val="20"/>
              </w:rPr>
            </w:pPr>
            <w:r w:rsidRPr="00C15272">
              <w:rPr>
                <w:b/>
                <w:color w:val="1F497D" w:themeColor="text2"/>
                <w:szCs w:val="20"/>
              </w:rPr>
              <w:t>?</w:t>
            </w:r>
          </w:p>
        </w:tc>
        <w:tc>
          <w:tcPr>
            <w:tcW w:w="625" w:type="pct"/>
            <w:shd w:val="clear" w:color="auto" w:fill="auto"/>
            <w:vAlign w:val="center"/>
          </w:tcPr>
          <w:p w14:paraId="1A27790D" w14:textId="6FCD5256"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775B9E1E" w14:textId="48FDB0DD" w:rsidR="001D7B73" w:rsidRPr="001D7B73" w:rsidRDefault="001D7B73" w:rsidP="00723373">
            <w:pPr>
              <w:pStyle w:val="TableText0"/>
              <w:rPr>
                <w:snapToGrid w:val="0"/>
                <w:szCs w:val="20"/>
              </w:rPr>
            </w:pPr>
            <w:r w:rsidRPr="007E2068">
              <w:rPr>
                <w:b/>
                <w:color w:val="1F497D" w:themeColor="text2"/>
                <w:szCs w:val="20"/>
              </w:rPr>
              <w:t>?</w:t>
            </w:r>
          </w:p>
        </w:tc>
        <w:tc>
          <w:tcPr>
            <w:tcW w:w="625" w:type="pct"/>
            <w:shd w:val="clear" w:color="auto" w:fill="auto"/>
          </w:tcPr>
          <w:p w14:paraId="10CDE029" w14:textId="25BE4F58"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451D30BA" w14:textId="05C72531" w:rsidR="001D7B73" w:rsidRPr="001D7B73" w:rsidRDefault="001D7B73" w:rsidP="00723373">
            <w:pPr>
              <w:pStyle w:val="TableText0"/>
              <w:rPr>
                <w:snapToGrid w:val="0"/>
                <w:szCs w:val="20"/>
              </w:rPr>
            </w:pPr>
            <w:r w:rsidRPr="001D7B73">
              <w:rPr>
                <w:color w:val="FF0000"/>
              </w:rPr>
              <w:sym w:font="Wingdings" w:char="F04C"/>
            </w:r>
          </w:p>
        </w:tc>
        <w:tc>
          <w:tcPr>
            <w:tcW w:w="625" w:type="pct"/>
            <w:shd w:val="clear" w:color="auto" w:fill="auto"/>
          </w:tcPr>
          <w:p w14:paraId="0BE33361" w14:textId="49D9780C" w:rsidR="001D7B73" w:rsidRPr="001D7B73" w:rsidRDefault="001D7B73" w:rsidP="00723373">
            <w:pPr>
              <w:pStyle w:val="TableText0"/>
              <w:rPr>
                <w:snapToGrid w:val="0"/>
                <w:szCs w:val="20"/>
              </w:rPr>
            </w:pPr>
            <w:r w:rsidRPr="001D7B73">
              <w:rPr>
                <w:snapToGrid w:val="0"/>
                <w:color w:val="00B050"/>
                <w:szCs w:val="20"/>
              </w:rPr>
              <w:sym w:font="Wingdings" w:char="F04A"/>
            </w:r>
          </w:p>
        </w:tc>
      </w:tr>
      <w:tr w:rsidR="001D7B73" w:rsidRPr="00FD78C3" w14:paraId="60232FB8" w14:textId="77777777" w:rsidTr="00FD78C3">
        <w:tc>
          <w:tcPr>
            <w:tcW w:w="625" w:type="pct"/>
            <w:shd w:val="clear" w:color="auto" w:fill="auto"/>
            <w:vAlign w:val="bottom"/>
          </w:tcPr>
          <w:p w14:paraId="1DAE98C7" w14:textId="77777777" w:rsidR="001D7B73" w:rsidRPr="00FD78C3" w:rsidRDefault="001D7B73" w:rsidP="00723373">
            <w:pPr>
              <w:pStyle w:val="TableText0"/>
              <w:rPr>
                <w:snapToGrid w:val="0"/>
                <w:szCs w:val="20"/>
              </w:rPr>
            </w:pPr>
            <w:r w:rsidRPr="00FD78C3">
              <w:rPr>
                <w:szCs w:val="20"/>
              </w:rPr>
              <w:t>Wysock et al. (2016)</w:t>
            </w:r>
          </w:p>
        </w:tc>
        <w:tc>
          <w:tcPr>
            <w:tcW w:w="625" w:type="pct"/>
            <w:shd w:val="clear" w:color="auto" w:fill="auto"/>
          </w:tcPr>
          <w:p w14:paraId="4E27BD9E" w14:textId="5496497A" w:rsidR="001D7B73" w:rsidRPr="001D7B73" w:rsidRDefault="001D7B73" w:rsidP="00723373">
            <w:pPr>
              <w:pStyle w:val="TableText0"/>
              <w:rPr>
                <w:snapToGrid w:val="0"/>
                <w:szCs w:val="20"/>
              </w:rPr>
            </w:pPr>
            <w:r w:rsidRPr="00410C05">
              <w:rPr>
                <w:b/>
                <w:color w:val="1F497D" w:themeColor="text2"/>
                <w:szCs w:val="20"/>
              </w:rPr>
              <w:t>?</w:t>
            </w:r>
          </w:p>
        </w:tc>
        <w:tc>
          <w:tcPr>
            <w:tcW w:w="625" w:type="pct"/>
            <w:shd w:val="clear" w:color="auto" w:fill="auto"/>
          </w:tcPr>
          <w:p w14:paraId="65A2407F" w14:textId="0DD4B216" w:rsidR="001D7B73" w:rsidRPr="001D7B73" w:rsidRDefault="001D7B73" w:rsidP="00723373">
            <w:pPr>
              <w:pStyle w:val="TableText0"/>
              <w:rPr>
                <w:snapToGrid w:val="0"/>
                <w:szCs w:val="20"/>
              </w:rPr>
            </w:pPr>
            <w:r w:rsidRPr="00C15272">
              <w:rPr>
                <w:b/>
                <w:color w:val="1F497D" w:themeColor="text2"/>
                <w:szCs w:val="20"/>
              </w:rPr>
              <w:t>?</w:t>
            </w:r>
          </w:p>
        </w:tc>
        <w:tc>
          <w:tcPr>
            <w:tcW w:w="625" w:type="pct"/>
            <w:shd w:val="clear" w:color="auto" w:fill="auto"/>
            <w:vAlign w:val="center"/>
          </w:tcPr>
          <w:p w14:paraId="1C9129C5" w14:textId="2D55F810" w:rsidR="001D7B73" w:rsidRPr="001D7B73" w:rsidRDefault="001D7B73" w:rsidP="00723373">
            <w:pPr>
              <w:pStyle w:val="TableText0"/>
              <w:rPr>
                <w:snapToGrid w:val="0"/>
                <w:szCs w:val="20"/>
              </w:rPr>
            </w:pPr>
            <w:r w:rsidRPr="001D7B73">
              <w:rPr>
                <w:b/>
                <w:color w:val="1F497D" w:themeColor="text2"/>
                <w:szCs w:val="20"/>
              </w:rPr>
              <w:t>?</w:t>
            </w:r>
          </w:p>
        </w:tc>
        <w:tc>
          <w:tcPr>
            <w:tcW w:w="625" w:type="pct"/>
            <w:shd w:val="clear" w:color="auto" w:fill="auto"/>
          </w:tcPr>
          <w:p w14:paraId="07FC380C" w14:textId="37076D0F" w:rsidR="001D7B73" w:rsidRPr="001D7B73" w:rsidRDefault="001D7B73" w:rsidP="00723373">
            <w:pPr>
              <w:pStyle w:val="TableText0"/>
              <w:rPr>
                <w:snapToGrid w:val="0"/>
                <w:szCs w:val="20"/>
              </w:rPr>
            </w:pPr>
            <w:r w:rsidRPr="007E2068">
              <w:rPr>
                <w:b/>
                <w:color w:val="1F497D" w:themeColor="text2"/>
                <w:szCs w:val="20"/>
              </w:rPr>
              <w:t>?</w:t>
            </w:r>
          </w:p>
        </w:tc>
        <w:tc>
          <w:tcPr>
            <w:tcW w:w="625" w:type="pct"/>
            <w:shd w:val="clear" w:color="auto" w:fill="auto"/>
          </w:tcPr>
          <w:p w14:paraId="71FED0CA" w14:textId="6403EAE3"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579CCA92" w14:textId="4F052071" w:rsidR="001D7B73" w:rsidRPr="001D7B73" w:rsidRDefault="001D7B73" w:rsidP="00723373">
            <w:pPr>
              <w:pStyle w:val="TableText0"/>
              <w:rPr>
                <w:snapToGrid w:val="0"/>
                <w:szCs w:val="20"/>
              </w:rPr>
            </w:pPr>
            <w:r w:rsidRPr="001D7B73">
              <w:rPr>
                <w:snapToGrid w:val="0"/>
                <w:color w:val="00B050"/>
                <w:szCs w:val="20"/>
              </w:rPr>
              <w:sym w:font="Wingdings" w:char="F04A"/>
            </w:r>
          </w:p>
        </w:tc>
        <w:tc>
          <w:tcPr>
            <w:tcW w:w="625" w:type="pct"/>
            <w:shd w:val="clear" w:color="auto" w:fill="auto"/>
          </w:tcPr>
          <w:p w14:paraId="3514202D" w14:textId="13F508E6" w:rsidR="001D7B73" w:rsidRPr="001D7B73" w:rsidRDefault="001D7B73" w:rsidP="00723373">
            <w:pPr>
              <w:pStyle w:val="TableText0"/>
              <w:rPr>
                <w:snapToGrid w:val="0"/>
                <w:szCs w:val="20"/>
              </w:rPr>
            </w:pPr>
            <w:r w:rsidRPr="001D7B73">
              <w:rPr>
                <w:snapToGrid w:val="0"/>
                <w:color w:val="00B050"/>
                <w:szCs w:val="20"/>
              </w:rPr>
              <w:sym w:font="Wingdings" w:char="F04A"/>
            </w:r>
          </w:p>
        </w:tc>
      </w:tr>
    </w:tbl>
    <w:p w14:paraId="39AD25FC" w14:textId="77777777" w:rsidR="00FA05F6" w:rsidRDefault="00FA05F6" w:rsidP="00FA05F6">
      <w:pPr>
        <w:pStyle w:val="TableNotes"/>
      </w:pPr>
      <w:r w:rsidRPr="009251E2">
        <w:rPr>
          <w:color w:val="00B050"/>
        </w:rPr>
        <w:sym w:font="Wingdings" w:char="F04A"/>
      </w:r>
      <w:r>
        <w:rPr>
          <w:color w:val="00B050"/>
        </w:rPr>
        <w:t xml:space="preserve"> </w:t>
      </w:r>
      <w:r w:rsidRPr="00FA05F6">
        <w:t xml:space="preserve">= </w:t>
      </w:r>
      <w:r>
        <w:t xml:space="preserve">low risk, </w:t>
      </w:r>
      <w:r w:rsidRPr="009251E2">
        <w:rPr>
          <w:color w:val="FF0000"/>
        </w:rPr>
        <w:sym w:font="Wingdings" w:char="F04C"/>
      </w:r>
      <w:r>
        <w:t xml:space="preserve"> </w:t>
      </w:r>
      <w:r w:rsidRPr="00FA05F6">
        <w:t xml:space="preserve">= </w:t>
      </w:r>
      <w:r>
        <w:t xml:space="preserve">high risk, ? </w:t>
      </w:r>
      <w:r w:rsidRPr="00FA05F6">
        <w:t xml:space="preserve">= </w:t>
      </w:r>
      <w:r>
        <w:t>unclear risk.</w:t>
      </w:r>
    </w:p>
    <w:p w14:paraId="4B5E0F1C" w14:textId="77777777" w:rsidR="008A4C54" w:rsidRDefault="008A4C54">
      <w:pPr>
        <w:spacing w:after="0" w:line="240" w:lineRule="auto"/>
        <w:jc w:val="left"/>
        <w:rPr>
          <w:rFonts w:eastAsiaTheme="minorHAnsi"/>
          <w:b/>
          <w:smallCaps/>
          <w:sz w:val="28"/>
          <w:lang w:eastAsia="en-US"/>
        </w:rPr>
      </w:pPr>
      <w:r>
        <w:rPr>
          <w:rFonts w:eastAsiaTheme="minorHAnsi"/>
          <w:lang w:eastAsia="en-US"/>
        </w:rPr>
        <w:br w:type="page"/>
      </w:r>
    </w:p>
    <w:p w14:paraId="09C5F275" w14:textId="38CDD480" w:rsidR="00113789" w:rsidRDefault="00113789" w:rsidP="00113789">
      <w:pPr>
        <w:pStyle w:val="Heading2"/>
        <w:rPr>
          <w:rFonts w:eastAsiaTheme="minorHAnsi"/>
          <w:lang w:eastAsia="en-US"/>
        </w:rPr>
      </w:pPr>
      <w:bookmarkStart w:id="829" w:name="_Toc460514034"/>
      <w:r>
        <w:rPr>
          <w:rFonts w:eastAsiaTheme="minorHAnsi"/>
          <w:lang w:eastAsia="en-US"/>
        </w:rPr>
        <w:lastRenderedPageBreak/>
        <w:t>Risk of Harm</w:t>
      </w:r>
      <w:r w:rsidR="008A7129">
        <w:rPr>
          <w:rFonts w:eastAsiaTheme="minorHAnsi"/>
          <w:lang w:eastAsia="en-US"/>
        </w:rPr>
        <w:t xml:space="preserve"> (Section B7)</w:t>
      </w:r>
      <w:bookmarkEnd w:id="829"/>
    </w:p>
    <w:p w14:paraId="48742E35" w14:textId="6BC9AAE3" w:rsidR="00113789" w:rsidRDefault="00113789" w:rsidP="00113789">
      <w:pPr>
        <w:pStyle w:val="Caption"/>
      </w:pPr>
      <w:bookmarkStart w:id="830" w:name="_Ref456769456"/>
      <w:bookmarkStart w:id="831" w:name="_Toc460514586"/>
      <w:r>
        <w:t xml:space="preserve">Table </w:t>
      </w:r>
      <w:fldSimple w:instr=" SEQ Table \* ARABIC ">
        <w:r w:rsidR="0029649D">
          <w:rPr>
            <w:noProof/>
          </w:rPr>
          <w:t>86</w:t>
        </w:r>
      </w:fldSimple>
      <w:bookmarkEnd w:id="830"/>
      <w:r>
        <w:tab/>
        <w:t>Quality appraisal of the systematic reviews</w:t>
      </w:r>
      <w:r w:rsidR="00301B40">
        <w:t xml:space="preserve"> using the AMSTAR tool</w:t>
      </w:r>
      <w:bookmarkEnd w:id="831"/>
    </w:p>
    <w:tbl>
      <w:tblPr>
        <w:tblStyle w:val="TableGrid1"/>
        <w:tblW w:w="7938" w:type="dxa"/>
        <w:tblLayout w:type="fixed"/>
        <w:tblLook w:val="04A0" w:firstRow="1" w:lastRow="0" w:firstColumn="1" w:lastColumn="0" w:noHBand="0" w:noVBand="1"/>
        <w:tblCaption w:val="Table 31 Methodological quality appraisal of systematic reviews on ultrasound guidance for percutaneous neural blockade using the AMSTAR tool"/>
        <w:tblDescription w:val="Methodological quality appraisal of systematic reviews on ultrasound guidance for percutaneous neural blockade using the AMSTAR tool"/>
      </w:tblPr>
      <w:tblGrid>
        <w:gridCol w:w="4395"/>
        <w:gridCol w:w="1701"/>
        <w:gridCol w:w="1842"/>
      </w:tblGrid>
      <w:tr w:rsidR="008A4C54" w:rsidRPr="008832A0" w14:paraId="5F18BED1" w14:textId="77777777" w:rsidTr="008A4C54">
        <w:trPr>
          <w:cnfStyle w:val="100000000000" w:firstRow="1" w:lastRow="0" w:firstColumn="0" w:lastColumn="0" w:oddVBand="0" w:evenVBand="0" w:oddHBand="0" w:evenHBand="0" w:firstRowFirstColumn="0" w:firstRowLastColumn="0" w:lastRowFirstColumn="0" w:lastRowLastColumn="0"/>
          <w:tblHeader/>
        </w:trPr>
        <w:tc>
          <w:tcPr>
            <w:tcW w:w="4395" w:type="dxa"/>
          </w:tcPr>
          <w:p w14:paraId="1B55E269" w14:textId="77777777" w:rsidR="008A4C54" w:rsidRPr="008832A0" w:rsidRDefault="008A4C54" w:rsidP="008A4C54">
            <w:pPr>
              <w:pStyle w:val="TableHeading"/>
            </w:pPr>
            <w:r w:rsidRPr="008832A0">
              <w:t>Review characteristics</w:t>
            </w:r>
          </w:p>
        </w:tc>
        <w:tc>
          <w:tcPr>
            <w:tcW w:w="1701" w:type="dxa"/>
          </w:tcPr>
          <w:p w14:paraId="48DB9C0D" w14:textId="77777777" w:rsidR="008A4C54" w:rsidRPr="008832A0" w:rsidRDefault="008A4C54" w:rsidP="008A4C54">
            <w:pPr>
              <w:pStyle w:val="TableHeading"/>
            </w:pPr>
            <w:r>
              <w:t>Chang</w:t>
            </w:r>
            <w:r w:rsidRPr="008832A0">
              <w:t xml:space="preserve"> et al. (201</w:t>
            </w:r>
            <w:r>
              <w:t>3</w:t>
            </w:r>
            <w:r w:rsidRPr="008832A0">
              <w:t>)</w:t>
            </w:r>
          </w:p>
        </w:tc>
        <w:tc>
          <w:tcPr>
            <w:tcW w:w="1842" w:type="dxa"/>
          </w:tcPr>
          <w:p w14:paraId="2BFE8A9F" w14:textId="77777777" w:rsidR="008A4C54" w:rsidRPr="008832A0" w:rsidRDefault="008A4C54" w:rsidP="008A4C54">
            <w:pPr>
              <w:pStyle w:val="TableHeading"/>
            </w:pPr>
            <w:r>
              <w:t>Loeb</w:t>
            </w:r>
            <w:r w:rsidRPr="008832A0">
              <w:t xml:space="preserve"> et al. (201</w:t>
            </w:r>
            <w:r>
              <w:t>3</w:t>
            </w:r>
            <w:r w:rsidRPr="008832A0">
              <w:t>)</w:t>
            </w:r>
          </w:p>
        </w:tc>
      </w:tr>
      <w:tr w:rsidR="008A4C54" w:rsidRPr="008832A0" w14:paraId="7AFAB387" w14:textId="77777777" w:rsidTr="009A220C">
        <w:trPr>
          <w:trHeight w:val="341"/>
        </w:trPr>
        <w:tc>
          <w:tcPr>
            <w:tcW w:w="4395" w:type="dxa"/>
          </w:tcPr>
          <w:p w14:paraId="39DD9748" w14:textId="77777777" w:rsidR="008A4C54" w:rsidRPr="008A4C54" w:rsidRDefault="008A4C54" w:rsidP="008A4C54">
            <w:pPr>
              <w:pStyle w:val="Tabletext1"/>
            </w:pPr>
            <w:r w:rsidRPr="008A4C54">
              <w:t>Was an ‘</w:t>
            </w:r>
            <w:r w:rsidRPr="00E95C28">
              <w:rPr>
                <w:i/>
              </w:rPr>
              <w:t>a priori</w:t>
            </w:r>
            <w:r w:rsidRPr="008A4C54">
              <w:t xml:space="preserve">’ design provided? </w:t>
            </w:r>
          </w:p>
        </w:tc>
        <w:tc>
          <w:tcPr>
            <w:tcW w:w="1701" w:type="dxa"/>
          </w:tcPr>
          <w:p w14:paraId="05016C31" w14:textId="77777777" w:rsidR="008A4C54" w:rsidRPr="001D7B73" w:rsidRDefault="008A4C54" w:rsidP="001D7B73">
            <w:r w:rsidRPr="001D7B73">
              <w:rPr>
                <w:snapToGrid w:val="0"/>
                <w:color w:val="FF0000"/>
                <w:sz w:val="18"/>
                <w:szCs w:val="18"/>
              </w:rPr>
              <w:sym w:font="Wingdings" w:char="F04C"/>
            </w:r>
          </w:p>
        </w:tc>
        <w:tc>
          <w:tcPr>
            <w:tcW w:w="1842" w:type="dxa"/>
          </w:tcPr>
          <w:p w14:paraId="22A04EC5" w14:textId="77777777" w:rsidR="008A4C54" w:rsidRPr="001D7B73" w:rsidRDefault="008A4C54" w:rsidP="001D7B73">
            <w:pPr>
              <w:rPr>
                <w:sz w:val="18"/>
                <w:szCs w:val="18"/>
              </w:rPr>
            </w:pPr>
            <w:r w:rsidRPr="001D7B73">
              <w:rPr>
                <w:snapToGrid w:val="0"/>
                <w:color w:val="00B050"/>
                <w:sz w:val="18"/>
                <w:szCs w:val="18"/>
              </w:rPr>
              <w:sym w:font="Wingdings" w:char="F04A"/>
            </w:r>
          </w:p>
        </w:tc>
      </w:tr>
      <w:tr w:rsidR="008A4C54" w:rsidRPr="008832A0" w14:paraId="68F477B7" w14:textId="77777777" w:rsidTr="008A4C54">
        <w:tc>
          <w:tcPr>
            <w:tcW w:w="4395" w:type="dxa"/>
          </w:tcPr>
          <w:p w14:paraId="18526C57" w14:textId="77777777" w:rsidR="008A4C54" w:rsidRPr="008A4C54" w:rsidRDefault="008A4C54" w:rsidP="008A4C54">
            <w:pPr>
              <w:pStyle w:val="Tabletext1"/>
            </w:pPr>
            <w:r w:rsidRPr="008A4C54">
              <w:t>Was there duplicate study selection and data extraction?</w:t>
            </w:r>
          </w:p>
        </w:tc>
        <w:tc>
          <w:tcPr>
            <w:tcW w:w="1701" w:type="dxa"/>
          </w:tcPr>
          <w:p w14:paraId="2D131182" w14:textId="77777777" w:rsidR="008A4C54" w:rsidRPr="001D7B73" w:rsidRDefault="008A4C54" w:rsidP="001D7B73">
            <w:r w:rsidRPr="001D7B73">
              <w:rPr>
                <w:snapToGrid w:val="0"/>
                <w:color w:val="FF0000"/>
                <w:sz w:val="18"/>
                <w:szCs w:val="18"/>
              </w:rPr>
              <w:sym w:font="Wingdings" w:char="F04C"/>
            </w:r>
          </w:p>
        </w:tc>
        <w:tc>
          <w:tcPr>
            <w:tcW w:w="1842" w:type="dxa"/>
          </w:tcPr>
          <w:p w14:paraId="4F938224" w14:textId="0599D860" w:rsidR="008A4C54" w:rsidRPr="001D7B73" w:rsidRDefault="008A4C54" w:rsidP="001D7B73">
            <w:pPr>
              <w:rPr>
                <w:b/>
                <w:sz w:val="18"/>
                <w:szCs w:val="18"/>
              </w:rPr>
            </w:pPr>
            <w:r w:rsidRPr="001D7B73">
              <w:rPr>
                <w:b/>
                <w:color w:val="1F497D" w:themeColor="text2"/>
              </w:rPr>
              <w:t>?</w:t>
            </w:r>
          </w:p>
        </w:tc>
      </w:tr>
      <w:tr w:rsidR="008A4C54" w:rsidRPr="008832A0" w14:paraId="64D24C0F" w14:textId="77777777" w:rsidTr="009A220C">
        <w:trPr>
          <w:trHeight w:val="287"/>
        </w:trPr>
        <w:tc>
          <w:tcPr>
            <w:tcW w:w="4395" w:type="dxa"/>
          </w:tcPr>
          <w:p w14:paraId="24FB5E23" w14:textId="77777777" w:rsidR="008A4C54" w:rsidRPr="008A4C54" w:rsidRDefault="008A4C54" w:rsidP="008A4C54">
            <w:pPr>
              <w:pStyle w:val="Tabletext1"/>
            </w:pPr>
            <w:r w:rsidRPr="008A4C54">
              <w:t xml:space="preserve">Was a comprehensive literature search performed? </w:t>
            </w:r>
          </w:p>
        </w:tc>
        <w:tc>
          <w:tcPr>
            <w:tcW w:w="1701" w:type="dxa"/>
          </w:tcPr>
          <w:p w14:paraId="5A572CF2" w14:textId="77777777" w:rsidR="008A4C54" w:rsidRPr="001D7B73" w:rsidRDefault="008A4C54" w:rsidP="001D7B73">
            <w:r w:rsidRPr="001D7B73">
              <w:rPr>
                <w:snapToGrid w:val="0"/>
                <w:color w:val="FF0000"/>
                <w:sz w:val="18"/>
                <w:szCs w:val="18"/>
              </w:rPr>
              <w:sym w:font="Wingdings" w:char="F04C"/>
            </w:r>
          </w:p>
        </w:tc>
        <w:tc>
          <w:tcPr>
            <w:tcW w:w="1842" w:type="dxa"/>
          </w:tcPr>
          <w:p w14:paraId="5D641DA6" w14:textId="77777777" w:rsidR="008A4C54" w:rsidRPr="001D7B73" w:rsidRDefault="008A4C54" w:rsidP="001D7B73">
            <w:pPr>
              <w:rPr>
                <w:sz w:val="18"/>
                <w:szCs w:val="18"/>
              </w:rPr>
            </w:pPr>
            <w:r w:rsidRPr="001D7B73">
              <w:rPr>
                <w:snapToGrid w:val="0"/>
                <w:color w:val="00B050"/>
                <w:sz w:val="18"/>
                <w:szCs w:val="18"/>
              </w:rPr>
              <w:sym w:font="Wingdings" w:char="F04A"/>
            </w:r>
          </w:p>
        </w:tc>
      </w:tr>
      <w:tr w:rsidR="008A4C54" w:rsidRPr="008832A0" w14:paraId="4D026420" w14:textId="77777777" w:rsidTr="008A4C54">
        <w:trPr>
          <w:trHeight w:val="558"/>
        </w:trPr>
        <w:tc>
          <w:tcPr>
            <w:tcW w:w="4395" w:type="dxa"/>
          </w:tcPr>
          <w:p w14:paraId="4ED3CEEA" w14:textId="77777777" w:rsidR="008A4C54" w:rsidRPr="008A4C54" w:rsidRDefault="008A4C54" w:rsidP="008A4C54">
            <w:pPr>
              <w:pStyle w:val="Tabletext1"/>
            </w:pPr>
            <w:r w:rsidRPr="008A4C54">
              <w:t>Was the status of publication (i.e. grey literature) used as an inclusion criterion?</w:t>
            </w:r>
          </w:p>
        </w:tc>
        <w:tc>
          <w:tcPr>
            <w:tcW w:w="1701" w:type="dxa"/>
          </w:tcPr>
          <w:p w14:paraId="2EB5BB74" w14:textId="77777777" w:rsidR="008A4C54" w:rsidRPr="001D7B73" w:rsidRDefault="008A4C54" w:rsidP="001D7B73">
            <w:r w:rsidRPr="001D7B73">
              <w:rPr>
                <w:snapToGrid w:val="0"/>
                <w:color w:val="FF0000"/>
                <w:sz w:val="18"/>
                <w:szCs w:val="18"/>
              </w:rPr>
              <w:sym w:font="Wingdings" w:char="F04C"/>
            </w:r>
          </w:p>
        </w:tc>
        <w:tc>
          <w:tcPr>
            <w:tcW w:w="1842" w:type="dxa"/>
          </w:tcPr>
          <w:p w14:paraId="0CE51FD2" w14:textId="77777777" w:rsidR="008A4C54" w:rsidRPr="001D7B73" w:rsidRDefault="008A4C54" w:rsidP="001D7B73">
            <w:pPr>
              <w:rPr>
                <w:sz w:val="18"/>
                <w:szCs w:val="18"/>
              </w:rPr>
            </w:pPr>
            <w:r w:rsidRPr="001D7B73">
              <w:rPr>
                <w:snapToGrid w:val="0"/>
                <w:color w:val="FF0000"/>
                <w:sz w:val="18"/>
                <w:szCs w:val="18"/>
              </w:rPr>
              <w:sym w:font="Wingdings" w:char="F04C"/>
            </w:r>
          </w:p>
        </w:tc>
      </w:tr>
      <w:tr w:rsidR="008A4C54" w:rsidRPr="008832A0" w14:paraId="44B9BDA2" w14:textId="77777777" w:rsidTr="009A220C">
        <w:trPr>
          <w:trHeight w:val="303"/>
        </w:trPr>
        <w:tc>
          <w:tcPr>
            <w:tcW w:w="4395" w:type="dxa"/>
          </w:tcPr>
          <w:p w14:paraId="65B17C4A" w14:textId="77777777" w:rsidR="008A4C54" w:rsidRPr="008A4C54" w:rsidRDefault="008A4C54" w:rsidP="008A4C54">
            <w:pPr>
              <w:pStyle w:val="Tabletext1"/>
            </w:pPr>
            <w:r w:rsidRPr="008A4C54">
              <w:t>Was a list of studies (included and excluded) provided?</w:t>
            </w:r>
          </w:p>
        </w:tc>
        <w:tc>
          <w:tcPr>
            <w:tcW w:w="1701" w:type="dxa"/>
          </w:tcPr>
          <w:p w14:paraId="64FA08B5" w14:textId="77777777" w:rsidR="008A4C54" w:rsidRPr="001D7B73" w:rsidRDefault="008A4C54" w:rsidP="001D7B73">
            <w:r w:rsidRPr="001D7B73">
              <w:rPr>
                <w:snapToGrid w:val="0"/>
                <w:color w:val="FF0000"/>
                <w:sz w:val="18"/>
                <w:szCs w:val="18"/>
              </w:rPr>
              <w:sym w:font="Wingdings" w:char="F04C"/>
            </w:r>
          </w:p>
        </w:tc>
        <w:tc>
          <w:tcPr>
            <w:tcW w:w="1842" w:type="dxa"/>
          </w:tcPr>
          <w:p w14:paraId="672D022F" w14:textId="77777777" w:rsidR="008A4C54" w:rsidRPr="001D7B73" w:rsidRDefault="008A4C54" w:rsidP="001D7B73">
            <w:pPr>
              <w:rPr>
                <w:rFonts w:cs="Arial"/>
                <w:sz w:val="18"/>
                <w:szCs w:val="18"/>
              </w:rPr>
            </w:pPr>
            <w:r w:rsidRPr="001D7B73">
              <w:rPr>
                <w:snapToGrid w:val="0"/>
                <w:color w:val="FF0000"/>
                <w:sz w:val="18"/>
                <w:szCs w:val="18"/>
              </w:rPr>
              <w:sym w:font="Wingdings" w:char="F04C"/>
            </w:r>
          </w:p>
        </w:tc>
      </w:tr>
      <w:tr w:rsidR="008A4C54" w:rsidRPr="008832A0" w14:paraId="2EBB135B" w14:textId="77777777" w:rsidTr="008A4C54">
        <w:tc>
          <w:tcPr>
            <w:tcW w:w="4395" w:type="dxa"/>
          </w:tcPr>
          <w:p w14:paraId="1540ABC6" w14:textId="77777777" w:rsidR="008A4C54" w:rsidRPr="008A4C54" w:rsidRDefault="008A4C54" w:rsidP="008A4C54">
            <w:pPr>
              <w:pStyle w:val="Tabletext1"/>
            </w:pPr>
            <w:r w:rsidRPr="008A4C54">
              <w:t>Were the characteristics of the included studies provided?</w:t>
            </w:r>
          </w:p>
        </w:tc>
        <w:tc>
          <w:tcPr>
            <w:tcW w:w="1701" w:type="dxa"/>
          </w:tcPr>
          <w:p w14:paraId="6D0A994D" w14:textId="77777777" w:rsidR="008A4C54" w:rsidRPr="001D7B73" w:rsidRDefault="008A4C54" w:rsidP="001D7B73">
            <w:pPr>
              <w:rPr>
                <w:sz w:val="18"/>
                <w:szCs w:val="18"/>
              </w:rPr>
            </w:pPr>
            <w:r w:rsidRPr="001D7B73">
              <w:rPr>
                <w:snapToGrid w:val="0"/>
                <w:color w:val="00B050"/>
                <w:sz w:val="18"/>
                <w:szCs w:val="18"/>
              </w:rPr>
              <w:sym w:font="Wingdings" w:char="F04A"/>
            </w:r>
          </w:p>
        </w:tc>
        <w:tc>
          <w:tcPr>
            <w:tcW w:w="1842" w:type="dxa"/>
          </w:tcPr>
          <w:p w14:paraId="4AA81F06" w14:textId="77777777" w:rsidR="008A4C54" w:rsidRPr="001D7B73" w:rsidRDefault="008A4C54" w:rsidP="001D7B73">
            <w:pPr>
              <w:rPr>
                <w:sz w:val="18"/>
                <w:szCs w:val="18"/>
              </w:rPr>
            </w:pPr>
            <w:r w:rsidRPr="001D7B73">
              <w:rPr>
                <w:snapToGrid w:val="0"/>
                <w:color w:val="00B050"/>
                <w:sz w:val="18"/>
                <w:szCs w:val="18"/>
              </w:rPr>
              <w:sym w:font="Wingdings" w:char="F04A"/>
            </w:r>
          </w:p>
        </w:tc>
      </w:tr>
      <w:tr w:rsidR="008A4C54" w:rsidRPr="008832A0" w14:paraId="7030663C" w14:textId="77777777" w:rsidTr="009A220C">
        <w:trPr>
          <w:trHeight w:val="616"/>
        </w:trPr>
        <w:tc>
          <w:tcPr>
            <w:tcW w:w="4395" w:type="dxa"/>
          </w:tcPr>
          <w:p w14:paraId="5995C8F7" w14:textId="77777777" w:rsidR="008A4C54" w:rsidRPr="008A4C54" w:rsidRDefault="008A4C54" w:rsidP="008A4C54">
            <w:pPr>
              <w:pStyle w:val="Tabletext1"/>
            </w:pPr>
            <w:r w:rsidRPr="008A4C54">
              <w:t>Was the scientific quality of the included studies assessed and documented?</w:t>
            </w:r>
          </w:p>
        </w:tc>
        <w:tc>
          <w:tcPr>
            <w:tcW w:w="1701" w:type="dxa"/>
          </w:tcPr>
          <w:p w14:paraId="624B7EE6" w14:textId="77777777" w:rsidR="008A4C54" w:rsidRPr="001D7B73" w:rsidRDefault="008A4C54" w:rsidP="001D7B73">
            <w:pPr>
              <w:rPr>
                <w:snapToGrid w:val="0"/>
                <w:color w:val="FF0000"/>
                <w:sz w:val="18"/>
                <w:szCs w:val="18"/>
              </w:rPr>
            </w:pPr>
            <w:r w:rsidRPr="001D7B73">
              <w:rPr>
                <w:snapToGrid w:val="0"/>
                <w:color w:val="FF0000"/>
                <w:sz w:val="18"/>
                <w:szCs w:val="18"/>
              </w:rPr>
              <w:sym w:font="Wingdings" w:char="F04C"/>
            </w:r>
          </w:p>
        </w:tc>
        <w:tc>
          <w:tcPr>
            <w:tcW w:w="1842" w:type="dxa"/>
          </w:tcPr>
          <w:p w14:paraId="05502F3A" w14:textId="77777777" w:rsidR="008A4C54" w:rsidRPr="001D7B73" w:rsidRDefault="008A4C54" w:rsidP="001D7B73">
            <w:pPr>
              <w:rPr>
                <w:sz w:val="18"/>
                <w:szCs w:val="18"/>
              </w:rPr>
            </w:pPr>
            <w:r w:rsidRPr="001D7B73">
              <w:rPr>
                <w:snapToGrid w:val="0"/>
                <w:color w:val="FF0000"/>
                <w:sz w:val="18"/>
                <w:szCs w:val="18"/>
              </w:rPr>
              <w:sym w:font="Wingdings" w:char="F04C"/>
            </w:r>
          </w:p>
        </w:tc>
      </w:tr>
      <w:tr w:rsidR="008A4C54" w:rsidRPr="008832A0" w14:paraId="4E33626E" w14:textId="77777777" w:rsidTr="008A4C54">
        <w:trPr>
          <w:trHeight w:val="626"/>
        </w:trPr>
        <w:tc>
          <w:tcPr>
            <w:tcW w:w="4395" w:type="dxa"/>
          </w:tcPr>
          <w:p w14:paraId="200F3921" w14:textId="77777777" w:rsidR="008A4C54" w:rsidRPr="008A4C54" w:rsidRDefault="008A4C54" w:rsidP="008A4C54">
            <w:pPr>
              <w:pStyle w:val="Tabletext1"/>
            </w:pPr>
            <w:r w:rsidRPr="008A4C54">
              <w:t>Was the scientific quality of the included studies used appropriately in formulating conclusions?</w:t>
            </w:r>
          </w:p>
        </w:tc>
        <w:tc>
          <w:tcPr>
            <w:tcW w:w="1701" w:type="dxa"/>
          </w:tcPr>
          <w:p w14:paraId="030F725F" w14:textId="77777777" w:rsidR="008A4C54" w:rsidRPr="001D7B73" w:rsidRDefault="008A4C54" w:rsidP="001D7B73">
            <w:pPr>
              <w:rPr>
                <w:snapToGrid w:val="0"/>
                <w:color w:val="FF0000"/>
                <w:sz w:val="18"/>
                <w:szCs w:val="18"/>
              </w:rPr>
            </w:pPr>
            <w:r w:rsidRPr="001D7B73">
              <w:rPr>
                <w:snapToGrid w:val="0"/>
                <w:color w:val="00B050"/>
                <w:sz w:val="18"/>
                <w:szCs w:val="18"/>
              </w:rPr>
              <w:sym w:font="Wingdings" w:char="F04A"/>
            </w:r>
          </w:p>
        </w:tc>
        <w:tc>
          <w:tcPr>
            <w:tcW w:w="1842" w:type="dxa"/>
          </w:tcPr>
          <w:p w14:paraId="02A34FA7" w14:textId="77777777" w:rsidR="008A4C54" w:rsidRPr="001D7B73" w:rsidRDefault="008A4C54" w:rsidP="001D7B73">
            <w:pPr>
              <w:rPr>
                <w:rFonts w:cs="Arial"/>
                <w:sz w:val="18"/>
                <w:szCs w:val="18"/>
              </w:rPr>
            </w:pPr>
            <w:r w:rsidRPr="001D7B73">
              <w:rPr>
                <w:snapToGrid w:val="0"/>
                <w:color w:val="FF0000"/>
                <w:sz w:val="18"/>
                <w:szCs w:val="18"/>
              </w:rPr>
              <w:sym w:font="Wingdings" w:char="F04C"/>
            </w:r>
          </w:p>
        </w:tc>
      </w:tr>
      <w:tr w:rsidR="008A4C54" w:rsidRPr="008832A0" w14:paraId="33FFB66C" w14:textId="77777777" w:rsidTr="008A4C54">
        <w:tc>
          <w:tcPr>
            <w:tcW w:w="4395" w:type="dxa"/>
          </w:tcPr>
          <w:p w14:paraId="4581B3DA" w14:textId="77777777" w:rsidR="008A4C54" w:rsidRPr="008A4C54" w:rsidRDefault="008A4C54" w:rsidP="008A4C54">
            <w:pPr>
              <w:pStyle w:val="Tabletext1"/>
            </w:pPr>
            <w:r w:rsidRPr="008A4C54">
              <w:t>Were the methods used to combine the findings of studies appropriate?</w:t>
            </w:r>
          </w:p>
        </w:tc>
        <w:tc>
          <w:tcPr>
            <w:tcW w:w="1701" w:type="dxa"/>
          </w:tcPr>
          <w:p w14:paraId="1BDD842B" w14:textId="77777777" w:rsidR="008A4C54" w:rsidRPr="001D7B73" w:rsidRDefault="008A4C54" w:rsidP="001D7B73">
            <w:pPr>
              <w:rPr>
                <w:snapToGrid w:val="0"/>
                <w:color w:val="FF0000"/>
                <w:sz w:val="18"/>
                <w:szCs w:val="18"/>
              </w:rPr>
            </w:pPr>
            <w:r w:rsidRPr="001D7B73">
              <w:rPr>
                <w:snapToGrid w:val="0"/>
                <w:color w:val="00B050"/>
                <w:sz w:val="18"/>
                <w:szCs w:val="18"/>
              </w:rPr>
              <w:sym w:font="Wingdings" w:char="F04A"/>
            </w:r>
          </w:p>
        </w:tc>
        <w:tc>
          <w:tcPr>
            <w:tcW w:w="1842" w:type="dxa"/>
          </w:tcPr>
          <w:p w14:paraId="1C243486" w14:textId="77777777" w:rsidR="008A4C54" w:rsidRPr="001D7B73" w:rsidRDefault="008A4C54" w:rsidP="001D7B73">
            <w:pPr>
              <w:rPr>
                <w:sz w:val="18"/>
                <w:szCs w:val="18"/>
              </w:rPr>
            </w:pPr>
            <w:r w:rsidRPr="001D7B73">
              <w:rPr>
                <w:snapToGrid w:val="0"/>
                <w:color w:val="00B050"/>
                <w:sz w:val="18"/>
                <w:szCs w:val="18"/>
              </w:rPr>
              <w:sym w:font="Wingdings" w:char="F04A"/>
            </w:r>
          </w:p>
        </w:tc>
      </w:tr>
      <w:tr w:rsidR="008A4C54" w:rsidRPr="008832A0" w14:paraId="2D658438" w14:textId="77777777" w:rsidTr="009A220C">
        <w:trPr>
          <w:trHeight w:val="359"/>
        </w:trPr>
        <w:tc>
          <w:tcPr>
            <w:tcW w:w="4395" w:type="dxa"/>
          </w:tcPr>
          <w:p w14:paraId="2932EB4D" w14:textId="77777777" w:rsidR="008A4C54" w:rsidRPr="008A4C54" w:rsidRDefault="008A4C54" w:rsidP="008A4C54">
            <w:pPr>
              <w:pStyle w:val="Tabletext1"/>
            </w:pPr>
            <w:r w:rsidRPr="008A4C54">
              <w:t xml:space="preserve">Was the likelihood of publication bias assessed? </w:t>
            </w:r>
          </w:p>
        </w:tc>
        <w:tc>
          <w:tcPr>
            <w:tcW w:w="1701" w:type="dxa"/>
          </w:tcPr>
          <w:p w14:paraId="2179C42A" w14:textId="77777777" w:rsidR="008A4C54" w:rsidRPr="001D7B73" w:rsidRDefault="008A4C54" w:rsidP="001D7B73">
            <w:pPr>
              <w:rPr>
                <w:snapToGrid w:val="0"/>
                <w:color w:val="FF0000"/>
                <w:sz w:val="18"/>
                <w:szCs w:val="18"/>
              </w:rPr>
            </w:pPr>
            <w:r w:rsidRPr="001D7B73">
              <w:rPr>
                <w:snapToGrid w:val="0"/>
                <w:color w:val="FF0000"/>
                <w:sz w:val="18"/>
                <w:szCs w:val="18"/>
              </w:rPr>
              <w:sym w:font="Wingdings" w:char="F04C"/>
            </w:r>
          </w:p>
        </w:tc>
        <w:tc>
          <w:tcPr>
            <w:tcW w:w="1842" w:type="dxa"/>
          </w:tcPr>
          <w:p w14:paraId="576734E8" w14:textId="77777777" w:rsidR="008A4C54" w:rsidRPr="001D7B73" w:rsidRDefault="008A4C54" w:rsidP="001D7B73">
            <w:pPr>
              <w:rPr>
                <w:sz w:val="18"/>
                <w:szCs w:val="18"/>
              </w:rPr>
            </w:pPr>
            <w:r w:rsidRPr="001D7B73">
              <w:rPr>
                <w:snapToGrid w:val="0"/>
                <w:color w:val="FF0000"/>
                <w:sz w:val="18"/>
                <w:szCs w:val="18"/>
              </w:rPr>
              <w:sym w:font="Wingdings" w:char="F04C"/>
            </w:r>
          </w:p>
        </w:tc>
      </w:tr>
      <w:tr w:rsidR="008A4C54" w:rsidRPr="008832A0" w14:paraId="2B258116" w14:textId="77777777" w:rsidTr="009A220C">
        <w:trPr>
          <w:trHeight w:val="381"/>
        </w:trPr>
        <w:tc>
          <w:tcPr>
            <w:tcW w:w="4395" w:type="dxa"/>
            <w:tcBorders>
              <w:bottom w:val="single" w:sz="4" w:space="0" w:color="auto"/>
            </w:tcBorders>
          </w:tcPr>
          <w:p w14:paraId="2B6D2F27" w14:textId="77777777" w:rsidR="008A4C54" w:rsidRPr="008A4C54" w:rsidRDefault="008A4C54" w:rsidP="008A4C54">
            <w:pPr>
              <w:pStyle w:val="Tabletext1"/>
            </w:pPr>
            <w:r w:rsidRPr="008A4C54">
              <w:t xml:space="preserve">Was the conflict of interest stated? </w:t>
            </w:r>
          </w:p>
        </w:tc>
        <w:tc>
          <w:tcPr>
            <w:tcW w:w="1701" w:type="dxa"/>
            <w:tcBorders>
              <w:bottom w:val="single" w:sz="4" w:space="0" w:color="auto"/>
            </w:tcBorders>
          </w:tcPr>
          <w:p w14:paraId="16B6C3E3" w14:textId="77777777" w:rsidR="008A4C54" w:rsidRPr="001D7B73" w:rsidRDefault="008A4C54" w:rsidP="001D7B73">
            <w:pPr>
              <w:rPr>
                <w:sz w:val="18"/>
                <w:szCs w:val="18"/>
              </w:rPr>
            </w:pPr>
            <w:r w:rsidRPr="001D7B73">
              <w:rPr>
                <w:snapToGrid w:val="0"/>
                <w:color w:val="00B050"/>
                <w:sz w:val="18"/>
                <w:szCs w:val="18"/>
              </w:rPr>
              <w:sym w:font="Wingdings" w:char="F04A"/>
            </w:r>
          </w:p>
        </w:tc>
        <w:tc>
          <w:tcPr>
            <w:tcW w:w="1842" w:type="dxa"/>
            <w:tcBorders>
              <w:bottom w:val="single" w:sz="4" w:space="0" w:color="auto"/>
            </w:tcBorders>
          </w:tcPr>
          <w:p w14:paraId="7C859156" w14:textId="77777777" w:rsidR="008A4C54" w:rsidRPr="001D7B73" w:rsidRDefault="008A4C54" w:rsidP="001D7B73">
            <w:pPr>
              <w:rPr>
                <w:sz w:val="18"/>
                <w:szCs w:val="18"/>
              </w:rPr>
            </w:pPr>
            <w:r w:rsidRPr="001D7B73">
              <w:rPr>
                <w:snapToGrid w:val="0"/>
                <w:color w:val="00B050"/>
                <w:sz w:val="18"/>
                <w:szCs w:val="18"/>
              </w:rPr>
              <w:sym w:font="Wingdings" w:char="F04A"/>
            </w:r>
          </w:p>
        </w:tc>
      </w:tr>
      <w:tr w:rsidR="008A4C54" w:rsidRPr="008832A0" w14:paraId="3B76E3B7" w14:textId="77777777" w:rsidTr="008A4C54">
        <w:trPr>
          <w:trHeight w:val="411"/>
        </w:trPr>
        <w:tc>
          <w:tcPr>
            <w:tcW w:w="4395" w:type="dxa"/>
            <w:tcBorders>
              <w:top w:val="single" w:sz="4" w:space="0" w:color="auto"/>
              <w:left w:val="single" w:sz="4" w:space="0" w:color="auto"/>
              <w:right w:val="single" w:sz="4" w:space="0" w:color="auto"/>
            </w:tcBorders>
          </w:tcPr>
          <w:p w14:paraId="489BE442" w14:textId="02507053" w:rsidR="008A4C54" w:rsidRPr="008832A0" w:rsidRDefault="008A4C54" w:rsidP="00723373">
            <w:pPr>
              <w:rPr>
                <w:rFonts w:cs="Arial"/>
                <w:b/>
                <w:sz w:val="18"/>
                <w:szCs w:val="18"/>
              </w:rPr>
            </w:pPr>
            <w:r>
              <w:rPr>
                <w:rFonts w:cs="Arial"/>
                <w:b/>
                <w:sz w:val="18"/>
                <w:szCs w:val="18"/>
              </w:rPr>
              <w:t>Score (/11)</w:t>
            </w:r>
          </w:p>
        </w:tc>
        <w:tc>
          <w:tcPr>
            <w:tcW w:w="1701" w:type="dxa"/>
            <w:tcBorders>
              <w:top w:val="single" w:sz="4" w:space="0" w:color="auto"/>
              <w:left w:val="single" w:sz="4" w:space="0" w:color="auto"/>
              <w:right w:val="single" w:sz="4" w:space="0" w:color="auto"/>
            </w:tcBorders>
          </w:tcPr>
          <w:p w14:paraId="1F90A320" w14:textId="77777777" w:rsidR="008A4C54" w:rsidRPr="008832A0" w:rsidRDefault="008A4C54" w:rsidP="001D7B73">
            <w:pPr>
              <w:rPr>
                <w:rFonts w:cs="Arial"/>
                <w:b/>
                <w:sz w:val="18"/>
                <w:szCs w:val="18"/>
              </w:rPr>
            </w:pPr>
            <w:r>
              <w:rPr>
                <w:rFonts w:cs="Arial"/>
                <w:b/>
                <w:sz w:val="18"/>
                <w:szCs w:val="18"/>
              </w:rPr>
              <w:t>4</w:t>
            </w:r>
          </w:p>
        </w:tc>
        <w:tc>
          <w:tcPr>
            <w:tcW w:w="1842" w:type="dxa"/>
            <w:tcBorders>
              <w:top w:val="single" w:sz="4" w:space="0" w:color="auto"/>
              <w:left w:val="single" w:sz="4" w:space="0" w:color="auto"/>
              <w:right w:val="single" w:sz="4" w:space="0" w:color="auto"/>
            </w:tcBorders>
          </w:tcPr>
          <w:p w14:paraId="0ACED2BA" w14:textId="77777777" w:rsidR="008A4C54" w:rsidRPr="008832A0" w:rsidRDefault="008A4C54" w:rsidP="001D7B73">
            <w:pPr>
              <w:rPr>
                <w:rFonts w:cs="Arial"/>
                <w:b/>
                <w:sz w:val="18"/>
                <w:szCs w:val="18"/>
              </w:rPr>
            </w:pPr>
            <w:r>
              <w:rPr>
                <w:rFonts w:cs="Arial"/>
                <w:b/>
                <w:sz w:val="18"/>
                <w:szCs w:val="18"/>
              </w:rPr>
              <w:t>5</w:t>
            </w:r>
          </w:p>
        </w:tc>
      </w:tr>
    </w:tbl>
    <w:p w14:paraId="38603A04" w14:textId="29337776" w:rsidR="00FA05F6" w:rsidRPr="000E2A18" w:rsidRDefault="00FA05F6" w:rsidP="000E2A18">
      <w:pPr>
        <w:pStyle w:val="TableNotes"/>
      </w:pPr>
      <w:bookmarkStart w:id="832" w:name="_Ref456769636"/>
      <w:r w:rsidRPr="000E2A18">
        <w:sym w:font="Wingdings" w:char="F04A"/>
      </w:r>
      <w:r w:rsidRPr="000E2A18">
        <w:t xml:space="preserve"> = Yes, </w:t>
      </w:r>
      <w:r w:rsidRPr="000E2A18">
        <w:sym w:font="Wingdings" w:char="F04C"/>
      </w:r>
      <w:r w:rsidRPr="000E2A18">
        <w:t xml:space="preserve"> = No, ? = cannot answer.</w:t>
      </w:r>
    </w:p>
    <w:p w14:paraId="5991F47D" w14:textId="04CB84E8" w:rsidR="00104FA4" w:rsidRDefault="00104FA4" w:rsidP="00A709B8">
      <w:pPr>
        <w:pStyle w:val="Caption"/>
      </w:pPr>
      <w:bookmarkStart w:id="833" w:name="_Ref460243495"/>
      <w:bookmarkStart w:id="834" w:name="_Toc460514587"/>
      <w:r>
        <w:t xml:space="preserve">Table </w:t>
      </w:r>
      <w:fldSimple w:instr=" SEQ Table \* ARABIC ">
        <w:r w:rsidR="0029649D">
          <w:rPr>
            <w:noProof/>
          </w:rPr>
          <w:t>87</w:t>
        </w:r>
      </w:fldSimple>
      <w:bookmarkEnd w:id="832"/>
      <w:bookmarkEnd w:id="833"/>
      <w:r>
        <w:tab/>
        <w:t>Quality appraisal of the R</w:t>
      </w:r>
      <w:r w:rsidR="00301B40">
        <w:t xml:space="preserve">andomised </w:t>
      </w:r>
      <w:r>
        <w:t>C</w:t>
      </w:r>
      <w:r w:rsidR="00301B40">
        <w:t xml:space="preserve">ontrolled </w:t>
      </w:r>
      <w:r>
        <w:t>T</w:t>
      </w:r>
      <w:r w:rsidR="00301B40">
        <w:t xml:space="preserve">rial using </w:t>
      </w:r>
      <w:r w:rsidR="00301B40" w:rsidRPr="009454E9">
        <w:t xml:space="preserve">Cochrane Collaboration's tool for assessing risk </w:t>
      </w:r>
      <w:r w:rsidR="00301B40" w:rsidRPr="00A709B8">
        <w:t>of</w:t>
      </w:r>
      <w:r w:rsidR="00301B40" w:rsidRPr="009454E9">
        <w:t xml:space="preserve"> bias in randomised trials</w:t>
      </w:r>
      <w:r w:rsidR="008A4C54" w:rsidRPr="008A4C54">
        <w:rPr>
          <w:rFonts w:cs="Times New Roman"/>
          <w:color w:val="000000"/>
        </w:rPr>
        <w:t xml:space="preserve"> </w:t>
      </w:r>
      <w:r w:rsidR="008A4C54">
        <w:rPr>
          <w:rFonts w:cs="Times New Roman"/>
          <w:color w:val="000000"/>
        </w:rPr>
        <w:t>(</w:t>
      </w:r>
      <w:r w:rsidR="008A4C54" w:rsidRPr="00575F13">
        <w:rPr>
          <w:rFonts w:cs="Times New Roman"/>
          <w:color w:val="000000"/>
        </w:rPr>
        <w:t>Peteffi et al. (2002)</w:t>
      </w:r>
      <w:r w:rsidR="008A4C54">
        <w:rPr>
          <w:rFonts w:cs="Times New Roman"/>
          <w:color w:val="000000"/>
        </w:rPr>
        <w:t>)</w:t>
      </w:r>
      <w:bookmarkEnd w:id="834"/>
    </w:p>
    <w:tbl>
      <w:tblPr>
        <w:tblStyle w:val="TableGrid"/>
        <w:tblW w:w="5000" w:type="pct"/>
        <w:tblLook w:val="04A0" w:firstRow="1" w:lastRow="0" w:firstColumn="1" w:lastColumn="0" w:noHBand="0" w:noVBand="1"/>
        <w:tblDescription w:val="Quality appraisal of the Randomised Controlled Trial using Cochrane Collaboration's tool for assessing risk of bias in randomised trials"/>
      </w:tblPr>
      <w:tblGrid>
        <w:gridCol w:w="6728"/>
        <w:gridCol w:w="2514"/>
      </w:tblGrid>
      <w:tr w:rsidR="008A4C54" w:rsidRPr="00575F13" w14:paraId="5FDB6774" w14:textId="77777777" w:rsidTr="009A220C">
        <w:trPr>
          <w:trHeight w:val="300"/>
          <w:tblHeader/>
        </w:trPr>
        <w:tc>
          <w:tcPr>
            <w:tcW w:w="3640" w:type="pct"/>
            <w:tcBorders>
              <w:top w:val="single" w:sz="4" w:space="0" w:color="auto"/>
            </w:tcBorders>
            <w:hideMark/>
          </w:tcPr>
          <w:p w14:paraId="4B661A4A" w14:textId="77777777" w:rsidR="008A4C54" w:rsidRPr="00575F13" w:rsidRDefault="008A4C54" w:rsidP="008A4C54">
            <w:pPr>
              <w:pStyle w:val="TableHeading"/>
            </w:pPr>
            <w:r w:rsidRPr="00575F13">
              <w:t>Bias</w:t>
            </w:r>
          </w:p>
        </w:tc>
        <w:tc>
          <w:tcPr>
            <w:tcW w:w="1360" w:type="pct"/>
            <w:tcBorders>
              <w:top w:val="single" w:sz="4" w:space="0" w:color="auto"/>
            </w:tcBorders>
            <w:hideMark/>
          </w:tcPr>
          <w:p w14:paraId="270B6280" w14:textId="77777777" w:rsidR="008A4C54" w:rsidRPr="00575F13" w:rsidRDefault="008A4C54" w:rsidP="008A4C54">
            <w:pPr>
              <w:pStyle w:val="TableHeading"/>
            </w:pPr>
            <w:r w:rsidRPr="00575F13">
              <w:t>Authors’ judgment</w:t>
            </w:r>
          </w:p>
        </w:tc>
      </w:tr>
      <w:tr w:rsidR="008A4C54" w:rsidRPr="00575F13" w14:paraId="0104BBDA" w14:textId="77777777" w:rsidTr="009A220C">
        <w:trPr>
          <w:trHeight w:val="300"/>
        </w:trPr>
        <w:tc>
          <w:tcPr>
            <w:tcW w:w="3640" w:type="pct"/>
            <w:hideMark/>
          </w:tcPr>
          <w:p w14:paraId="7F1CC09A" w14:textId="77777777" w:rsidR="008A4C54" w:rsidRPr="00575F13" w:rsidRDefault="008A4C54" w:rsidP="008A4C54">
            <w:pPr>
              <w:pStyle w:val="Tabletext1"/>
            </w:pPr>
            <w:r w:rsidRPr="00575F13">
              <w:t>Random sequence generation (selection bias)</w:t>
            </w:r>
          </w:p>
        </w:tc>
        <w:tc>
          <w:tcPr>
            <w:tcW w:w="1360" w:type="pct"/>
            <w:hideMark/>
          </w:tcPr>
          <w:p w14:paraId="0D15D0A1" w14:textId="77777777" w:rsidR="008A4C54" w:rsidRPr="00575F13" w:rsidRDefault="008A4C54" w:rsidP="008A4C54">
            <w:pPr>
              <w:pStyle w:val="Tabletext1"/>
            </w:pPr>
            <w:r w:rsidRPr="00575F13">
              <w:t>U</w:t>
            </w:r>
          </w:p>
        </w:tc>
      </w:tr>
      <w:tr w:rsidR="008A4C54" w:rsidRPr="00575F13" w14:paraId="17FB94D9" w14:textId="77777777" w:rsidTr="009A220C">
        <w:trPr>
          <w:trHeight w:val="300"/>
        </w:trPr>
        <w:tc>
          <w:tcPr>
            <w:tcW w:w="3640" w:type="pct"/>
            <w:hideMark/>
          </w:tcPr>
          <w:p w14:paraId="2DA756D0" w14:textId="77777777" w:rsidR="008A4C54" w:rsidRPr="00575F13" w:rsidRDefault="008A4C54" w:rsidP="008A4C54">
            <w:pPr>
              <w:pStyle w:val="Tabletext1"/>
            </w:pPr>
            <w:r w:rsidRPr="00575F13">
              <w:t>Allocation concealment (selection bias)</w:t>
            </w:r>
          </w:p>
        </w:tc>
        <w:tc>
          <w:tcPr>
            <w:tcW w:w="1360" w:type="pct"/>
            <w:hideMark/>
          </w:tcPr>
          <w:p w14:paraId="07BA4162" w14:textId="77777777" w:rsidR="008A4C54" w:rsidRPr="00575F13" w:rsidRDefault="008A4C54" w:rsidP="008A4C54">
            <w:pPr>
              <w:pStyle w:val="Tabletext1"/>
            </w:pPr>
            <w:r>
              <w:t>L</w:t>
            </w:r>
          </w:p>
        </w:tc>
      </w:tr>
      <w:tr w:rsidR="008A4C54" w:rsidRPr="00575F13" w14:paraId="4A6B2746" w14:textId="77777777" w:rsidTr="009A220C">
        <w:trPr>
          <w:trHeight w:val="300"/>
        </w:trPr>
        <w:tc>
          <w:tcPr>
            <w:tcW w:w="3640" w:type="pct"/>
            <w:hideMark/>
          </w:tcPr>
          <w:p w14:paraId="298A0D5B" w14:textId="416E9C64" w:rsidR="008A4C54" w:rsidRPr="00575F13" w:rsidRDefault="008A4C54" w:rsidP="008A4C54">
            <w:pPr>
              <w:pStyle w:val="Tabletext1"/>
            </w:pPr>
            <w:r w:rsidRPr="00575F13">
              <w:t xml:space="preserve">Blinding of </w:t>
            </w:r>
            <w:r w:rsidR="00CE60C4">
              <w:t>patients</w:t>
            </w:r>
            <w:r w:rsidRPr="00575F13">
              <w:t xml:space="preserve"> and researchers (performance bias)</w:t>
            </w:r>
          </w:p>
        </w:tc>
        <w:tc>
          <w:tcPr>
            <w:tcW w:w="1360" w:type="pct"/>
            <w:hideMark/>
          </w:tcPr>
          <w:p w14:paraId="302F26F3" w14:textId="77777777" w:rsidR="008A4C54" w:rsidRPr="00575F13" w:rsidRDefault="008A4C54" w:rsidP="008A4C54">
            <w:pPr>
              <w:pStyle w:val="Tabletext1"/>
            </w:pPr>
            <w:r w:rsidRPr="00575F13">
              <w:t>U</w:t>
            </w:r>
          </w:p>
        </w:tc>
      </w:tr>
      <w:tr w:rsidR="008A4C54" w:rsidRPr="00575F13" w14:paraId="512FA1D6" w14:textId="77777777" w:rsidTr="009A220C">
        <w:trPr>
          <w:trHeight w:val="300"/>
        </w:trPr>
        <w:tc>
          <w:tcPr>
            <w:tcW w:w="3640" w:type="pct"/>
            <w:hideMark/>
          </w:tcPr>
          <w:p w14:paraId="0BCE78A5" w14:textId="77777777" w:rsidR="008A4C54" w:rsidRPr="00575F13" w:rsidRDefault="008A4C54" w:rsidP="008A4C54">
            <w:pPr>
              <w:pStyle w:val="Tabletext1"/>
            </w:pPr>
            <w:r w:rsidRPr="00575F13">
              <w:t>Blinding of outcome assessment (detection bias)</w:t>
            </w:r>
          </w:p>
        </w:tc>
        <w:tc>
          <w:tcPr>
            <w:tcW w:w="1360" w:type="pct"/>
            <w:hideMark/>
          </w:tcPr>
          <w:p w14:paraId="0AF70366" w14:textId="77777777" w:rsidR="008A4C54" w:rsidRPr="00575F13" w:rsidRDefault="008A4C54" w:rsidP="008A4C54">
            <w:pPr>
              <w:pStyle w:val="Tabletext1"/>
            </w:pPr>
            <w:r w:rsidRPr="00575F13">
              <w:t>U</w:t>
            </w:r>
          </w:p>
        </w:tc>
      </w:tr>
      <w:tr w:rsidR="008A4C54" w:rsidRPr="00575F13" w14:paraId="0BC03B87" w14:textId="77777777" w:rsidTr="009A220C">
        <w:trPr>
          <w:trHeight w:val="300"/>
        </w:trPr>
        <w:tc>
          <w:tcPr>
            <w:tcW w:w="3640" w:type="pct"/>
            <w:hideMark/>
          </w:tcPr>
          <w:p w14:paraId="2B607938" w14:textId="77777777" w:rsidR="008A4C54" w:rsidRPr="00575F13" w:rsidRDefault="008A4C54" w:rsidP="008A4C54">
            <w:pPr>
              <w:pStyle w:val="Tabletext1"/>
            </w:pPr>
            <w:r w:rsidRPr="00575F13">
              <w:t>Incomplete outcome data (attrition bias)</w:t>
            </w:r>
          </w:p>
        </w:tc>
        <w:tc>
          <w:tcPr>
            <w:tcW w:w="1360" w:type="pct"/>
            <w:hideMark/>
          </w:tcPr>
          <w:p w14:paraId="2F171117" w14:textId="77777777" w:rsidR="008A4C54" w:rsidRPr="00575F13" w:rsidRDefault="008A4C54" w:rsidP="008A4C54">
            <w:pPr>
              <w:pStyle w:val="Tabletext1"/>
            </w:pPr>
            <w:r w:rsidRPr="00575F13">
              <w:t>L</w:t>
            </w:r>
          </w:p>
        </w:tc>
      </w:tr>
      <w:tr w:rsidR="008A4C54" w:rsidRPr="00575F13" w14:paraId="6836B18E" w14:textId="77777777" w:rsidTr="009A220C">
        <w:trPr>
          <w:trHeight w:val="300"/>
        </w:trPr>
        <w:tc>
          <w:tcPr>
            <w:tcW w:w="3640" w:type="pct"/>
            <w:hideMark/>
          </w:tcPr>
          <w:p w14:paraId="68B86742" w14:textId="77777777" w:rsidR="008A4C54" w:rsidRPr="00575F13" w:rsidRDefault="008A4C54" w:rsidP="008A4C54">
            <w:pPr>
              <w:pStyle w:val="Tabletext1"/>
            </w:pPr>
            <w:r w:rsidRPr="00575F13">
              <w:t>Selective reporting (reporting bias)</w:t>
            </w:r>
          </w:p>
        </w:tc>
        <w:tc>
          <w:tcPr>
            <w:tcW w:w="1360" w:type="pct"/>
            <w:hideMark/>
          </w:tcPr>
          <w:p w14:paraId="055E382E" w14:textId="77777777" w:rsidR="008A4C54" w:rsidRPr="00575F13" w:rsidRDefault="008A4C54" w:rsidP="008A4C54">
            <w:pPr>
              <w:pStyle w:val="Tabletext1"/>
            </w:pPr>
            <w:r w:rsidRPr="00575F13">
              <w:t>L</w:t>
            </w:r>
          </w:p>
        </w:tc>
      </w:tr>
      <w:tr w:rsidR="008A4C54" w:rsidRPr="00575F13" w14:paraId="0361B453" w14:textId="77777777" w:rsidTr="009A220C">
        <w:trPr>
          <w:trHeight w:val="300"/>
        </w:trPr>
        <w:tc>
          <w:tcPr>
            <w:tcW w:w="3640" w:type="pct"/>
            <w:hideMark/>
          </w:tcPr>
          <w:p w14:paraId="15468941" w14:textId="77777777" w:rsidR="008A4C54" w:rsidRPr="00575F13" w:rsidRDefault="008A4C54" w:rsidP="008A4C54">
            <w:pPr>
              <w:pStyle w:val="Tabletext1"/>
            </w:pPr>
            <w:r w:rsidRPr="00575F13">
              <w:t>Other bias</w:t>
            </w:r>
          </w:p>
        </w:tc>
        <w:tc>
          <w:tcPr>
            <w:tcW w:w="1360" w:type="pct"/>
            <w:hideMark/>
          </w:tcPr>
          <w:p w14:paraId="4E0C2EF8" w14:textId="77777777" w:rsidR="008A4C54" w:rsidRPr="00575F13" w:rsidRDefault="008A4C54" w:rsidP="008A4C54">
            <w:pPr>
              <w:pStyle w:val="Tabletext1"/>
            </w:pPr>
            <w:r w:rsidRPr="00575F13">
              <w:t>L</w:t>
            </w:r>
          </w:p>
        </w:tc>
      </w:tr>
    </w:tbl>
    <w:p w14:paraId="03009AED" w14:textId="11036950" w:rsidR="00BB6BEE" w:rsidRDefault="00BB6BEE" w:rsidP="008A4C54">
      <w:pPr>
        <w:pStyle w:val="TableNotes"/>
      </w:pPr>
      <w:r>
        <w:t>U</w:t>
      </w:r>
      <w:r w:rsidR="00FA05F6">
        <w:t xml:space="preserve"> </w:t>
      </w:r>
      <w:r>
        <w:t>=</w:t>
      </w:r>
      <w:r w:rsidR="00FA05F6">
        <w:t xml:space="preserve"> </w:t>
      </w:r>
      <w:r>
        <w:t>unclear, L=</w:t>
      </w:r>
      <w:r w:rsidR="00FA05F6">
        <w:t xml:space="preserve"> </w:t>
      </w:r>
      <w:r>
        <w:t>low risk of bias, H</w:t>
      </w:r>
      <w:r w:rsidR="00FA05F6">
        <w:t xml:space="preserve"> </w:t>
      </w:r>
      <w:r>
        <w:t>=</w:t>
      </w:r>
      <w:r w:rsidR="00FA05F6">
        <w:t xml:space="preserve"> </w:t>
      </w:r>
      <w:r>
        <w:t>high risk of bias</w:t>
      </w:r>
      <w:r w:rsidR="00A4761C">
        <w:t>.</w:t>
      </w:r>
    </w:p>
    <w:p w14:paraId="1ADABFA8" w14:textId="00A27A09" w:rsidR="00104FA4" w:rsidRDefault="00D6212C" w:rsidP="00A709B8">
      <w:pPr>
        <w:pStyle w:val="Caption"/>
      </w:pPr>
      <w:bookmarkStart w:id="835" w:name="_Ref456769754"/>
      <w:bookmarkStart w:id="836" w:name="_Toc460514588"/>
      <w:r>
        <w:lastRenderedPageBreak/>
        <w:t xml:space="preserve">Table </w:t>
      </w:r>
      <w:fldSimple w:instr=" SEQ Table \* ARABIC ">
        <w:r w:rsidR="0029649D">
          <w:rPr>
            <w:noProof/>
          </w:rPr>
          <w:t>88</w:t>
        </w:r>
      </w:fldSimple>
      <w:bookmarkEnd w:id="835"/>
      <w:r>
        <w:tab/>
        <w:t>Quality appraisal of the comparative studies</w:t>
      </w:r>
      <w:r w:rsidR="00301B40">
        <w:t xml:space="preserve"> using </w:t>
      </w:r>
      <w:r w:rsidR="00ED2862">
        <w:t xml:space="preserve">modified </w:t>
      </w:r>
      <w:r w:rsidR="00301B40">
        <w:t xml:space="preserve">Downs and Black </w:t>
      </w:r>
      <w:r w:rsidR="00301B40" w:rsidRPr="00457031">
        <w:t>checklist for non-</w:t>
      </w:r>
      <w:r w:rsidR="00301B40" w:rsidRPr="00A709B8">
        <w:t>randomized</w:t>
      </w:r>
      <w:r w:rsidR="00301B40" w:rsidRPr="00457031">
        <w:t xml:space="preserve"> studies</w:t>
      </w:r>
      <w:bookmarkEnd w:id="836"/>
    </w:p>
    <w:tbl>
      <w:tblPr>
        <w:tblW w:w="5191" w:type="pct"/>
        <w:tblLayout w:type="fixed"/>
        <w:tblLook w:val="04A0" w:firstRow="1" w:lastRow="0" w:firstColumn="1" w:lastColumn="0" w:noHBand="0" w:noVBand="1"/>
      </w:tblPr>
      <w:tblGrid>
        <w:gridCol w:w="1799"/>
        <w:gridCol w:w="1269"/>
        <w:gridCol w:w="873"/>
        <w:gridCol w:w="873"/>
        <w:gridCol w:w="844"/>
        <w:gridCol w:w="986"/>
        <w:gridCol w:w="977"/>
        <w:gridCol w:w="986"/>
        <w:gridCol w:w="988"/>
      </w:tblGrid>
      <w:tr w:rsidR="008A4C54" w:rsidRPr="00204142" w14:paraId="207624DA" w14:textId="77777777" w:rsidTr="00FA05F6">
        <w:trPr>
          <w:trHeight w:val="530"/>
          <w:tblHeader/>
        </w:trPr>
        <w:tc>
          <w:tcPr>
            <w:tcW w:w="937" w:type="pct"/>
            <w:tcBorders>
              <w:top w:val="single" w:sz="4" w:space="0" w:color="auto"/>
              <w:left w:val="single" w:sz="4" w:space="0" w:color="auto"/>
              <w:bottom w:val="single" w:sz="4" w:space="0" w:color="auto"/>
              <w:right w:val="single" w:sz="4" w:space="0" w:color="auto"/>
            </w:tcBorders>
            <w:shd w:val="clear" w:color="auto" w:fill="auto"/>
            <w:hideMark/>
          </w:tcPr>
          <w:p w14:paraId="61A3378B" w14:textId="77777777" w:rsidR="00D6212C" w:rsidRPr="00F273D6" w:rsidRDefault="00D6212C" w:rsidP="008A4C54">
            <w:pPr>
              <w:pStyle w:val="TableHeading"/>
            </w:pPr>
            <w:r w:rsidRPr="00F273D6">
              <w:t>Author</w:t>
            </w:r>
          </w:p>
        </w:tc>
        <w:tc>
          <w:tcPr>
            <w:tcW w:w="661" w:type="pct"/>
            <w:tcBorders>
              <w:top w:val="single" w:sz="4" w:space="0" w:color="auto"/>
              <w:left w:val="nil"/>
              <w:bottom w:val="single" w:sz="4" w:space="0" w:color="auto"/>
              <w:right w:val="single" w:sz="4" w:space="0" w:color="auto"/>
            </w:tcBorders>
            <w:shd w:val="clear" w:color="auto" w:fill="auto"/>
            <w:hideMark/>
          </w:tcPr>
          <w:p w14:paraId="4D96BC37" w14:textId="77777777" w:rsidR="00D6212C" w:rsidRPr="00204142" w:rsidRDefault="00D6212C" w:rsidP="008A4C54">
            <w:pPr>
              <w:pStyle w:val="TableHeading"/>
              <w:rPr>
                <w:rFonts w:cs="Times New Roman"/>
                <w:color w:val="000000"/>
              </w:rPr>
            </w:pPr>
            <w:r w:rsidRPr="00204142">
              <w:rPr>
                <w:rFonts w:cs="Times New Roman"/>
                <w:color w:val="000000"/>
              </w:rPr>
              <w:t>Mohammed et al.</w:t>
            </w:r>
            <w:r>
              <w:rPr>
                <w:rFonts w:cs="Times New Roman"/>
                <w:color w:val="000000"/>
              </w:rPr>
              <w:t xml:space="preserve"> (2016)</w:t>
            </w:r>
          </w:p>
        </w:tc>
        <w:tc>
          <w:tcPr>
            <w:tcW w:w="455" w:type="pct"/>
            <w:tcBorders>
              <w:top w:val="single" w:sz="4" w:space="0" w:color="auto"/>
              <w:left w:val="nil"/>
              <w:bottom w:val="single" w:sz="4" w:space="0" w:color="auto"/>
              <w:right w:val="single" w:sz="4" w:space="0" w:color="auto"/>
            </w:tcBorders>
            <w:shd w:val="clear" w:color="auto" w:fill="auto"/>
            <w:hideMark/>
          </w:tcPr>
          <w:p w14:paraId="2ABF7953" w14:textId="77777777" w:rsidR="00D6212C" w:rsidRPr="00204142" w:rsidRDefault="00D6212C" w:rsidP="008A4C54">
            <w:pPr>
              <w:pStyle w:val="TableHeading"/>
              <w:rPr>
                <w:rFonts w:cs="Times New Roman"/>
                <w:color w:val="000000"/>
              </w:rPr>
            </w:pPr>
            <w:r w:rsidRPr="00204142">
              <w:rPr>
                <w:rFonts w:cs="Times New Roman"/>
                <w:color w:val="000000"/>
              </w:rPr>
              <w:t>Marino et al.</w:t>
            </w:r>
            <w:r>
              <w:rPr>
                <w:rFonts w:cs="Times New Roman"/>
                <w:color w:val="000000"/>
              </w:rPr>
              <w:t xml:space="preserve"> (2015)</w:t>
            </w:r>
          </w:p>
        </w:tc>
        <w:tc>
          <w:tcPr>
            <w:tcW w:w="455" w:type="pct"/>
            <w:tcBorders>
              <w:top w:val="single" w:sz="4" w:space="0" w:color="auto"/>
              <w:left w:val="nil"/>
              <w:bottom w:val="single" w:sz="4" w:space="0" w:color="auto"/>
              <w:right w:val="single" w:sz="4" w:space="0" w:color="auto"/>
            </w:tcBorders>
            <w:shd w:val="clear" w:color="auto" w:fill="auto"/>
            <w:hideMark/>
          </w:tcPr>
          <w:p w14:paraId="0E9E3BD9" w14:textId="77777777" w:rsidR="00D6212C" w:rsidRPr="00204142" w:rsidRDefault="00D6212C" w:rsidP="008A4C54">
            <w:pPr>
              <w:pStyle w:val="TableHeading"/>
              <w:rPr>
                <w:rFonts w:cs="Times New Roman"/>
                <w:color w:val="000000"/>
              </w:rPr>
            </w:pPr>
            <w:r w:rsidRPr="00204142">
              <w:rPr>
                <w:rFonts w:cs="Times New Roman"/>
                <w:color w:val="000000"/>
              </w:rPr>
              <w:t>Sahin et al.</w:t>
            </w:r>
            <w:r>
              <w:rPr>
                <w:rFonts w:cs="Times New Roman"/>
                <w:color w:val="000000"/>
              </w:rPr>
              <w:t xml:space="preserve"> (2015)</w:t>
            </w:r>
          </w:p>
        </w:tc>
        <w:tc>
          <w:tcPr>
            <w:tcW w:w="440" w:type="pct"/>
            <w:tcBorders>
              <w:top w:val="single" w:sz="4" w:space="0" w:color="auto"/>
              <w:left w:val="nil"/>
              <w:bottom w:val="single" w:sz="4" w:space="0" w:color="auto"/>
              <w:right w:val="single" w:sz="4" w:space="0" w:color="auto"/>
            </w:tcBorders>
            <w:shd w:val="clear" w:color="auto" w:fill="auto"/>
            <w:hideMark/>
          </w:tcPr>
          <w:p w14:paraId="676AAD60" w14:textId="3A90133B" w:rsidR="00D6212C" w:rsidRPr="00204142" w:rsidRDefault="00D6212C" w:rsidP="008A4C54">
            <w:pPr>
              <w:pStyle w:val="TableHeading"/>
              <w:rPr>
                <w:rFonts w:cs="Times New Roman"/>
                <w:color w:val="000000"/>
              </w:rPr>
            </w:pPr>
            <w:r w:rsidRPr="00204142">
              <w:rPr>
                <w:rFonts w:cs="Times New Roman"/>
                <w:color w:val="000000"/>
              </w:rPr>
              <w:t>Pinksy et al.</w:t>
            </w:r>
            <w:r w:rsidR="00E7473C">
              <w:rPr>
                <w:rFonts w:cs="Times New Roman"/>
                <w:color w:val="000000"/>
              </w:rPr>
              <w:t xml:space="preserve"> (2014)</w:t>
            </w:r>
          </w:p>
        </w:tc>
        <w:tc>
          <w:tcPr>
            <w:tcW w:w="514" w:type="pct"/>
            <w:tcBorders>
              <w:top w:val="single" w:sz="4" w:space="0" w:color="auto"/>
              <w:left w:val="nil"/>
              <w:bottom w:val="single" w:sz="4" w:space="0" w:color="auto"/>
              <w:right w:val="single" w:sz="4" w:space="0" w:color="auto"/>
            </w:tcBorders>
            <w:shd w:val="clear" w:color="auto" w:fill="auto"/>
            <w:hideMark/>
          </w:tcPr>
          <w:p w14:paraId="028A28E6" w14:textId="77777777" w:rsidR="00D6212C" w:rsidRPr="00204142" w:rsidRDefault="00D6212C" w:rsidP="008A4C54">
            <w:pPr>
              <w:pStyle w:val="TableHeading"/>
              <w:rPr>
                <w:rFonts w:cs="Times New Roman"/>
                <w:color w:val="000000"/>
              </w:rPr>
            </w:pPr>
            <w:r w:rsidRPr="00204142">
              <w:rPr>
                <w:rFonts w:cs="Times New Roman"/>
                <w:color w:val="000000"/>
              </w:rPr>
              <w:t>Carignan et al.</w:t>
            </w:r>
            <w:r>
              <w:rPr>
                <w:rFonts w:cs="Times New Roman"/>
                <w:color w:val="000000"/>
              </w:rPr>
              <w:t xml:space="preserve"> (2012)</w:t>
            </w:r>
          </w:p>
        </w:tc>
        <w:tc>
          <w:tcPr>
            <w:tcW w:w="509" w:type="pct"/>
            <w:tcBorders>
              <w:top w:val="single" w:sz="4" w:space="0" w:color="auto"/>
              <w:left w:val="nil"/>
              <w:bottom w:val="single" w:sz="4" w:space="0" w:color="auto"/>
              <w:right w:val="single" w:sz="4" w:space="0" w:color="auto"/>
            </w:tcBorders>
            <w:shd w:val="clear" w:color="auto" w:fill="auto"/>
            <w:hideMark/>
          </w:tcPr>
          <w:p w14:paraId="094FBE0C" w14:textId="77777777" w:rsidR="00D6212C" w:rsidRPr="00204142" w:rsidRDefault="00D6212C" w:rsidP="008A4C54">
            <w:pPr>
              <w:pStyle w:val="TableHeading"/>
              <w:rPr>
                <w:rFonts w:cs="Times New Roman"/>
                <w:color w:val="000000"/>
              </w:rPr>
            </w:pPr>
            <w:r w:rsidRPr="00204142">
              <w:rPr>
                <w:rFonts w:cs="Times New Roman"/>
                <w:color w:val="000000"/>
              </w:rPr>
              <w:t>Rosario et al.</w:t>
            </w:r>
            <w:r>
              <w:rPr>
                <w:rFonts w:cs="Times New Roman"/>
                <w:color w:val="000000"/>
              </w:rPr>
              <w:t xml:space="preserve"> (2012)</w:t>
            </w:r>
          </w:p>
        </w:tc>
        <w:tc>
          <w:tcPr>
            <w:tcW w:w="514" w:type="pct"/>
            <w:tcBorders>
              <w:top w:val="single" w:sz="4" w:space="0" w:color="auto"/>
              <w:left w:val="nil"/>
              <w:bottom w:val="single" w:sz="4" w:space="0" w:color="auto"/>
              <w:right w:val="single" w:sz="4" w:space="0" w:color="auto"/>
            </w:tcBorders>
          </w:tcPr>
          <w:p w14:paraId="533A9892" w14:textId="443E80AC" w:rsidR="00D6212C" w:rsidRPr="00204142" w:rsidRDefault="00D6212C" w:rsidP="008A4C54">
            <w:pPr>
              <w:pStyle w:val="TableHeading"/>
              <w:rPr>
                <w:rFonts w:cs="Times New Roman"/>
                <w:color w:val="000000"/>
              </w:rPr>
            </w:pPr>
            <w:r>
              <w:rPr>
                <w:rFonts w:cs="Times New Roman"/>
                <w:color w:val="000000"/>
              </w:rPr>
              <w:t>Zaytoun</w:t>
            </w:r>
            <w:r w:rsidR="00E7473C">
              <w:rPr>
                <w:rFonts w:cs="Times New Roman"/>
                <w:color w:val="000000"/>
              </w:rPr>
              <w:t xml:space="preserve"> et al.</w:t>
            </w:r>
            <w:r>
              <w:rPr>
                <w:rFonts w:cs="Times New Roman"/>
                <w:color w:val="000000"/>
              </w:rPr>
              <w:t xml:space="preserve"> (2011)</w:t>
            </w:r>
          </w:p>
        </w:tc>
        <w:tc>
          <w:tcPr>
            <w:tcW w:w="515" w:type="pct"/>
            <w:tcBorders>
              <w:top w:val="single" w:sz="4" w:space="0" w:color="auto"/>
              <w:left w:val="nil"/>
              <w:bottom w:val="single" w:sz="4" w:space="0" w:color="auto"/>
              <w:right w:val="single" w:sz="4" w:space="0" w:color="auto"/>
            </w:tcBorders>
          </w:tcPr>
          <w:p w14:paraId="09FBEB14" w14:textId="77777777" w:rsidR="00D6212C" w:rsidRPr="00204142" w:rsidRDefault="00D6212C" w:rsidP="008A4C54">
            <w:pPr>
              <w:pStyle w:val="TableHeading"/>
              <w:rPr>
                <w:rFonts w:cs="Times New Roman"/>
                <w:color w:val="000000"/>
              </w:rPr>
            </w:pPr>
            <w:r w:rsidRPr="00204142">
              <w:rPr>
                <w:rFonts w:cs="Times New Roman"/>
                <w:color w:val="000000"/>
              </w:rPr>
              <w:t>Kariotis et al.</w:t>
            </w:r>
            <w:r>
              <w:rPr>
                <w:rFonts w:cs="Times New Roman"/>
                <w:color w:val="000000"/>
              </w:rPr>
              <w:t xml:space="preserve"> (2010)</w:t>
            </w:r>
          </w:p>
        </w:tc>
      </w:tr>
      <w:tr w:rsidR="008A4C54" w:rsidRPr="00204142" w14:paraId="1523FE3A" w14:textId="77777777" w:rsidTr="00FA05F6">
        <w:trPr>
          <w:trHeight w:val="588"/>
        </w:trPr>
        <w:tc>
          <w:tcPr>
            <w:tcW w:w="937" w:type="pct"/>
            <w:tcBorders>
              <w:top w:val="nil"/>
              <w:left w:val="single" w:sz="4" w:space="0" w:color="auto"/>
              <w:bottom w:val="single" w:sz="4" w:space="0" w:color="auto"/>
              <w:right w:val="single" w:sz="4" w:space="0" w:color="auto"/>
            </w:tcBorders>
            <w:shd w:val="clear" w:color="auto" w:fill="auto"/>
            <w:hideMark/>
          </w:tcPr>
          <w:p w14:paraId="6F7076B7" w14:textId="77777777" w:rsidR="00D6212C" w:rsidRPr="00F273D6" w:rsidRDefault="00D6212C" w:rsidP="008A4C54">
            <w:pPr>
              <w:pStyle w:val="Tabletext1"/>
              <w:rPr>
                <w:bCs/>
              </w:rPr>
            </w:pPr>
            <w:r w:rsidRPr="00F273D6">
              <w:rPr>
                <w:bCs/>
              </w:rPr>
              <w:t>Is the hypothesis/aim/objective of the study clearly described?</w:t>
            </w:r>
          </w:p>
        </w:tc>
        <w:tc>
          <w:tcPr>
            <w:tcW w:w="661" w:type="pct"/>
            <w:tcBorders>
              <w:top w:val="nil"/>
              <w:left w:val="nil"/>
              <w:bottom w:val="single" w:sz="4" w:space="0" w:color="auto"/>
              <w:right w:val="single" w:sz="4" w:space="0" w:color="auto"/>
            </w:tcBorders>
            <w:shd w:val="clear" w:color="auto" w:fill="auto"/>
            <w:hideMark/>
          </w:tcPr>
          <w:p w14:paraId="48873B2C"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6F5E805"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22D2C3E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0AB28F0D"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7F268B2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04B68363"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68DB2370"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39EB5B8D"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75CA8C4C" w14:textId="77777777" w:rsidTr="00FA05F6">
        <w:trPr>
          <w:trHeight w:val="1020"/>
        </w:trPr>
        <w:tc>
          <w:tcPr>
            <w:tcW w:w="937" w:type="pct"/>
            <w:tcBorders>
              <w:top w:val="nil"/>
              <w:left w:val="single" w:sz="4" w:space="0" w:color="auto"/>
              <w:bottom w:val="single" w:sz="4" w:space="0" w:color="auto"/>
              <w:right w:val="single" w:sz="4" w:space="0" w:color="auto"/>
            </w:tcBorders>
            <w:shd w:val="clear" w:color="auto" w:fill="auto"/>
            <w:hideMark/>
          </w:tcPr>
          <w:p w14:paraId="20DCADEC" w14:textId="77777777" w:rsidR="00D6212C" w:rsidRPr="00F273D6" w:rsidRDefault="00D6212C" w:rsidP="008A4C54">
            <w:pPr>
              <w:pStyle w:val="Tabletext1"/>
              <w:rPr>
                <w:bCs/>
              </w:rPr>
            </w:pPr>
            <w:r w:rsidRPr="00F273D6">
              <w:rPr>
                <w:bCs/>
              </w:rPr>
              <w:t>Are the main outcomes to be measured clearly described in the Introduction or Methods section?</w:t>
            </w:r>
          </w:p>
        </w:tc>
        <w:tc>
          <w:tcPr>
            <w:tcW w:w="661" w:type="pct"/>
            <w:tcBorders>
              <w:top w:val="nil"/>
              <w:left w:val="nil"/>
              <w:bottom w:val="single" w:sz="4" w:space="0" w:color="auto"/>
              <w:right w:val="single" w:sz="4" w:space="0" w:color="auto"/>
            </w:tcBorders>
            <w:shd w:val="clear" w:color="auto" w:fill="auto"/>
            <w:hideMark/>
          </w:tcPr>
          <w:p w14:paraId="4D08E8B6"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69D46DE0"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15880976"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1EDFBA9A"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08066B68"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795336DD"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086CC46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4FB88B73"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0BC534C2" w14:textId="77777777" w:rsidTr="00FA05F6">
        <w:trPr>
          <w:trHeight w:val="781"/>
        </w:trPr>
        <w:tc>
          <w:tcPr>
            <w:tcW w:w="937" w:type="pct"/>
            <w:tcBorders>
              <w:top w:val="nil"/>
              <w:left w:val="single" w:sz="4" w:space="0" w:color="auto"/>
              <w:bottom w:val="single" w:sz="4" w:space="0" w:color="auto"/>
              <w:right w:val="single" w:sz="4" w:space="0" w:color="auto"/>
            </w:tcBorders>
            <w:shd w:val="clear" w:color="auto" w:fill="auto"/>
            <w:hideMark/>
          </w:tcPr>
          <w:p w14:paraId="7675316C" w14:textId="77777777" w:rsidR="00D6212C" w:rsidRPr="00F273D6" w:rsidRDefault="00D6212C" w:rsidP="008A4C54">
            <w:pPr>
              <w:pStyle w:val="Tabletext1"/>
              <w:rPr>
                <w:bCs/>
              </w:rPr>
            </w:pPr>
            <w:r w:rsidRPr="00F273D6">
              <w:rPr>
                <w:bCs/>
              </w:rPr>
              <w:t>Are the characteristics of the patients included in the study clearly described?</w:t>
            </w:r>
          </w:p>
        </w:tc>
        <w:tc>
          <w:tcPr>
            <w:tcW w:w="661" w:type="pct"/>
            <w:tcBorders>
              <w:top w:val="nil"/>
              <w:left w:val="nil"/>
              <w:bottom w:val="single" w:sz="4" w:space="0" w:color="auto"/>
              <w:right w:val="single" w:sz="4" w:space="0" w:color="auto"/>
            </w:tcBorders>
            <w:shd w:val="clear" w:color="auto" w:fill="auto"/>
            <w:hideMark/>
          </w:tcPr>
          <w:p w14:paraId="08F5F925"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5F63AC1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DCF1D7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5DAB4AC1"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0F5FC21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67A6402D"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tcPr>
          <w:p w14:paraId="6FF8EB4A"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5" w:type="pct"/>
            <w:tcBorders>
              <w:top w:val="nil"/>
              <w:left w:val="nil"/>
              <w:bottom w:val="single" w:sz="4" w:space="0" w:color="auto"/>
              <w:right w:val="single" w:sz="4" w:space="0" w:color="auto"/>
            </w:tcBorders>
          </w:tcPr>
          <w:p w14:paraId="3B677A22" w14:textId="77777777" w:rsidR="00D6212C" w:rsidRPr="001D7B73" w:rsidRDefault="00D6212C" w:rsidP="00723373">
            <w:pPr>
              <w:pStyle w:val="Tabletext1"/>
              <w:rPr>
                <w:rFonts w:cs="Times New Roman"/>
                <w:color w:val="000000"/>
              </w:rPr>
            </w:pPr>
            <w:r w:rsidRPr="001D7B73">
              <w:rPr>
                <w:snapToGrid w:val="0"/>
                <w:color w:val="00B050"/>
                <w:sz w:val="18"/>
                <w:szCs w:val="18"/>
              </w:rPr>
              <w:sym w:font="Wingdings" w:char="F04A"/>
            </w:r>
          </w:p>
        </w:tc>
      </w:tr>
      <w:tr w:rsidR="008A4C54" w:rsidRPr="00204142" w14:paraId="690D26AB" w14:textId="77777777" w:rsidTr="00FA05F6">
        <w:trPr>
          <w:trHeight w:val="395"/>
        </w:trPr>
        <w:tc>
          <w:tcPr>
            <w:tcW w:w="937" w:type="pct"/>
            <w:tcBorders>
              <w:top w:val="nil"/>
              <w:left w:val="single" w:sz="4" w:space="0" w:color="auto"/>
              <w:bottom w:val="single" w:sz="4" w:space="0" w:color="auto"/>
              <w:right w:val="single" w:sz="4" w:space="0" w:color="auto"/>
            </w:tcBorders>
            <w:shd w:val="clear" w:color="auto" w:fill="auto"/>
            <w:hideMark/>
          </w:tcPr>
          <w:p w14:paraId="2785B81E" w14:textId="77777777" w:rsidR="00D6212C" w:rsidRPr="00F273D6" w:rsidRDefault="00D6212C" w:rsidP="008A4C54">
            <w:pPr>
              <w:pStyle w:val="Tabletext1"/>
              <w:rPr>
                <w:bCs/>
              </w:rPr>
            </w:pPr>
            <w:r w:rsidRPr="00F273D6">
              <w:rPr>
                <w:bCs/>
              </w:rPr>
              <w:t>Are the interventions of interest clearly described?</w:t>
            </w:r>
          </w:p>
        </w:tc>
        <w:tc>
          <w:tcPr>
            <w:tcW w:w="661" w:type="pct"/>
            <w:tcBorders>
              <w:top w:val="nil"/>
              <w:left w:val="nil"/>
              <w:bottom w:val="single" w:sz="4" w:space="0" w:color="auto"/>
              <w:right w:val="single" w:sz="4" w:space="0" w:color="auto"/>
            </w:tcBorders>
            <w:shd w:val="clear" w:color="auto" w:fill="auto"/>
            <w:hideMark/>
          </w:tcPr>
          <w:p w14:paraId="4FF50ED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7484EC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7C0363A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29143BA5"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0840E137"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09" w:type="pct"/>
            <w:tcBorders>
              <w:top w:val="nil"/>
              <w:left w:val="nil"/>
              <w:bottom w:val="single" w:sz="4" w:space="0" w:color="auto"/>
              <w:right w:val="single" w:sz="4" w:space="0" w:color="auto"/>
            </w:tcBorders>
            <w:shd w:val="clear" w:color="auto" w:fill="auto"/>
            <w:hideMark/>
          </w:tcPr>
          <w:p w14:paraId="3C0CBE44"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tcPr>
          <w:p w14:paraId="4FEC14E3"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2EEA2EA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4EC35BF9" w14:textId="77777777" w:rsidTr="00FA05F6">
        <w:trPr>
          <w:trHeight w:val="970"/>
        </w:trPr>
        <w:tc>
          <w:tcPr>
            <w:tcW w:w="937" w:type="pct"/>
            <w:tcBorders>
              <w:top w:val="nil"/>
              <w:left w:val="single" w:sz="4" w:space="0" w:color="auto"/>
              <w:bottom w:val="single" w:sz="4" w:space="0" w:color="auto"/>
              <w:right w:val="single" w:sz="4" w:space="0" w:color="auto"/>
            </w:tcBorders>
            <w:shd w:val="clear" w:color="auto" w:fill="auto"/>
            <w:hideMark/>
          </w:tcPr>
          <w:p w14:paraId="38915214" w14:textId="77777777" w:rsidR="00D6212C" w:rsidRPr="00F273D6" w:rsidRDefault="00D6212C" w:rsidP="008A4C54">
            <w:pPr>
              <w:pStyle w:val="Tabletext1"/>
              <w:rPr>
                <w:bCs/>
              </w:rPr>
            </w:pPr>
            <w:r w:rsidRPr="00F273D6">
              <w:rPr>
                <w:bCs/>
              </w:rPr>
              <w:t>Are the distributions of principal confounders in each group of subjects to be compared clearly described?</w:t>
            </w:r>
          </w:p>
        </w:tc>
        <w:tc>
          <w:tcPr>
            <w:tcW w:w="661" w:type="pct"/>
            <w:tcBorders>
              <w:top w:val="nil"/>
              <w:left w:val="nil"/>
              <w:bottom w:val="single" w:sz="4" w:space="0" w:color="auto"/>
              <w:right w:val="single" w:sz="4" w:space="0" w:color="auto"/>
            </w:tcBorders>
            <w:shd w:val="clear" w:color="auto" w:fill="auto"/>
            <w:hideMark/>
          </w:tcPr>
          <w:p w14:paraId="3A068895" w14:textId="77777777" w:rsidR="00D6212C" w:rsidRPr="001D7B73" w:rsidRDefault="00D6212C" w:rsidP="00723373">
            <w:pPr>
              <w:pStyle w:val="Tabletext1"/>
              <w:rPr>
                <w:rFonts w:cs="Times New Roman"/>
                <w:color w:val="000000"/>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27B28243"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063C1EC8"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4B759B5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79D5841D"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0F3A4420"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49542F3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3DA3C4D8"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054C229E" w14:textId="77777777" w:rsidTr="00FA05F6">
        <w:trPr>
          <w:trHeight w:val="461"/>
        </w:trPr>
        <w:tc>
          <w:tcPr>
            <w:tcW w:w="937" w:type="pct"/>
            <w:tcBorders>
              <w:top w:val="nil"/>
              <w:left w:val="single" w:sz="4" w:space="0" w:color="auto"/>
              <w:bottom w:val="single" w:sz="4" w:space="0" w:color="auto"/>
              <w:right w:val="single" w:sz="4" w:space="0" w:color="auto"/>
            </w:tcBorders>
            <w:shd w:val="clear" w:color="auto" w:fill="auto"/>
            <w:hideMark/>
          </w:tcPr>
          <w:p w14:paraId="37AC4091" w14:textId="77777777" w:rsidR="00D6212C" w:rsidRPr="00F273D6" w:rsidRDefault="00D6212C" w:rsidP="008A4C54">
            <w:pPr>
              <w:pStyle w:val="Tabletext1"/>
              <w:rPr>
                <w:bCs/>
              </w:rPr>
            </w:pPr>
            <w:r w:rsidRPr="00F273D6">
              <w:rPr>
                <w:bCs/>
              </w:rPr>
              <w:t>Are the main findings of the study clearly described?</w:t>
            </w:r>
          </w:p>
        </w:tc>
        <w:tc>
          <w:tcPr>
            <w:tcW w:w="661" w:type="pct"/>
            <w:tcBorders>
              <w:top w:val="nil"/>
              <w:left w:val="nil"/>
              <w:bottom w:val="single" w:sz="4" w:space="0" w:color="auto"/>
              <w:right w:val="single" w:sz="4" w:space="0" w:color="auto"/>
            </w:tcBorders>
            <w:shd w:val="clear" w:color="auto" w:fill="auto"/>
            <w:hideMark/>
          </w:tcPr>
          <w:p w14:paraId="6635BDBC"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36BCC4F1"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2DC1DC2"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516E448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0E482A4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018B46A8"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5722527A"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5AC2FC0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496649AE" w14:textId="77777777" w:rsidTr="00FA05F6">
        <w:trPr>
          <w:trHeight w:val="898"/>
        </w:trPr>
        <w:tc>
          <w:tcPr>
            <w:tcW w:w="937" w:type="pct"/>
            <w:tcBorders>
              <w:top w:val="nil"/>
              <w:left w:val="single" w:sz="4" w:space="0" w:color="auto"/>
              <w:bottom w:val="single" w:sz="4" w:space="0" w:color="auto"/>
              <w:right w:val="single" w:sz="4" w:space="0" w:color="auto"/>
            </w:tcBorders>
            <w:shd w:val="clear" w:color="auto" w:fill="auto"/>
            <w:hideMark/>
          </w:tcPr>
          <w:p w14:paraId="54D8BB19" w14:textId="77777777" w:rsidR="00D6212C" w:rsidRPr="00F273D6" w:rsidRDefault="00D6212C" w:rsidP="008A4C54">
            <w:pPr>
              <w:pStyle w:val="Tabletext1"/>
              <w:rPr>
                <w:bCs/>
              </w:rPr>
            </w:pPr>
            <w:r w:rsidRPr="00F273D6">
              <w:rPr>
                <w:bCs/>
              </w:rPr>
              <w:t>Does the study provide estimates of the random variability in the data for the main outcomes?</w:t>
            </w:r>
          </w:p>
        </w:tc>
        <w:tc>
          <w:tcPr>
            <w:tcW w:w="661" w:type="pct"/>
            <w:tcBorders>
              <w:top w:val="nil"/>
              <w:left w:val="nil"/>
              <w:bottom w:val="single" w:sz="4" w:space="0" w:color="auto"/>
              <w:right w:val="single" w:sz="4" w:space="0" w:color="auto"/>
            </w:tcBorders>
            <w:shd w:val="clear" w:color="auto" w:fill="auto"/>
            <w:hideMark/>
          </w:tcPr>
          <w:p w14:paraId="198E94A9" w14:textId="77777777" w:rsidR="00D6212C" w:rsidRPr="001D7B73" w:rsidRDefault="00D6212C" w:rsidP="00723373">
            <w:pPr>
              <w:pStyle w:val="Tabletext1"/>
              <w:rPr>
                <w:rFonts w:cs="Times New Roman"/>
                <w:color w:val="000000"/>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DE9E46D"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60ECD295"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785785AD"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50B03F1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147188A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6294886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77426695"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6B72EBAD" w14:textId="77777777" w:rsidTr="00FA05F6">
        <w:trPr>
          <w:trHeight w:val="973"/>
        </w:trPr>
        <w:tc>
          <w:tcPr>
            <w:tcW w:w="937" w:type="pct"/>
            <w:tcBorders>
              <w:top w:val="nil"/>
              <w:left w:val="single" w:sz="4" w:space="0" w:color="auto"/>
              <w:bottom w:val="single" w:sz="4" w:space="0" w:color="auto"/>
              <w:right w:val="single" w:sz="4" w:space="0" w:color="auto"/>
            </w:tcBorders>
            <w:shd w:val="clear" w:color="auto" w:fill="auto"/>
            <w:hideMark/>
          </w:tcPr>
          <w:p w14:paraId="74257319" w14:textId="77777777" w:rsidR="00D6212C" w:rsidRPr="00F273D6" w:rsidRDefault="00D6212C" w:rsidP="008A4C54">
            <w:pPr>
              <w:pStyle w:val="Tabletext1"/>
              <w:rPr>
                <w:bCs/>
              </w:rPr>
            </w:pPr>
            <w:r w:rsidRPr="00F273D6">
              <w:rPr>
                <w:bCs/>
              </w:rPr>
              <w:t>Have all important adverse events that may be a consequence of the intervention been reported?</w:t>
            </w:r>
          </w:p>
        </w:tc>
        <w:tc>
          <w:tcPr>
            <w:tcW w:w="661" w:type="pct"/>
            <w:tcBorders>
              <w:top w:val="nil"/>
              <w:left w:val="nil"/>
              <w:bottom w:val="single" w:sz="4" w:space="0" w:color="auto"/>
              <w:right w:val="single" w:sz="4" w:space="0" w:color="auto"/>
            </w:tcBorders>
            <w:shd w:val="clear" w:color="auto" w:fill="auto"/>
            <w:hideMark/>
          </w:tcPr>
          <w:p w14:paraId="5BBD6C95"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CFB7C8E"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26E600B2"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60B56D7A"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2B35BFBB"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509" w:type="pct"/>
            <w:tcBorders>
              <w:top w:val="nil"/>
              <w:left w:val="nil"/>
              <w:bottom w:val="single" w:sz="4" w:space="0" w:color="auto"/>
              <w:right w:val="single" w:sz="4" w:space="0" w:color="auto"/>
            </w:tcBorders>
            <w:shd w:val="clear" w:color="auto" w:fill="auto"/>
            <w:hideMark/>
          </w:tcPr>
          <w:p w14:paraId="48093DAD"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25900066"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206C07C6"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r>
      <w:tr w:rsidR="008A4C54" w:rsidRPr="00204142" w14:paraId="2EAE3CAE" w14:textId="77777777" w:rsidTr="00FA05F6">
        <w:trPr>
          <w:trHeight w:val="571"/>
        </w:trPr>
        <w:tc>
          <w:tcPr>
            <w:tcW w:w="937" w:type="pct"/>
            <w:tcBorders>
              <w:top w:val="nil"/>
              <w:left w:val="single" w:sz="4" w:space="0" w:color="auto"/>
              <w:bottom w:val="single" w:sz="4" w:space="0" w:color="auto"/>
              <w:right w:val="single" w:sz="4" w:space="0" w:color="auto"/>
            </w:tcBorders>
            <w:shd w:val="clear" w:color="auto" w:fill="auto"/>
            <w:hideMark/>
          </w:tcPr>
          <w:p w14:paraId="32C84741" w14:textId="77777777" w:rsidR="00D6212C" w:rsidRPr="00F273D6" w:rsidRDefault="00D6212C" w:rsidP="008A4C54">
            <w:pPr>
              <w:pStyle w:val="Tabletext1"/>
              <w:rPr>
                <w:bCs/>
              </w:rPr>
            </w:pPr>
            <w:r w:rsidRPr="00F273D6">
              <w:rPr>
                <w:bCs/>
              </w:rPr>
              <w:t>Have the characteristics of patients lost to follow-up been described?</w:t>
            </w:r>
          </w:p>
        </w:tc>
        <w:tc>
          <w:tcPr>
            <w:tcW w:w="661" w:type="pct"/>
            <w:tcBorders>
              <w:top w:val="nil"/>
              <w:left w:val="nil"/>
              <w:bottom w:val="single" w:sz="4" w:space="0" w:color="auto"/>
              <w:right w:val="single" w:sz="4" w:space="0" w:color="auto"/>
            </w:tcBorders>
            <w:shd w:val="clear" w:color="auto" w:fill="auto"/>
            <w:hideMark/>
          </w:tcPr>
          <w:p w14:paraId="486268BF"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025942F4"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356A3CC5"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40" w:type="pct"/>
            <w:tcBorders>
              <w:top w:val="nil"/>
              <w:left w:val="nil"/>
              <w:bottom w:val="single" w:sz="4" w:space="0" w:color="auto"/>
              <w:right w:val="single" w:sz="4" w:space="0" w:color="auto"/>
            </w:tcBorders>
            <w:shd w:val="clear" w:color="auto" w:fill="auto"/>
            <w:hideMark/>
          </w:tcPr>
          <w:p w14:paraId="47AA18E6"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shd w:val="clear" w:color="auto" w:fill="auto"/>
            <w:hideMark/>
          </w:tcPr>
          <w:p w14:paraId="638A1D66"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09" w:type="pct"/>
            <w:tcBorders>
              <w:top w:val="nil"/>
              <w:left w:val="nil"/>
              <w:bottom w:val="single" w:sz="4" w:space="0" w:color="auto"/>
              <w:right w:val="single" w:sz="4" w:space="0" w:color="auto"/>
            </w:tcBorders>
            <w:shd w:val="clear" w:color="auto" w:fill="auto"/>
            <w:hideMark/>
          </w:tcPr>
          <w:p w14:paraId="4496B6D5" w14:textId="77777777" w:rsidR="00D6212C" w:rsidRPr="001D7B73" w:rsidRDefault="00D6212C" w:rsidP="00723373">
            <w:pPr>
              <w:pStyle w:val="Tabletext1"/>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64F0EEFB" w14:textId="77777777" w:rsidR="00D6212C" w:rsidRPr="001D7B73" w:rsidRDefault="00D6212C" w:rsidP="00723373">
            <w:pPr>
              <w:pStyle w:val="Tabletext1"/>
              <w:rPr>
                <w:color w:val="000000"/>
              </w:rPr>
            </w:pPr>
            <w:r w:rsidRPr="001D7B73">
              <w:rPr>
                <w:snapToGrid w:val="0"/>
                <w:color w:val="FF0000"/>
                <w:sz w:val="18"/>
                <w:szCs w:val="18"/>
              </w:rPr>
              <w:sym w:font="Wingdings" w:char="F04C"/>
            </w:r>
          </w:p>
        </w:tc>
        <w:tc>
          <w:tcPr>
            <w:tcW w:w="515" w:type="pct"/>
            <w:tcBorders>
              <w:top w:val="nil"/>
              <w:left w:val="nil"/>
              <w:bottom w:val="single" w:sz="4" w:space="0" w:color="auto"/>
              <w:right w:val="single" w:sz="4" w:space="0" w:color="auto"/>
            </w:tcBorders>
          </w:tcPr>
          <w:p w14:paraId="0A0CF8B7" w14:textId="77777777" w:rsidR="00D6212C" w:rsidRPr="001D7B73" w:rsidRDefault="00D6212C" w:rsidP="00723373">
            <w:pPr>
              <w:pStyle w:val="Tabletext1"/>
            </w:pPr>
            <w:r w:rsidRPr="001D7B73">
              <w:rPr>
                <w:snapToGrid w:val="0"/>
                <w:color w:val="00B050"/>
                <w:sz w:val="18"/>
                <w:szCs w:val="18"/>
              </w:rPr>
              <w:sym w:font="Wingdings" w:char="F04A"/>
            </w:r>
          </w:p>
        </w:tc>
      </w:tr>
      <w:tr w:rsidR="008A4C54" w:rsidRPr="00204142" w14:paraId="6350B4B6" w14:textId="77777777" w:rsidTr="00FA05F6">
        <w:trPr>
          <w:trHeight w:val="558"/>
        </w:trPr>
        <w:tc>
          <w:tcPr>
            <w:tcW w:w="937" w:type="pct"/>
            <w:tcBorders>
              <w:top w:val="nil"/>
              <w:left w:val="single" w:sz="4" w:space="0" w:color="auto"/>
              <w:bottom w:val="single" w:sz="4" w:space="0" w:color="auto"/>
              <w:right w:val="single" w:sz="4" w:space="0" w:color="auto"/>
            </w:tcBorders>
            <w:shd w:val="clear" w:color="auto" w:fill="auto"/>
            <w:hideMark/>
          </w:tcPr>
          <w:p w14:paraId="6D5A9B87" w14:textId="77777777" w:rsidR="00D6212C" w:rsidRPr="00F273D6" w:rsidRDefault="00D6212C" w:rsidP="008A4C54">
            <w:pPr>
              <w:pStyle w:val="Tabletext1"/>
              <w:rPr>
                <w:bCs/>
              </w:rPr>
            </w:pPr>
            <w:r w:rsidRPr="00F273D6">
              <w:rPr>
                <w:bCs/>
              </w:rPr>
              <w:t xml:space="preserve">Have actual probability values </w:t>
            </w:r>
            <w:r w:rsidRPr="00F273D6">
              <w:rPr>
                <w:bCs/>
              </w:rPr>
              <w:lastRenderedPageBreak/>
              <w:t>been reported for the main outcomes except where the probability value is less than 0.001?</w:t>
            </w:r>
          </w:p>
        </w:tc>
        <w:tc>
          <w:tcPr>
            <w:tcW w:w="661" w:type="pct"/>
            <w:tcBorders>
              <w:top w:val="nil"/>
              <w:left w:val="nil"/>
              <w:bottom w:val="single" w:sz="4" w:space="0" w:color="auto"/>
              <w:right w:val="single" w:sz="4" w:space="0" w:color="auto"/>
            </w:tcBorders>
            <w:shd w:val="clear" w:color="auto" w:fill="auto"/>
            <w:hideMark/>
          </w:tcPr>
          <w:p w14:paraId="480D6C5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lastRenderedPageBreak/>
              <w:sym w:font="Wingdings" w:char="F04A"/>
            </w:r>
          </w:p>
        </w:tc>
        <w:tc>
          <w:tcPr>
            <w:tcW w:w="455" w:type="pct"/>
            <w:tcBorders>
              <w:top w:val="nil"/>
              <w:left w:val="nil"/>
              <w:bottom w:val="single" w:sz="4" w:space="0" w:color="auto"/>
              <w:right w:val="single" w:sz="4" w:space="0" w:color="auto"/>
            </w:tcBorders>
            <w:shd w:val="clear" w:color="auto" w:fill="auto"/>
            <w:hideMark/>
          </w:tcPr>
          <w:p w14:paraId="4602782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67C890F6"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146E25EE"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60B1D8E7"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21DAEDA9"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tcPr>
          <w:p w14:paraId="66DC3AC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29C77142"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76D8241D" w14:textId="77777777" w:rsidTr="00FA05F6">
        <w:trPr>
          <w:trHeight w:val="1253"/>
        </w:trPr>
        <w:tc>
          <w:tcPr>
            <w:tcW w:w="937" w:type="pct"/>
            <w:tcBorders>
              <w:top w:val="nil"/>
              <w:left w:val="single" w:sz="4" w:space="0" w:color="auto"/>
              <w:bottom w:val="single" w:sz="4" w:space="0" w:color="auto"/>
              <w:right w:val="single" w:sz="4" w:space="0" w:color="auto"/>
            </w:tcBorders>
            <w:shd w:val="clear" w:color="auto" w:fill="auto"/>
            <w:hideMark/>
          </w:tcPr>
          <w:p w14:paraId="2A318BC0" w14:textId="77777777" w:rsidR="00D6212C" w:rsidRPr="00F273D6" w:rsidRDefault="00D6212C" w:rsidP="008A4C54">
            <w:pPr>
              <w:pStyle w:val="Tabletext1"/>
              <w:rPr>
                <w:bCs/>
              </w:rPr>
            </w:pPr>
            <w:r w:rsidRPr="00F273D6">
              <w:rPr>
                <w:bCs/>
              </w:rPr>
              <w:lastRenderedPageBreak/>
              <w:t>Were the subjects asked to participate in the study representative of the entire population from which they were recruited?</w:t>
            </w:r>
          </w:p>
        </w:tc>
        <w:tc>
          <w:tcPr>
            <w:tcW w:w="661" w:type="pct"/>
            <w:tcBorders>
              <w:top w:val="nil"/>
              <w:left w:val="nil"/>
              <w:bottom w:val="single" w:sz="4" w:space="0" w:color="auto"/>
              <w:right w:val="single" w:sz="4" w:space="0" w:color="auto"/>
            </w:tcBorders>
            <w:shd w:val="clear" w:color="auto" w:fill="auto"/>
            <w:hideMark/>
          </w:tcPr>
          <w:p w14:paraId="49CB123A"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E870DD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6E2BCC78"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21501B18"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192C392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5099EB1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3BDD4566"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32BC24AF"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r>
      <w:tr w:rsidR="008A4C54" w:rsidRPr="00204142" w14:paraId="38D1C70B" w14:textId="77777777" w:rsidTr="00FA05F6">
        <w:trPr>
          <w:trHeight w:val="1173"/>
        </w:trPr>
        <w:tc>
          <w:tcPr>
            <w:tcW w:w="937" w:type="pct"/>
            <w:tcBorders>
              <w:top w:val="nil"/>
              <w:left w:val="single" w:sz="4" w:space="0" w:color="auto"/>
              <w:bottom w:val="single" w:sz="4" w:space="0" w:color="auto"/>
              <w:right w:val="single" w:sz="4" w:space="0" w:color="auto"/>
            </w:tcBorders>
            <w:shd w:val="clear" w:color="auto" w:fill="auto"/>
            <w:hideMark/>
          </w:tcPr>
          <w:p w14:paraId="5CEE64DE" w14:textId="77777777" w:rsidR="00D6212C" w:rsidRPr="00F273D6" w:rsidRDefault="00D6212C" w:rsidP="008A4C54">
            <w:pPr>
              <w:pStyle w:val="Tabletext1"/>
              <w:rPr>
                <w:bCs/>
              </w:rPr>
            </w:pPr>
            <w:r w:rsidRPr="00F273D6">
              <w:rPr>
                <w:bCs/>
              </w:rPr>
              <w:t>Were those subjects who were prepared to participate, representative of the entire population from which they were recruited?</w:t>
            </w:r>
          </w:p>
        </w:tc>
        <w:tc>
          <w:tcPr>
            <w:tcW w:w="661" w:type="pct"/>
            <w:tcBorders>
              <w:top w:val="nil"/>
              <w:left w:val="nil"/>
              <w:bottom w:val="single" w:sz="4" w:space="0" w:color="auto"/>
              <w:right w:val="single" w:sz="4" w:space="0" w:color="auto"/>
            </w:tcBorders>
            <w:shd w:val="clear" w:color="auto" w:fill="auto"/>
            <w:hideMark/>
          </w:tcPr>
          <w:p w14:paraId="40A08DE9"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55" w:type="pct"/>
            <w:tcBorders>
              <w:top w:val="nil"/>
              <w:left w:val="nil"/>
              <w:bottom w:val="single" w:sz="4" w:space="0" w:color="auto"/>
              <w:right w:val="single" w:sz="4" w:space="0" w:color="auto"/>
            </w:tcBorders>
            <w:shd w:val="clear" w:color="auto" w:fill="auto"/>
            <w:hideMark/>
          </w:tcPr>
          <w:p w14:paraId="6A7107BF"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55" w:type="pct"/>
            <w:tcBorders>
              <w:top w:val="nil"/>
              <w:left w:val="nil"/>
              <w:bottom w:val="single" w:sz="4" w:space="0" w:color="auto"/>
              <w:right w:val="single" w:sz="4" w:space="0" w:color="auto"/>
            </w:tcBorders>
            <w:shd w:val="clear" w:color="auto" w:fill="auto"/>
            <w:hideMark/>
          </w:tcPr>
          <w:p w14:paraId="0D431E01"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40" w:type="pct"/>
            <w:tcBorders>
              <w:top w:val="nil"/>
              <w:left w:val="nil"/>
              <w:bottom w:val="single" w:sz="4" w:space="0" w:color="auto"/>
              <w:right w:val="single" w:sz="4" w:space="0" w:color="auto"/>
            </w:tcBorders>
            <w:shd w:val="clear" w:color="auto" w:fill="auto"/>
            <w:hideMark/>
          </w:tcPr>
          <w:p w14:paraId="62E2CA41"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14" w:type="pct"/>
            <w:tcBorders>
              <w:top w:val="nil"/>
              <w:left w:val="nil"/>
              <w:bottom w:val="single" w:sz="4" w:space="0" w:color="auto"/>
              <w:right w:val="single" w:sz="4" w:space="0" w:color="auto"/>
            </w:tcBorders>
            <w:shd w:val="clear" w:color="auto" w:fill="auto"/>
            <w:hideMark/>
          </w:tcPr>
          <w:p w14:paraId="3175FACD"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09" w:type="pct"/>
            <w:tcBorders>
              <w:top w:val="nil"/>
              <w:left w:val="nil"/>
              <w:bottom w:val="single" w:sz="4" w:space="0" w:color="auto"/>
              <w:right w:val="single" w:sz="4" w:space="0" w:color="auto"/>
            </w:tcBorders>
            <w:shd w:val="clear" w:color="auto" w:fill="auto"/>
            <w:hideMark/>
          </w:tcPr>
          <w:p w14:paraId="1623667D"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14" w:type="pct"/>
            <w:tcBorders>
              <w:top w:val="nil"/>
              <w:left w:val="nil"/>
              <w:bottom w:val="single" w:sz="4" w:space="0" w:color="auto"/>
              <w:right w:val="single" w:sz="4" w:space="0" w:color="auto"/>
            </w:tcBorders>
          </w:tcPr>
          <w:p w14:paraId="671F7EFB" w14:textId="77777777" w:rsidR="00D6212C" w:rsidRPr="00460A09" w:rsidRDefault="00D6212C" w:rsidP="00723373">
            <w:pPr>
              <w:pStyle w:val="Tabletext1"/>
              <w:rPr>
                <w:rFonts w:cs="Times New Roman"/>
                <w:color w:val="000000"/>
              </w:rPr>
            </w:pPr>
            <w:r w:rsidRPr="00460A09">
              <w:rPr>
                <w:rFonts w:cs="Times New Roman"/>
                <w:color w:val="000000"/>
              </w:rPr>
              <w:t>NA</w:t>
            </w:r>
          </w:p>
        </w:tc>
        <w:tc>
          <w:tcPr>
            <w:tcW w:w="515" w:type="pct"/>
            <w:tcBorders>
              <w:top w:val="nil"/>
              <w:left w:val="nil"/>
              <w:bottom w:val="single" w:sz="4" w:space="0" w:color="auto"/>
              <w:right w:val="single" w:sz="4" w:space="0" w:color="auto"/>
            </w:tcBorders>
          </w:tcPr>
          <w:p w14:paraId="3E575E84" w14:textId="77777777" w:rsidR="00D6212C" w:rsidRPr="00204142" w:rsidRDefault="00D6212C" w:rsidP="00723373">
            <w:pPr>
              <w:pStyle w:val="Tabletext1"/>
              <w:rPr>
                <w:rFonts w:cs="Times New Roman"/>
                <w:color w:val="000000"/>
              </w:rPr>
            </w:pPr>
            <w:r w:rsidRPr="00204142">
              <w:rPr>
                <w:rFonts w:cs="Times New Roman"/>
                <w:color w:val="000000"/>
              </w:rPr>
              <w:t>NA</w:t>
            </w:r>
          </w:p>
        </w:tc>
      </w:tr>
      <w:tr w:rsidR="008A4C54" w:rsidRPr="00204142" w14:paraId="00DA740B" w14:textId="77777777" w:rsidTr="00FA05F6">
        <w:trPr>
          <w:trHeight w:val="1200"/>
        </w:trPr>
        <w:tc>
          <w:tcPr>
            <w:tcW w:w="937" w:type="pct"/>
            <w:tcBorders>
              <w:top w:val="nil"/>
              <w:left w:val="single" w:sz="4" w:space="0" w:color="auto"/>
              <w:bottom w:val="single" w:sz="4" w:space="0" w:color="auto"/>
              <w:right w:val="single" w:sz="4" w:space="0" w:color="auto"/>
            </w:tcBorders>
            <w:shd w:val="clear" w:color="auto" w:fill="auto"/>
            <w:hideMark/>
          </w:tcPr>
          <w:p w14:paraId="62CDC9B6" w14:textId="77777777" w:rsidR="00D6212C" w:rsidRPr="00F273D6" w:rsidRDefault="00D6212C" w:rsidP="008A4C54">
            <w:pPr>
              <w:pStyle w:val="Tabletext1"/>
              <w:rPr>
                <w:bCs/>
              </w:rPr>
            </w:pPr>
            <w:r w:rsidRPr="00F273D6">
              <w:rPr>
                <w:bCs/>
              </w:rPr>
              <w:t>Were the staff, places, and facilities where the patients were treated, representative of the treatment the majority of patients receive?</w:t>
            </w:r>
          </w:p>
        </w:tc>
        <w:tc>
          <w:tcPr>
            <w:tcW w:w="661" w:type="pct"/>
            <w:tcBorders>
              <w:top w:val="nil"/>
              <w:left w:val="nil"/>
              <w:bottom w:val="single" w:sz="4" w:space="0" w:color="auto"/>
              <w:right w:val="single" w:sz="4" w:space="0" w:color="auto"/>
            </w:tcBorders>
            <w:shd w:val="clear" w:color="auto" w:fill="auto"/>
            <w:hideMark/>
          </w:tcPr>
          <w:p w14:paraId="0BC0275C"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65B29889" w14:textId="77777777" w:rsidR="00D6212C" w:rsidRPr="001D7B73" w:rsidRDefault="00D6212C" w:rsidP="00723373">
            <w:pPr>
              <w:pStyle w:val="Tabletext1"/>
              <w:rPr>
                <w:rFonts w:cs="Times New Roman"/>
                <w:color w:val="000000"/>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F92AEBE"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440" w:type="pct"/>
            <w:tcBorders>
              <w:top w:val="nil"/>
              <w:left w:val="nil"/>
              <w:bottom w:val="single" w:sz="4" w:space="0" w:color="auto"/>
              <w:right w:val="single" w:sz="4" w:space="0" w:color="auto"/>
            </w:tcBorders>
            <w:shd w:val="clear" w:color="auto" w:fill="auto"/>
            <w:hideMark/>
          </w:tcPr>
          <w:p w14:paraId="094662E1"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6C4BF986"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39B074D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417EB91D"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5" w:type="pct"/>
            <w:tcBorders>
              <w:top w:val="nil"/>
              <w:left w:val="nil"/>
              <w:bottom w:val="single" w:sz="4" w:space="0" w:color="auto"/>
              <w:right w:val="single" w:sz="4" w:space="0" w:color="auto"/>
            </w:tcBorders>
          </w:tcPr>
          <w:p w14:paraId="35906E0B"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r>
      <w:tr w:rsidR="008A4C54" w:rsidRPr="00204142" w14:paraId="22FF0C76" w14:textId="77777777" w:rsidTr="00FA05F6">
        <w:trPr>
          <w:trHeight w:val="1014"/>
        </w:trPr>
        <w:tc>
          <w:tcPr>
            <w:tcW w:w="937" w:type="pct"/>
            <w:tcBorders>
              <w:top w:val="nil"/>
              <w:left w:val="single" w:sz="4" w:space="0" w:color="auto"/>
              <w:bottom w:val="single" w:sz="4" w:space="0" w:color="auto"/>
              <w:right w:val="single" w:sz="4" w:space="0" w:color="auto"/>
            </w:tcBorders>
            <w:shd w:val="clear" w:color="auto" w:fill="auto"/>
            <w:hideMark/>
          </w:tcPr>
          <w:p w14:paraId="57A26784" w14:textId="77777777" w:rsidR="00D6212C" w:rsidRPr="00F273D6" w:rsidRDefault="00D6212C" w:rsidP="008A4C54">
            <w:pPr>
              <w:pStyle w:val="Tabletext1"/>
              <w:rPr>
                <w:bCs/>
              </w:rPr>
            </w:pPr>
            <w:r w:rsidRPr="00F273D6">
              <w:rPr>
                <w:bCs/>
              </w:rPr>
              <w:t>Was an attempt made to blind study subjects to the intervention they have received?</w:t>
            </w:r>
          </w:p>
        </w:tc>
        <w:tc>
          <w:tcPr>
            <w:tcW w:w="661" w:type="pct"/>
            <w:tcBorders>
              <w:top w:val="nil"/>
              <w:left w:val="nil"/>
              <w:bottom w:val="single" w:sz="4" w:space="0" w:color="auto"/>
              <w:right w:val="single" w:sz="4" w:space="0" w:color="auto"/>
            </w:tcBorders>
            <w:shd w:val="clear" w:color="auto" w:fill="auto"/>
            <w:hideMark/>
          </w:tcPr>
          <w:p w14:paraId="0C6A2287"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55" w:type="pct"/>
            <w:tcBorders>
              <w:top w:val="nil"/>
              <w:left w:val="nil"/>
              <w:bottom w:val="single" w:sz="4" w:space="0" w:color="auto"/>
              <w:right w:val="single" w:sz="4" w:space="0" w:color="auto"/>
            </w:tcBorders>
            <w:shd w:val="clear" w:color="auto" w:fill="auto"/>
            <w:hideMark/>
          </w:tcPr>
          <w:p w14:paraId="5EBB3F60"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55" w:type="pct"/>
            <w:tcBorders>
              <w:top w:val="nil"/>
              <w:left w:val="nil"/>
              <w:bottom w:val="single" w:sz="4" w:space="0" w:color="auto"/>
              <w:right w:val="single" w:sz="4" w:space="0" w:color="auto"/>
            </w:tcBorders>
            <w:shd w:val="clear" w:color="auto" w:fill="auto"/>
            <w:hideMark/>
          </w:tcPr>
          <w:p w14:paraId="507B37C4"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40" w:type="pct"/>
            <w:tcBorders>
              <w:top w:val="nil"/>
              <w:left w:val="nil"/>
              <w:bottom w:val="single" w:sz="4" w:space="0" w:color="auto"/>
              <w:right w:val="single" w:sz="4" w:space="0" w:color="auto"/>
            </w:tcBorders>
            <w:shd w:val="clear" w:color="auto" w:fill="auto"/>
            <w:hideMark/>
          </w:tcPr>
          <w:p w14:paraId="221737A4"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14" w:type="pct"/>
            <w:tcBorders>
              <w:top w:val="nil"/>
              <w:left w:val="nil"/>
              <w:bottom w:val="single" w:sz="4" w:space="0" w:color="auto"/>
              <w:right w:val="single" w:sz="4" w:space="0" w:color="auto"/>
            </w:tcBorders>
            <w:shd w:val="clear" w:color="auto" w:fill="auto"/>
            <w:hideMark/>
          </w:tcPr>
          <w:p w14:paraId="6FBE5575"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09" w:type="pct"/>
            <w:tcBorders>
              <w:top w:val="nil"/>
              <w:left w:val="nil"/>
              <w:bottom w:val="single" w:sz="4" w:space="0" w:color="auto"/>
              <w:right w:val="single" w:sz="4" w:space="0" w:color="auto"/>
            </w:tcBorders>
            <w:shd w:val="clear" w:color="auto" w:fill="auto"/>
            <w:hideMark/>
          </w:tcPr>
          <w:p w14:paraId="73E16342"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14" w:type="pct"/>
            <w:tcBorders>
              <w:top w:val="nil"/>
              <w:left w:val="nil"/>
              <w:bottom w:val="single" w:sz="4" w:space="0" w:color="auto"/>
              <w:right w:val="single" w:sz="4" w:space="0" w:color="auto"/>
            </w:tcBorders>
          </w:tcPr>
          <w:p w14:paraId="28A9E1A0" w14:textId="77777777" w:rsidR="00D6212C" w:rsidRPr="00460A09" w:rsidRDefault="00D6212C" w:rsidP="00723373">
            <w:pPr>
              <w:pStyle w:val="Tabletext1"/>
              <w:rPr>
                <w:rFonts w:cs="Times New Roman"/>
                <w:color w:val="000000"/>
              </w:rPr>
            </w:pPr>
            <w:r w:rsidRPr="00460A09">
              <w:rPr>
                <w:rFonts w:cs="Times New Roman"/>
                <w:color w:val="000000"/>
              </w:rPr>
              <w:t>NA</w:t>
            </w:r>
          </w:p>
        </w:tc>
        <w:tc>
          <w:tcPr>
            <w:tcW w:w="515" w:type="pct"/>
            <w:tcBorders>
              <w:top w:val="nil"/>
              <w:left w:val="nil"/>
              <w:bottom w:val="single" w:sz="4" w:space="0" w:color="auto"/>
              <w:right w:val="single" w:sz="4" w:space="0" w:color="auto"/>
            </w:tcBorders>
          </w:tcPr>
          <w:p w14:paraId="18417A57" w14:textId="77777777" w:rsidR="00D6212C" w:rsidRPr="00204142" w:rsidRDefault="00D6212C" w:rsidP="00723373">
            <w:pPr>
              <w:pStyle w:val="Tabletext1"/>
              <w:rPr>
                <w:rFonts w:cs="Times New Roman"/>
                <w:color w:val="000000"/>
              </w:rPr>
            </w:pPr>
            <w:r w:rsidRPr="00204142">
              <w:rPr>
                <w:rFonts w:cs="Times New Roman"/>
                <w:color w:val="000000"/>
              </w:rPr>
              <w:t>NA</w:t>
            </w:r>
          </w:p>
        </w:tc>
      </w:tr>
      <w:tr w:rsidR="008A4C54" w:rsidRPr="00204142" w14:paraId="6E043E3B" w14:textId="77777777" w:rsidTr="00FA05F6">
        <w:trPr>
          <w:trHeight w:val="534"/>
        </w:trPr>
        <w:tc>
          <w:tcPr>
            <w:tcW w:w="937" w:type="pct"/>
            <w:tcBorders>
              <w:top w:val="nil"/>
              <w:left w:val="single" w:sz="4" w:space="0" w:color="auto"/>
              <w:bottom w:val="single" w:sz="4" w:space="0" w:color="auto"/>
              <w:right w:val="single" w:sz="4" w:space="0" w:color="auto"/>
            </w:tcBorders>
            <w:shd w:val="clear" w:color="auto" w:fill="auto"/>
            <w:hideMark/>
          </w:tcPr>
          <w:p w14:paraId="2D8DCED4" w14:textId="77777777" w:rsidR="00D6212C" w:rsidRPr="00F273D6" w:rsidRDefault="00D6212C" w:rsidP="008A4C54">
            <w:pPr>
              <w:pStyle w:val="Tabletext1"/>
              <w:rPr>
                <w:bCs/>
              </w:rPr>
            </w:pPr>
            <w:r w:rsidRPr="00F273D6">
              <w:rPr>
                <w:bCs/>
              </w:rPr>
              <w:t>Was an attempt made to blind those measuring the main outcomes of the intervention?</w:t>
            </w:r>
          </w:p>
        </w:tc>
        <w:tc>
          <w:tcPr>
            <w:tcW w:w="661" w:type="pct"/>
            <w:tcBorders>
              <w:top w:val="nil"/>
              <w:left w:val="nil"/>
              <w:bottom w:val="single" w:sz="4" w:space="0" w:color="auto"/>
              <w:right w:val="single" w:sz="4" w:space="0" w:color="auto"/>
            </w:tcBorders>
            <w:shd w:val="clear" w:color="auto" w:fill="auto"/>
            <w:hideMark/>
          </w:tcPr>
          <w:p w14:paraId="34446B31"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55" w:type="pct"/>
            <w:tcBorders>
              <w:top w:val="nil"/>
              <w:left w:val="nil"/>
              <w:bottom w:val="single" w:sz="4" w:space="0" w:color="auto"/>
              <w:right w:val="single" w:sz="4" w:space="0" w:color="auto"/>
            </w:tcBorders>
            <w:shd w:val="clear" w:color="auto" w:fill="auto"/>
            <w:hideMark/>
          </w:tcPr>
          <w:p w14:paraId="3FD0F7EA"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55" w:type="pct"/>
            <w:tcBorders>
              <w:top w:val="nil"/>
              <w:left w:val="nil"/>
              <w:bottom w:val="single" w:sz="4" w:space="0" w:color="auto"/>
              <w:right w:val="single" w:sz="4" w:space="0" w:color="auto"/>
            </w:tcBorders>
            <w:shd w:val="clear" w:color="auto" w:fill="auto"/>
            <w:hideMark/>
          </w:tcPr>
          <w:p w14:paraId="4EC39FED"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440" w:type="pct"/>
            <w:tcBorders>
              <w:top w:val="nil"/>
              <w:left w:val="nil"/>
              <w:bottom w:val="single" w:sz="4" w:space="0" w:color="auto"/>
              <w:right w:val="single" w:sz="4" w:space="0" w:color="auto"/>
            </w:tcBorders>
            <w:shd w:val="clear" w:color="auto" w:fill="auto"/>
            <w:hideMark/>
          </w:tcPr>
          <w:p w14:paraId="41DB31B9"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14" w:type="pct"/>
            <w:tcBorders>
              <w:top w:val="nil"/>
              <w:left w:val="nil"/>
              <w:bottom w:val="single" w:sz="4" w:space="0" w:color="auto"/>
              <w:right w:val="single" w:sz="4" w:space="0" w:color="auto"/>
            </w:tcBorders>
            <w:shd w:val="clear" w:color="auto" w:fill="auto"/>
            <w:hideMark/>
          </w:tcPr>
          <w:p w14:paraId="110F4BE5"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09" w:type="pct"/>
            <w:tcBorders>
              <w:top w:val="nil"/>
              <w:left w:val="nil"/>
              <w:bottom w:val="single" w:sz="4" w:space="0" w:color="auto"/>
              <w:right w:val="single" w:sz="4" w:space="0" w:color="auto"/>
            </w:tcBorders>
            <w:shd w:val="clear" w:color="auto" w:fill="auto"/>
            <w:hideMark/>
          </w:tcPr>
          <w:p w14:paraId="12DF40D3"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14" w:type="pct"/>
            <w:tcBorders>
              <w:top w:val="nil"/>
              <w:left w:val="nil"/>
              <w:bottom w:val="single" w:sz="4" w:space="0" w:color="auto"/>
              <w:right w:val="single" w:sz="4" w:space="0" w:color="auto"/>
            </w:tcBorders>
          </w:tcPr>
          <w:p w14:paraId="19C68DB6" w14:textId="77777777" w:rsidR="00D6212C" w:rsidRPr="00460A09" w:rsidRDefault="00D6212C" w:rsidP="00723373">
            <w:pPr>
              <w:pStyle w:val="Tabletext1"/>
              <w:rPr>
                <w:rFonts w:cs="Times New Roman"/>
                <w:color w:val="000000"/>
              </w:rPr>
            </w:pPr>
            <w:r w:rsidRPr="00460A09">
              <w:rPr>
                <w:rFonts w:cs="Times New Roman"/>
                <w:color w:val="000000"/>
              </w:rPr>
              <w:t>NA</w:t>
            </w:r>
          </w:p>
        </w:tc>
        <w:tc>
          <w:tcPr>
            <w:tcW w:w="515" w:type="pct"/>
            <w:tcBorders>
              <w:top w:val="nil"/>
              <w:left w:val="nil"/>
              <w:bottom w:val="single" w:sz="4" w:space="0" w:color="auto"/>
              <w:right w:val="single" w:sz="4" w:space="0" w:color="auto"/>
            </w:tcBorders>
          </w:tcPr>
          <w:p w14:paraId="7137354A" w14:textId="77777777" w:rsidR="00D6212C" w:rsidRPr="00204142" w:rsidRDefault="00D6212C" w:rsidP="00723373">
            <w:pPr>
              <w:pStyle w:val="Tabletext1"/>
              <w:rPr>
                <w:rFonts w:cs="Times New Roman"/>
                <w:color w:val="000000"/>
              </w:rPr>
            </w:pPr>
            <w:r w:rsidRPr="00204142">
              <w:rPr>
                <w:rFonts w:cs="Times New Roman"/>
                <w:color w:val="000000"/>
              </w:rPr>
              <w:t>NA</w:t>
            </w:r>
          </w:p>
        </w:tc>
      </w:tr>
      <w:tr w:rsidR="008A4C54" w:rsidRPr="00204142" w14:paraId="67424089" w14:textId="77777777" w:rsidTr="00FA05F6">
        <w:trPr>
          <w:trHeight w:val="575"/>
        </w:trPr>
        <w:tc>
          <w:tcPr>
            <w:tcW w:w="937" w:type="pct"/>
            <w:tcBorders>
              <w:top w:val="nil"/>
              <w:left w:val="single" w:sz="4" w:space="0" w:color="auto"/>
              <w:bottom w:val="single" w:sz="4" w:space="0" w:color="auto"/>
              <w:right w:val="single" w:sz="4" w:space="0" w:color="auto"/>
            </w:tcBorders>
            <w:shd w:val="clear" w:color="auto" w:fill="auto"/>
            <w:hideMark/>
          </w:tcPr>
          <w:p w14:paraId="33D46248" w14:textId="77777777" w:rsidR="00D6212C" w:rsidRPr="00F273D6" w:rsidRDefault="00D6212C" w:rsidP="008A4C54">
            <w:pPr>
              <w:pStyle w:val="Tabletext1"/>
              <w:rPr>
                <w:bCs/>
              </w:rPr>
            </w:pPr>
            <w:r w:rsidRPr="00F273D6">
              <w:rPr>
                <w:bCs/>
              </w:rPr>
              <w:t>If any of the results of the study were based on “data dredging”, was this made clear?</w:t>
            </w:r>
          </w:p>
        </w:tc>
        <w:tc>
          <w:tcPr>
            <w:tcW w:w="661" w:type="pct"/>
            <w:tcBorders>
              <w:top w:val="nil"/>
              <w:left w:val="nil"/>
              <w:bottom w:val="single" w:sz="4" w:space="0" w:color="auto"/>
              <w:right w:val="single" w:sz="4" w:space="0" w:color="auto"/>
            </w:tcBorders>
            <w:shd w:val="clear" w:color="auto" w:fill="auto"/>
            <w:hideMark/>
          </w:tcPr>
          <w:p w14:paraId="75CB3FF1"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1160EDF3"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4E953E3F"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40" w:type="pct"/>
            <w:tcBorders>
              <w:top w:val="nil"/>
              <w:left w:val="nil"/>
              <w:bottom w:val="single" w:sz="4" w:space="0" w:color="auto"/>
              <w:right w:val="single" w:sz="4" w:space="0" w:color="auto"/>
            </w:tcBorders>
            <w:shd w:val="clear" w:color="000000" w:fill="FFFFFF"/>
            <w:hideMark/>
          </w:tcPr>
          <w:p w14:paraId="4E81CEDA"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shd w:val="clear" w:color="000000" w:fill="FFFFFF"/>
            <w:hideMark/>
          </w:tcPr>
          <w:p w14:paraId="64E96479"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09" w:type="pct"/>
            <w:tcBorders>
              <w:top w:val="nil"/>
              <w:left w:val="nil"/>
              <w:bottom w:val="single" w:sz="4" w:space="0" w:color="auto"/>
              <w:right w:val="single" w:sz="4" w:space="0" w:color="auto"/>
            </w:tcBorders>
            <w:shd w:val="clear" w:color="000000" w:fill="FFFFFF"/>
            <w:hideMark/>
          </w:tcPr>
          <w:p w14:paraId="68C069A5"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tcPr>
          <w:p w14:paraId="38A1CA2A"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5" w:type="pct"/>
            <w:tcBorders>
              <w:top w:val="nil"/>
              <w:left w:val="nil"/>
              <w:bottom w:val="single" w:sz="4" w:space="0" w:color="auto"/>
              <w:right w:val="single" w:sz="4" w:space="0" w:color="auto"/>
            </w:tcBorders>
          </w:tcPr>
          <w:p w14:paraId="31D58453"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r>
      <w:tr w:rsidR="008A4C54" w:rsidRPr="00204142" w14:paraId="78585125" w14:textId="77777777" w:rsidTr="009A220C">
        <w:trPr>
          <w:trHeight w:val="1064"/>
        </w:trPr>
        <w:tc>
          <w:tcPr>
            <w:tcW w:w="937" w:type="pct"/>
            <w:tcBorders>
              <w:top w:val="nil"/>
              <w:left w:val="single" w:sz="4" w:space="0" w:color="auto"/>
              <w:bottom w:val="single" w:sz="4" w:space="0" w:color="auto"/>
              <w:right w:val="single" w:sz="4" w:space="0" w:color="auto"/>
            </w:tcBorders>
            <w:shd w:val="clear" w:color="auto" w:fill="auto"/>
            <w:hideMark/>
          </w:tcPr>
          <w:p w14:paraId="73B2C68C" w14:textId="77777777" w:rsidR="00D6212C" w:rsidRPr="00F273D6" w:rsidRDefault="00D6212C" w:rsidP="008A4C54">
            <w:pPr>
              <w:pStyle w:val="Tabletext1"/>
              <w:rPr>
                <w:bCs/>
              </w:rPr>
            </w:pPr>
            <w:r w:rsidRPr="00F273D6">
              <w:rPr>
                <w:bCs/>
              </w:rPr>
              <w:t xml:space="preserve">In trials and cohort studies, do the analyses adjust for different lengths of follow-up of patients, or in case control studies, is the time period between the </w:t>
            </w:r>
            <w:r w:rsidRPr="00F273D6">
              <w:rPr>
                <w:bCs/>
              </w:rPr>
              <w:lastRenderedPageBreak/>
              <w:t>intervention and outcome the same for cases and controls?</w:t>
            </w:r>
          </w:p>
        </w:tc>
        <w:tc>
          <w:tcPr>
            <w:tcW w:w="661" w:type="pct"/>
            <w:tcBorders>
              <w:top w:val="nil"/>
              <w:left w:val="nil"/>
              <w:bottom w:val="single" w:sz="4" w:space="0" w:color="auto"/>
              <w:right w:val="single" w:sz="4" w:space="0" w:color="auto"/>
            </w:tcBorders>
            <w:shd w:val="clear" w:color="auto" w:fill="auto"/>
            <w:hideMark/>
          </w:tcPr>
          <w:p w14:paraId="2C77CF96" w14:textId="77777777" w:rsidR="00D6212C" w:rsidRPr="001D7B73" w:rsidRDefault="00D6212C" w:rsidP="00723373">
            <w:pPr>
              <w:pStyle w:val="Tabletext1"/>
              <w:rPr>
                <w:rFonts w:cs="Times New Roman"/>
                <w:color w:val="000000"/>
              </w:rPr>
            </w:pPr>
            <w:r w:rsidRPr="001D7B73">
              <w:rPr>
                <w:snapToGrid w:val="0"/>
                <w:color w:val="FF0000"/>
                <w:sz w:val="18"/>
                <w:szCs w:val="18"/>
              </w:rPr>
              <w:lastRenderedPageBreak/>
              <w:sym w:font="Wingdings" w:char="F04C"/>
            </w:r>
          </w:p>
        </w:tc>
        <w:tc>
          <w:tcPr>
            <w:tcW w:w="455" w:type="pct"/>
            <w:tcBorders>
              <w:top w:val="nil"/>
              <w:left w:val="nil"/>
              <w:bottom w:val="single" w:sz="4" w:space="0" w:color="auto"/>
              <w:right w:val="single" w:sz="4" w:space="0" w:color="auto"/>
            </w:tcBorders>
            <w:shd w:val="clear" w:color="auto" w:fill="auto"/>
            <w:hideMark/>
          </w:tcPr>
          <w:p w14:paraId="0B638889" w14:textId="77777777" w:rsidR="00D6212C" w:rsidRPr="001D7B73" w:rsidRDefault="00D6212C" w:rsidP="00723373">
            <w:pPr>
              <w:pStyle w:val="Tabletext1"/>
              <w:rPr>
                <w:rFonts w:cs="Times New Roman"/>
                <w:color w:val="000000"/>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479977C" w14:textId="77777777" w:rsidR="00D6212C" w:rsidRPr="001D7B73" w:rsidRDefault="00D6212C" w:rsidP="00723373">
            <w:pPr>
              <w:pStyle w:val="Tabletext1"/>
              <w:rPr>
                <w:rFonts w:cs="Times New Roman"/>
              </w:rPr>
            </w:pPr>
            <w:r w:rsidRPr="001D7B73">
              <w:rPr>
                <w:snapToGrid w:val="0"/>
                <w:color w:val="FF0000"/>
                <w:sz w:val="18"/>
                <w:szCs w:val="18"/>
              </w:rPr>
              <w:sym w:font="Wingdings" w:char="F04C"/>
            </w:r>
          </w:p>
        </w:tc>
        <w:tc>
          <w:tcPr>
            <w:tcW w:w="440" w:type="pct"/>
            <w:tcBorders>
              <w:top w:val="nil"/>
              <w:left w:val="nil"/>
              <w:bottom w:val="single" w:sz="4" w:space="0" w:color="auto"/>
              <w:right w:val="single" w:sz="4" w:space="0" w:color="auto"/>
            </w:tcBorders>
            <w:shd w:val="clear" w:color="auto" w:fill="auto"/>
            <w:hideMark/>
          </w:tcPr>
          <w:p w14:paraId="47B52DDD"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0CAD4B82"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6F3673FE"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170CD93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62F5520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68A28332" w14:textId="77777777" w:rsidTr="00FA05F6">
        <w:trPr>
          <w:trHeight w:val="50"/>
        </w:trPr>
        <w:tc>
          <w:tcPr>
            <w:tcW w:w="937" w:type="pct"/>
            <w:tcBorders>
              <w:top w:val="nil"/>
              <w:left w:val="single" w:sz="4" w:space="0" w:color="auto"/>
              <w:bottom w:val="single" w:sz="4" w:space="0" w:color="auto"/>
              <w:right w:val="single" w:sz="4" w:space="0" w:color="auto"/>
            </w:tcBorders>
            <w:shd w:val="clear" w:color="auto" w:fill="auto"/>
            <w:hideMark/>
          </w:tcPr>
          <w:p w14:paraId="6F2DF5A5" w14:textId="77777777" w:rsidR="00D6212C" w:rsidRPr="00F273D6" w:rsidRDefault="00D6212C" w:rsidP="008A4C54">
            <w:pPr>
              <w:pStyle w:val="Tabletext1"/>
              <w:rPr>
                <w:bCs/>
              </w:rPr>
            </w:pPr>
            <w:r w:rsidRPr="00F273D6">
              <w:rPr>
                <w:bCs/>
              </w:rPr>
              <w:lastRenderedPageBreak/>
              <w:t>Were the statistical tests used to assess the main outcomes appropriate?</w:t>
            </w:r>
          </w:p>
        </w:tc>
        <w:tc>
          <w:tcPr>
            <w:tcW w:w="661" w:type="pct"/>
            <w:tcBorders>
              <w:top w:val="nil"/>
              <w:left w:val="nil"/>
              <w:bottom w:val="single" w:sz="4" w:space="0" w:color="auto"/>
              <w:right w:val="single" w:sz="4" w:space="0" w:color="auto"/>
            </w:tcBorders>
            <w:shd w:val="clear" w:color="auto" w:fill="auto"/>
            <w:hideMark/>
          </w:tcPr>
          <w:p w14:paraId="5135A8DC"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129BEBB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02AFC07A"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2B77C3BD"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2C9D051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1ED88B76"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746AF45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462DDDC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67E7FC39" w14:textId="77777777" w:rsidTr="00FA05F6">
        <w:trPr>
          <w:trHeight w:val="472"/>
        </w:trPr>
        <w:tc>
          <w:tcPr>
            <w:tcW w:w="937" w:type="pct"/>
            <w:tcBorders>
              <w:top w:val="nil"/>
              <w:left w:val="single" w:sz="4" w:space="0" w:color="auto"/>
              <w:bottom w:val="single" w:sz="4" w:space="0" w:color="auto"/>
              <w:right w:val="single" w:sz="4" w:space="0" w:color="auto"/>
            </w:tcBorders>
            <w:shd w:val="clear" w:color="auto" w:fill="auto"/>
            <w:hideMark/>
          </w:tcPr>
          <w:p w14:paraId="3D8FF5D2" w14:textId="77777777" w:rsidR="00D6212C" w:rsidRPr="00F273D6" w:rsidRDefault="00D6212C" w:rsidP="008A4C54">
            <w:pPr>
              <w:pStyle w:val="Tabletext1"/>
              <w:rPr>
                <w:bCs/>
              </w:rPr>
            </w:pPr>
            <w:r w:rsidRPr="00F273D6">
              <w:rPr>
                <w:bCs/>
              </w:rPr>
              <w:t>Was compliance with the intervention/s reliable?</w:t>
            </w:r>
          </w:p>
        </w:tc>
        <w:tc>
          <w:tcPr>
            <w:tcW w:w="661" w:type="pct"/>
            <w:tcBorders>
              <w:top w:val="nil"/>
              <w:left w:val="nil"/>
              <w:bottom w:val="single" w:sz="4" w:space="0" w:color="auto"/>
              <w:right w:val="single" w:sz="4" w:space="0" w:color="auto"/>
            </w:tcBorders>
            <w:shd w:val="clear" w:color="auto" w:fill="auto"/>
            <w:hideMark/>
          </w:tcPr>
          <w:p w14:paraId="56D65F4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791195B5"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32A93113"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1FCC642C"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7F2B9D4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473DE74A"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2CDEDFC5"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7D3B52E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2F4F5057" w14:textId="77777777" w:rsidTr="00FA05F6">
        <w:trPr>
          <w:trHeight w:val="773"/>
        </w:trPr>
        <w:tc>
          <w:tcPr>
            <w:tcW w:w="937" w:type="pct"/>
            <w:tcBorders>
              <w:top w:val="nil"/>
              <w:left w:val="single" w:sz="4" w:space="0" w:color="auto"/>
              <w:bottom w:val="single" w:sz="4" w:space="0" w:color="auto"/>
              <w:right w:val="single" w:sz="4" w:space="0" w:color="auto"/>
            </w:tcBorders>
            <w:shd w:val="clear" w:color="000000" w:fill="FFFFFF"/>
            <w:hideMark/>
          </w:tcPr>
          <w:p w14:paraId="49C3F93D" w14:textId="77777777" w:rsidR="00D6212C" w:rsidRPr="00F273D6" w:rsidRDefault="00D6212C" w:rsidP="008A4C54">
            <w:pPr>
              <w:pStyle w:val="Tabletext1"/>
              <w:rPr>
                <w:bCs/>
              </w:rPr>
            </w:pPr>
            <w:r w:rsidRPr="00F273D6">
              <w:rPr>
                <w:bCs/>
              </w:rPr>
              <w:t>Were the main outcome measures used accurate (valid and reliable)?</w:t>
            </w:r>
          </w:p>
        </w:tc>
        <w:tc>
          <w:tcPr>
            <w:tcW w:w="661" w:type="pct"/>
            <w:tcBorders>
              <w:top w:val="nil"/>
              <w:left w:val="nil"/>
              <w:bottom w:val="single" w:sz="4" w:space="0" w:color="auto"/>
              <w:right w:val="single" w:sz="4" w:space="0" w:color="auto"/>
            </w:tcBorders>
            <w:shd w:val="clear" w:color="auto" w:fill="auto"/>
            <w:hideMark/>
          </w:tcPr>
          <w:p w14:paraId="7E3D6D87"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159FC21E"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2CE6A5E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27787BAC"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542D31A7"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64D6A809" w14:textId="77777777" w:rsidR="00D6212C" w:rsidRPr="001D7B73" w:rsidRDefault="00D6212C" w:rsidP="00723373">
            <w:pPr>
              <w:pStyle w:val="Tabletext1"/>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tcPr>
          <w:p w14:paraId="19F94F58"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0C658FEE" w14:textId="77777777" w:rsidR="00D6212C" w:rsidRPr="001D7B73" w:rsidRDefault="00D6212C" w:rsidP="00723373">
            <w:pPr>
              <w:pStyle w:val="Tabletext1"/>
            </w:pPr>
            <w:r w:rsidRPr="001D7B73">
              <w:rPr>
                <w:snapToGrid w:val="0"/>
                <w:color w:val="FF0000"/>
                <w:sz w:val="18"/>
                <w:szCs w:val="18"/>
              </w:rPr>
              <w:sym w:font="Wingdings" w:char="F04C"/>
            </w:r>
          </w:p>
        </w:tc>
      </w:tr>
      <w:tr w:rsidR="008A4C54" w:rsidRPr="00204142" w14:paraId="72E48539" w14:textId="77777777" w:rsidTr="00FA05F6">
        <w:trPr>
          <w:trHeight w:val="1539"/>
        </w:trPr>
        <w:tc>
          <w:tcPr>
            <w:tcW w:w="937" w:type="pct"/>
            <w:tcBorders>
              <w:top w:val="nil"/>
              <w:left w:val="single" w:sz="4" w:space="0" w:color="auto"/>
              <w:bottom w:val="single" w:sz="4" w:space="0" w:color="auto"/>
              <w:right w:val="single" w:sz="4" w:space="0" w:color="auto"/>
            </w:tcBorders>
            <w:shd w:val="clear" w:color="auto" w:fill="auto"/>
            <w:hideMark/>
          </w:tcPr>
          <w:p w14:paraId="10C9D9E6" w14:textId="77777777" w:rsidR="00E7473C" w:rsidRPr="00F273D6" w:rsidRDefault="00E7473C" w:rsidP="008A4C54">
            <w:pPr>
              <w:pStyle w:val="Tabletext1"/>
              <w:rPr>
                <w:bCs/>
              </w:rPr>
            </w:pPr>
            <w:r w:rsidRPr="00F273D6">
              <w:rPr>
                <w:bCs/>
              </w:rPr>
              <w:t>Were the patients in different intervention groups (trials and cohort studies) or were the cases and controls (case-control studies) recruited from the same population?</w:t>
            </w:r>
          </w:p>
        </w:tc>
        <w:tc>
          <w:tcPr>
            <w:tcW w:w="661" w:type="pct"/>
            <w:tcBorders>
              <w:top w:val="nil"/>
              <w:left w:val="nil"/>
              <w:bottom w:val="single" w:sz="4" w:space="0" w:color="auto"/>
              <w:right w:val="single" w:sz="4" w:space="0" w:color="auto"/>
            </w:tcBorders>
            <w:shd w:val="clear" w:color="auto" w:fill="auto"/>
            <w:hideMark/>
          </w:tcPr>
          <w:p w14:paraId="2AB8FA30" w14:textId="382AFF33" w:rsidR="00E7473C" w:rsidRPr="00204142" w:rsidRDefault="00E7473C" w:rsidP="00723373">
            <w:pPr>
              <w:pStyle w:val="Tabletext1"/>
              <w:rPr>
                <w:rFonts w:cs="Times New Roman"/>
                <w:color w:val="000000"/>
              </w:rPr>
            </w:pPr>
            <w:r w:rsidRPr="005F5448">
              <w:rPr>
                <w:b/>
                <w:color w:val="1F497D" w:themeColor="text2"/>
              </w:rPr>
              <w:t>?</w:t>
            </w:r>
          </w:p>
        </w:tc>
        <w:tc>
          <w:tcPr>
            <w:tcW w:w="455" w:type="pct"/>
            <w:tcBorders>
              <w:top w:val="nil"/>
              <w:left w:val="nil"/>
              <w:bottom w:val="single" w:sz="4" w:space="0" w:color="auto"/>
              <w:right w:val="single" w:sz="4" w:space="0" w:color="auto"/>
            </w:tcBorders>
            <w:shd w:val="clear" w:color="auto" w:fill="auto"/>
            <w:hideMark/>
          </w:tcPr>
          <w:p w14:paraId="1562CEAB" w14:textId="15B31FE9" w:rsidR="00E7473C" w:rsidRPr="00204142" w:rsidRDefault="00E7473C" w:rsidP="00723373">
            <w:pPr>
              <w:pStyle w:val="Tabletext1"/>
              <w:rPr>
                <w:rFonts w:cs="Times New Roman"/>
                <w:color w:val="000000"/>
              </w:rPr>
            </w:pPr>
            <w:r w:rsidRPr="005F5448">
              <w:rPr>
                <w:b/>
                <w:color w:val="1F497D" w:themeColor="text2"/>
              </w:rPr>
              <w:t>?</w:t>
            </w:r>
          </w:p>
        </w:tc>
        <w:tc>
          <w:tcPr>
            <w:tcW w:w="455" w:type="pct"/>
            <w:tcBorders>
              <w:top w:val="nil"/>
              <w:left w:val="nil"/>
              <w:bottom w:val="single" w:sz="4" w:space="0" w:color="auto"/>
              <w:right w:val="single" w:sz="4" w:space="0" w:color="auto"/>
            </w:tcBorders>
            <w:shd w:val="clear" w:color="auto" w:fill="auto"/>
            <w:hideMark/>
          </w:tcPr>
          <w:p w14:paraId="0A9F37B0" w14:textId="74CE3A23" w:rsidR="00E7473C" w:rsidRPr="00204142" w:rsidRDefault="00E7473C" w:rsidP="00723373">
            <w:pPr>
              <w:pStyle w:val="Tabletext1"/>
              <w:rPr>
                <w:rFonts w:cs="Times New Roman"/>
                <w:color w:val="000000"/>
              </w:rPr>
            </w:pPr>
            <w:r w:rsidRPr="005F5448">
              <w:rPr>
                <w:b/>
                <w:color w:val="1F497D" w:themeColor="text2"/>
              </w:rPr>
              <w:t>?</w:t>
            </w:r>
          </w:p>
        </w:tc>
        <w:tc>
          <w:tcPr>
            <w:tcW w:w="440" w:type="pct"/>
            <w:tcBorders>
              <w:top w:val="nil"/>
              <w:left w:val="nil"/>
              <w:bottom w:val="single" w:sz="4" w:space="0" w:color="auto"/>
              <w:right w:val="single" w:sz="4" w:space="0" w:color="auto"/>
            </w:tcBorders>
            <w:shd w:val="clear" w:color="auto" w:fill="auto"/>
            <w:hideMark/>
          </w:tcPr>
          <w:p w14:paraId="19280BF1" w14:textId="6396CF8C" w:rsidR="00E7473C" w:rsidRPr="00204142" w:rsidRDefault="00E7473C" w:rsidP="00723373">
            <w:pPr>
              <w:pStyle w:val="Tabletext1"/>
              <w:rPr>
                <w:rFonts w:cs="Times New Roman"/>
                <w:color w:val="000000"/>
              </w:rPr>
            </w:pPr>
            <w:r w:rsidRPr="005F5448">
              <w:rPr>
                <w:b/>
                <w:color w:val="1F497D" w:themeColor="text2"/>
              </w:rPr>
              <w:t>?</w:t>
            </w:r>
          </w:p>
        </w:tc>
        <w:tc>
          <w:tcPr>
            <w:tcW w:w="514" w:type="pct"/>
            <w:tcBorders>
              <w:top w:val="nil"/>
              <w:left w:val="nil"/>
              <w:bottom w:val="single" w:sz="4" w:space="0" w:color="auto"/>
              <w:right w:val="single" w:sz="4" w:space="0" w:color="auto"/>
            </w:tcBorders>
            <w:shd w:val="clear" w:color="auto" w:fill="auto"/>
            <w:hideMark/>
          </w:tcPr>
          <w:p w14:paraId="305EEE73" w14:textId="766A0115" w:rsidR="00E7473C" w:rsidRPr="00204142" w:rsidRDefault="00E7473C" w:rsidP="00723373">
            <w:pPr>
              <w:pStyle w:val="Tabletext1"/>
              <w:rPr>
                <w:rFonts w:cs="Times New Roman"/>
                <w:color w:val="000000"/>
              </w:rPr>
            </w:pPr>
            <w:r w:rsidRPr="005F5448">
              <w:rPr>
                <w:b/>
                <w:color w:val="1F497D" w:themeColor="text2"/>
              </w:rPr>
              <w:t>?</w:t>
            </w:r>
          </w:p>
        </w:tc>
        <w:tc>
          <w:tcPr>
            <w:tcW w:w="509" w:type="pct"/>
            <w:tcBorders>
              <w:top w:val="nil"/>
              <w:left w:val="nil"/>
              <w:bottom w:val="single" w:sz="4" w:space="0" w:color="auto"/>
              <w:right w:val="single" w:sz="4" w:space="0" w:color="auto"/>
            </w:tcBorders>
            <w:shd w:val="clear" w:color="auto" w:fill="auto"/>
            <w:hideMark/>
          </w:tcPr>
          <w:p w14:paraId="44EE79B5" w14:textId="4FA2A102" w:rsidR="00E7473C" w:rsidRPr="00204142" w:rsidRDefault="00E7473C" w:rsidP="00723373">
            <w:pPr>
              <w:pStyle w:val="Tabletext1"/>
              <w:rPr>
                <w:rFonts w:cs="Times New Roman"/>
                <w:color w:val="000000"/>
              </w:rPr>
            </w:pPr>
            <w:r w:rsidRPr="005F5448">
              <w:rPr>
                <w:b/>
                <w:color w:val="1F497D" w:themeColor="text2"/>
              </w:rPr>
              <w:t>?</w:t>
            </w:r>
          </w:p>
        </w:tc>
        <w:tc>
          <w:tcPr>
            <w:tcW w:w="514" w:type="pct"/>
            <w:tcBorders>
              <w:top w:val="nil"/>
              <w:left w:val="nil"/>
              <w:bottom w:val="single" w:sz="4" w:space="0" w:color="auto"/>
              <w:right w:val="single" w:sz="4" w:space="0" w:color="auto"/>
            </w:tcBorders>
          </w:tcPr>
          <w:p w14:paraId="0BBFFCFC" w14:textId="1A991226" w:rsidR="00E7473C" w:rsidRDefault="00E7473C" w:rsidP="00723373">
            <w:pPr>
              <w:pStyle w:val="Tabletext1"/>
              <w:rPr>
                <w:color w:val="000000"/>
              </w:rPr>
            </w:pPr>
            <w:r w:rsidRPr="005F5448">
              <w:rPr>
                <w:b/>
                <w:color w:val="1F497D" w:themeColor="text2"/>
              </w:rPr>
              <w:t>?</w:t>
            </w:r>
          </w:p>
        </w:tc>
        <w:tc>
          <w:tcPr>
            <w:tcW w:w="515" w:type="pct"/>
            <w:tcBorders>
              <w:top w:val="nil"/>
              <w:left w:val="nil"/>
              <w:bottom w:val="single" w:sz="4" w:space="0" w:color="auto"/>
              <w:right w:val="single" w:sz="4" w:space="0" w:color="auto"/>
            </w:tcBorders>
          </w:tcPr>
          <w:p w14:paraId="5F58F60F" w14:textId="02456067" w:rsidR="00E7473C" w:rsidRPr="00204142" w:rsidRDefault="00E7473C" w:rsidP="00723373">
            <w:pPr>
              <w:pStyle w:val="Tabletext1"/>
              <w:rPr>
                <w:rFonts w:cs="Times New Roman"/>
                <w:color w:val="000000"/>
              </w:rPr>
            </w:pPr>
            <w:r w:rsidRPr="005F5448">
              <w:rPr>
                <w:b/>
                <w:color w:val="1F497D" w:themeColor="text2"/>
              </w:rPr>
              <w:t>?</w:t>
            </w:r>
          </w:p>
        </w:tc>
      </w:tr>
      <w:tr w:rsidR="008A4C54" w:rsidRPr="00204142" w14:paraId="121E7189" w14:textId="77777777" w:rsidTr="00FA05F6">
        <w:trPr>
          <w:trHeight w:val="1499"/>
        </w:trPr>
        <w:tc>
          <w:tcPr>
            <w:tcW w:w="937" w:type="pct"/>
            <w:tcBorders>
              <w:top w:val="nil"/>
              <w:left w:val="single" w:sz="4" w:space="0" w:color="auto"/>
              <w:bottom w:val="single" w:sz="4" w:space="0" w:color="auto"/>
              <w:right w:val="single" w:sz="4" w:space="0" w:color="auto"/>
            </w:tcBorders>
            <w:shd w:val="clear" w:color="auto" w:fill="auto"/>
            <w:hideMark/>
          </w:tcPr>
          <w:p w14:paraId="43D7CB80" w14:textId="77777777" w:rsidR="00D6212C" w:rsidRPr="00F273D6" w:rsidRDefault="00D6212C" w:rsidP="008A4C54">
            <w:pPr>
              <w:pStyle w:val="Tabletext1"/>
              <w:rPr>
                <w:bCs/>
              </w:rPr>
            </w:pPr>
            <w:r w:rsidRPr="00F273D6">
              <w:rPr>
                <w:bCs/>
              </w:rPr>
              <w:t>Were study subjects in different intervention groups (trials and cohort studies) or were the cases and controls (case-control studies) recruited over the same time?</w:t>
            </w:r>
          </w:p>
        </w:tc>
        <w:tc>
          <w:tcPr>
            <w:tcW w:w="661" w:type="pct"/>
            <w:tcBorders>
              <w:top w:val="nil"/>
              <w:left w:val="nil"/>
              <w:bottom w:val="single" w:sz="4" w:space="0" w:color="auto"/>
              <w:right w:val="single" w:sz="4" w:space="0" w:color="auto"/>
            </w:tcBorders>
            <w:shd w:val="clear" w:color="auto" w:fill="auto"/>
            <w:hideMark/>
          </w:tcPr>
          <w:p w14:paraId="48A6C7A3"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4145A5C3"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27F4F2B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7B11591B"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63946B33"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4FE1703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169C103C"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7C277E1F"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r>
      <w:tr w:rsidR="008A4C54" w:rsidRPr="00204142" w14:paraId="72067D37" w14:textId="77777777" w:rsidTr="00FA05F6">
        <w:trPr>
          <w:trHeight w:val="604"/>
        </w:trPr>
        <w:tc>
          <w:tcPr>
            <w:tcW w:w="937" w:type="pct"/>
            <w:tcBorders>
              <w:top w:val="nil"/>
              <w:left w:val="single" w:sz="4" w:space="0" w:color="auto"/>
              <w:bottom w:val="single" w:sz="4" w:space="0" w:color="auto"/>
              <w:right w:val="single" w:sz="4" w:space="0" w:color="auto"/>
            </w:tcBorders>
            <w:shd w:val="clear" w:color="auto" w:fill="auto"/>
            <w:hideMark/>
          </w:tcPr>
          <w:p w14:paraId="34F65B6E" w14:textId="77777777" w:rsidR="00D6212C" w:rsidRPr="00F273D6" w:rsidRDefault="00D6212C" w:rsidP="008A4C54">
            <w:pPr>
              <w:pStyle w:val="Tabletext1"/>
              <w:rPr>
                <w:bCs/>
              </w:rPr>
            </w:pPr>
            <w:r w:rsidRPr="00F273D6">
              <w:rPr>
                <w:bCs/>
              </w:rPr>
              <w:t>Were study subjects randomised to intervention groups?</w:t>
            </w:r>
          </w:p>
        </w:tc>
        <w:tc>
          <w:tcPr>
            <w:tcW w:w="661" w:type="pct"/>
            <w:tcBorders>
              <w:top w:val="nil"/>
              <w:left w:val="nil"/>
              <w:bottom w:val="single" w:sz="4" w:space="0" w:color="auto"/>
              <w:right w:val="single" w:sz="4" w:space="0" w:color="auto"/>
            </w:tcBorders>
            <w:shd w:val="clear" w:color="auto" w:fill="auto"/>
            <w:hideMark/>
          </w:tcPr>
          <w:p w14:paraId="6A1E4973"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26F4AD5A" w14:textId="77777777" w:rsidR="00D6212C" w:rsidRPr="001D7B73" w:rsidRDefault="00D6212C" w:rsidP="00723373">
            <w:pPr>
              <w:pStyle w:val="Tabletext1"/>
              <w:rPr>
                <w:rFonts w:cs="Times New Roman"/>
                <w:color w:val="000000"/>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13AB10BE"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40" w:type="pct"/>
            <w:tcBorders>
              <w:top w:val="nil"/>
              <w:left w:val="nil"/>
              <w:bottom w:val="single" w:sz="4" w:space="0" w:color="auto"/>
              <w:right w:val="single" w:sz="4" w:space="0" w:color="auto"/>
            </w:tcBorders>
            <w:shd w:val="clear" w:color="auto" w:fill="auto"/>
            <w:hideMark/>
          </w:tcPr>
          <w:p w14:paraId="24AE0199"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shd w:val="clear" w:color="auto" w:fill="auto"/>
            <w:hideMark/>
          </w:tcPr>
          <w:p w14:paraId="42800361"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09" w:type="pct"/>
            <w:tcBorders>
              <w:top w:val="nil"/>
              <w:left w:val="nil"/>
              <w:bottom w:val="single" w:sz="4" w:space="0" w:color="auto"/>
              <w:right w:val="single" w:sz="4" w:space="0" w:color="auto"/>
            </w:tcBorders>
            <w:shd w:val="clear" w:color="auto" w:fill="auto"/>
            <w:hideMark/>
          </w:tcPr>
          <w:p w14:paraId="440E6DF0"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tcPr>
          <w:p w14:paraId="789C77E3"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5" w:type="pct"/>
            <w:tcBorders>
              <w:top w:val="nil"/>
              <w:left w:val="nil"/>
              <w:bottom w:val="single" w:sz="4" w:space="0" w:color="auto"/>
              <w:right w:val="single" w:sz="4" w:space="0" w:color="auto"/>
            </w:tcBorders>
          </w:tcPr>
          <w:p w14:paraId="25B0284B"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r>
      <w:tr w:rsidR="008A4C54" w:rsidRPr="00204142" w14:paraId="2DD2F315" w14:textId="77777777" w:rsidTr="00FA05F6">
        <w:trPr>
          <w:trHeight w:val="132"/>
        </w:trPr>
        <w:tc>
          <w:tcPr>
            <w:tcW w:w="937" w:type="pct"/>
            <w:tcBorders>
              <w:top w:val="nil"/>
              <w:left w:val="single" w:sz="4" w:space="0" w:color="auto"/>
              <w:bottom w:val="single" w:sz="4" w:space="0" w:color="auto"/>
              <w:right w:val="single" w:sz="4" w:space="0" w:color="auto"/>
            </w:tcBorders>
            <w:shd w:val="clear" w:color="auto" w:fill="auto"/>
            <w:hideMark/>
          </w:tcPr>
          <w:p w14:paraId="7DFE9B1E" w14:textId="77777777" w:rsidR="00D6212C" w:rsidRPr="00F273D6" w:rsidRDefault="00D6212C" w:rsidP="008A4C54">
            <w:pPr>
              <w:pStyle w:val="Tabletext1"/>
              <w:rPr>
                <w:bCs/>
              </w:rPr>
            </w:pPr>
            <w:r w:rsidRPr="00F273D6">
              <w:rPr>
                <w:bCs/>
              </w:rPr>
              <w:t>Was the randomised intervention assignment concealed from both patients and health care staff until recruitment was complete and irrevocable?</w:t>
            </w:r>
          </w:p>
        </w:tc>
        <w:tc>
          <w:tcPr>
            <w:tcW w:w="661" w:type="pct"/>
            <w:tcBorders>
              <w:top w:val="nil"/>
              <w:left w:val="nil"/>
              <w:bottom w:val="single" w:sz="4" w:space="0" w:color="auto"/>
              <w:right w:val="single" w:sz="4" w:space="0" w:color="auto"/>
            </w:tcBorders>
            <w:shd w:val="clear" w:color="auto" w:fill="auto"/>
            <w:hideMark/>
          </w:tcPr>
          <w:p w14:paraId="2B91BC92"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10FBEB75"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2B84A6BF"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40" w:type="pct"/>
            <w:tcBorders>
              <w:top w:val="nil"/>
              <w:left w:val="nil"/>
              <w:bottom w:val="single" w:sz="4" w:space="0" w:color="auto"/>
              <w:right w:val="single" w:sz="4" w:space="0" w:color="auto"/>
            </w:tcBorders>
            <w:shd w:val="clear" w:color="auto" w:fill="auto"/>
            <w:hideMark/>
          </w:tcPr>
          <w:p w14:paraId="1AFDAC8E"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shd w:val="clear" w:color="auto" w:fill="auto"/>
            <w:hideMark/>
          </w:tcPr>
          <w:p w14:paraId="10D17BC9"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09" w:type="pct"/>
            <w:tcBorders>
              <w:top w:val="nil"/>
              <w:left w:val="nil"/>
              <w:bottom w:val="single" w:sz="4" w:space="0" w:color="auto"/>
              <w:right w:val="single" w:sz="4" w:space="0" w:color="auto"/>
            </w:tcBorders>
            <w:shd w:val="clear" w:color="auto" w:fill="auto"/>
            <w:hideMark/>
          </w:tcPr>
          <w:p w14:paraId="4F868A56"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4" w:type="pct"/>
            <w:tcBorders>
              <w:top w:val="nil"/>
              <w:left w:val="nil"/>
              <w:bottom w:val="single" w:sz="4" w:space="0" w:color="auto"/>
              <w:right w:val="single" w:sz="4" w:space="0" w:color="auto"/>
            </w:tcBorders>
          </w:tcPr>
          <w:p w14:paraId="7775E78C"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515" w:type="pct"/>
            <w:tcBorders>
              <w:top w:val="nil"/>
              <w:left w:val="nil"/>
              <w:bottom w:val="single" w:sz="4" w:space="0" w:color="auto"/>
              <w:right w:val="single" w:sz="4" w:space="0" w:color="auto"/>
            </w:tcBorders>
          </w:tcPr>
          <w:p w14:paraId="0140CBB1"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r>
      <w:tr w:rsidR="008A4C54" w:rsidRPr="00204142" w14:paraId="5FDE3A04" w14:textId="77777777" w:rsidTr="00FA05F6">
        <w:trPr>
          <w:trHeight w:val="1000"/>
        </w:trPr>
        <w:tc>
          <w:tcPr>
            <w:tcW w:w="937" w:type="pct"/>
            <w:tcBorders>
              <w:top w:val="nil"/>
              <w:left w:val="single" w:sz="4" w:space="0" w:color="auto"/>
              <w:bottom w:val="single" w:sz="4" w:space="0" w:color="auto"/>
              <w:right w:val="single" w:sz="4" w:space="0" w:color="auto"/>
            </w:tcBorders>
            <w:shd w:val="clear" w:color="auto" w:fill="auto"/>
            <w:hideMark/>
          </w:tcPr>
          <w:p w14:paraId="10C445CC" w14:textId="77777777" w:rsidR="00D6212C" w:rsidRPr="00F273D6" w:rsidRDefault="00D6212C" w:rsidP="008A4C54">
            <w:pPr>
              <w:pStyle w:val="Tabletext1"/>
              <w:rPr>
                <w:bCs/>
              </w:rPr>
            </w:pPr>
            <w:r w:rsidRPr="00F273D6">
              <w:rPr>
                <w:bCs/>
              </w:rPr>
              <w:lastRenderedPageBreak/>
              <w:t>Was there adequate adjustment for confounding in the analyses from which the main findings were drawn?</w:t>
            </w:r>
          </w:p>
        </w:tc>
        <w:tc>
          <w:tcPr>
            <w:tcW w:w="661" w:type="pct"/>
            <w:tcBorders>
              <w:top w:val="nil"/>
              <w:left w:val="nil"/>
              <w:bottom w:val="single" w:sz="4" w:space="0" w:color="auto"/>
              <w:right w:val="single" w:sz="4" w:space="0" w:color="auto"/>
            </w:tcBorders>
            <w:shd w:val="clear" w:color="auto" w:fill="auto"/>
            <w:hideMark/>
          </w:tcPr>
          <w:p w14:paraId="54B667EE"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74BDFC3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37820860"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1288137C"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14" w:type="pct"/>
            <w:tcBorders>
              <w:top w:val="nil"/>
              <w:left w:val="nil"/>
              <w:bottom w:val="single" w:sz="4" w:space="0" w:color="auto"/>
              <w:right w:val="single" w:sz="4" w:space="0" w:color="auto"/>
            </w:tcBorders>
            <w:shd w:val="clear" w:color="auto" w:fill="auto"/>
            <w:hideMark/>
          </w:tcPr>
          <w:p w14:paraId="09602FE7" w14:textId="77777777" w:rsidR="00D6212C" w:rsidRPr="00204142" w:rsidRDefault="00D6212C" w:rsidP="00723373">
            <w:pPr>
              <w:pStyle w:val="Tabletext1"/>
              <w:rPr>
                <w:rFonts w:cs="Times New Roman"/>
                <w:color w:val="000000"/>
              </w:rPr>
            </w:pPr>
            <w:r w:rsidRPr="00204142">
              <w:rPr>
                <w:rFonts w:cs="Times New Roman"/>
                <w:color w:val="000000"/>
              </w:rPr>
              <w:t>NA</w:t>
            </w:r>
          </w:p>
        </w:tc>
        <w:tc>
          <w:tcPr>
            <w:tcW w:w="509" w:type="pct"/>
            <w:tcBorders>
              <w:top w:val="nil"/>
              <w:left w:val="nil"/>
              <w:bottom w:val="single" w:sz="4" w:space="0" w:color="auto"/>
              <w:right w:val="single" w:sz="4" w:space="0" w:color="auto"/>
            </w:tcBorders>
            <w:shd w:val="clear" w:color="auto" w:fill="auto"/>
            <w:hideMark/>
          </w:tcPr>
          <w:p w14:paraId="4A1A58B4"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6FC9DC89"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5" w:type="pct"/>
            <w:tcBorders>
              <w:top w:val="nil"/>
              <w:left w:val="nil"/>
              <w:bottom w:val="single" w:sz="4" w:space="0" w:color="auto"/>
              <w:right w:val="single" w:sz="4" w:space="0" w:color="auto"/>
            </w:tcBorders>
          </w:tcPr>
          <w:p w14:paraId="2E1E6A3C"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r>
      <w:tr w:rsidR="008A4C54" w:rsidRPr="00204142" w14:paraId="1E3F737B" w14:textId="77777777" w:rsidTr="00FA05F6">
        <w:trPr>
          <w:trHeight w:val="525"/>
        </w:trPr>
        <w:tc>
          <w:tcPr>
            <w:tcW w:w="937" w:type="pct"/>
            <w:tcBorders>
              <w:top w:val="nil"/>
              <w:left w:val="single" w:sz="4" w:space="0" w:color="auto"/>
              <w:bottom w:val="single" w:sz="4" w:space="0" w:color="auto"/>
              <w:right w:val="single" w:sz="4" w:space="0" w:color="auto"/>
            </w:tcBorders>
            <w:shd w:val="clear" w:color="auto" w:fill="auto"/>
            <w:hideMark/>
          </w:tcPr>
          <w:p w14:paraId="6B648A76" w14:textId="77777777" w:rsidR="00D6212C" w:rsidRPr="00F273D6" w:rsidRDefault="00D6212C" w:rsidP="008A4C54">
            <w:pPr>
              <w:pStyle w:val="Tabletext1"/>
              <w:rPr>
                <w:bCs/>
              </w:rPr>
            </w:pPr>
            <w:r w:rsidRPr="00F273D6">
              <w:rPr>
                <w:bCs/>
              </w:rPr>
              <w:t>Were losses of patients to follow-up taken into account?</w:t>
            </w:r>
          </w:p>
        </w:tc>
        <w:tc>
          <w:tcPr>
            <w:tcW w:w="661" w:type="pct"/>
            <w:tcBorders>
              <w:top w:val="nil"/>
              <w:left w:val="nil"/>
              <w:bottom w:val="single" w:sz="4" w:space="0" w:color="auto"/>
              <w:right w:val="single" w:sz="4" w:space="0" w:color="auto"/>
            </w:tcBorders>
            <w:shd w:val="clear" w:color="auto" w:fill="auto"/>
            <w:hideMark/>
          </w:tcPr>
          <w:p w14:paraId="0B20B6FF" w14:textId="77777777" w:rsidR="00D6212C" w:rsidRPr="001D7B73" w:rsidRDefault="00D6212C" w:rsidP="00723373">
            <w:pPr>
              <w:pStyle w:val="Tabletext1"/>
              <w:rPr>
                <w:rFonts w:cs="Times New Roman"/>
                <w:color w:val="000000"/>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01191E4C" w14:textId="77777777" w:rsidR="00D6212C" w:rsidRPr="001D7B73" w:rsidRDefault="00D6212C" w:rsidP="00723373">
            <w:pPr>
              <w:pStyle w:val="Tabletext1"/>
            </w:pPr>
            <w:r w:rsidRPr="001D7B73">
              <w:rPr>
                <w:snapToGrid w:val="0"/>
                <w:color w:val="00B050"/>
                <w:sz w:val="18"/>
                <w:szCs w:val="18"/>
              </w:rPr>
              <w:sym w:font="Wingdings" w:char="F04A"/>
            </w:r>
          </w:p>
        </w:tc>
        <w:tc>
          <w:tcPr>
            <w:tcW w:w="455" w:type="pct"/>
            <w:tcBorders>
              <w:top w:val="nil"/>
              <w:left w:val="nil"/>
              <w:bottom w:val="single" w:sz="4" w:space="0" w:color="auto"/>
              <w:right w:val="single" w:sz="4" w:space="0" w:color="auto"/>
            </w:tcBorders>
            <w:shd w:val="clear" w:color="auto" w:fill="auto"/>
            <w:hideMark/>
          </w:tcPr>
          <w:p w14:paraId="3BABEBED" w14:textId="77777777" w:rsidR="00D6212C" w:rsidRPr="001D7B73" w:rsidRDefault="00D6212C" w:rsidP="00723373">
            <w:pPr>
              <w:pStyle w:val="Tabletext1"/>
            </w:pPr>
            <w:r w:rsidRPr="001D7B73">
              <w:rPr>
                <w:snapToGrid w:val="0"/>
                <w:color w:val="00B050"/>
                <w:sz w:val="18"/>
                <w:szCs w:val="18"/>
              </w:rPr>
              <w:sym w:font="Wingdings" w:char="F04A"/>
            </w:r>
          </w:p>
        </w:tc>
        <w:tc>
          <w:tcPr>
            <w:tcW w:w="440" w:type="pct"/>
            <w:tcBorders>
              <w:top w:val="nil"/>
              <w:left w:val="nil"/>
              <w:bottom w:val="single" w:sz="4" w:space="0" w:color="auto"/>
              <w:right w:val="single" w:sz="4" w:space="0" w:color="auto"/>
            </w:tcBorders>
            <w:shd w:val="clear" w:color="auto" w:fill="auto"/>
            <w:hideMark/>
          </w:tcPr>
          <w:p w14:paraId="4D86C448" w14:textId="77777777" w:rsidR="00D6212C" w:rsidRPr="001D7B73" w:rsidRDefault="00D6212C" w:rsidP="00723373">
            <w:pPr>
              <w:pStyle w:val="Tabletext1"/>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4624D3A6" w14:textId="77777777" w:rsidR="00D6212C" w:rsidRPr="001D7B73" w:rsidRDefault="00D6212C" w:rsidP="00723373">
            <w:pPr>
              <w:pStyle w:val="Tabletext1"/>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0DD86AD0" w14:textId="77777777" w:rsidR="00D6212C" w:rsidRPr="001D7B73" w:rsidRDefault="00D6212C" w:rsidP="00723373">
            <w:pPr>
              <w:pStyle w:val="Tabletext1"/>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4286696E" w14:textId="77777777" w:rsidR="00D6212C" w:rsidRPr="001D7B73" w:rsidRDefault="00D6212C" w:rsidP="00723373">
            <w:pPr>
              <w:pStyle w:val="Tabletext1"/>
              <w:rPr>
                <w:color w:val="000000"/>
              </w:rPr>
            </w:pPr>
            <w:r w:rsidRPr="001D7B73">
              <w:rPr>
                <w:snapToGrid w:val="0"/>
                <w:color w:val="FF0000"/>
                <w:sz w:val="18"/>
                <w:szCs w:val="18"/>
              </w:rPr>
              <w:sym w:font="Wingdings" w:char="F04C"/>
            </w:r>
          </w:p>
        </w:tc>
        <w:tc>
          <w:tcPr>
            <w:tcW w:w="515" w:type="pct"/>
            <w:tcBorders>
              <w:top w:val="nil"/>
              <w:left w:val="nil"/>
              <w:bottom w:val="single" w:sz="4" w:space="0" w:color="auto"/>
              <w:right w:val="single" w:sz="4" w:space="0" w:color="auto"/>
            </w:tcBorders>
          </w:tcPr>
          <w:p w14:paraId="39877FD2" w14:textId="77777777" w:rsidR="00D6212C" w:rsidRPr="001D7B73" w:rsidRDefault="00D6212C" w:rsidP="00723373">
            <w:pPr>
              <w:pStyle w:val="Tabletext1"/>
            </w:pPr>
            <w:r w:rsidRPr="001D7B73">
              <w:rPr>
                <w:snapToGrid w:val="0"/>
                <w:color w:val="00B050"/>
                <w:sz w:val="18"/>
                <w:szCs w:val="18"/>
              </w:rPr>
              <w:sym w:font="Wingdings" w:char="F04A"/>
            </w:r>
          </w:p>
        </w:tc>
      </w:tr>
      <w:tr w:rsidR="008A4C54" w:rsidRPr="00204142" w14:paraId="63D4B180" w14:textId="77777777" w:rsidTr="00FA05F6">
        <w:trPr>
          <w:trHeight w:val="1557"/>
        </w:trPr>
        <w:tc>
          <w:tcPr>
            <w:tcW w:w="937" w:type="pct"/>
            <w:tcBorders>
              <w:top w:val="nil"/>
              <w:left w:val="single" w:sz="4" w:space="0" w:color="auto"/>
              <w:bottom w:val="single" w:sz="4" w:space="0" w:color="auto"/>
              <w:right w:val="single" w:sz="4" w:space="0" w:color="auto"/>
            </w:tcBorders>
            <w:shd w:val="clear" w:color="auto" w:fill="auto"/>
            <w:hideMark/>
          </w:tcPr>
          <w:p w14:paraId="033E0782" w14:textId="77777777" w:rsidR="00D6212C" w:rsidRPr="00F273D6" w:rsidRDefault="00D6212C" w:rsidP="008A4C54">
            <w:pPr>
              <w:pStyle w:val="Tabletext1"/>
            </w:pPr>
            <w:r w:rsidRPr="00F273D6">
              <w:rPr>
                <w:bCs/>
              </w:rPr>
              <w:t>Did the study have sufficient power to detect a clinically important effect where the probability value for a difference being due to chance &lt;5%</w:t>
            </w:r>
            <w:r w:rsidRPr="00F273D6">
              <w:t>?</w:t>
            </w:r>
          </w:p>
        </w:tc>
        <w:tc>
          <w:tcPr>
            <w:tcW w:w="661" w:type="pct"/>
            <w:tcBorders>
              <w:top w:val="nil"/>
              <w:left w:val="nil"/>
              <w:bottom w:val="single" w:sz="4" w:space="0" w:color="auto"/>
              <w:right w:val="single" w:sz="4" w:space="0" w:color="auto"/>
            </w:tcBorders>
            <w:shd w:val="clear" w:color="auto" w:fill="auto"/>
            <w:hideMark/>
          </w:tcPr>
          <w:p w14:paraId="7DB2C730"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4E9068C9"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55" w:type="pct"/>
            <w:tcBorders>
              <w:top w:val="nil"/>
              <w:left w:val="nil"/>
              <w:bottom w:val="single" w:sz="4" w:space="0" w:color="auto"/>
              <w:right w:val="single" w:sz="4" w:space="0" w:color="auto"/>
            </w:tcBorders>
            <w:shd w:val="clear" w:color="auto" w:fill="auto"/>
            <w:hideMark/>
          </w:tcPr>
          <w:p w14:paraId="1510CA74" w14:textId="77777777" w:rsidR="00D6212C" w:rsidRPr="001D7B73" w:rsidRDefault="00D6212C" w:rsidP="00723373">
            <w:pPr>
              <w:pStyle w:val="Tabletext1"/>
              <w:rPr>
                <w:snapToGrid w:val="0"/>
                <w:color w:val="FF0000"/>
                <w:sz w:val="18"/>
                <w:szCs w:val="18"/>
              </w:rPr>
            </w:pPr>
            <w:r w:rsidRPr="001D7B73">
              <w:rPr>
                <w:snapToGrid w:val="0"/>
                <w:color w:val="FF0000"/>
                <w:sz w:val="18"/>
                <w:szCs w:val="18"/>
              </w:rPr>
              <w:sym w:font="Wingdings" w:char="F04C"/>
            </w:r>
          </w:p>
        </w:tc>
        <w:tc>
          <w:tcPr>
            <w:tcW w:w="440" w:type="pct"/>
            <w:tcBorders>
              <w:top w:val="nil"/>
              <w:left w:val="nil"/>
              <w:bottom w:val="single" w:sz="4" w:space="0" w:color="auto"/>
              <w:right w:val="single" w:sz="4" w:space="0" w:color="auto"/>
            </w:tcBorders>
            <w:shd w:val="clear" w:color="auto" w:fill="auto"/>
            <w:hideMark/>
          </w:tcPr>
          <w:p w14:paraId="4033790A"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shd w:val="clear" w:color="auto" w:fill="auto"/>
            <w:hideMark/>
          </w:tcPr>
          <w:p w14:paraId="11B7579E"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09" w:type="pct"/>
            <w:tcBorders>
              <w:top w:val="nil"/>
              <w:left w:val="nil"/>
              <w:bottom w:val="single" w:sz="4" w:space="0" w:color="auto"/>
              <w:right w:val="single" w:sz="4" w:space="0" w:color="auto"/>
            </w:tcBorders>
            <w:shd w:val="clear" w:color="auto" w:fill="auto"/>
            <w:hideMark/>
          </w:tcPr>
          <w:p w14:paraId="41A8F9DA" w14:textId="77777777" w:rsidR="00D6212C" w:rsidRPr="001D7B73" w:rsidRDefault="00D6212C" w:rsidP="00723373">
            <w:pPr>
              <w:pStyle w:val="Tabletext1"/>
              <w:rPr>
                <w:snapToGrid w:val="0"/>
                <w:color w:val="00B050"/>
                <w:sz w:val="18"/>
                <w:szCs w:val="18"/>
              </w:rPr>
            </w:pPr>
            <w:r w:rsidRPr="001D7B73">
              <w:rPr>
                <w:snapToGrid w:val="0"/>
                <w:color w:val="00B050"/>
                <w:sz w:val="18"/>
                <w:szCs w:val="18"/>
              </w:rPr>
              <w:sym w:font="Wingdings" w:char="F04A"/>
            </w:r>
          </w:p>
        </w:tc>
        <w:tc>
          <w:tcPr>
            <w:tcW w:w="514" w:type="pct"/>
            <w:tcBorders>
              <w:top w:val="nil"/>
              <w:left w:val="nil"/>
              <w:bottom w:val="single" w:sz="4" w:space="0" w:color="auto"/>
              <w:right w:val="single" w:sz="4" w:space="0" w:color="auto"/>
            </w:tcBorders>
          </w:tcPr>
          <w:p w14:paraId="0A85F58B" w14:textId="77777777" w:rsidR="00D6212C" w:rsidRPr="001D7B73" w:rsidRDefault="00D6212C" w:rsidP="00723373">
            <w:pPr>
              <w:pStyle w:val="Tabletext1"/>
              <w:rPr>
                <w:color w:val="000000"/>
              </w:rPr>
            </w:pPr>
            <w:r w:rsidRPr="001D7B73">
              <w:rPr>
                <w:snapToGrid w:val="0"/>
                <w:color w:val="FF0000"/>
                <w:sz w:val="18"/>
                <w:szCs w:val="18"/>
              </w:rPr>
              <w:sym w:font="Wingdings" w:char="F04C"/>
            </w:r>
          </w:p>
        </w:tc>
        <w:tc>
          <w:tcPr>
            <w:tcW w:w="515" w:type="pct"/>
            <w:tcBorders>
              <w:top w:val="nil"/>
              <w:left w:val="nil"/>
              <w:bottom w:val="single" w:sz="4" w:space="0" w:color="auto"/>
              <w:right w:val="single" w:sz="4" w:space="0" w:color="auto"/>
            </w:tcBorders>
          </w:tcPr>
          <w:p w14:paraId="502984B3" w14:textId="77777777" w:rsidR="00D6212C" w:rsidRPr="001D7B73" w:rsidRDefault="00D6212C" w:rsidP="00723373">
            <w:pPr>
              <w:pStyle w:val="Tabletext1"/>
              <w:rPr>
                <w:rFonts w:cs="Times New Roman"/>
                <w:color w:val="000000"/>
              </w:rPr>
            </w:pPr>
            <w:r w:rsidRPr="001D7B73">
              <w:rPr>
                <w:snapToGrid w:val="0"/>
                <w:color w:val="00B050"/>
                <w:sz w:val="18"/>
                <w:szCs w:val="18"/>
              </w:rPr>
              <w:sym w:font="Wingdings" w:char="F04A"/>
            </w:r>
          </w:p>
        </w:tc>
      </w:tr>
      <w:tr w:rsidR="008A4C54" w:rsidRPr="00736AC1" w14:paraId="22F2DC2E" w14:textId="77777777" w:rsidTr="00FA05F6">
        <w:trPr>
          <w:trHeight w:val="96"/>
        </w:trPr>
        <w:tc>
          <w:tcPr>
            <w:tcW w:w="937" w:type="pct"/>
            <w:tcBorders>
              <w:top w:val="nil"/>
              <w:left w:val="single" w:sz="4" w:space="0" w:color="auto"/>
              <w:bottom w:val="single" w:sz="4" w:space="0" w:color="auto"/>
              <w:right w:val="single" w:sz="4" w:space="0" w:color="auto"/>
            </w:tcBorders>
            <w:shd w:val="clear" w:color="auto" w:fill="auto"/>
            <w:hideMark/>
          </w:tcPr>
          <w:p w14:paraId="71AA599B" w14:textId="7A4947F7" w:rsidR="00D6212C" w:rsidRPr="00F273D6" w:rsidRDefault="00D6212C" w:rsidP="008A4C54">
            <w:pPr>
              <w:pStyle w:val="Tabletext1"/>
              <w:rPr>
                <w:bCs/>
              </w:rPr>
            </w:pPr>
            <w:r w:rsidRPr="00F273D6">
              <w:rPr>
                <w:bCs/>
              </w:rPr>
              <w:t>Total</w:t>
            </w:r>
            <w:r w:rsidR="00FD5BE0">
              <w:rPr>
                <w:bCs/>
              </w:rPr>
              <w:t xml:space="preserve"> </w:t>
            </w:r>
            <w:r w:rsidRPr="00F273D6">
              <w:rPr>
                <w:bCs/>
              </w:rPr>
              <w:t>/27</w:t>
            </w:r>
          </w:p>
        </w:tc>
        <w:tc>
          <w:tcPr>
            <w:tcW w:w="661" w:type="pct"/>
            <w:tcBorders>
              <w:top w:val="nil"/>
              <w:left w:val="nil"/>
              <w:bottom w:val="single" w:sz="4" w:space="0" w:color="auto"/>
              <w:right w:val="single" w:sz="4" w:space="0" w:color="auto"/>
            </w:tcBorders>
            <w:shd w:val="clear" w:color="auto" w:fill="auto"/>
            <w:hideMark/>
          </w:tcPr>
          <w:p w14:paraId="2F3C94E8" w14:textId="77777777" w:rsidR="00D6212C" w:rsidRPr="00736AC1" w:rsidRDefault="00D6212C" w:rsidP="00723373">
            <w:pPr>
              <w:pStyle w:val="Tabletext1"/>
              <w:rPr>
                <w:rFonts w:cs="Times New Roman"/>
                <w:b/>
                <w:bCs/>
                <w:color w:val="000000"/>
              </w:rPr>
            </w:pPr>
            <w:r w:rsidRPr="00736AC1">
              <w:rPr>
                <w:rFonts w:cs="Times New Roman"/>
                <w:b/>
                <w:bCs/>
                <w:color w:val="000000"/>
              </w:rPr>
              <w:t>14</w:t>
            </w:r>
          </w:p>
        </w:tc>
        <w:tc>
          <w:tcPr>
            <w:tcW w:w="455" w:type="pct"/>
            <w:tcBorders>
              <w:top w:val="nil"/>
              <w:left w:val="nil"/>
              <w:bottom w:val="single" w:sz="4" w:space="0" w:color="auto"/>
              <w:right w:val="single" w:sz="4" w:space="0" w:color="auto"/>
            </w:tcBorders>
            <w:shd w:val="clear" w:color="auto" w:fill="auto"/>
            <w:hideMark/>
          </w:tcPr>
          <w:p w14:paraId="42295D06" w14:textId="77777777" w:rsidR="00D6212C" w:rsidRPr="00736AC1" w:rsidRDefault="00D6212C" w:rsidP="00723373">
            <w:pPr>
              <w:pStyle w:val="Tabletext1"/>
              <w:rPr>
                <w:rFonts w:cs="Times New Roman"/>
                <w:b/>
                <w:bCs/>
                <w:color w:val="000000"/>
              </w:rPr>
            </w:pPr>
            <w:r w:rsidRPr="00736AC1">
              <w:rPr>
                <w:rFonts w:cs="Times New Roman"/>
                <w:b/>
                <w:bCs/>
                <w:color w:val="000000"/>
              </w:rPr>
              <w:t>17</w:t>
            </w:r>
          </w:p>
        </w:tc>
        <w:tc>
          <w:tcPr>
            <w:tcW w:w="455" w:type="pct"/>
            <w:tcBorders>
              <w:top w:val="nil"/>
              <w:left w:val="nil"/>
              <w:bottom w:val="single" w:sz="4" w:space="0" w:color="auto"/>
              <w:right w:val="single" w:sz="4" w:space="0" w:color="auto"/>
            </w:tcBorders>
            <w:shd w:val="clear" w:color="auto" w:fill="auto"/>
            <w:hideMark/>
          </w:tcPr>
          <w:p w14:paraId="47E299BA" w14:textId="77777777" w:rsidR="00D6212C" w:rsidRPr="00736AC1" w:rsidRDefault="00D6212C" w:rsidP="00723373">
            <w:pPr>
              <w:pStyle w:val="Tabletext1"/>
              <w:rPr>
                <w:rFonts w:cs="Times New Roman"/>
                <w:b/>
                <w:bCs/>
                <w:color w:val="000000"/>
              </w:rPr>
            </w:pPr>
            <w:r w:rsidRPr="00736AC1">
              <w:rPr>
                <w:rFonts w:cs="Times New Roman"/>
                <w:b/>
                <w:bCs/>
                <w:color w:val="000000"/>
              </w:rPr>
              <w:t>16</w:t>
            </w:r>
          </w:p>
        </w:tc>
        <w:tc>
          <w:tcPr>
            <w:tcW w:w="440" w:type="pct"/>
            <w:tcBorders>
              <w:top w:val="nil"/>
              <w:left w:val="nil"/>
              <w:bottom w:val="single" w:sz="4" w:space="0" w:color="auto"/>
              <w:right w:val="single" w:sz="4" w:space="0" w:color="auto"/>
            </w:tcBorders>
            <w:shd w:val="clear" w:color="auto" w:fill="auto"/>
            <w:hideMark/>
          </w:tcPr>
          <w:p w14:paraId="5B3059A6" w14:textId="77777777" w:rsidR="00D6212C" w:rsidRPr="00736AC1" w:rsidRDefault="00D6212C" w:rsidP="00723373">
            <w:pPr>
              <w:pStyle w:val="Tabletext1"/>
              <w:rPr>
                <w:rFonts w:cs="Times New Roman"/>
                <w:b/>
                <w:color w:val="000000"/>
              </w:rPr>
            </w:pPr>
            <w:r w:rsidRPr="00736AC1">
              <w:rPr>
                <w:rFonts w:cs="Times New Roman"/>
                <w:b/>
                <w:color w:val="000000"/>
              </w:rPr>
              <w:t>19</w:t>
            </w:r>
          </w:p>
        </w:tc>
        <w:tc>
          <w:tcPr>
            <w:tcW w:w="514" w:type="pct"/>
            <w:tcBorders>
              <w:top w:val="nil"/>
              <w:left w:val="nil"/>
              <w:bottom w:val="single" w:sz="4" w:space="0" w:color="auto"/>
              <w:right w:val="single" w:sz="4" w:space="0" w:color="auto"/>
            </w:tcBorders>
            <w:shd w:val="clear" w:color="auto" w:fill="auto"/>
            <w:hideMark/>
          </w:tcPr>
          <w:p w14:paraId="68EC106A" w14:textId="77777777" w:rsidR="00D6212C" w:rsidRPr="00736AC1" w:rsidRDefault="00D6212C" w:rsidP="00723373">
            <w:pPr>
              <w:pStyle w:val="Tabletext1"/>
              <w:rPr>
                <w:rFonts w:cs="Times New Roman"/>
                <w:b/>
                <w:color w:val="000000"/>
              </w:rPr>
            </w:pPr>
            <w:r w:rsidRPr="00736AC1">
              <w:rPr>
                <w:rFonts w:cs="Times New Roman"/>
                <w:b/>
                <w:color w:val="000000"/>
              </w:rPr>
              <w:t>16</w:t>
            </w:r>
          </w:p>
        </w:tc>
        <w:tc>
          <w:tcPr>
            <w:tcW w:w="509" w:type="pct"/>
            <w:tcBorders>
              <w:top w:val="nil"/>
              <w:left w:val="nil"/>
              <w:bottom w:val="single" w:sz="4" w:space="0" w:color="auto"/>
              <w:right w:val="single" w:sz="4" w:space="0" w:color="auto"/>
            </w:tcBorders>
            <w:shd w:val="clear" w:color="auto" w:fill="auto"/>
            <w:hideMark/>
          </w:tcPr>
          <w:p w14:paraId="433EADEA" w14:textId="77777777" w:rsidR="00D6212C" w:rsidRPr="00736AC1" w:rsidRDefault="00D6212C" w:rsidP="00723373">
            <w:pPr>
              <w:pStyle w:val="Tabletext1"/>
              <w:rPr>
                <w:rFonts w:cs="Times New Roman"/>
                <w:b/>
                <w:color w:val="000000"/>
              </w:rPr>
            </w:pPr>
            <w:r w:rsidRPr="00736AC1">
              <w:rPr>
                <w:rFonts w:cs="Times New Roman"/>
                <w:b/>
                <w:color w:val="000000"/>
              </w:rPr>
              <w:t>17</w:t>
            </w:r>
          </w:p>
        </w:tc>
        <w:tc>
          <w:tcPr>
            <w:tcW w:w="514" w:type="pct"/>
            <w:tcBorders>
              <w:top w:val="nil"/>
              <w:left w:val="nil"/>
              <w:bottom w:val="single" w:sz="4" w:space="0" w:color="auto"/>
              <w:right w:val="single" w:sz="4" w:space="0" w:color="auto"/>
            </w:tcBorders>
          </w:tcPr>
          <w:p w14:paraId="56A2CA11" w14:textId="77777777" w:rsidR="00D6212C" w:rsidRDefault="00D6212C" w:rsidP="00723373">
            <w:pPr>
              <w:pStyle w:val="Tabletext1"/>
              <w:rPr>
                <w:color w:val="000000"/>
              </w:rPr>
            </w:pPr>
            <w:r w:rsidRPr="001B5FF6">
              <w:rPr>
                <w:rFonts w:cs="Times New Roman"/>
                <w:b/>
                <w:color w:val="000000"/>
              </w:rPr>
              <w:t>16</w:t>
            </w:r>
          </w:p>
        </w:tc>
        <w:tc>
          <w:tcPr>
            <w:tcW w:w="515" w:type="pct"/>
            <w:tcBorders>
              <w:top w:val="nil"/>
              <w:left w:val="nil"/>
              <w:bottom w:val="single" w:sz="4" w:space="0" w:color="auto"/>
              <w:right w:val="single" w:sz="4" w:space="0" w:color="auto"/>
            </w:tcBorders>
          </w:tcPr>
          <w:p w14:paraId="3E2EC2C5" w14:textId="77777777" w:rsidR="00D6212C" w:rsidRPr="00736AC1" w:rsidRDefault="00D6212C" w:rsidP="00723373">
            <w:pPr>
              <w:pStyle w:val="Tabletext1"/>
              <w:rPr>
                <w:rFonts w:cs="Times New Roman"/>
                <w:b/>
                <w:color w:val="000000"/>
              </w:rPr>
            </w:pPr>
            <w:r w:rsidRPr="00736AC1">
              <w:rPr>
                <w:rFonts w:cs="Times New Roman"/>
                <w:b/>
                <w:color w:val="000000"/>
              </w:rPr>
              <w:t>14</w:t>
            </w:r>
          </w:p>
        </w:tc>
      </w:tr>
    </w:tbl>
    <w:p w14:paraId="33984590" w14:textId="77777777" w:rsidR="00FA05F6" w:rsidRDefault="00FA05F6" w:rsidP="00FA05F6">
      <w:pPr>
        <w:pStyle w:val="TableNotes"/>
        <w:rPr>
          <w:b/>
          <w:color w:val="1F497D" w:themeColor="text2"/>
        </w:rPr>
      </w:pPr>
      <w:r w:rsidRPr="008832A0">
        <w:rPr>
          <w:color w:val="00B050"/>
        </w:rPr>
        <w:sym w:font="Wingdings" w:char="F04A"/>
      </w:r>
      <w:r>
        <w:rPr>
          <w:color w:val="00B050"/>
        </w:rPr>
        <w:t xml:space="preserve"> </w:t>
      </w:r>
      <w:r w:rsidRPr="008832A0">
        <w:t>=</w:t>
      </w:r>
      <w:r>
        <w:rPr>
          <w:color w:val="00B050"/>
        </w:rPr>
        <w:t xml:space="preserve"> </w:t>
      </w:r>
      <w:r w:rsidRPr="008832A0">
        <w:t>Yes</w:t>
      </w:r>
      <w:r>
        <w:t xml:space="preserve">, </w:t>
      </w:r>
      <w:r w:rsidRPr="008832A0">
        <w:rPr>
          <w:color w:val="FF0000"/>
        </w:rPr>
        <w:sym w:font="Wingdings" w:char="F04C"/>
      </w:r>
      <w:r>
        <w:t xml:space="preserve"> =</w:t>
      </w:r>
      <w:r w:rsidRPr="008832A0">
        <w:t xml:space="preserve"> No</w:t>
      </w:r>
      <w:r>
        <w:t>,</w:t>
      </w:r>
      <w:r w:rsidRPr="008832A0">
        <w:t xml:space="preserve"> </w:t>
      </w:r>
      <w:r>
        <w:t xml:space="preserve">NA </w:t>
      </w:r>
      <w:r w:rsidRPr="008832A0">
        <w:t xml:space="preserve">= </w:t>
      </w:r>
      <w:r>
        <w:t>n</w:t>
      </w:r>
      <w:r w:rsidRPr="00736AC1">
        <w:t>ot applicable,</w:t>
      </w:r>
      <w:r>
        <w:t xml:space="preserve"> ? =</w:t>
      </w:r>
      <w:r w:rsidRPr="00736AC1">
        <w:t xml:space="preserve"> </w:t>
      </w:r>
      <w:r>
        <w:t>cannot answer.</w:t>
      </w:r>
    </w:p>
    <w:p w14:paraId="4AEBE3B3" w14:textId="77777777" w:rsidR="00FA05F6" w:rsidRDefault="00FA05F6" w:rsidP="008A4C54">
      <w:pPr>
        <w:pStyle w:val="TableNotes"/>
        <w:rPr>
          <w:b/>
          <w:color w:val="1F497D" w:themeColor="text2"/>
        </w:rPr>
      </w:pPr>
    </w:p>
    <w:p w14:paraId="568B285C" w14:textId="77777777" w:rsidR="00FA05F6" w:rsidRDefault="00FA05F6" w:rsidP="008A4C54">
      <w:pPr>
        <w:pStyle w:val="TableNotes"/>
        <w:sectPr w:rsidR="00FA05F6" w:rsidSect="0080059D">
          <w:headerReference w:type="even" r:id="rId65"/>
          <w:headerReference w:type="default" r:id="rId66"/>
          <w:footerReference w:type="even" r:id="rId67"/>
          <w:headerReference w:type="first" r:id="rId68"/>
          <w:pgSz w:w="11906" w:h="16838"/>
          <w:pgMar w:top="1440" w:right="1440" w:bottom="1440" w:left="1440" w:header="720" w:footer="720" w:gutter="0"/>
          <w:paperSrc w:first="7" w:other="7"/>
          <w:cols w:space="720"/>
          <w:docGrid w:linePitch="360"/>
        </w:sectPr>
      </w:pPr>
    </w:p>
    <w:p w14:paraId="576FCFA1" w14:textId="32ADC83E" w:rsidR="00D6212C" w:rsidRDefault="00EE6B9E" w:rsidP="00EE6B9E">
      <w:pPr>
        <w:pStyle w:val="Caption"/>
      </w:pPr>
      <w:bookmarkStart w:id="837" w:name="_Toc460514589"/>
      <w:r>
        <w:lastRenderedPageBreak/>
        <w:t xml:space="preserve">Table </w:t>
      </w:r>
      <w:fldSimple w:instr=" SEQ Table \* ARABIC ">
        <w:r w:rsidR="0029649D">
          <w:rPr>
            <w:noProof/>
          </w:rPr>
          <w:t>89</w:t>
        </w:r>
      </w:fldSimple>
      <w:r>
        <w:tab/>
        <w:t>Quality appraisal of the case series studies</w:t>
      </w:r>
      <w:r w:rsidR="00301B40">
        <w:t xml:space="preserve"> using Downs and Black tool</w:t>
      </w:r>
      <w:bookmarkEnd w:id="837"/>
    </w:p>
    <w:tbl>
      <w:tblPr>
        <w:tblW w:w="1433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32"/>
        <w:gridCol w:w="957"/>
        <w:gridCol w:w="1321"/>
        <w:gridCol w:w="1068"/>
        <w:gridCol w:w="1132"/>
        <w:gridCol w:w="1086"/>
        <w:gridCol w:w="1178"/>
        <w:gridCol w:w="1132"/>
        <w:gridCol w:w="1132"/>
        <w:gridCol w:w="1132"/>
        <w:gridCol w:w="1162"/>
      </w:tblGrid>
      <w:tr w:rsidR="00EE6B9E" w:rsidRPr="008A4C54" w14:paraId="6B33547F" w14:textId="77777777" w:rsidTr="00723373">
        <w:trPr>
          <w:trHeight w:val="315"/>
        </w:trPr>
        <w:tc>
          <w:tcPr>
            <w:tcW w:w="3032" w:type="dxa"/>
            <w:shd w:val="clear" w:color="auto" w:fill="FFFFFF" w:themeFill="background1"/>
            <w:noWrap/>
            <w:vAlign w:val="center"/>
            <w:hideMark/>
          </w:tcPr>
          <w:p w14:paraId="17BC78F3" w14:textId="4E36024C" w:rsidR="00EE6B9E" w:rsidRPr="008A4C54" w:rsidRDefault="008A4C54" w:rsidP="008A4C54">
            <w:pPr>
              <w:pStyle w:val="Tabletext1"/>
            </w:pPr>
            <w:r w:rsidRPr="008A4C54">
              <w:t>Study ID</w:t>
            </w:r>
          </w:p>
        </w:tc>
        <w:tc>
          <w:tcPr>
            <w:tcW w:w="957" w:type="dxa"/>
            <w:shd w:val="clear" w:color="auto" w:fill="FFFFFF" w:themeFill="background1"/>
            <w:noWrap/>
            <w:vAlign w:val="bottom"/>
            <w:hideMark/>
          </w:tcPr>
          <w:p w14:paraId="3478CD82" w14:textId="29F9BF7E" w:rsidR="00EE6B9E" w:rsidRPr="008A4C54" w:rsidRDefault="00EE6B9E" w:rsidP="008A4C54">
            <w:pPr>
              <w:pStyle w:val="Tabletext1"/>
              <w:rPr>
                <w:rFonts w:cs="Times New Roman"/>
              </w:rPr>
            </w:pPr>
            <w:r w:rsidRPr="008A4C54">
              <w:rPr>
                <w:rFonts w:cs="Times New Roman"/>
              </w:rPr>
              <w:t>Mai et al.</w:t>
            </w:r>
            <w:r w:rsidR="008A4C54" w:rsidRPr="008A4C54">
              <w:rPr>
                <w:rFonts w:cs="Times New Roman"/>
              </w:rPr>
              <w:t xml:space="preserve"> (2016)</w:t>
            </w:r>
          </w:p>
        </w:tc>
        <w:tc>
          <w:tcPr>
            <w:tcW w:w="1321" w:type="dxa"/>
            <w:shd w:val="clear" w:color="auto" w:fill="FFFFFF" w:themeFill="background1"/>
            <w:noWrap/>
            <w:vAlign w:val="bottom"/>
            <w:hideMark/>
          </w:tcPr>
          <w:p w14:paraId="1970B5CB" w14:textId="6D3401C3" w:rsidR="00EE6B9E" w:rsidRPr="008A4C54" w:rsidRDefault="00EE6B9E" w:rsidP="008A4C54">
            <w:pPr>
              <w:pStyle w:val="Tabletext1"/>
              <w:rPr>
                <w:rFonts w:cs="Times New Roman"/>
              </w:rPr>
            </w:pPr>
            <w:r w:rsidRPr="008A4C54">
              <w:rPr>
                <w:rFonts w:cs="Times New Roman"/>
              </w:rPr>
              <w:t xml:space="preserve">Anastasiad- is et al. </w:t>
            </w:r>
            <w:r w:rsidR="008A4C54" w:rsidRPr="008A4C54">
              <w:rPr>
                <w:rFonts w:cs="Times New Roman"/>
              </w:rPr>
              <w:t>(2015)</w:t>
            </w:r>
          </w:p>
        </w:tc>
        <w:tc>
          <w:tcPr>
            <w:tcW w:w="1068" w:type="dxa"/>
            <w:shd w:val="clear" w:color="auto" w:fill="FFFFFF" w:themeFill="background1"/>
            <w:noWrap/>
            <w:vAlign w:val="bottom"/>
            <w:hideMark/>
          </w:tcPr>
          <w:p w14:paraId="13FADDC1" w14:textId="7F34907E" w:rsidR="00EE6B9E" w:rsidRPr="008A4C54" w:rsidRDefault="00EE6B9E" w:rsidP="008A4C54">
            <w:pPr>
              <w:pStyle w:val="Tabletext1"/>
              <w:rPr>
                <w:rFonts w:cs="Times New Roman"/>
              </w:rPr>
            </w:pPr>
            <w:r w:rsidRPr="008A4C54">
              <w:rPr>
                <w:rFonts w:cs="Times New Roman"/>
              </w:rPr>
              <w:t>Roth et al.</w:t>
            </w:r>
            <w:r w:rsidR="008A4C54" w:rsidRPr="008A4C54">
              <w:rPr>
                <w:rFonts w:cs="Times New Roman"/>
              </w:rPr>
              <w:t xml:space="preserve"> (2015)</w:t>
            </w:r>
          </w:p>
        </w:tc>
        <w:tc>
          <w:tcPr>
            <w:tcW w:w="1132" w:type="dxa"/>
            <w:shd w:val="clear" w:color="auto" w:fill="FFFFFF" w:themeFill="background1"/>
            <w:noWrap/>
            <w:vAlign w:val="bottom"/>
            <w:hideMark/>
          </w:tcPr>
          <w:p w14:paraId="1A19E0A6" w14:textId="1E983F51" w:rsidR="00EE6B9E" w:rsidRPr="008A4C54" w:rsidRDefault="00EE6B9E" w:rsidP="008A4C54">
            <w:pPr>
              <w:pStyle w:val="Tabletext1"/>
              <w:rPr>
                <w:rFonts w:cs="Times New Roman"/>
              </w:rPr>
            </w:pPr>
            <w:r w:rsidRPr="008A4C54">
              <w:rPr>
                <w:rFonts w:cs="Times New Roman"/>
              </w:rPr>
              <w:t>Nam et al.</w:t>
            </w:r>
            <w:r w:rsidR="008A4C54" w:rsidRPr="008A4C54">
              <w:rPr>
                <w:rFonts w:cs="Times New Roman"/>
              </w:rPr>
              <w:t xml:space="preserve"> (2013)</w:t>
            </w:r>
          </w:p>
        </w:tc>
        <w:tc>
          <w:tcPr>
            <w:tcW w:w="1086" w:type="dxa"/>
            <w:shd w:val="clear" w:color="auto" w:fill="FFFFFF" w:themeFill="background1"/>
            <w:noWrap/>
            <w:vAlign w:val="bottom"/>
            <w:hideMark/>
          </w:tcPr>
          <w:p w14:paraId="6DCC083C" w14:textId="51C1BE8C" w:rsidR="00EE6B9E" w:rsidRPr="008A4C54" w:rsidRDefault="00EE6B9E" w:rsidP="008A4C54">
            <w:pPr>
              <w:pStyle w:val="Tabletext1"/>
              <w:rPr>
                <w:rFonts w:cs="Times New Roman"/>
              </w:rPr>
            </w:pPr>
            <w:r w:rsidRPr="008A4C54">
              <w:rPr>
                <w:rFonts w:cs="Times New Roman"/>
              </w:rPr>
              <w:t>Helfand et al.</w:t>
            </w:r>
            <w:r w:rsidR="008A4C54" w:rsidRPr="008A4C54">
              <w:rPr>
                <w:rFonts w:cs="Times New Roman"/>
              </w:rPr>
              <w:t xml:space="preserve"> (2012)</w:t>
            </w:r>
          </w:p>
        </w:tc>
        <w:tc>
          <w:tcPr>
            <w:tcW w:w="1178" w:type="dxa"/>
            <w:shd w:val="clear" w:color="auto" w:fill="FFFFFF" w:themeFill="background1"/>
            <w:noWrap/>
            <w:vAlign w:val="bottom"/>
            <w:hideMark/>
          </w:tcPr>
          <w:p w14:paraId="4764CE06" w14:textId="10B7DC93" w:rsidR="00EE6B9E" w:rsidRPr="008A4C54" w:rsidRDefault="00EE6B9E" w:rsidP="008A4C54">
            <w:pPr>
              <w:pStyle w:val="Tabletext1"/>
              <w:rPr>
                <w:rFonts w:cs="Times New Roman"/>
              </w:rPr>
            </w:pPr>
            <w:r w:rsidRPr="008A4C54">
              <w:rPr>
                <w:rFonts w:cs="Times New Roman"/>
              </w:rPr>
              <w:t xml:space="preserve">Solberg et al. </w:t>
            </w:r>
            <w:r w:rsidR="008A4C54" w:rsidRPr="008A4C54">
              <w:rPr>
                <w:rFonts w:cs="Times New Roman"/>
              </w:rPr>
              <w:t>(2011)</w:t>
            </w:r>
          </w:p>
        </w:tc>
        <w:tc>
          <w:tcPr>
            <w:tcW w:w="1132" w:type="dxa"/>
            <w:shd w:val="clear" w:color="auto" w:fill="FFFFFF" w:themeFill="background1"/>
            <w:noWrap/>
            <w:vAlign w:val="bottom"/>
            <w:hideMark/>
          </w:tcPr>
          <w:p w14:paraId="01408923" w14:textId="7895B377" w:rsidR="00EE6B9E" w:rsidRPr="008A4C54" w:rsidRDefault="00EE6B9E" w:rsidP="008A4C54">
            <w:pPr>
              <w:pStyle w:val="Tabletext1"/>
              <w:rPr>
                <w:rFonts w:cs="Times New Roman"/>
              </w:rPr>
            </w:pPr>
            <w:r w:rsidRPr="008A4C54">
              <w:rPr>
                <w:rFonts w:cs="Times New Roman"/>
              </w:rPr>
              <w:t>Utrera et al.</w:t>
            </w:r>
            <w:r w:rsidR="008A4C54" w:rsidRPr="008A4C54">
              <w:rPr>
                <w:rFonts w:cs="Times New Roman"/>
              </w:rPr>
              <w:t xml:space="preserve"> (2011a)</w:t>
            </w:r>
          </w:p>
        </w:tc>
        <w:tc>
          <w:tcPr>
            <w:tcW w:w="1132" w:type="dxa"/>
            <w:shd w:val="clear" w:color="auto" w:fill="FFFFFF" w:themeFill="background1"/>
            <w:noWrap/>
            <w:vAlign w:val="bottom"/>
            <w:hideMark/>
          </w:tcPr>
          <w:p w14:paraId="23D9A5BC" w14:textId="2212C1AF" w:rsidR="00EE6B9E" w:rsidRPr="008A4C54" w:rsidRDefault="00EE6B9E" w:rsidP="008A4C54">
            <w:pPr>
              <w:pStyle w:val="Tabletext1"/>
              <w:rPr>
                <w:rFonts w:cs="Times New Roman"/>
              </w:rPr>
            </w:pPr>
            <w:r w:rsidRPr="008A4C54">
              <w:rPr>
                <w:rFonts w:cs="Times New Roman"/>
              </w:rPr>
              <w:t>Utrera et al.</w:t>
            </w:r>
            <w:r w:rsidR="008A4C54" w:rsidRPr="008A4C54">
              <w:rPr>
                <w:rFonts w:cs="Times New Roman"/>
              </w:rPr>
              <w:t xml:space="preserve"> (2011b)</w:t>
            </w:r>
          </w:p>
        </w:tc>
        <w:tc>
          <w:tcPr>
            <w:tcW w:w="1132" w:type="dxa"/>
            <w:shd w:val="clear" w:color="auto" w:fill="FFFFFF" w:themeFill="background1"/>
            <w:noWrap/>
            <w:vAlign w:val="bottom"/>
            <w:hideMark/>
          </w:tcPr>
          <w:p w14:paraId="6FB7E29B" w14:textId="449D2E2A" w:rsidR="00EE6B9E" w:rsidRPr="008A4C54" w:rsidRDefault="00EE6B9E" w:rsidP="008A4C54">
            <w:pPr>
              <w:pStyle w:val="Tabletext1"/>
              <w:rPr>
                <w:rFonts w:cs="Times New Roman"/>
              </w:rPr>
            </w:pPr>
            <w:r w:rsidRPr="008A4C54">
              <w:rPr>
                <w:rFonts w:cs="Times New Roman"/>
              </w:rPr>
              <w:t>Simsir et al.</w:t>
            </w:r>
            <w:r w:rsidR="008A4C54" w:rsidRPr="008A4C54">
              <w:rPr>
                <w:rFonts w:cs="Times New Roman"/>
              </w:rPr>
              <w:t xml:space="preserve"> (2010)</w:t>
            </w:r>
          </w:p>
        </w:tc>
        <w:tc>
          <w:tcPr>
            <w:tcW w:w="1162" w:type="dxa"/>
            <w:shd w:val="clear" w:color="auto" w:fill="FFFFFF" w:themeFill="background1"/>
            <w:noWrap/>
            <w:vAlign w:val="bottom"/>
            <w:hideMark/>
          </w:tcPr>
          <w:p w14:paraId="7C7D3A52" w14:textId="5D00E80F" w:rsidR="00EE6B9E" w:rsidRPr="008A4C54" w:rsidRDefault="00EE6B9E" w:rsidP="008A4C54">
            <w:pPr>
              <w:pStyle w:val="Tabletext1"/>
              <w:rPr>
                <w:rFonts w:cs="Times New Roman"/>
              </w:rPr>
            </w:pPr>
            <w:r w:rsidRPr="008A4C54">
              <w:rPr>
                <w:rFonts w:cs="Times New Roman"/>
              </w:rPr>
              <w:t>Roberts et al.</w:t>
            </w:r>
            <w:r w:rsidR="008A4C54" w:rsidRPr="008A4C54">
              <w:rPr>
                <w:rFonts w:cs="Times New Roman"/>
              </w:rPr>
              <w:t xml:space="preserve"> (2002)</w:t>
            </w:r>
          </w:p>
        </w:tc>
      </w:tr>
      <w:tr w:rsidR="00EE6B9E" w:rsidRPr="008A4C54" w14:paraId="0F547E4A" w14:textId="77777777" w:rsidTr="00723373">
        <w:trPr>
          <w:trHeight w:val="315"/>
        </w:trPr>
        <w:tc>
          <w:tcPr>
            <w:tcW w:w="3032" w:type="dxa"/>
            <w:tcBorders>
              <w:right w:val="single" w:sz="4" w:space="0" w:color="auto"/>
            </w:tcBorders>
            <w:shd w:val="clear" w:color="auto" w:fill="FFFFFF" w:themeFill="background1"/>
            <w:noWrap/>
            <w:vAlign w:val="center"/>
            <w:hideMark/>
          </w:tcPr>
          <w:p w14:paraId="0240E349" w14:textId="77777777" w:rsidR="00EE6B9E" w:rsidRPr="008A4C54" w:rsidRDefault="00EE6B9E" w:rsidP="008A4C54">
            <w:pPr>
              <w:pStyle w:val="Tabletext1"/>
              <w:rPr>
                <w:b/>
                <w:bCs/>
              </w:rPr>
            </w:pPr>
            <w:r w:rsidRPr="008A4C54">
              <w:rPr>
                <w:b/>
                <w:bCs/>
              </w:rPr>
              <w:t>STUDY OBJECTIVE</w:t>
            </w:r>
          </w:p>
        </w:tc>
        <w:tc>
          <w:tcPr>
            <w:tcW w:w="957" w:type="dxa"/>
            <w:tcBorders>
              <w:top w:val="single" w:sz="4" w:space="0" w:color="auto"/>
              <w:left w:val="single" w:sz="4" w:space="0" w:color="auto"/>
              <w:bottom w:val="single" w:sz="4" w:space="0" w:color="auto"/>
              <w:right w:val="nil"/>
            </w:tcBorders>
            <w:shd w:val="clear" w:color="auto" w:fill="FFFFFF" w:themeFill="background1"/>
            <w:noWrap/>
            <w:vAlign w:val="center"/>
            <w:hideMark/>
          </w:tcPr>
          <w:p w14:paraId="0E5C1B73" w14:textId="77777777" w:rsidR="00EE6B9E" w:rsidRPr="008A4C54" w:rsidRDefault="00EE6B9E" w:rsidP="008A4C54">
            <w:pPr>
              <w:pStyle w:val="Tabletext1"/>
              <w:rPr>
                <w:b/>
                <w:bCs/>
              </w:rPr>
            </w:pPr>
            <w:r w:rsidRPr="008A4C54">
              <w:rPr>
                <w:b/>
                <w:bCs/>
              </w:rPr>
              <w:t> </w:t>
            </w:r>
          </w:p>
        </w:tc>
        <w:tc>
          <w:tcPr>
            <w:tcW w:w="1321" w:type="dxa"/>
            <w:tcBorders>
              <w:top w:val="single" w:sz="4" w:space="0" w:color="auto"/>
              <w:left w:val="nil"/>
              <w:bottom w:val="single" w:sz="4" w:space="0" w:color="auto"/>
              <w:right w:val="nil"/>
            </w:tcBorders>
            <w:shd w:val="clear" w:color="auto" w:fill="FFFFFF" w:themeFill="background1"/>
            <w:noWrap/>
            <w:vAlign w:val="center"/>
            <w:hideMark/>
          </w:tcPr>
          <w:p w14:paraId="7E95B988" w14:textId="77777777" w:rsidR="00EE6B9E" w:rsidRPr="008A4C54" w:rsidRDefault="00EE6B9E" w:rsidP="008A4C54">
            <w:pPr>
              <w:pStyle w:val="Tabletext1"/>
              <w:rPr>
                <w:b/>
                <w:bCs/>
              </w:rPr>
            </w:pPr>
            <w:r w:rsidRPr="008A4C54">
              <w:rPr>
                <w:b/>
                <w:bCs/>
              </w:rPr>
              <w:t> </w:t>
            </w:r>
          </w:p>
        </w:tc>
        <w:tc>
          <w:tcPr>
            <w:tcW w:w="1068" w:type="dxa"/>
            <w:tcBorders>
              <w:top w:val="single" w:sz="4" w:space="0" w:color="auto"/>
              <w:left w:val="nil"/>
              <w:bottom w:val="single" w:sz="4" w:space="0" w:color="auto"/>
              <w:right w:val="nil"/>
            </w:tcBorders>
            <w:shd w:val="clear" w:color="auto" w:fill="FFFFFF" w:themeFill="background1"/>
            <w:noWrap/>
            <w:vAlign w:val="center"/>
            <w:hideMark/>
          </w:tcPr>
          <w:p w14:paraId="50FB946F"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noWrap/>
            <w:vAlign w:val="center"/>
            <w:hideMark/>
          </w:tcPr>
          <w:p w14:paraId="5E7A5418" w14:textId="77777777" w:rsidR="00EE6B9E" w:rsidRPr="008A4C54" w:rsidRDefault="00EE6B9E" w:rsidP="008A4C54">
            <w:pPr>
              <w:pStyle w:val="Tabletext1"/>
              <w:rPr>
                <w:b/>
                <w:bCs/>
              </w:rPr>
            </w:pPr>
            <w:r w:rsidRPr="008A4C54">
              <w:rPr>
                <w:b/>
                <w:bCs/>
              </w:rPr>
              <w:t> </w:t>
            </w:r>
          </w:p>
        </w:tc>
        <w:tc>
          <w:tcPr>
            <w:tcW w:w="1086" w:type="dxa"/>
            <w:tcBorders>
              <w:top w:val="single" w:sz="4" w:space="0" w:color="auto"/>
              <w:left w:val="nil"/>
              <w:bottom w:val="single" w:sz="4" w:space="0" w:color="auto"/>
              <w:right w:val="nil"/>
            </w:tcBorders>
            <w:shd w:val="clear" w:color="auto" w:fill="FFFFFF" w:themeFill="background1"/>
            <w:noWrap/>
            <w:vAlign w:val="center"/>
            <w:hideMark/>
          </w:tcPr>
          <w:p w14:paraId="15F8FA88" w14:textId="77777777" w:rsidR="00EE6B9E" w:rsidRPr="008A4C54" w:rsidRDefault="00EE6B9E" w:rsidP="008A4C54">
            <w:pPr>
              <w:pStyle w:val="Tabletext1"/>
              <w:rPr>
                <w:b/>
                <w:bCs/>
              </w:rPr>
            </w:pPr>
            <w:r w:rsidRPr="008A4C54">
              <w:rPr>
                <w:b/>
                <w:bCs/>
              </w:rPr>
              <w:t> </w:t>
            </w:r>
          </w:p>
        </w:tc>
        <w:tc>
          <w:tcPr>
            <w:tcW w:w="1178" w:type="dxa"/>
            <w:tcBorders>
              <w:top w:val="single" w:sz="4" w:space="0" w:color="auto"/>
              <w:left w:val="nil"/>
              <w:bottom w:val="single" w:sz="4" w:space="0" w:color="auto"/>
              <w:right w:val="nil"/>
            </w:tcBorders>
            <w:shd w:val="clear" w:color="auto" w:fill="FFFFFF" w:themeFill="background1"/>
            <w:noWrap/>
            <w:vAlign w:val="center"/>
            <w:hideMark/>
          </w:tcPr>
          <w:p w14:paraId="0BAFF6C5"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noWrap/>
            <w:vAlign w:val="center"/>
            <w:hideMark/>
          </w:tcPr>
          <w:p w14:paraId="789AA25A"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noWrap/>
            <w:vAlign w:val="center"/>
            <w:hideMark/>
          </w:tcPr>
          <w:p w14:paraId="5F535F23"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noWrap/>
            <w:vAlign w:val="center"/>
            <w:hideMark/>
          </w:tcPr>
          <w:p w14:paraId="1C75B914" w14:textId="77777777" w:rsidR="00EE6B9E" w:rsidRPr="008A4C54" w:rsidRDefault="00EE6B9E" w:rsidP="008A4C54">
            <w:pPr>
              <w:pStyle w:val="Tabletext1"/>
              <w:rPr>
                <w:b/>
                <w:bCs/>
              </w:rPr>
            </w:pPr>
            <w:r w:rsidRPr="008A4C54">
              <w:rPr>
                <w:b/>
                <w:bCs/>
              </w:rPr>
              <w:t> </w:t>
            </w:r>
          </w:p>
        </w:tc>
        <w:tc>
          <w:tcPr>
            <w:tcW w:w="116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49F54D" w14:textId="77777777" w:rsidR="00EE6B9E" w:rsidRPr="008A4C54" w:rsidRDefault="00EE6B9E" w:rsidP="008A4C54">
            <w:pPr>
              <w:pStyle w:val="Tabletext1"/>
              <w:rPr>
                <w:b/>
                <w:bCs/>
              </w:rPr>
            </w:pPr>
            <w:r w:rsidRPr="008A4C54">
              <w:rPr>
                <w:b/>
                <w:bCs/>
              </w:rPr>
              <w:t> </w:t>
            </w:r>
          </w:p>
        </w:tc>
      </w:tr>
      <w:tr w:rsidR="00EE6B9E" w:rsidRPr="008A4C54" w14:paraId="12B575A4" w14:textId="77777777" w:rsidTr="00723373">
        <w:trPr>
          <w:trHeight w:val="690"/>
        </w:trPr>
        <w:tc>
          <w:tcPr>
            <w:tcW w:w="3032" w:type="dxa"/>
            <w:shd w:val="clear" w:color="auto" w:fill="FFFFFF" w:themeFill="background1"/>
            <w:vAlign w:val="center"/>
            <w:hideMark/>
          </w:tcPr>
          <w:p w14:paraId="377DA557" w14:textId="77777777" w:rsidR="00EE6B9E" w:rsidRPr="008A4C54" w:rsidRDefault="00EE6B9E" w:rsidP="008A4C54">
            <w:pPr>
              <w:pStyle w:val="Tabletext1"/>
              <w:rPr>
                <w:rFonts w:cs="Times New Roman"/>
              </w:rPr>
            </w:pPr>
            <w:r w:rsidRPr="008A4C54">
              <w:rPr>
                <w:rFonts w:cs="Times New Roman"/>
              </w:rPr>
              <w:t>1. Is the hypothesis/aim/objective of the study clearly stated in the abstract, introduction, or methods section?</w:t>
            </w:r>
          </w:p>
        </w:tc>
        <w:tc>
          <w:tcPr>
            <w:tcW w:w="957" w:type="dxa"/>
            <w:tcBorders>
              <w:top w:val="single" w:sz="4" w:space="0" w:color="auto"/>
              <w:bottom w:val="single" w:sz="4" w:space="0" w:color="auto"/>
            </w:tcBorders>
            <w:shd w:val="clear" w:color="auto" w:fill="FFFFFF" w:themeFill="background1"/>
            <w:noWrap/>
            <w:vAlign w:val="bottom"/>
            <w:hideMark/>
          </w:tcPr>
          <w:p w14:paraId="6A3CC6E1" w14:textId="77777777" w:rsidR="00EE6B9E" w:rsidRPr="008A4C54" w:rsidRDefault="00EE6B9E" w:rsidP="008A4C54">
            <w:pPr>
              <w:pStyle w:val="Tabletext1"/>
              <w:rPr>
                <w:rFonts w:cs="Times New Roman"/>
              </w:rPr>
            </w:pPr>
            <w:r w:rsidRPr="008A4C54">
              <w:rPr>
                <w:rFonts w:cs="Times New Roman"/>
              </w:rPr>
              <w:t>1</w:t>
            </w:r>
          </w:p>
        </w:tc>
        <w:tc>
          <w:tcPr>
            <w:tcW w:w="1321" w:type="dxa"/>
            <w:tcBorders>
              <w:top w:val="single" w:sz="4" w:space="0" w:color="auto"/>
              <w:bottom w:val="single" w:sz="4" w:space="0" w:color="auto"/>
            </w:tcBorders>
            <w:shd w:val="clear" w:color="auto" w:fill="FFFFFF" w:themeFill="background1"/>
            <w:noWrap/>
            <w:vAlign w:val="bottom"/>
            <w:hideMark/>
          </w:tcPr>
          <w:p w14:paraId="38A6A27F" w14:textId="77777777" w:rsidR="00EE6B9E" w:rsidRPr="008A4C54" w:rsidRDefault="00EE6B9E" w:rsidP="008A4C54">
            <w:pPr>
              <w:pStyle w:val="Tabletext1"/>
              <w:rPr>
                <w:rFonts w:cs="Times New Roman"/>
              </w:rPr>
            </w:pPr>
            <w:r w:rsidRPr="008A4C54">
              <w:rPr>
                <w:rFonts w:cs="Times New Roman"/>
              </w:rPr>
              <w:t>1</w:t>
            </w:r>
          </w:p>
        </w:tc>
        <w:tc>
          <w:tcPr>
            <w:tcW w:w="1068" w:type="dxa"/>
            <w:tcBorders>
              <w:top w:val="single" w:sz="4" w:space="0" w:color="auto"/>
              <w:bottom w:val="single" w:sz="4" w:space="0" w:color="auto"/>
            </w:tcBorders>
            <w:shd w:val="clear" w:color="auto" w:fill="FFFFFF" w:themeFill="background1"/>
            <w:noWrap/>
            <w:vAlign w:val="bottom"/>
            <w:hideMark/>
          </w:tcPr>
          <w:p w14:paraId="6BB4A62B"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bottom w:val="single" w:sz="4" w:space="0" w:color="auto"/>
            </w:tcBorders>
            <w:shd w:val="clear" w:color="auto" w:fill="FFFFFF" w:themeFill="background1"/>
            <w:noWrap/>
            <w:vAlign w:val="bottom"/>
            <w:hideMark/>
          </w:tcPr>
          <w:p w14:paraId="0C57BD21" w14:textId="77777777" w:rsidR="00EE6B9E" w:rsidRPr="008A4C54" w:rsidRDefault="00EE6B9E" w:rsidP="008A4C54">
            <w:pPr>
              <w:pStyle w:val="Tabletext1"/>
              <w:rPr>
                <w:rFonts w:cs="Times New Roman"/>
              </w:rPr>
            </w:pPr>
            <w:r w:rsidRPr="008A4C54">
              <w:rPr>
                <w:rFonts w:cs="Times New Roman"/>
              </w:rPr>
              <w:t>1</w:t>
            </w:r>
          </w:p>
        </w:tc>
        <w:tc>
          <w:tcPr>
            <w:tcW w:w="1086" w:type="dxa"/>
            <w:tcBorders>
              <w:top w:val="single" w:sz="4" w:space="0" w:color="auto"/>
              <w:bottom w:val="single" w:sz="4" w:space="0" w:color="auto"/>
            </w:tcBorders>
            <w:shd w:val="clear" w:color="auto" w:fill="FFFFFF" w:themeFill="background1"/>
            <w:noWrap/>
            <w:vAlign w:val="bottom"/>
            <w:hideMark/>
          </w:tcPr>
          <w:p w14:paraId="1CFF580F" w14:textId="77777777" w:rsidR="00EE6B9E" w:rsidRPr="008A4C54" w:rsidRDefault="00EE6B9E" w:rsidP="008A4C54">
            <w:pPr>
              <w:pStyle w:val="Tabletext1"/>
              <w:rPr>
                <w:rFonts w:cs="Times New Roman"/>
              </w:rPr>
            </w:pPr>
            <w:r w:rsidRPr="008A4C54">
              <w:rPr>
                <w:rFonts w:cs="Times New Roman"/>
              </w:rPr>
              <w:t>1</w:t>
            </w:r>
          </w:p>
        </w:tc>
        <w:tc>
          <w:tcPr>
            <w:tcW w:w="1178" w:type="dxa"/>
            <w:tcBorders>
              <w:top w:val="single" w:sz="4" w:space="0" w:color="auto"/>
              <w:bottom w:val="single" w:sz="4" w:space="0" w:color="auto"/>
            </w:tcBorders>
            <w:shd w:val="clear" w:color="auto" w:fill="FFFFFF" w:themeFill="background1"/>
            <w:noWrap/>
            <w:vAlign w:val="bottom"/>
            <w:hideMark/>
          </w:tcPr>
          <w:p w14:paraId="0AE1EC5A"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bottom w:val="single" w:sz="4" w:space="0" w:color="auto"/>
            </w:tcBorders>
            <w:shd w:val="clear" w:color="auto" w:fill="FFFFFF" w:themeFill="background1"/>
            <w:noWrap/>
            <w:vAlign w:val="bottom"/>
            <w:hideMark/>
          </w:tcPr>
          <w:p w14:paraId="1834F551"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bottom w:val="single" w:sz="4" w:space="0" w:color="auto"/>
            </w:tcBorders>
            <w:shd w:val="clear" w:color="auto" w:fill="FFFFFF" w:themeFill="background1"/>
            <w:noWrap/>
            <w:vAlign w:val="bottom"/>
            <w:hideMark/>
          </w:tcPr>
          <w:p w14:paraId="42B3D5E1"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bottom w:val="single" w:sz="4" w:space="0" w:color="auto"/>
            </w:tcBorders>
            <w:shd w:val="clear" w:color="auto" w:fill="FFFFFF" w:themeFill="background1"/>
            <w:noWrap/>
            <w:vAlign w:val="bottom"/>
            <w:hideMark/>
          </w:tcPr>
          <w:p w14:paraId="0820EE16" w14:textId="77777777" w:rsidR="00EE6B9E" w:rsidRPr="008A4C54" w:rsidRDefault="00EE6B9E" w:rsidP="008A4C54">
            <w:pPr>
              <w:pStyle w:val="Tabletext1"/>
              <w:rPr>
                <w:rFonts w:cs="Times New Roman"/>
              </w:rPr>
            </w:pPr>
            <w:r w:rsidRPr="008A4C54">
              <w:rPr>
                <w:rFonts w:cs="Times New Roman"/>
              </w:rPr>
              <w:t>1</w:t>
            </w:r>
          </w:p>
        </w:tc>
        <w:tc>
          <w:tcPr>
            <w:tcW w:w="1162" w:type="dxa"/>
            <w:tcBorders>
              <w:top w:val="single" w:sz="4" w:space="0" w:color="auto"/>
              <w:bottom w:val="single" w:sz="4" w:space="0" w:color="auto"/>
            </w:tcBorders>
            <w:shd w:val="clear" w:color="auto" w:fill="FFFFFF" w:themeFill="background1"/>
            <w:noWrap/>
            <w:vAlign w:val="bottom"/>
            <w:hideMark/>
          </w:tcPr>
          <w:p w14:paraId="725A7132"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29889148" w14:textId="77777777" w:rsidTr="00723373">
        <w:trPr>
          <w:trHeight w:val="315"/>
        </w:trPr>
        <w:tc>
          <w:tcPr>
            <w:tcW w:w="3032" w:type="dxa"/>
            <w:tcBorders>
              <w:right w:val="single" w:sz="4" w:space="0" w:color="auto"/>
            </w:tcBorders>
            <w:shd w:val="clear" w:color="auto" w:fill="FFFFFF" w:themeFill="background1"/>
            <w:vAlign w:val="center"/>
            <w:hideMark/>
          </w:tcPr>
          <w:p w14:paraId="566ECC66" w14:textId="77777777" w:rsidR="00EE6B9E" w:rsidRPr="008A4C54" w:rsidRDefault="00EE6B9E" w:rsidP="008A4C54">
            <w:pPr>
              <w:pStyle w:val="Tabletext1"/>
              <w:rPr>
                <w:b/>
                <w:bCs/>
              </w:rPr>
            </w:pPr>
            <w:r w:rsidRPr="008A4C54">
              <w:rPr>
                <w:b/>
                <w:bCs/>
              </w:rPr>
              <w:t>STUDY POPULATION</w:t>
            </w:r>
          </w:p>
        </w:tc>
        <w:tc>
          <w:tcPr>
            <w:tcW w:w="957" w:type="dxa"/>
            <w:tcBorders>
              <w:top w:val="single" w:sz="4" w:space="0" w:color="auto"/>
              <w:left w:val="single" w:sz="4" w:space="0" w:color="auto"/>
              <w:bottom w:val="single" w:sz="4" w:space="0" w:color="auto"/>
              <w:right w:val="nil"/>
            </w:tcBorders>
            <w:shd w:val="clear" w:color="auto" w:fill="FFFFFF" w:themeFill="background1"/>
            <w:vAlign w:val="center"/>
            <w:hideMark/>
          </w:tcPr>
          <w:p w14:paraId="73A44B41" w14:textId="77777777" w:rsidR="00EE6B9E" w:rsidRPr="008A4C54" w:rsidRDefault="00EE6B9E" w:rsidP="008A4C54">
            <w:pPr>
              <w:pStyle w:val="Tabletext1"/>
              <w:rPr>
                <w:b/>
                <w:bCs/>
              </w:rPr>
            </w:pPr>
            <w:r w:rsidRPr="008A4C54">
              <w:rPr>
                <w:b/>
                <w:bCs/>
              </w:rPr>
              <w:t> </w:t>
            </w:r>
          </w:p>
        </w:tc>
        <w:tc>
          <w:tcPr>
            <w:tcW w:w="1321" w:type="dxa"/>
            <w:tcBorders>
              <w:top w:val="single" w:sz="4" w:space="0" w:color="auto"/>
              <w:left w:val="nil"/>
              <w:bottom w:val="single" w:sz="4" w:space="0" w:color="auto"/>
              <w:right w:val="nil"/>
            </w:tcBorders>
            <w:shd w:val="clear" w:color="auto" w:fill="FFFFFF" w:themeFill="background1"/>
            <w:vAlign w:val="center"/>
            <w:hideMark/>
          </w:tcPr>
          <w:p w14:paraId="00E7F387" w14:textId="77777777" w:rsidR="00EE6B9E" w:rsidRPr="008A4C54" w:rsidRDefault="00EE6B9E" w:rsidP="008A4C54">
            <w:pPr>
              <w:pStyle w:val="Tabletext1"/>
              <w:rPr>
                <w:b/>
                <w:bCs/>
              </w:rPr>
            </w:pPr>
            <w:r w:rsidRPr="008A4C54">
              <w:rPr>
                <w:b/>
                <w:bCs/>
              </w:rPr>
              <w:t> </w:t>
            </w:r>
          </w:p>
        </w:tc>
        <w:tc>
          <w:tcPr>
            <w:tcW w:w="1068" w:type="dxa"/>
            <w:tcBorders>
              <w:top w:val="single" w:sz="4" w:space="0" w:color="auto"/>
              <w:left w:val="nil"/>
              <w:bottom w:val="single" w:sz="4" w:space="0" w:color="auto"/>
              <w:right w:val="nil"/>
            </w:tcBorders>
            <w:shd w:val="clear" w:color="auto" w:fill="FFFFFF" w:themeFill="background1"/>
            <w:vAlign w:val="center"/>
            <w:hideMark/>
          </w:tcPr>
          <w:p w14:paraId="5D763FB5"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1C76EF67" w14:textId="77777777" w:rsidR="00EE6B9E" w:rsidRPr="008A4C54" w:rsidRDefault="00EE6B9E" w:rsidP="008A4C54">
            <w:pPr>
              <w:pStyle w:val="Tabletext1"/>
              <w:rPr>
                <w:b/>
                <w:bCs/>
              </w:rPr>
            </w:pPr>
            <w:r w:rsidRPr="008A4C54">
              <w:rPr>
                <w:b/>
                <w:bCs/>
              </w:rPr>
              <w:t> </w:t>
            </w:r>
          </w:p>
        </w:tc>
        <w:tc>
          <w:tcPr>
            <w:tcW w:w="1086" w:type="dxa"/>
            <w:tcBorders>
              <w:top w:val="single" w:sz="4" w:space="0" w:color="auto"/>
              <w:left w:val="nil"/>
              <w:bottom w:val="single" w:sz="4" w:space="0" w:color="auto"/>
              <w:right w:val="nil"/>
            </w:tcBorders>
            <w:shd w:val="clear" w:color="auto" w:fill="FFFFFF" w:themeFill="background1"/>
            <w:vAlign w:val="center"/>
            <w:hideMark/>
          </w:tcPr>
          <w:p w14:paraId="19CB0FE5" w14:textId="77777777" w:rsidR="00EE6B9E" w:rsidRPr="008A4C54" w:rsidRDefault="00EE6B9E" w:rsidP="008A4C54">
            <w:pPr>
              <w:pStyle w:val="Tabletext1"/>
              <w:rPr>
                <w:b/>
                <w:bCs/>
              </w:rPr>
            </w:pPr>
            <w:r w:rsidRPr="008A4C54">
              <w:rPr>
                <w:b/>
                <w:bCs/>
              </w:rPr>
              <w:t> </w:t>
            </w:r>
          </w:p>
        </w:tc>
        <w:tc>
          <w:tcPr>
            <w:tcW w:w="1178" w:type="dxa"/>
            <w:tcBorders>
              <w:top w:val="single" w:sz="4" w:space="0" w:color="auto"/>
              <w:left w:val="nil"/>
              <w:bottom w:val="single" w:sz="4" w:space="0" w:color="auto"/>
              <w:right w:val="nil"/>
            </w:tcBorders>
            <w:shd w:val="clear" w:color="auto" w:fill="FFFFFF" w:themeFill="background1"/>
            <w:vAlign w:val="center"/>
            <w:hideMark/>
          </w:tcPr>
          <w:p w14:paraId="1E2D96FD"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560636BC"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476EA76F"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7B1A1EB1" w14:textId="77777777" w:rsidR="00EE6B9E" w:rsidRPr="008A4C54" w:rsidRDefault="00EE6B9E" w:rsidP="008A4C54">
            <w:pPr>
              <w:pStyle w:val="Tabletext1"/>
              <w:rPr>
                <w:b/>
                <w:bCs/>
              </w:rPr>
            </w:pPr>
            <w:r w:rsidRPr="008A4C54">
              <w:rPr>
                <w:b/>
                <w:bCs/>
              </w:rPr>
              <w:t> </w:t>
            </w:r>
          </w:p>
        </w:tc>
        <w:tc>
          <w:tcPr>
            <w:tcW w:w="1162" w:type="dxa"/>
            <w:tcBorders>
              <w:top w:val="single" w:sz="4" w:space="0" w:color="auto"/>
              <w:left w:val="nil"/>
              <w:bottom w:val="single" w:sz="4" w:space="0" w:color="auto"/>
              <w:right w:val="single" w:sz="4" w:space="0" w:color="auto"/>
            </w:tcBorders>
            <w:shd w:val="clear" w:color="auto" w:fill="FFFFFF" w:themeFill="background1"/>
            <w:vAlign w:val="center"/>
            <w:hideMark/>
          </w:tcPr>
          <w:p w14:paraId="3418768B" w14:textId="77777777" w:rsidR="00EE6B9E" w:rsidRPr="008A4C54" w:rsidRDefault="00EE6B9E" w:rsidP="008A4C54">
            <w:pPr>
              <w:pStyle w:val="Tabletext1"/>
              <w:rPr>
                <w:b/>
                <w:bCs/>
              </w:rPr>
            </w:pPr>
            <w:r w:rsidRPr="008A4C54">
              <w:rPr>
                <w:b/>
                <w:bCs/>
              </w:rPr>
              <w:t> </w:t>
            </w:r>
          </w:p>
        </w:tc>
      </w:tr>
      <w:tr w:rsidR="00EE6B9E" w:rsidRPr="008A4C54" w14:paraId="3C91CA5A" w14:textId="77777777" w:rsidTr="00723373">
        <w:trPr>
          <w:trHeight w:val="690"/>
        </w:trPr>
        <w:tc>
          <w:tcPr>
            <w:tcW w:w="3032" w:type="dxa"/>
            <w:shd w:val="clear" w:color="auto" w:fill="FFFFFF" w:themeFill="background1"/>
            <w:vAlign w:val="center"/>
            <w:hideMark/>
          </w:tcPr>
          <w:p w14:paraId="773A4860" w14:textId="04F82647" w:rsidR="00EE6B9E" w:rsidRPr="008A4C54" w:rsidRDefault="00EE6B9E" w:rsidP="008A4C54">
            <w:pPr>
              <w:pStyle w:val="Tabletext1"/>
              <w:rPr>
                <w:rFonts w:cs="Times New Roman"/>
              </w:rPr>
            </w:pPr>
            <w:r w:rsidRPr="008A4C54">
              <w:rPr>
                <w:rFonts w:cs="Times New Roman"/>
              </w:rPr>
              <w:t xml:space="preserve">2. Are the characteristics of the </w:t>
            </w:r>
            <w:r w:rsidR="00CE60C4">
              <w:rPr>
                <w:rFonts w:cs="Times New Roman"/>
              </w:rPr>
              <w:t>patients</w:t>
            </w:r>
            <w:r w:rsidRPr="008A4C54">
              <w:rPr>
                <w:rFonts w:cs="Times New Roman"/>
              </w:rPr>
              <w:t xml:space="preserve"> included in the study described?</w:t>
            </w:r>
          </w:p>
        </w:tc>
        <w:tc>
          <w:tcPr>
            <w:tcW w:w="957" w:type="dxa"/>
            <w:tcBorders>
              <w:top w:val="single" w:sz="4" w:space="0" w:color="auto"/>
            </w:tcBorders>
            <w:shd w:val="clear" w:color="auto" w:fill="FFFFFF" w:themeFill="background1"/>
            <w:noWrap/>
            <w:vAlign w:val="bottom"/>
            <w:hideMark/>
          </w:tcPr>
          <w:p w14:paraId="11F7872F" w14:textId="77777777" w:rsidR="00EE6B9E" w:rsidRPr="008A4C54" w:rsidRDefault="00EE6B9E" w:rsidP="008A4C54">
            <w:pPr>
              <w:pStyle w:val="Tabletext1"/>
              <w:rPr>
                <w:rFonts w:cs="Times New Roman"/>
              </w:rPr>
            </w:pPr>
            <w:r w:rsidRPr="008A4C54">
              <w:rPr>
                <w:rFonts w:cs="Times New Roman"/>
              </w:rPr>
              <w:t>1</w:t>
            </w:r>
          </w:p>
        </w:tc>
        <w:tc>
          <w:tcPr>
            <w:tcW w:w="1321" w:type="dxa"/>
            <w:tcBorders>
              <w:top w:val="single" w:sz="4" w:space="0" w:color="auto"/>
            </w:tcBorders>
            <w:shd w:val="clear" w:color="auto" w:fill="FFFFFF" w:themeFill="background1"/>
            <w:noWrap/>
            <w:vAlign w:val="bottom"/>
            <w:hideMark/>
          </w:tcPr>
          <w:p w14:paraId="6009D6BC" w14:textId="77777777" w:rsidR="00EE6B9E" w:rsidRPr="008A4C54" w:rsidRDefault="00EE6B9E" w:rsidP="008A4C54">
            <w:pPr>
              <w:pStyle w:val="Tabletext1"/>
              <w:rPr>
                <w:rFonts w:cs="Times New Roman"/>
              </w:rPr>
            </w:pPr>
            <w:r w:rsidRPr="008A4C54">
              <w:rPr>
                <w:rFonts w:cs="Times New Roman"/>
              </w:rPr>
              <w:t>0</w:t>
            </w:r>
          </w:p>
        </w:tc>
        <w:tc>
          <w:tcPr>
            <w:tcW w:w="1068" w:type="dxa"/>
            <w:tcBorders>
              <w:top w:val="single" w:sz="4" w:space="0" w:color="auto"/>
            </w:tcBorders>
            <w:shd w:val="clear" w:color="auto" w:fill="FFFFFF" w:themeFill="background1"/>
            <w:noWrap/>
            <w:vAlign w:val="bottom"/>
            <w:hideMark/>
          </w:tcPr>
          <w:p w14:paraId="747FE121" w14:textId="77777777" w:rsidR="00EE6B9E" w:rsidRPr="008A4C54" w:rsidRDefault="00EE6B9E" w:rsidP="008A4C54">
            <w:pPr>
              <w:pStyle w:val="Tabletext1"/>
              <w:rPr>
                <w:rFonts w:cs="Times New Roman"/>
              </w:rPr>
            </w:pPr>
            <w:r w:rsidRPr="008A4C54">
              <w:rPr>
                <w:rFonts w:cs="Times New Roman"/>
              </w:rPr>
              <w:t>0</w:t>
            </w:r>
          </w:p>
        </w:tc>
        <w:tc>
          <w:tcPr>
            <w:tcW w:w="1132" w:type="dxa"/>
            <w:tcBorders>
              <w:top w:val="single" w:sz="4" w:space="0" w:color="auto"/>
            </w:tcBorders>
            <w:shd w:val="clear" w:color="auto" w:fill="FFFFFF" w:themeFill="background1"/>
            <w:noWrap/>
            <w:vAlign w:val="bottom"/>
            <w:hideMark/>
          </w:tcPr>
          <w:p w14:paraId="68ECB256" w14:textId="77777777" w:rsidR="00EE6B9E" w:rsidRPr="008A4C54" w:rsidRDefault="00EE6B9E" w:rsidP="008A4C54">
            <w:pPr>
              <w:pStyle w:val="Tabletext1"/>
              <w:rPr>
                <w:rFonts w:cs="Times New Roman"/>
              </w:rPr>
            </w:pPr>
            <w:r w:rsidRPr="008A4C54">
              <w:rPr>
                <w:rFonts w:cs="Times New Roman"/>
              </w:rPr>
              <w:t>1</w:t>
            </w:r>
          </w:p>
        </w:tc>
        <w:tc>
          <w:tcPr>
            <w:tcW w:w="1086" w:type="dxa"/>
            <w:tcBorders>
              <w:top w:val="single" w:sz="4" w:space="0" w:color="auto"/>
            </w:tcBorders>
            <w:shd w:val="clear" w:color="auto" w:fill="FFFFFF" w:themeFill="background1"/>
            <w:noWrap/>
            <w:vAlign w:val="bottom"/>
            <w:hideMark/>
          </w:tcPr>
          <w:p w14:paraId="5B82771D" w14:textId="77777777" w:rsidR="00EE6B9E" w:rsidRPr="008A4C54" w:rsidRDefault="00EE6B9E" w:rsidP="008A4C54">
            <w:pPr>
              <w:pStyle w:val="Tabletext1"/>
              <w:rPr>
                <w:rFonts w:cs="Times New Roman"/>
              </w:rPr>
            </w:pPr>
            <w:r w:rsidRPr="008A4C54">
              <w:rPr>
                <w:rFonts w:cs="Times New Roman"/>
              </w:rPr>
              <w:t>1</w:t>
            </w:r>
          </w:p>
        </w:tc>
        <w:tc>
          <w:tcPr>
            <w:tcW w:w="1178" w:type="dxa"/>
            <w:tcBorders>
              <w:top w:val="single" w:sz="4" w:space="0" w:color="auto"/>
            </w:tcBorders>
            <w:shd w:val="clear" w:color="auto" w:fill="FFFFFF" w:themeFill="background1"/>
            <w:noWrap/>
            <w:vAlign w:val="bottom"/>
            <w:hideMark/>
          </w:tcPr>
          <w:p w14:paraId="372086A0"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75D981F6"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345BB267"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3CD7F2CF" w14:textId="77777777" w:rsidR="00EE6B9E" w:rsidRPr="008A4C54" w:rsidRDefault="00EE6B9E" w:rsidP="008A4C54">
            <w:pPr>
              <w:pStyle w:val="Tabletext1"/>
              <w:rPr>
                <w:rFonts w:cs="Times New Roman"/>
              </w:rPr>
            </w:pPr>
            <w:r w:rsidRPr="008A4C54">
              <w:rPr>
                <w:rFonts w:cs="Times New Roman"/>
              </w:rPr>
              <w:t>1</w:t>
            </w:r>
          </w:p>
        </w:tc>
        <w:tc>
          <w:tcPr>
            <w:tcW w:w="1162" w:type="dxa"/>
            <w:tcBorders>
              <w:top w:val="single" w:sz="4" w:space="0" w:color="auto"/>
            </w:tcBorders>
            <w:shd w:val="clear" w:color="auto" w:fill="FFFFFF" w:themeFill="background1"/>
            <w:noWrap/>
            <w:vAlign w:val="bottom"/>
            <w:hideMark/>
          </w:tcPr>
          <w:p w14:paraId="438ABD6D"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674BC340" w14:textId="77777777" w:rsidTr="00723373">
        <w:trPr>
          <w:trHeight w:val="465"/>
        </w:trPr>
        <w:tc>
          <w:tcPr>
            <w:tcW w:w="3032" w:type="dxa"/>
            <w:shd w:val="clear" w:color="auto" w:fill="FFFFFF" w:themeFill="background1"/>
            <w:vAlign w:val="center"/>
            <w:hideMark/>
          </w:tcPr>
          <w:p w14:paraId="400CAAAC" w14:textId="77777777" w:rsidR="00EE6B9E" w:rsidRPr="008A4C54" w:rsidRDefault="00EE6B9E" w:rsidP="008A4C54">
            <w:pPr>
              <w:pStyle w:val="Tabletext1"/>
              <w:rPr>
                <w:rFonts w:cs="Times New Roman"/>
              </w:rPr>
            </w:pPr>
            <w:r w:rsidRPr="008A4C54">
              <w:rPr>
                <w:rFonts w:cs="Times New Roman"/>
              </w:rPr>
              <w:t>3. Were the cases collected in more than one centre?</w:t>
            </w:r>
          </w:p>
        </w:tc>
        <w:tc>
          <w:tcPr>
            <w:tcW w:w="957" w:type="dxa"/>
            <w:shd w:val="clear" w:color="auto" w:fill="FFFFFF" w:themeFill="background1"/>
            <w:noWrap/>
            <w:vAlign w:val="bottom"/>
            <w:hideMark/>
          </w:tcPr>
          <w:p w14:paraId="40FC695E" w14:textId="77777777" w:rsidR="00EE6B9E" w:rsidRPr="008A4C54" w:rsidRDefault="00EE6B9E" w:rsidP="008A4C54">
            <w:pPr>
              <w:pStyle w:val="Tabletext1"/>
              <w:rPr>
                <w:rFonts w:cs="Times New Roman"/>
              </w:rPr>
            </w:pPr>
            <w:r w:rsidRPr="008A4C54">
              <w:rPr>
                <w:rFonts w:cs="Times New Roman"/>
              </w:rPr>
              <w:t>0</w:t>
            </w:r>
          </w:p>
        </w:tc>
        <w:tc>
          <w:tcPr>
            <w:tcW w:w="1321" w:type="dxa"/>
            <w:shd w:val="clear" w:color="auto" w:fill="FFFFFF" w:themeFill="background1"/>
            <w:noWrap/>
            <w:vAlign w:val="bottom"/>
            <w:hideMark/>
          </w:tcPr>
          <w:p w14:paraId="2E630FAB" w14:textId="77777777" w:rsidR="00EE6B9E" w:rsidRPr="008A4C54" w:rsidRDefault="00EE6B9E" w:rsidP="008A4C54">
            <w:pPr>
              <w:pStyle w:val="Tabletext1"/>
              <w:rPr>
                <w:rFonts w:cs="Times New Roman"/>
              </w:rPr>
            </w:pPr>
            <w:r w:rsidRPr="008A4C54">
              <w:rPr>
                <w:rFonts w:cs="Times New Roman"/>
              </w:rPr>
              <w:t>1</w:t>
            </w:r>
          </w:p>
        </w:tc>
        <w:tc>
          <w:tcPr>
            <w:tcW w:w="1068" w:type="dxa"/>
            <w:shd w:val="clear" w:color="auto" w:fill="FFFFFF" w:themeFill="background1"/>
            <w:noWrap/>
            <w:vAlign w:val="bottom"/>
            <w:hideMark/>
          </w:tcPr>
          <w:p w14:paraId="295CE8C4"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6C5A7247" w14:textId="77777777" w:rsidR="00EE6B9E" w:rsidRPr="008A4C54" w:rsidRDefault="00EE6B9E" w:rsidP="008A4C54">
            <w:pPr>
              <w:pStyle w:val="Tabletext1"/>
              <w:rPr>
                <w:rFonts w:cs="Times New Roman"/>
              </w:rPr>
            </w:pPr>
            <w:r w:rsidRPr="008A4C54">
              <w:rPr>
                <w:rFonts w:cs="Times New Roman"/>
              </w:rPr>
              <w:t>1</w:t>
            </w:r>
          </w:p>
        </w:tc>
        <w:tc>
          <w:tcPr>
            <w:tcW w:w="1086" w:type="dxa"/>
            <w:shd w:val="clear" w:color="auto" w:fill="FFFFFF" w:themeFill="background1"/>
            <w:noWrap/>
            <w:vAlign w:val="bottom"/>
            <w:hideMark/>
          </w:tcPr>
          <w:p w14:paraId="64DF0E25" w14:textId="77777777" w:rsidR="00EE6B9E" w:rsidRPr="008A4C54" w:rsidRDefault="00EE6B9E" w:rsidP="008A4C54">
            <w:pPr>
              <w:pStyle w:val="Tabletext1"/>
              <w:rPr>
                <w:rFonts w:cs="Times New Roman"/>
              </w:rPr>
            </w:pPr>
            <w:r w:rsidRPr="008A4C54">
              <w:rPr>
                <w:rFonts w:cs="Times New Roman"/>
              </w:rPr>
              <w:t>0</w:t>
            </w:r>
          </w:p>
        </w:tc>
        <w:tc>
          <w:tcPr>
            <w:tcW w:w="1178" w:type="dxa"/>
            <w:shd w:val="clear" w:color="auto" w:fill="FFFFFF" w:themeFill="background1"/>
            <w:noWrap/>
            <w:vAlign w:val="bottom"/>
            <w:hideMark/>
          </w:tcPr>
          <w:p w14:paraId="5C2E8120"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7F1C80BD"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0383C3E1" w14:textId="77777777" w:rsidR="00EE6B9E" w:rsidRPr="008A4C54" w:rsidRDefault="00EE6B9E" w:rsidP="008A4C54">
            <w:pPr>
              <w:pStyle w:val="Tabletext1"/>
              <w:rPr>
                <w:rFonts w:cs="Times New Roman"/>
              </w:rPr>
            </w:pPr>
            <w:r w:rsidRPr="008A4C54">
              <w:rPr>
                <w:rFonts w:cs="Times New Roman"/>
              </w:rPr>
              <w:t>?</w:t>
            </w:r>
          </w:p>
        </w:tc>
        <w:tc>
          <w:tcPr>
            <w:tcW w:w="1132" w:type="dxa"/>
            <w:shd w:val="clear" w:color="auto" w:fill="FFFFFF" w:themeFill="background1"/>
            <w:noWrap/>
            <w:vAlign w:val="bottom"/>
            <w:hideMark/>
          </w:tcPr>
          <w:p w14:paraId="70FE53E5" w14:textId="77777777" w:rsidR="00EE6B9E" w:rsidRPr="008A4C54" w:rsidRDefault="00EE6B9E" w:rsidP="008A4C54">
            <w:pPr>
              <w:pStyle w:val="Tabletext1"/>
              <w:rPr>
                <w:rFonts w:cs="Times New Roman"/>
              </w:rPr>
            </w:pPr>
            <w:r w:rsidRPr="008A4C54">
              <w:rPr>
                <w:rFonts w:cs="Times New Roman"/>
              </w:rPr>
              <w:t>0</w:t>
            </w:r>
          </w:p>
        </w:tc>
        <w:tc>
          <w:tcPr>
            <w:tcW w:w="1162" w:type="dxa"/>
            <w:shd w:val="clear" w:color="auto" w:fill="FFFFFF" w:themeFill="background1"/>
            <w:noWrap/>
            <w:vAlign w:val="bottom"/>
            <w:hideMark/>
          </w:tcPr>
          <w:p w14:paraId="67E56B21"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00E1B770" w14:textId="77777777" w:rsidTr="00723373">
        <w:trPr>
          <w:trHeight w:val="690"/>
        </w:trPr>
        <w:tc>
          <w:tcPr>
            <w:tcW w:w="3032" w:type="dxa"/>
            <w:shd w:val="clear" w:color="auto" w:fill="FFFFFF" w:themeFill="background1"/>
            <w:vAlign w:val="center"/>
            <w:hideMark/>
          </w:tcPr>
          <w:p w14:paraId="608E6E87" w14:textId="77777777" w:rsidR="00EE6B9E" w:rsidRPr="008A4C54" w:rsidRDefault="00EE6B9E" w:rsidP="008A4C54">
            <w:pPr>
              <w:pStyle w:val="Tabletext1"/>
              <w:rPr>
                <w:rFonts w:cs="Times New Roman"/>
              </w:rPr>
            </w:pPr>
            <w:r w:rsidRPr="008A4C54">
              <w:rPr>
                <w:rFonts w:cs="Times New Roman"/>
              </w:rPr>
              <w:t>4. Are the eligibility criteria (inclusion and exclusion criteria) to enter the study explicit and appropriate?</w:t>
            </w:r>
          </w:p>
        </w:tc>
        <w:tc>
          <w:tcPr>
            <w:tcW w:w="957" w:type="dxa"/>
            <w:shd w:val="clear" w:color="auto" w:fill="FFFFFF" w:themeFill="background1"/>
            <w:noWrap/>
            <w:vAlign w:val="bottom"/>
            <w:hideMark/>
          </w:tcPr>
          <w:p w14:paraId="533309AF" w14:textId="77777777" w:rsidR="00EE6B9E" w:rsidRPr="008A4C54" w:rsidRDefault="00EE6B9E" w:rsidP="008A4C54">
            <w:pPr>
              <w:pStyle w:val="Tabletext1"/>
              <w:rPr>
                <w:rFonts w:cs="Times New Roman"/>
              </w:rPr>
            </w:pPr>
            <w:r w:rsidRPr="008A4C54">
              <w:rPr>
                <w:rFonts w:cs="Times New Roman"/>
              </w:rPr>
              <w:t>1</w:t>
            </w:r>
          </w:p>
        </w:tc>
        <w:tc>
          <w:tcPr>
            <w:tcW w:w="1321" w:type="dxa"/>
            <w:shd w:val="clear" w:color="auto" w:fill="FFFFFF" w:themeFill="background1"/>
            <w:noWrap/>
            <w:vAlign w:val="bottom"/>
            <w:hideMark/>
          </w:tcPr>
          <w:p w14:paraId="680753D7" w14:textId="77777777" w:rsidR="00EE6B9E" w:rsidRPr="008A4C54" w:rsidRDefault="00EE6B9E" w:rsidP="008A4C54">
            <w:pPr>
              <w:pStyle w:val="Tabletext1"/>
              <w:rPr>
                <w:rFonts w:cs="Times New Roman"/>
              </w:rPr>
            </w:pPr>
            <w:r w:rsidRPr="008A4C54">
              <w:rPr>
                <w:rFonts w:cs="Times New Roman"/>
              </w:rPr>
              <w:t>1</w:t>
            </w:r>
          </w:p>
        </w:tc>
        <w:tc>
          <w:tcPr>
            <w:tcW w:w="1068" w:type="dxa"/>
            <w:shd w:val="clear" w:color="auto" w:fill="FFFFFF" w:themeFill="background1"/>
            <w:noWrap/>
            <w:vAlign w:val="bottom"/>
            <w:hideMark/>
          </w:tcPr>
          <w:p w14:paraId="7C285411"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322DFEC5" w14:textId="77777777" w:rsidR="00EE6B9E" w:rsidRPr="008A4C54" w:rsidRDefault="00EE6B9E" w:rsidP="008A4C54">
            <w:pPr>
              <w:pStyle w:val="Tabletext1"/>
              <w:rPr>
                <w:rFonts w:cs="Times New Roman"/>
              </w:rPr>
            </w:pPr>
            <w:r w:rsidRPr="008A4C54">
              <w:rPr>
                <w:rFonts w:cs="Times New Roman"/>
              </w:rPr>
              <w:t>1</w:t>
            </w:r>
          </w:p>
        </w:tc>
        <w:tc>
          <w:tcPr>
            <w:tcW w:w="1086" w:type="dxa"/>
            <w:shd w:val="clear" w:color="auto" w:fill="FFFFFF" w:themeFill="background1"/>
            <w:noWrap/>
            <w:vAlign w:val="bottom"/>
            <w:hideMark/>
          </w:tcPr>
          <w:p w14:paraId="2993A94E" w14:textId="77777777" w:rsidR="00EE6B9E" w:rsidRPr="008A4C54" w:rsidRDefault="00EE6B9E" w:rsidP="008A4C54">
            <w:pPr>
              <w:pStyle w:val="Tabletext1"/>
              <w:rPr>
                <w:rFonts w:cs="Times New Roman"/>
              </w:rPr>
            </w:pPr>
            <w:r w:rsidRPr="008A4C54">
              <w:rPr>
                <w:rFonts w:cs="Times New Roman"/>
              </w:rPr>
              <w:t>1</w:t>
            </w:r>
          </w:p>
        </w:tc>
        <w:tc>
          <w:tcPr>
            <w:tcW w:w="1178" w:type="dxa"/>
            <w:shd w:val="clear" w:color="auto" w:fill="FFFFFF" w:themeFill="background1"/>
            <w:noWrap/>
            <w:vAlign w:val="bottom"/>
            <w:hideMark/>
          </w:tcPr>
          <w:p w14:paraId="20D2D1BB"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52C4B5D8"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5F81012C"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7316EFCA" w14:textId="77777777" w:rsidR="00EE6B9E" w:rsidRPr="008A4C54" w:rsidRDefault="00EE6B9E" w:rsidP="008A4C54">
            <w:pPr>
              <w:pStyle w:val="Tabletext1"/>
              <w:rPr>
                <w:rFonts w:cs="Times New Roman"/>
              </w:rPr>
            </w:pPr>
            <w:r w:rsidRPr="008A4C54">
              <w:rPr>
                <w:rFonts w:cs="Times New Roman"/>
              </w:rPr>
              <w:t>0</w:t>
            </w:r>
          </w:p>
        </w:tc>
        <w:tc>
          <w:tcPr>
            <w:tcW w:w="1162" w:type="dxa"/>
            <w:shd w:val="clear" w:color="auto" w:fill="FFFFFF" w:themeFill="background1"/>
            <w:noWrap/>
            <w:vAlign w:val="bottom"/>
            <w:hideMark/>
          </w:tcPr>
          <w:p w14:paraId="51FA0D6C"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21E3D50C" w14:textId="77777777" w:rsidTr="00723373">
        <w:trPr>
          <w:trHeight w:val="465"/>
        </w:trPr>
        <w:tc>
          <w:tcPr>
            <w:tcW w:w="3032" w:type="dxa"/>
            <w:shd w:val="clear" w:color="auto" w:fill="FFFFFF" w:themeFill="background1"/>
            <w:vAlign w:val="center"/>
            <w:hideMark/>
          </w:tcPr>
          <w:p w14:paraId="6E46F6F0" w14:textId="5D9C2288" w:rsidR="00EE6B9E" w:rsidRPr="008A4C54" w:rsidRDefault="00EE6B9E" w:rsidP="008A4C54">
            <w:pPr>
              <w:pStyle w:val="Tabletext1"/>
              <w:rPr>
                <w:rFonts w:cs="Times New Roman"/>
              </w:rPr>
            </w:pPr>
            <w:r w:rsidRPr="008A4C54">
              <w:rPr>
                <w:rFonts w:cs="Times New Roman"/>
              </w:rPr>
              <w:t xml:space="preserve">5. Were </w:t>
            </w:r>
            <w:r w:rsidR="00CE60C4">
              <w:rPr>
                <w:rFonts w:cs="Times New Roman"/>
              </w:rPr>
              <w:t>patients</w:t>
            </w:r>
            <w:r w:rsidRPr="008A4C54">
              <w:rPr>
                <w:rFonts w:cs="Times New Roman"/>
              </w:rPr>
              <w:t xml:space="preserve"> recruited </w:t>
            </w:r>
            <w:r w:rsidR="005E4BBA" w:rsidRPr="008A4C54">
              <w:rPr>
                <w:rFonts w:cs="Times New Roman"/>
              </w:rPr>
              <w:t>consecutively</w:t>
            </w:r>
            <w:r w:rsidRPr="008A4C54">
              <w:rPr>
                <w:rFonts w:cs="Times New Roman"/>
              </w:rPr>
              <w:t>?</w:t>
            </w:r>
          </w:p>
        </w:tc>
        <w:tc>
          <w:tcPr>
            <w:tcW w:w="957" w:type="dxa"/>
            <w:shd w:val="clear" w:color="auto" w:fill="FFFFFF" w:themeFill="background1"/>
            <w:noWrap/>
            <w:vAlign w:val="bottom"/>
            <w:hideMark/>
          </w:tcPr>
          <w:p w14:paraId="337C3852" w14:textId="77777777" w:rsidR="00EE6B9E" w:rsidRPr="008A4C54" w:rsidRDefault="00EE6B9E" w:rsidP="008A4C54">
            <w:pPr>
              <w:pStyle w:val="Tabletext1"/>
              <w:rPr>
                <w:rFonts w:cs="Times New Roman"/>
              </w:rPr>
            </w:pPr>
            <w:r w:rsidRPr="008A4C54">
              <w:rPr>
                <w:rFonts w:cs="Times New Roman"/>
              </w:rPr>
              <w:t>0</w:t>
            </w:r>
          </w:p>
        </w:tc>
        <w:tc>
          <w:tcPr>
            <w:tcW w:w="1321" w:type="dxa"/>
            <w:shd w:val="clear" w:color="auto" w:fill="FFFFFF" w:themeFill="background1"/>
            <w:noWrap/>
            <w:vAlign w:val="bottom"/>
            <w:hideMark/>
          </w:tcPr>
          <w:p w14:paraId="3F896CA5" w14:textId="77777777" w:rsidR="00EE6B9E" w:rsidRPr="008A4C54" w:rsidRDefault="00EE6B9E" w:rsidP="008A4C54">
            <w:pPr>
              <w:pStyle w:val="Tabletext1"/>
              <w:rPr>
                <w:rFonts w:cs="Times New Roman"/>
              </w:rPr>
            </w:pPr>
            <w:r w:rsidRPr="008A4C54">
              <w:rPr>
                <w:rFonts w:cs="Times New Roman"/>
              </w:rPr>
              <w:t>0</w:t>
            </w:r>
          </w:p>
        </w:tc>
        <w:tc>
          <w:tcPr>
            <w:tcW w:w="1068" w:type="dxa"/>
            <w:shd w:val="clear" w:color="auto" w:fill="FFFFFF" w:themeFill="background1"/>
            <w:noWrap/>
            <w:vAlign w:val="bottom"/>
            <w:hideMark/>
          </w:tcPr>
          <w:p w14:paraId="1619BB07"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7428C126" w14:textId="77777777" w:rsidR="00EE6B9E" w:rsidRPr="008A4C54" w:rsidRDefault="00EE6B9E" w:rsidP="008A4C54">
            <w:pPr>
              <w:pStyle w:val="Tabletext1"/>
              <w:rPr>
                <w:rFonts w:cs="Times New Roman"/>
              </w:rPr>
            </w:pPr>
            <w:r w:rsidRPr="008A4C54">
              <w:rPr>
                <w:rFonts w:cs="Times New Roman"/>
              </w:rPr>
              <w:t>0</w:t>
            </w:r>
          </w:p>
        </w:tc>
        <w:tc>
          <w:tcPr>
            <w:tcW w:w="1086" w:type="dxa"/>
            <w:shd w:val="clear" w:color="auto" w:fill="FFFFFF" w:themeFill="background1"/>
            <w:noWrap/>
            <w:vAlign w:val="bottom"/>
            <w:hideMark/>
          </w:tcPr>
          <w:p w14:paraId="5A86C531" w14:textId="77777777" w:rsidR="00EE6B9E" w:rsidRPr="008A4C54" w:rsidRDefault="00EE6B9E" w:rsidP="008A4C54">
            <w:pPr>
              <w:pStyle w:val="Tabletext1"/>
              <w:rPr>
                <w:rFonts w:cs="Times New Roman"/>
              </w:rPr>
            </w:pPr>
            <w:r w:rsidRPr="008A4C54">
              <w:rPr>
                <w:rFonts w:cs="Times New Roman"/>
              </w:rPr>
              <w:t>0</w:t>
            </w:r>
          </w:p>
        </w:tc>
        <w:tc>
          <w:tcPr>
            <w:tcW w:w="1178" w:type="dxa"/>
            <w:shd w:val="clear" w:color="auto" w:fill="FFFFFF" w:themeFill="background1"/>
            <w:noWrap/>
            <w:vAlign w:val="bottom"/>
            <w:hideMark/>
          </w:tcPr>
          <w:p w14:paraId="7F47C256"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7EF75FC4"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7321CC13"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729EE810" w14:textId="77777777" w:rsidR="00EE6B9E" w:rsidRPr="008A4C54" w:rsidRDefault="00EE6B9E" w:rsidP="008A4C54">
            <w:pPr>
              <w:pStyle w:val="Tabletext1"/>
              <w:rPr>
                <w:rFonts w:cs="Times New Roman"/>
              </w:rPr>
            </w:pPr>
            <w:r w:rsidRPr="008A4C54">
              <w:rPr>
                <w:rFonts w:cs="Times New Roman"/>
              </w:rPr>
              <w:t>0</w:t>
            </w:r>
          </w:p>
        </w:tc>
        <w:tc>
          <w:tcPr>
            <w:tcW w:w="1162" w:type="dxa"/>
            <w:shd w:val="clear" w:color="auto" w:fill="FFFFFF" w:themeFill="background1"/>
            <w:noWrap/>
            <w:vAlign w:val="bottom"/>
            <w:hideMark/>
          </w:tcPr>
          <w:p w14:paraId="5539B50F" w14:textId="77777777" w:rsidR="00EE6B9E" w:rsidRPr="008A4C54" w:rsidRDefault="00EE6B9E" w:rsidP="008A4C54">
            <w:pPr>
              <w:pStyle w:val="Tabletext1"/>
              <w:rPr>
                <w:rFonts w:cs="Times New Roman"/>
              </w:rPr>
            </w:pPr>
            <w:r w:rsidRPr="008A4C54">
              <w:rPr>
                <w:rFonts w:cs="Times New Roman"/>
              </w:rPr>
              <w:t>0</w:t>
            </w:r>
          </w:p>
        </w:tc>
      </w:tr>
      <w:tr w:rsidR="00EE6B9E" w:rsidRPr="008A4C54" w14:paraId="5E4F81F1" w14:textId="77777777" w:rsidTr="00723373">
        <w:trPr>
          <w:trHeight w:val="465"/>
        </w:trPr>
        <w:tc>
          <w:tcPr>
            <w:tcW w:w="3032" w:type="dxa"/>
            <w:shd w:val="clear" w:color="auto" w:fill="FFFFFF" w:themeFill="background1"/>
            <w:vAlign w:val="center"/>
            <w:hideMark/>
          </w:tcPr>
          <w:p w14:paraId="3C70E39C" w14:textId="094A902A" w:rsidR="00EE6B9E" w:rsidRPr="008A4C54" w:rsidRDefault="00EE6B9E" w:rsidP="008A4C54">
            <w:pPr>
              <w:pStyle w:val="Tabletext1"/>
              <w:rPr>
                <w:rFonts w:cs="Times New Roman"/>
              </w:rPr>
            </w:pPr>
            <w:r w:rsidRPr="008A4C54">
              <w:rPr>
                <w:rFonts w:cs="Times New Roman"/>
              </w:rPr>
              <w:t xml:space="preserve">6. Did </w:t>
            </w:r>
            <w:r w:rsidR="00CE60C4">
              <w:rPr>
                <w:rFonts w:cs="Times New Roman"/>
              </w:rPr>
              <w:t>patients</w:t>
            </w:r>
            <w:r w:rsidRPr="008A4C54">
              <w:rPr>
                <w:rFonts w:cs="Times New Roman"/>
              </w:rPr>
              <w:t xml:space="preserve"> enter the study at a similar point in the disease?</w:t>
            </w:r>
          </w:p>
        </w:tc>
        <w:tc>
          <w:tcPr>
            <w:tcW w:w="957" w:type="dxa"/>
            <w:tcBorders>
              <w:bottom w:val="single" w:sz="4" w:space="0" w:color="auto"/>
            </w:tcBorders>
            <w:shd w:val="clear" w:color="auto" w:fill="FFFFFF" w:themeFill="background1"/>
            <w:noWrap/>
            <w:vAlign w:val="bottom"/>
            <w:hideMark/>
          </w:tcPr>
          <w:p w14:paraId="51D89EA1" w14:textId="77777777" w:rsidR="00EE6B9E" w:rsidRPr="008A4C54" w:rsidRDefault="00EE6B9E" w:rsidP="008A4C54">
            <w:pPr>
              <w:pStyle w:val="Tabletext1"/>
              <w:rPr>
                <w:rFonts w:cs="Times New Roman"/>
              </w:rPr>
            </w:pPr>
            <w:r w:rsidRPr="008A4C54">
              <w:rPr>
                <w:rFonts w:cs="Times New Roman"/>
              </w:rPr>
              <w:t>1</w:t>
            </w:r>
          </w:p>
        </w:tc>
        <w:tc>
          <w:tcPr>
            <w:tcW w:w="1321" w:type="dxa"/>
            <w:tcBorders>
              <w:bottom w:val="single" w:sz="4" w:space="0" w:color="auto"/>
            </w:tcBorders>
            <w:shd w:val="clear" w:color="auto" w:fill="FFFFFF" w:themeFill="background1"/>
            <w:noWrap/>
            <w:vAlign w:val="bottom"/>
            <w:hideMark/>
          </w:tcPr>
          <w:p w14:paraId="7E4A60D9" w14:textId="77777777" w:rsidR="00EE6B9E" w:rsidRPr="008A4C54" w:rsidRDefault="00EE6B9E" w:rsidP="008A4C54">
            <w:pPr>
              <w:pStyle w:val="Tabletext1"/>
              <w:rPr>
                <w:rFonts w:cs="Times New Roman"/>
              </w:rPr>
            </w:pPr>
            <w:r w:rsidRPr="008A4C54">
              <w:rPr>
                <w:rFonts w:cs="Times New Roman"/>
              </w:rPr>
              <w:t>1</w:t>
            </w:r>
          </w:p>
        </w:tc>
        <w:tc>
          <w:tcPr>
            <w:tcW w:w="1068" w:type="dxa"/>
            <w:tcBorders>
              <w:bottom w:val="single" w:sz="4" w:space="0" w:color="auto"/>
            </w:tcBorders>
            <w:shd w:val="clear" w:color="auto" w:fill="FFFFFF" w:themeFill="background1"/>
            <w:noWrap/>
            <w:vAlign w:val="bottom"/>
            <w:hideMark/>
          </w:tcPr>
          <w:p w14:paraId="06726749"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6DF11822" w14:textId="77777777" w:rsidR="00EE6B9E" w:rsidRPr="008A4C54" w:rsidRDefault="00EE6B9E" w:rsidP="008A4C54">
            <w:pPr>
              <w:pStyle w:val="Tabletext1"/>
              <w:rPr>
                <w:rFonts w:cs="Times New Roman"/>
              </w:rPr>
            </w:pPr>
            <w:r w:rsidRPr="008A4C54">
              <w:rPr>
                <w:rFonts w:cs="Times New Roman"/>
              </w:rPr>
              <w:t>1</w:t>
            </w:r>
          </w:p>
        </w:tc>
        <w:tc>
          <w:tcPr>
            <w:tcW w:w="1086" w:type="dxa"/>
            <w:tcBorders>
              <w:bottom w:val="single" w:sz="4" w:space="0" w:color="auto"/>
            </w:tcBorders>
            <w:shd w:val="clear" w:color="auto" w:fill="FFFFFF" w:themeFill="background1"/>
            <w:noWrap/>
            <w:vAlign w:val="bottom"/>
            <w:hideMark/>
          </w:tcPr>
          <w:p w14:paraId="5537CE88" w14:textId="77777777" w:rsidR="00EE6B9E" w:rsidRPr="008A4C54" w:rsidRDefault="00EE6B9E" w:rsidP="008A4C54">
            <w:pPr>
              <w:pStyle w:val="Tabletext1"/>
              <w:rPr>
                <w:rFonts w:cs="Times New Roman"/>
              </w:rPr>
            </w:pPr>
            <w:r w:rsidRPr="008A4C54">
              <w:rPr>
                <w:rFonts w:cs="Times New Roman"/>
              </w:rPr>
              <w:t>1</w:t>
            </w:r>
          </w:p>
        </w:tc>
        <w:tc>
          <w:tcPr>
            <w:tcW w:w="1178" w:type="dxa"/>
            <w:tcBorders>
              <w:bottom w:val="single" w:sz="4" w:space="0" w:color="auto"/>
            </w:tcBorders>
            <w:shd w:val="clear" w:color="auto" w:fill="FFFFFF" w:themeFill="background1"/>
            <w:noWrap/>
            <w:vAlign w:val="bottom"/>
            <w:hideMark/>
          </w:tcPr>
          <w:p w14:paraId="58FB0CC0" w14:textId="77777777" w:rsidR="00EE6B9E" w:rsidRPr="008A4C54" w:rsidRDefault="00EE6B9E" w:rsidP="008A4C54">
            <w:pPr>
              <w:pStyle w:val="Tabletext1"/>
              <w:rPr>
                <w:rFonts w:cs="Times New Roman"/>
              </w:rPr>
            </w:pPr>
            <w:r w:rsidRPr="008A4C54">
              <w:rPr>
                <w:rFonts w:cs="Times New Roman"/>
              </w:rPr>
              <w:t>0</w:t>
            </w:r>
          </w:p>
        </w:tc>
        <w:tc>
          <w:tcPr>
            <w:tcW w:w="1132" w:type="dxa"/>
            <w:tcBorders>
              <w:bottom w:val="single" w:sz="4" w:space="0" w:color="auto"/>
            </w:tcBorders>
            <w:shd w:val="clear" w:color="auto" w:fill="FFFFFF" w:themeFill="background1"/>
            <w:noWrap/>
            <w:vAlign w:val="bottom"/>
            <w:hideMark/>
          </w:tcPr>
          <w:p w14:paraId="3224F752"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4F30C8E6"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1D97FDAB" w14:textId="77777777" w:rsidR="00EE6B9E" w:rsidRPr="008A4C54" w:rsidRDefault="00EE6B9E" w:rsidP="008A4C54">
            <w:pPr>
              <w:pStyle w:val="Tabletext1"/>
              <w:rPr>
                <w:rFonts w:cs="Times New Roman"/>
              </w:rPr>
            </w:pPr>
            <w:r w:rsidRPr="008A4C54">
              <w:rPr>
                <w:rFonts w:cs="Times New Roman"/>
              </w:rPr>
              <w:t>1</w:t>
            </w:r>
          </w:p>
        </w:tc>
        <w:tc>
          <w:tcPr>
            <w:tcW w:w="1162" w:type="dxa"/>
            <w:tcBorders>
              <w:bottom w:val="single" w:sz="4" w:space="0" w:color="auto"/>
            </w:tcBorders>
            <w:shd w:val="clear" w:color="auto" w:fill="FFFFFF" w:themeFill="background1"/>
            <w:noWrap/>
            <w:vAlign w:val="bottom"/>
            <w:hideMark/>
          </w:tcPr>
          <w:p w14:paraId="6AEB41FD"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124F3D35" w14:textId="77777777" w:rsidTr="00723373">
        <w:trPr>
          <w:trHeight w:val="315"/>
        </w:trPr>
        <w:tc>
          <w:tcPr>
            <w:tcW w:w="3032" w:type="dxa"/>
            <w:tcBorders>
              <w:right w:val="single" w:sz="4" w:space="0" w:color="auto"/>
            </w:tcBorders>
            <w:shd w:val="clear" w:color="auto" w:fill="FFFFFF" w:themeFill="background1"/>
            <w:vAlign w:val="center"/>
            <w:hideMark/>
          </w:tcPr>
          <w:p w14:paraId="2B38DE22" w14:textId="77777777" w:rsidR="00EE6B9E" w:rsidRPr="008A4C54" w:rsidRDefault="00EE6B9E" w:rsidP="008A4C54">
            <w:pPr>
              <w:pStyle w:val="Tabletext1"/>
              <w:rPr>
                <w:b/>
                <w:bCs/>
              </w:rPr>
            </w:pPr>
            <w:r w:rsidRPr="008A4C54">
              <w:rPr>
                <w:b/>
                <w:bCs/>
              </w:rPr>
              <w:t>INTERVENTION AND CO-INTERVENTION</w:t>
            </w:r>
          </w:p>
        </w:tc>
        <w:tc>
          <w:tcPr>
            <w:tcW w:w="957" w:type="dxa"/>
            <w:tcBorders>
              <w:top w:val="single" w:sz="4" w:space="0" w:color="auto"/>
              <w:left w:val="single" w:sz="4" w:space="0" w:color="auto"/>
              <w:bottom w:val="single" w:sz="4" w:space="0" w:color="auto"/>
              <w:right w:val="nil"/>
            </w:tcBorders>
            <w:shd w:val="clear" w:color="auto" w:fill="FFFFFF" w:themeFill="background1"/>
            <w:vAlign w:val="center"/>
            <w:hideMark/>
          </w:tcPr>
          <w:p w14:paraId="3FAE8130" w14:textId="77777777" w:rsidR="00EE6B9E" w:rsidRPr="008A4C54" w:rsidRDefault="00EE6B9E" w:rsidP="008A4C54">
            <w:pPr>
              <w:pStyle w:val="Tabletext1"/>
              <w:rPr>
                <w:b/>
                <w:bCs/>
              </w:rPr>
            </w:pPr>
            <w:r w:rsidRPr="008A4C54">
              <w:rPr>
                <w:b/>
                <w:bCs/>
              </w:rPr>
              <w:t> </w:t>
            </w:r>
          </w:p>
        </w:tc>
        <w:tc>
          <w:tcPr>
            <w:tcW w:w="1321" w:type="dxa"/>
            <w:tcBorders>
              <w:top w:val="single" w:sz="4" w:space="0" w:color="auto"/>
              <w:left w:val="nil"/>
              <w:bottom w:val="single" w:sz="4" w:space="0" w:color="auto"/>
              <w:right w:val="nil"/>
            </w:tcBorders>
            <w:shd w:val="clear" w:color="auto" w:fill="FFFFFF" w:themeFill="background1"/>
            <w:vAlign w:val="center"/>
            <w:hideMark/>
          </w:tcPr>
          <w:p w14:paraId="249EE92D" w14:textId="77777777" w:rsidR="00EE6B9E" w:rsidRPr="008A4C54" w:rsidRDefault="00EE6B9E" w:rsidP="008A4C54">
            <w:pPr>
              <w:pStyle w:val="Tabletext1"/>
              <w:rPr>
                <w:b/>
                <w:bCs/>
              </w:rPr>
            </w:pPr>
            <w:r w:rsidRPr="008A4C54">
              <w:rPr>
                <w:b/>
                <w:bCs/>
              </w:rPr>
              <w:t> </w:t>
            </w:r>
          </w:p>
        </w:tc>
        <w:tc>
          <w:tcPr>
            <w:tcW w:w="1068" w:type="dxa"/>
            <w:tcBorders>
              <w:top w:val="single" w:sz="4" w:space="0" w:color="auto"/>
              <w:left w:val="nil"/>
              <w:bottom w:val="single" w:sz="4" w:space="0" w:color="auto"/>
              <w:right w:val="nil"/>
            </w:tcBorders>
            <w:shd w:val="clear" w:color="auto" w:fill="FFFFFF" w:themeFill="background1"/>
            <w:vAlign w:val="center"/>
            <w:hideMark/>
          </w:tcPr>
          <w:p w14:paraId="7F643BE9"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435B4E4F" w14:textId="77777777" w:rsidR="00EE6B9E" w:rsidRPr="008A4C54" w:rsidRDefault="00EE6B9E" w:rsidP="008A4C54">
            <w:pPr>
              <w:pStyle w:val="Tabletext1"/>
              <w:rPr>
                <w:b/>
                <w:bCs/>
              </w:rPr>
            </w:pPr>
            <w:r w:rsidRPr="008A4C54">
              <w:rPr>
                <w:b/>
                <w:bCs/>
              </w:rPr>
              <w:t> </w:t>
            </w:r>
          </w:p>
        </w:tc>
        <w:tc>
          <w:tcPr>
            <w:tcW w:w="1086" w:type="dxa"/>
            <w:tcBorders>
              <w:top w:val="single" w:sz="4" w:space="0" w:color="auto"/>
              <w:left w:val="nil"/>
              <w:bottom w:val="single" w:sz="4" w:space="0" w:color="auto"/>
              <w:right w:val="nil"/>
            </w:tcBorders>
            <w:shd w:val="clear" w:color="auto" w:fill="FFFFFF" w:themeFill="background1"/>
            <w:vAlign w:val="center"/>
            <w:hideMark/>
          </w:tcPr>
          <w:p w14:paraId="20D7FF7F" w14:textId="77777777" w:rsidR="00EE6B9E" w:rsidRPr="008A4C54" w:rsidRDefault="00EE6B9E" w:rsidP="008A4C54">
            <w:pPr>
              <w:pStyle w:val="Tabletext1"/>
              <w:rPr>
                <w:b/>
                <w:bCs/>
              </w:rPr>
            </w:pPr>
            <w:r w:rsidRPr="008A4C54">
              <w:rPr>
                <w:b/>
                <w:bCs/>
              </w:rPr>
              <w:t> </w:t>
            </w:r>
          </w:p>
        </w:tc>
        <w:tc>
          <w:tcPr>
            <w:tcW w:w="1178" w:type="dxa"/>
            <w:tcBorders>
              <w:top w:val="single" w:sz="4" w:space="0" w:color="auto"/>
              <w:left w:val="nil"/>
              <w:bottom w:val="single" w:sz="4" w:space="0" w:color="auto"/>
              <w:right w:val="nil"/>
            </w:tcBorders>
            <w:shd w:val="clear" w:color="auto" w:fill="FFFFFF" w:themeFill="background1"/>
            <w:vAlign w:val="center"/>
            <w:hideMark/>
          </w:tcPr>
          <w:p w14:paraId="197179F7"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3160AF81"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6539B93C"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728416AC" w14:textId="77777777" w:rsidR="00EE6B9E" w:rsidRPr="008A4C54" w:rsidRDefault="00EE6B9E" w:rsidP="008A4C54">
            <w:pPr>
              <w:pStyle w:val="Tabletext1"/>
              <w:rPr>
                <w:b/>
                <w:bCs/>
              </w:rPr>
            </w:pPr>
            <w:r w:rsidRPr="008A4C54">
              <w:rPr>
                <w:b/>
                <w:bCs/>
              </w:rPr>
              <w:t> </w:t>
            </w:r>
          </w:p>
        </w:tc>
        <w:tc>
          <w:tcPr>
            <w:tcW w:w="1162" w:type="dxa"/>
            <w:tcBorders>
              <w:top w:val="single" w:sz="4" w:space="0" w:color="auto"/>
              <w:left w:val="nil"/>
              <w:bottom w:val="single" w:sz="4" w:space="0" w:color="auto"/>
              <w:right w:val="single" w:sz="4" w:space="0" w:color="auto"/>
            </w:tcBorders>
            <w:shd w:val="clear" w:color="auto" w:fill="FFFFFF" w:themeFill="background1"/>
            <w:vAlign w:val="center"/>
            <w:hideMark/>
          </w:tcPr>
          <w:p w14:paraId="5066C98E" w14:textId="77777777" w:rsidR="00EE6B9E" w:rsidRPr="008A4C54" w:rsidRDefault="00EE6B9E" w:rsidP="008A4C54">
            <w:pPr>
              <w:pStyle w:val="Tabletext1"/>
              <w:rPr>
                <w:b/>
                <w:bCs/>
              </w:rPr>
            </w:pPr>
            <w:r w:rsidRPr="008A4C54">
              <w:rPr>
                <w:b/>
                <w:bCs/>
              </w:rPr>
              <w:t> </w:t>
            </w:r>
          </w:p>
        </w:tc>
      </w:tr>
      <w:tr w:rsidR="00EE6B9E" w:rsidRPr="008A4C54" w14:paraId="1D9A5434" w14:textId="77777777" w:rsidTr="00723373">
        <w:trPr>
          <w:trHeight w:val="465"/>
        </w:trPr>
        <w:tc>
          <w:tcPr>
            <w:tcW w:w="3032" w:type="dxa"/>
            <w:shd w:val="clear" w:color="auto" w:fill="FFFFFF" w:themeFill="background1"/>
            <w:vAlign w:val="center"/>
            <w:hideMark/>
          </w:tcPr>
          <w:p w14:paraId="04EBCDF5" w14:textId="77777777" w:rsidR="00EE6B9E" w:rsidRPr="008A4C54" w:rsidRDefault="00EE6B9E" w:rsidP="008A4C54">
            <w:pPr>
              <w:pStyle w:val="Tabletext1"/>
              <w:rPr>
                <w:rFonts w:cs="Times New Roman"/>
              </w:rPr>
            </w:pPr>
            <w:r w:rsidRPr="008A4C54">
              <w:rPr>
                <w:rFonts w:cs="Times New Roman"/>
              </w:rPr>
              <w:t xml:space="preserve">7. Was the intervention clearly described in the study? </w:t>
            </w:r>
          </w:p>
        </w:tc>
        <w:tc>
          <w:tcPr>
            <w:tcW w:w="957" w:type="dxa"/>
            <w:tcBorders>
              <w:top w:val="single" w:sz="4" w:space="0" w:color="auto"/>
            </w:tcBorders>
            <w:shd w:val="clear" w:color="auto" w:fill="FFFFFF" w:themeFill="background1"/>
            <w:noWrap/>
            <w:vAlign w:val="bottom"/>
            <w:hideMark/>
          </w:tcPr>
          <w:p w14:paraId="6548F037" w14:textId="77777777" w:rsidR="00EE6B9E" w:rsidRPr="008A4C54" w:rsidRDefault="00EE6B9E" w:rsidP="008A4C54">
            <w:pPr>
              <w:pStyle w:val="Tabletext1"/>
              <w:rPr>
                <w:rFonts w:cs="Times New Roman"/>
              </w:rPr>
            </w:pPr>
            <w:r w:rsidRPr="008A4C54">
              <w:rPr>
                <w:rFonts w:cs="Times New Roman"/>
              </w:rPr>
              <w:t>1</w:t>
            </w:r>
          </w:p>
        </w:tc>
        <w:tc>
          <w:tcPr>
            <w:tcW w:w="1321" w:type="dxa"/>
            <w:tcBorders>
              <w:top w:val="single" w:sz="4" w:space="0" w:color="auto"/>
            </w:tcBorders>
            <w:shd w:val="clear" w:color="auto" w:fill="FFFFFF" w:themeFill="background1"/>
            <w:noWrap/>
            <w:vAlign w:val="bottom"/>
            <w:hideMark/>
          </w:tcPr>
          <w:p w14:paraId="3A34615F" w14:textId="77777777" w:rsidR="00EE6B9E" w:rsidRPr="008A4C54" w:rsidRDefault="00EE6B9E" w:rsidP="008A4C54">
            <w:pPr>
              <w:pStyle w:val="Tabletext1"/>
              <w:rPr>
                <w:rFonts w:cs="Times New Roman"/>
              </w:rPr>
            </w:pPr>
            <w:r w:rsidRPr="008A4C54">
              <w:rPr>
                <w:rFonts w:cs="Times New Roman"/>
              </w:rPr>
              <w:t>1</w:t>
            </w:r>
          </w:p>
        </w:tc>
        <w:tc>
          <w:tcPr>
            <w:tcW w:w="1068" w:type="dxa"/>
            <w:tcBorders>
              <w:top w:val="single" w:sz="4" w:space="0" w:color="auto"/>
            </w:tcBorders>
            <w:shd w:val="clear" w:color="auto" w:fill="FFFFFF" w:themeFill="background1"/>
            <w:noWrap/>
            <w:vAlign w:val="bottom"/>
            <w:hideMark/>
          </w:tcPr>
          <w:p w14:paraId="068848DD"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35600779" w14:textId="77777777" w:rsidR="00EE6B9E" w:rsidRPr="008A4C54" w:rsidRDefault="00EE6B9E" w:rsidP="008A4C54">
            <w:pPr>
              <w:pStyle w:val="Tabletext1"/>
              <w:rPr>
                <w:rFonts w:cs="Times New Roman"/>
              </w:rPr>
            </w:pPr>
            <w:r w:rsidRPr="008A4C54">
              <w:rPr>
                <w:rFonts w:cs="Times New Roman"/>
              </w:rPr>
              <w:t>0</w:t>
            </w:r>
          </w:p>
        </w:tc>
        <w:tc>
          <w:tcPr>
            <w:tcW w:w="1086" w:type="dxa"/>
            <w:tcBorders>
              <w:top w:val="single" w:sz="4" w:space="0" w:color="auto"/>
            </w:tcBorders>
            <w:shd w:val="clear" w:color="auto" w:fill="FFFFFF" w:themeFill="background1"/>
            <w:noWrap/>
            <w:vAlign w:val="bottom"/>
            <w:hideMark/>
          </w:tcPr>
          <w:p w14:paraId="400B87D8" w14:textId="77777777" w:rsidR="00EE6B9E" w:rsidRPr="008A4C54" w:rsidRDefault="00EE6B9E" w:rsidP="008A4C54">
            <w:pPr>
              <w:pStyle w:val="Tabletext1"/>
              <w:rPr>
                <w:rFonts w:cs="Times New Roman"/>
              </w:rPr>
            </w:pPr>
            <w:r w:rsidRPr="008A4C54">
              <w:rPr>
                <w:rFonts w:cs="Times New Roman"/>
              </w:rPr>
              <w:t>1</w:t>
            </w:r>
          </w:p>
        </w:tc>
        <w:tc>
          <w:tcPr>
            <w:tcW w:w="1178" w:type="dxa"/>
            <w:tcBorders>
              <w:top w:val="single" w:sz="4" w:space="0" w:color="auto"/>
            </w:tcBorders>
            <w:shd w:val="clear" w:color="auto" w:fill="FFFFFF" w:themeFill="background1"/>
            <w:noWrap/>
            <w:vAlign w:val="bottom"/>
            <w:hideMark/>
          </w:tcPr>
          <w:p w14:paraId="15674FF9"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3773C984"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7006A06C"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49453669" w14:textId="77777777" w:rsidR="00EE6B9E" w:rsidRPr="008A4C54" w:rsidRDefault="00EE6B9E" w:rsidP="008A4C54">
            <w:pPr>
              <w:pStyle w:val="Tabletext1"/>
              <w:rPr>
                <w:rFonts w:cs="Times New Roman"/>
              </w:rPr>
            </w:pPr>
            <w:r w:rsidRPr="008A4C54">
              <w:rPr>
                <w:rFonts w:cs="Times New Roman"/>
              </w:rPr>
              <w:t>1</w:t>
            </w:r>
          </w:p>
        </w:tc>
        <w:tc>
          <w:tcPr>
            <w:tcW w:w="1162" w:type="dxa"/>
            <w:tcBorders>
              <w:top w:val="single" w:sz="4" w:space="0" w:color="auto"/>
            </w:tcBorders>
            <w:shd w:val="clear" w:color="auto" w:fill="FFFFFF" w:themeFill="background1"/>
            <w:noWrap/>
            <w:vAlign w:val="bottom"/>
            <w:hideMark/>
          </w:tcPr>
          <w:p w14:paraId="7F4538A0"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3A3D0C21" w14:textId="77777777" w:rsidTr="00723373">
        <w:trPr>
          <w:trHeight w:val="465"/>
        </w:trPr>
        <w:tc>
          <w:tcPr>
            <w:tcW w:w="3032" w:type="dxa"/>
            <w:shd w:val="clear" w:color="auto" w:fill="FFFFFF" w:themeFill="background1"/>
            <w:vAlign w:val="center"/>
            <w:hideMark/>
          </w:tcPr>
          <w:p w14:paraId="449D0EF4" w14:textId="77777777" w:rsidR="00EE6B9E" w:rsidRPr="008A4C54" w:rsidRDefault="00EE6B9E" w:rsidP="008A4C54">
            <w:pPr>
              <w:pStyle w:val="Tabletext1"/>
              <w:rPr>
                <w:rFonts w:cs="Times New Roman"/>
              </w:rPr>
            </w:pPr>
            <w:r w:rsidRPr="008A4C54">
              <w:rPr>
                <w:rFonts w:cs="Times New Roman"/>
              </w:rPr>
              <w:t>8. Were additional interventions clearly reported in the study?</w:t>
            </w:r>
          </w:p>
        </w:tc>
        <w:tc>
          <w:tcPr>
            <w:tcW w:w="957" w:type="dxa"/>
            <w:tcBorders>
              <w:bottom w:val="single" w:sz="4" w:space="0" w:color="auto"/>
            </w:tcBorders>
            <w:shd w:val="clear" w:color="auto" w:fill="FFFFFF" w:themeFill="background1"/>
            <w:noWrap/>
            <w:vAlign w:val="bottom"/>
            <w:hideMark/>
          </w:tcPr>
          <w:p w14:paraId="58538C18" w14:textId="77777777" w:rsidR="00EE6B9E" w:rsidRPr="008A4C54" w:rsidRDefault="00EE6B9E" w:rsidP="008A4C54">
            <w:pPr>
              <w:pStyle w:val="Tabletext1"/>
              <w:rPr>
                <w:rFonts w:cs="Times New Roman"/>
              </w:rPr>
            </w:pPr>
            <w:r w:rsidRPr="008A4C54">
              <w:rPr>
                <w:rFonts w:cs="Times New Roman"/>
              </w:rPr>
              <w:t>1</w:t>
            </w:r>
          </w:p>
        </w:tc>
        <w:tc>
          <w:tcPr>
            <w:tcW w:w="1321" w:type="dxa"/>
            <w:tcBorders>
              <w:bottom w:val="single" w:sz="4" w:space="0" w:color="auto"/>
            </w:tcBorders>
            <w:shd w:val="clear" w:color="auto" w:fill="FFFFFF" w:themeFill="background1"/>
            <w:noWrap/>
            <w:vAlign w:val="bottom"/>
            <w:hideMark/>
          </w:tcPr>
          <w:p w14:paraId="18324C50" w14:textId="77777777" w:rsidR="00EE6B9E" w:rsidRPr="008A4C54" w:rsidRDefault="00EE6B9E" w:rsidP="008A4C54">
            <w:pPr>
              <w:pStyle w:val="Tabletext1"/>
              <w:rPr>
                <w:rFonts w:cs="Times New Roman"/>
              </w:rPr>
            </w:pPr>
            <w:r w:rsidRPr="008A4C54">
              <w:rPr>
                <w:rFonts w:cs="Times New Roman"/>
              </w:rPr>
              <w:t>1</w:t>
            </w:r>
          </w:p>
        </w:tc>
        <w:tc>
          <w:tcPr>
            <w:tcW w:w="1068" w:type="dxa"/>
            <w:tcBorders>
              <w:bottom w:val="single" w:sz="4" w:space="0" w:color="auto"/>
            </w:tcBorders>
            <w:shd w:val="clear" w:color="auto" w:fill="FFFFFF" w:themeFill="background1"/>
            <w:noWrap/>
            <w:vAlign w:val="bottom"/>
            <w:hideMark/>
          </w:tcPr>
          <w:p w14:paraId="5CA65980"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74C4656E" w14:textId="77777777" w:rsidR="00EE6B9E" w:rsidRPr="008A4C54" w:rsidRDefault="00EE6B9E" w:rsidP="008A4C54">
            <w:pPr>
              <w:pStyle w:val="Tabletext1"/>
              <w:rPr>
                <w:rFonts w:cs="Times New Roman"/>
              </w:rPr>
            </w:pPr>
            <w:r w:rsidRPr="008A4C54">
              <w:rPr>
                <w:rFonts w:cs="Times New Roman"/>
              </w:rPr>
              <w:t>1</w:t>
            </w:r>
          </w:p>
        </w:tc>
        <w:tc>
          <w:tcPr>
            <w:tcW w:w="1086" w:type="dxa"/>
            <w:tcBorders>
              <w:bottom w:val="single" w:sz="4" w:space="0" w:color="auto"/>
            </w:tcBorders>
            <w:shd w:val="clear" w:color="auto" w:fill="FFFFFF" w:themeFill="background1"/>
            <w:noWrap/>
            <w:vAlign w:val="bottom"/>
            <w:hideMark/>
          </w:tcPr>
          <w:p w14:paraId="2D741650" w14:textId="77777777" w:rsidR="00EE6B9E" w:rsidRPr="008A4C54" w:rsidRDefault="00EE6B9E" w:rsidP="008A4C54">
            <w:pPr>
              <w:pStyle w:val="Tabletext1"/>
              <w:rPr>
                <w:rFonts w:cs="Times New Roman"/>
              </w:rPr>
            </w:pPr>
            <w:r w:rsidRPr="008A4C54">
              <w:rPr>
                <w:rFonts w:cs="Times New Roman"/>
              </w:rPr>
              <w:t>1</w:t>
            </w:r>
          </w:p>
        </w:tc>
        <w:tc>
          <w:tcPr>
            <w:tcW w:w="1178" w:type="dxa"/>
            <w:tcBorders>
              <w:bottom w:val="single" w:sz="4" w:space="0" w:color="auto"/>
            </w:tcBorders>
            <w:shd w:val="clear" w:color="auto" w:fill="FFFFFF" w:themeFill="background1"/>
            <w:noWrap/>
            <w:vAlign w:val="bottom"/>
            <w:hideMark/>
          </w:tcPr>
          <w:p w14:paraId="5988BD5F"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6DD5DC32"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406D5F94"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3EF87C85" w14:textId="77777777" w:rsidR="00EE6B9E" w:rsidRPr="008A4C54" w:rsidRDefault="00EE6B9E" w:rsidP="008A4C54">
            <w:pPr>
              <w:pStyle w:val="Tabletext1"/>
              <w:rPr>
                <w:rFonts w:cs="Times New Roman"/>
              </w:rPr>
            </w:pPr>
            <w:r w:rsidRPr="008A4C54">
              <w:rPr>
                <w:rFonts w:cs="Times New Roman"/>
              </w:rPr>
              <w:t>1</w:t>
            </w:r>
          </w:p>
        </w:tc>
        <w:tc>
          <w:tcPr>
            <w:tcW w:w="1162" w:type="dxa"/>
            <w:tcBorders>
              <w:bottom w:val="single" w:sz="4" w:space="0" w:color="auto"/>
            </w:tcBorders>
            <w:shd w:val="clear" w:color="auto" w:fill="FFFFFF" w:themeFill="background1"/>
            <w:noWrap/>
            <w:vAlign w:val="bottom"/>
            <w:hideMark/>
          </w:tcPr>
          <w:p w14:paraId="5DCDC64B"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7CF2A355" w14:textId="77777777" w:rsidTr="00723373">
        <w:trPr>
          <w:trHeight w:val="315"/>
        </w:trPr>
        <w:tc>
          <w:tcPr>
            <w:tcW w:w="3032" w:type="dxa"/>
            <w:tcBorders>
              <w:right w:val="single" w:sz="4" w:space="0" w:color="auto"/>
            </w:tcBorders>
            <w:shd w:val="clear" w:color="auto" w:fill="FFFFFF" w:themeFill="background1"/>
            <w:vAlign w:val="center"/>
            <w:hideMark/>
          </w:tcPr>
          <w:p w14:paraId="53072282" w14:textId="77777777" w:rsidR="00EE6B9E" w:rsidRPr="008A4C54" w:rsidRDefault="00EE6B9E" w:rsidP="008A4C54">
            <w:pPr>
              <w:pStyle w:val="Tabletext1"/>
              <w:rPr>
                <w:b/>
                <w:bCs/>
              </w:rPr>
            </w:pPr>
            <w:r w:rsidRPr="008A4C54">
              <w:rPr>
                <w:b/>
                <w:bCs/>
              </w:rPr>
              <w:t>OUTCOME MEASURES</w:t>
            </w:r>
          </w:p>
        </w:tc>
        <w:tc>
          <w:tcPr>
            <w:tcW w:w="957" w:type="dxa"/>
            <w:tcBorders>
              <w:top w:val="single" w:sz="4" w:space="0" w:color="auto"/>
              <w:left w:val="single" w:sz="4" w:space="0" w:color="auto"/>
              <w:bottom w:val="single" w:sz="4" w:space="0" w:color="auto"/>
              <w:right w:val="nil"/>
            </w:tcBorders>
            <w:shd w:val="clear" w:color="auto" w:fill="FFFFFF" w:themeFill="background1"/>
            <w:vAlign w:val="center"/>
            <w:hideMark/>
          </w:tcPr>
          <w:p w14:paraId="53C3AADE" w14:textId="77777777" w:rsidR="00EE6B9E" w:rsidRPr="008A4C54" w:rsidRDefault="00EE6B9E" w:rsidP="008A4C54">
            <w:pPr>
              <w:pStyle w:val="Tabletext1"/>
              <w:rPr>
                <w:b/>
                <w:bCs/>
              </w:rPr>
            </w:pPr>
            <w:r w:rsidRPr="008A4C54">
              <w:rPr>
                <w:b/>
                <w:bCs/>
              </w:rPr>
              <w:t> </w:t>
            </w:r>
          </w:p>
        </w:tc>
        <w:tc>
          <w:tcPr>
            <w:tcW w:w="1321" w:type="dxa"/>
            <w:tcBorders>
              <w:top w:val="single" w:sz="4" w:space="0" w:color="auto"/>
              <w:left w:val="nil"/>
              <w:bottom w:val="single" w:sz="4" w:space="0" w:color="auto"/>
              <w:right w:val="nil"/>
            </w:tcBorders>
            <w:shd w:val="clear" w:color="auto" w:fill="FFFFFF" w:themeFill="background1"/>
            <w:vAlign w:val="center"/>
            <w:hideMark/>
          </w:tcPr>
          <w:p w14:paraId="147EF818" w14:textId="77777777" w:rsidR="00EE6B9E" w:rsidRPr="008A4C54" w:rsidRDefault="00EE6B9E" w:rsidP="008A4C54">
            <w:pPr>
              <w:pStyle w:val="Tabletext1"/>
              <w:rPr>
                <w:b/>
                <w:bCs/>
              </w:rPr>
            </w:pPr>
            <w:r w:rsidRPr="008A4C54">
              <w:rPr>
                <w:b/>
                <w:bCs/>
              </w:rPr>
              <w:t> </w:t>
            </w:r>
          </w:p>
        </w:tc>
        <w:tc>
          <w:tcPr>
            <w:tcW w:w="1068" w:type="dxa"/>
            <w:tcBorders>
              <w:top w:val="single" w:sz="4" w:space="0" w:color="auto"/>
              <w:left w:val="nil"/>
              <w:bottom w:val="single" w:sz="4" w:space="0" w:color="auto"/>
              <w:right w:val="nil"/>
            </w:tcBorders>
            <w:shd w:val="clear" w:color="auto" w:fill="FFFFFF" w:themeFill="background1"/>
            <w:vAlign w:val="center"/>
            <w:hideMark/>
          </w:tcPr>
          <w:p w14:paraId="66006458"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38166394" w14:textId="77777777" w:rsidR="00EE6B9E" w:rsidRPr="008A4C54" w:rsidRDefault="00EE6B9E" w:rsidP="008A4C54">
            <w:pPr>
              <w:pStyle w:val="Tabletext1"/>
              <w:rPr>
                <w:b/>
                <w:bCs/>
              </w:rPr>
            </w:pPr>
            <w:r w:rsidRPr="008A4C54">
              <w:rPr>
                <w:b/>
                <w:bCs/>
              </w:rPr>
              <w:t> </w:t>
            </w:r>
          </w:p>
        </w:tc>
        <w:tc>
          <w:tcPr>
            <w:tcW w:w="1086" w:type="dxa"/>
            <w:tcBorders>
              <w:top w:val="single" w:sz="4" w:space="0" w:color="auto"/>
              <w:left w:val="nil"/>
              <w:bottom w:val="single" w:sz="4" w:space="0" w:color="auto"/>
              <w:right w:val="nil"/>
            </w:tcBorders>
            <w:shd w:val="clear" w:color="auto" w:fill="FFFFFF" w:themeFill="background1"/>
            <w:vAlign w:val="center"/>
            <w:hideMark/>
          </w:tcPr>
          <w:p w14:paraId="4DF6F5EA" w14:textId="77777777" w:rsidR="00EE6B9E" w:rsidRPr="008A4C54" w:rsidRDefault="00EE6B9E" w:rsidP="008A4C54">
            <w:pPr>
              <w:pStyle w:val="Tabletext1"/>
              <w:rPr>
                <w:b/>
                <w:bCs/>
              </w:rPr>
            </w:pPr>
            <w:r w:rsidRPr="008A4C54">
              <w:rPr>
                <w:b/>
                <w:bCs/>
              </w:rPr>
              <w:t> </w:t>
            </w:r>
          </w:p>
        </w:tc>
        <w:tc>
          <w:tcPr>
            <w:tcW w:w="1178" w:type="dxa"/>
            <w:tcBorders>
              <w:top w:val="single" w:sz="4" w:space="0" w:color="auto"/>
              <w:left w:val="nil"/>
              <w:bottom w:val="single" w:sz="4" w:space="0" w:color="auto"/>
              <w:right w:val="nil"/>
            </w:tcBorders>
            <w:shd w:val="clear" w:color="auto" w:fill="FFFFFF" w:themeFill="background1"/>
            <w:vAlign w:val="center"/>
            <w:hideMark/>
          </w:tcPr>
          <w:p w14:paraId="1644E0FC"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6B77E841"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7215F51B"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4F68F170" w14:textId="77777777" w:rsidR="00EE6B9E" w:rsidRPr="008A4C54" w:rsidRDefault="00EE6B9E" w:rsidP="008A4C54">
            <w:pPr>
              <w:pStyle w:val="Tabletext1"/>
              <w:rPr>
                <w:b/>
                <w:bCs/>
              </w:rPr>
            </w:pPr>
            <w:r w:rsidRPr="008A4C54">
              <w:rPr>
                <w:b/>
                <w:bCs/>
              </w:rPr>
              <w:t> </w:t>
            </w:r>
          </w:p>
        </w:tc>
        <w:tc>
          <w:tcPr>
            <w:tcW w:w="116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8032D6F" w14:textId="77777777" w:rsidR="00EE6B9E" w:rsidRPr="008A4C54" w:rsidRDefault="00EE6B9E" w:rsidP="008A4C54">
            <w:pPr>
              <w:pStyle w:val="Tabletext1"/>
              <w:rPr>
                <w:b/>
                <w:bCs/>
              </w:rPr>
            </w:pPr>
            <w:r w:rsidRPr="008A4C54">
              <w:rPr>
                <w:b/>
                <w:bCs/>
              </w:rPr>
              <w:t> </w:t>
            </w:r>
          </w:p>
        </w:tc>
      </w:tr>
      <w:tr w:rsidR="00EE6B9E" w:rsidRPr="008A4C54" w14:paraId="53BC8FC2" w14:textId="77777777" w:rsidTr="00723373">
        <w:trPr>
          <w:trHeight w:val="690"/>
        </w:trPr>
        <w:tc>
          <w:tcPr>
            <w:tcW w:w="3032" w:type="dxa"/>
            <w:shd w:val="clear" w:color="auto" w:fill="FFFFFF" w:themeFill="background1"/>
            <w:vAlign w:val="center"/>
            <w:hideMark/>
          </w:tcPr>
          <w:p w14:paraId="0370F3EF" w14:textId="77777777" w:rsidR="00EE6B9E" w:rsidRPr="008A4C54" w:rsidRDefault="00EE6B9E" w:rsidP="008A4C54">
            <w:pPr>
              <w:pStyle w:val="Tabletext1"/>
              <w:rPr>
                <w:rFonts w:cs="Times New Roman"/>
              </w:rPr>
            </w:pPr>
            <w:r w:rsidRPr="008A4C54">
              <w:rPr>
                <w:rFonts w:cs="Times New Roman"/>
              </w:rPr>
              <w:t>9. Are the outcome measures clearly defined in the introduction or methods section?</w:t>
            </w:r>
          </w:p>
        </w:tc>
        <w:tc>
          <w:tcPr>
            <w:tcW w:w="957" w:type="dxa"/>
            <w:tcBorders>
              <w:top w:val="single" w:sz="4" w:space="0" w:color="auto"/>
            </w:tcBorders>
            <w:shd w:val="clear" w:color="auto" w:fill="FFFFFF" w:themeFill="background1"/>
            <w:noWrap/>
            <w:vAlign w:val="bottom"/>
            <w:hideMark/>
          </w:tcPr>
          <w:p w14:paraId="1F4ADBA3" w14:textId="77777777" w:rsidR="00EE6B9E" w:rsidRPr="008A4C54" w:rsidRDefault="00EE6B9E" w:rsidP="008A4C54">
            <w:pPr>
              <w:pStyle w:val="Tabletext1"/>
              <w:rPr>
                <w:rFonts w:cs="Times New Roman"/>
              </w:rPr>
            </w:pPr>
            <w:r w:rsidRPr="008A4C54">
              <w:rPr>
                <w:rFonts w:cs="Times New Roman"/>
              </w:rPr>
              <w:t>0</w:t>
            </w:r>
          </w:p>
        </w:tc>
        <w:tc>
          <w:tcPr>
            <w:tcW w:w="1321" w:type="dxa"/>
            <w:tcBorders>
              <w:top w:val="single" w:sz="4" w:space="0" w:color="auto"/>
            </w:tcBorders>
            <w:shd w:val="clear" w:color="auto" w:fill="FFFFFF" w:themeFill="background1"/>
            <w:noWrap/>
            <w:vAlign w:val="bottom"/>
            <w:hideMark/>
          </w:tcPr>
          <w:p w14:paraId="15D8BE74" w14:textId="77777777" w:rsidR="00EE6B9E" w:rsidRPr="008A4C54" w:rsidRDefault="00EE6B9E" w:rsidP="008A4C54">
            <w:pPr>
              <w:pStyle w:val="Tabletext1"/>
              <w:rPr>
                <w:rFonts w:cs="Times New Roman"/>
              </w:rPr>
            </w:pPr>
            <w:r w:rsidRPr="008A4C54">
              <w:rPr>
                <w:rFonts w:cs="Times New Roman"/>
              </w:rPr>
              <w:t>1</w:t>
            </w:r>
          </w:p>
        </w:tc>
        <w:tc>
          <w:tcPr>
            <w:tcW w:w="1068" w:type="dxa"/>
            <w:tcBorders>
              <w:top w:val="single" w:sz="4" w:space="0" w:color="auto"/>
            </w:tcBorders>
            <w:shd w:val="clear" w:color="auto" w:fill="FFFFFF" w:themeFill="background1"/>
            <w:noWrap/>
            <w:vAlign w:val="bottom"/>
            <w:hideMark/>
          </w:tcPr>
          <w:p w14:paraId="370F317F"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5CEAA84E" w14:textId="77777777" w:rsidR="00EE6B9E" w:rsidRPr="008A4C54" w:rsidRDefault="00EE6B9E" w:rsidP="008A4C54">
            <w:pPr>
              <w:pStyle w:val="Tabletext1"/>
              <w:rPr>
                <w:rFonts w:cs="Times New Roman"/>
              </w:rPr>
            </w:pPr>
            <w:r w:rsidRPr="008A4C54">
              <w:rPr>
                <w:rFonts w:cs="Times New Roman"/>
              </w:rPr>
              <w:t>1</w:t>
            </w:r>
          </w:p>
        </w:tc>
        <w:tc>
          <w:tcPr>
            <w:tcW w:w="1086" w:type="dxa"/>
            <w:tcBorders>
              <w:top w:val="single" w:sz="4" w:space="0" w:color="auto"/>
            </w:tcBorders>
            <w:shd w:val="clear" w:color="auto" w:fill="FFFFFF" w:themeFill="background1"/>
            <w:noWrap/>
            <w:vAlign w:val="bottom"/>
            <w:hideMark/>
          </w:tcPr>
          <w:p w14:paraId="3147AA01" w14:textId="77777777" w:rsidR="00EE6B9E" w:rsidRPr="008A4C54" w:rsidRDefault="00EE6B9E" w:rsidP="008A4C54">
            <w:pPr>
              <w:pStyle w:val="Tabletext1"/>
              <w:rPr>
                <w:rFonts w:cs="Times New Roman"/>
              </w:rPr>
            </w:pPr>
            <w:r w:rsidRPr="008A4C54">
              <w:rPr>
                <w:rFonts w:cs="Times New Roman"/>
              </w:rPr>
              <w:t>1</w:t>
            </w:r>
          </w:p>
        </w:tc>
        <w:tc>
          <w:tcPr>
            <w:tcW w:w="1178" w:type="dxa"/>
            <w:tcBorders>
              <w:top w:val="single" w:sz="4" w:space="0" w:color="auto"/>
            </w:tcBorders>
            <w:shd w:val="clear" w:color="auto" w:fill="FFFFFF" w:themeFill="background1"/>
            <w:noWrap/>
            <w:vAlign w:val="bottom"/>
            <w:hideMark/>
          </w:tcPr>
          <w:p w14:paraId="2551B0E5"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49FC1470"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66A8DEF5"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777E47C6" w14:textId="77777777" w:rsidR="00EE6B9E" w:rsidRPr="008A4C54" w:rsidRDefault="00EE6B9E" w:rsidP="008A4C54">
            <w:pPr>
              <w:pStyle w:val="Tabletext1"/>
              <w:rPr>
                <w:rFonts w:cs="Times New Roman"/>
              </w:rPr>
            </w:pPr>
            <w:r w:rsidRPr="008A4C54">
              <w:rPr>
                <w:rFonts w:cs="Times New Roman"/>
              </w:rPr>
              <w:t>1</w:t>
            </w:r>
          </w:p>
        </w:tc>
        <w:tc>
          <w:tcPr>
            <w:tcW w:w="1162" w:type="dxa"/>
            <w:tcBorders>
              <w:top w:val="single" w:sz="4" w:space="0" w:color="auto"/>
            </w:tcBorders>
            <w:shd w:val="clear" w:color="auto" w:fill="FFFFFF" w:themeFill="background1"/>
            <w:noWrap/>
            <w:vAlign w:val="bottom"/>
            <w:hideMark/>
          </w:tcPr>
          <w:p w14:paraId="429470EA"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00F41C63" w14:textId="77777777" w:rsidTr="00723373">
        <w:trPr>
          <w:trHeight w:val="690"/>
        </w:trPr>
        <w:tc>
          <w:tcPr>
            <w:tcW w:w="3032" w:type="dxa"/>
            <w:shd w:val="clear" w:color="auto" w:fill="FFFFFF" w:themeFill="background1"/>
            <w:vAlign w:val="center"/>
            <w:hideMark/>
          </w:tcPr>
          <w:p w14:paraId="03E3DBA6" w14:textId="77777777" w:rsidR="00EE6B9E" w:rsidRPr="008A4C54" w:rsidRDefault="00EE6B9E" w:rsidP="008A4C54">
            <w:pPr>
              <w:pStyle w:val="Tabletext1"/>
              <w:rPr>
                <w:rFonts w:cs="Times New Roman"/>
              </w:rPr>
            </w:pPr>
            <w:r w:rsidRPr="008A4C54">
              <w:rPr>
                <w:rFonts w:cs="Times New Roman"/>
              </w:rPr>
              <w:lastRenderedPageBreak/>
              <w:t>10. Were relevant outcomes appropriately measured with objective and/or subjective methods?</w:t>
            </w:r>
          </w:p>
        </w:tc>
        <w:tc>
          <w:tcPr>
            <w:tcW w:w="957" w:type="dxa"/>
            <w:shd w:val="clear" w:color="auto" w:fill="FFFFFF" w:themeFill="background1"/>
            <w:noWrap/>
            <w:vAlign w:val="bottom"/>
            <w:hideMark/>
          </w:tcPr>
          <w:p w14:paraId="576E1E6F" w14:textId="77777777" w:rsidR="00EE6B9E" w:rsidRPr="008A4C54" w:rsidRDefault="00EE6B9E" w:rsidP="008A4C54">
            <w:pPr>
              <w:pStyle w:val="Tabletext1"/>
              <w:rPr>
                <w:rFonts w:cs="Times New Roman"/>
              </w:rPr>
            </w:pPr>
            <w:r w:rsidRPr="008A4C54">
              <w:rPr>
                <w:rFonts w:cs="Times New Roman"/>
              </w:rPr>
              <w:t>1</w:t>
            </w:r>
          </w:p>
        </w:tc>
        <w:tc>
          <w:tcPr>
            <w:tcW w:w="1321" w:type="dxa"/>
            <w:shd w:val="clear" w:color="auto" w:fill="FFFFFF" w:themeFill="background1"/>
            <w:noWrap/>
            <w:vAlign w:val="bottom"/>
            <w:hideMark/>
          </w:tcPr>
          <w:p w14:paraId="36926BD4" w14:textId="77777777" w:rsidR="00EE6B9E" w:rsidRPr="008A4C54" w:rsidRDefault="00EE6B9E" w:rsidP="008A4C54">
            <w:pPr>
              <w:pStyle w:val="Tabletext1"/>
              <w:rPr>
                <w:rFonts w:cs="Times New Roman"/>
              </w:rPr>
            </w:pPr>
            <w:r w:rsidRPr="008A4C54">
              <w:rPr>
                <w:rFonts w:cs="Times New Roman"/>
              </w:rPr>
              <w:t>1</w:t>
            </w:r>
          </w:p>
        </w:tc>
        <w:tc>
          <w:tcPr>
            <w:tcW w:w="1068" w:type="dxa"/>
            <w:shd w:val="clear" w:color="auto" w:fill="FFFFFF" w:themeFill="background1"/>
            <w:noWrap/>
            <w:vAlign w:val="bottom"/>
            <w:hideMark/>
          </w:tcPr>
          <w:p w14:paraId="2A3F8640"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620DFDBF" w14:textId="77777777" w:rsidR="00EE6B9E" w:rsidRPr="008A4C54" w:rsidRDefault="00EE6B9E" w:rsidP="008A4C54">
            <w:pPr>
              <w:pStyle w:val="Tabletext1"/>
              <w:rPr>
                <w:rFonts w:cs="Times New Roman"/>
              </w:rPr>
            </w:pPr>
            <w:r w:rsidRPr="008A4C54">
              <w:rPr>
                <w:rFonts w:cs="Times New Roman"/>
              </w:rPr>
              <w:t>1</w:t>
            </w:r>
          </w:p>
        </w:tc>
        <w:tc>
          <w:tcPr>
            <w:tcW w:w="1086" w:type="dxa"/>
            <w:shd w:val="clear" w:color="auto" w:fill="FFFFFF" w:themeFill="background1"/>
            <w:noWrap/>
            <w:vAlign w:val="bottom"/>
            <w:hideMark/>
          </w:tcPr>
          <w:p w14:paraId="4DCC6094" w14:textId="77777777" w:rsidR="00EE6B9E" w:rsidRPr="008A4C54" w:rsidRDefault="00EE6B9E" w:rsidP="008A4C54">
            <w:pPr>
              <w:pStyle w:val="Tabletext1"/>
              <w:rPr>
                <w:rFonts w:cs="Times New Roman"/>
              </w:rPr>
            </w:pPr>
            <w:r w:rsidRPr="008A4C54">
              <w:rPr>
                <w:rFonts w:cs="Times New Roman"/>
              </w:rPr>
              <w:t>0</w:t>
            </w:r>
          </w:p>
        </w:tc>
        <w:tc>
          <w:tcPr>
            <w:tcW w:w="1178" w:type="dxa"/>
            <w:shd w:val="clear" w:color="auto" w:fill="FFFFFF" w:themeFill="background1"/>
            <w:noWrap/>
            <w:vAlign w:val="bottom"/>
            <w:hideMark/>
          </w:tcPr>
          <w:p w14:paraId="34A1DF97"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410B64D2"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6D279245" w14:textId="77777777" w:rsidR="00EE6B9E" w:rsidRPr="008A4C54" w:rsidRDefault="00EE6B9E" w:rsidP="008A4C54">
            <w:pPr>
              <w:pStyle w:val="Tabletext1"/>
              <w:rPr>
                <w:rFonts w:cs="Times New Roman"/>
              </w:rPr>
            </w:pPr>
            <w:r w:rsidRPr="008A4C54">
              <w:rPr>
                <w:rFonts w:cs="Times New Roman"/>
              </w:rPr>
              <w:t>?</w:t>
            </w:r>
          </w:p>
        </w:tc>
        <w:tc>
          <w:tcPr>
            <w:tcW w:w="1132" w:type="dxa"/>
            <w:shd w:val="clear" w:color="auto" w:fill="FFFFFF" w:themeFill="background1"/>
            <w:noWrap/>
            <w:vAlign w:val="bottom"/>
            <w:hideMark/>
          </w:tcPr>
          <w:p w14:paraId="222353EF" w14:textId="77777777" w:rsidR="00EE6B9E" w:rsidRPr="008A4C54" w:rsidRDefault="00EE6B9E" w:rsidP="008A4C54">
            <w:pPr>
              <w:pStyle w:val="Tabletext1"/>
              <w:rPr>
                <w:rFonts w:cs="Times New Roman"/>
              </w:rPr>
            </w:pPr>
            <w:r w:rsidRPr="008A4C54">
              <w:rPr>
                <w:rFonts w:cs="Times New Roman"/>
              </w:rPr>
              <w:t>1</w:t>
            </w:r>
          </w:p>
        </w:tc>
        <w:tc>
          <w:tcPr>
            <w:tcW w:w="1162" w:type="dxa"/>
            <w:shd w:val="clear" w:color="auto" w:fill="FFFFFF" w:themeFill="background1"/>
            <w:noWrap/>
            <w:vAlign w:val="bottom"/>
            <w:hideMark/>
          </w:tcPr>
          <w:p w14:paraId="4057BCD5"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26E3A099" w14:textId="77777777" w:rsidTr="00723373">
        <w:trPr>
          <w:trHeight w:val="465"/>
        </w:trPr>
        <w:tc>
          <w:tcPr>
            <w:tcW w:w="3032" w:type="dxa"/>
            <w:shd w:val="clear" w:color="auto" w:fill="FFFFFF" w:themeFill="background1"/>
            <w:vAlign w:val="center"/>
            <w:hideMark/>
          </w:tcPr>
          <w:p w14:paraId="2FF1AFBF" w14:textId="77777777" w:rsidR="00EE6B9E" w:rsidRPr="008A4C54" w:rsidRDefault="00EE6B9E" w:rsidP="008A4C54">
            <w:pPr>
              <w:pStyle w:val="Tabletext1"/>
              <w:rPr>
                <w:rFonts w:cs="Times New Roman"/>
              </w:rPr>
            </w:pPr>
            <w:r w:rsidRPr="008A4C54">
              <w:rPr>
                <w:rFonts w:cs="Times New Roman"/>
              </w:rPr>
              <w:t>11. Were outcomes measured before and after intervention?</w:t>
            </w:r>
          </w:p>
        </w:tc>
        <w:tc>
          <w:tcPr>
            <w:tcW w:w="957" w:type="dxa"/>
            <w:shd w:val="clear" w:color="auto" w:fill="FFFFFF" w:themeFill="background1"/>
            <w:noWrap/>
            <w:vAlign w:val="bottom"/>
            <w:hideMark/>
          </w:tcPr>
          <w:p w14:paraId="65F00B8D" w14:textId="77777777" w:rsidR="00EE6B9E" w:rsidRPr="008A4C54" w:rsidRDefault="00EE6B9E" w:rsidP="008A4C54">
            <w:pPr>
              <w:pStyle w:val="Tabletext1"/>
              <w:rPr>
                <w:rFonts w:cs="Times New Roman"/>
              </w:rPr>
            </w:pPr>
            <w:r w:rsidRPr="008A4C54">
              <w:rPr>
                <w:rFonts w:cs="Times New Roman"/>
              </w:rPr>
              <w:t>NA</w:t>
            </w:r>
          </w:p>
        </w:tc>
        <w:tc>
          <w:tcPr>
            <w:tcW w:w="1321" w:type="dxa"/>
            <w:shd w:val="clear" w:color="auto" w:fill="FFFFFF" w:themeFill="background1"/>
            <w:noWrap/>
            <w:vAlign w:val="bottom"/>
            <w:hideMark/>
          </w:tcPr>
          <w:p w14:paraId="44F80B68" w14:textId="77777777" w:rsidR="00EE6B9E" w:rsidRPr="008A4C54" w:rsidRDefault="00EE6B9E" w:rsidP="008A4C54">
            <w:pPr>
              <w:pStyle w:val="Tabletext1"/>
              <w:rPr>
                <w:rFonts w:cs="Times New Roman"/>
              </w:rPr>
            </w:pPr>
            <w:r w:rsidRPr="008A4C54">
              <w:rPr>
                <w:rFonts w:cs="Times New Roman"/>
              </w:rPr>
              <w:t>NA</w:t>
            </w:r>
          </w:p>
        </w:tc>
        <w:tc>
          <w:tcPr>
            <w:tcW w:w="1068" w:type="dxa"/>
            <w:shd w:val="clear" w:color="auto" w:fill="FFFFFF" w:themeFill="background1"/>
            <w:noWrap/>
            <w:vAlign w:val="bottom"/>
            <w:hideMark/>
          </w:tcPr>
          <w:p w14:paraId="7ADA7B94" w14:textId="77777777" w:rsidR="00EE6B9E" w:rsidRPr="008A4C54" w:rsidRDefault="00EE6B9E" w:rsidP="008A4C54">
            <w:pPr>
              <w:pStyle w:val="Tabletext1"/>
              <w:rPr>
                <w:rFonts w:cs="Times New Roman"/>
              </w:rPr>
            </w:pPr>
            <w:r w:rsidRPr="008A4C54">
              <w:rPr>
                <w:rFonts w:cs="Times New Roman"/>
              </w:rPr>
              <w:t>NA</w:t>
            </w:r>
          </w:p>
        </w:tc>
        <w:tc>
          <w:tcPr>
            <w:tcW w:w="1132" w:type="dxa"/>
            <w:shd w:val="clear" w:color="auto" w:fill="FFFFFF" w:themeFill="background1"/>
            <w:noWrap/>
            <w:vAlign w:val="bottom"/>
            <w:hideMark/>
          </w:tcPr>
          <w:p w14:paraId="2AC3E510" w14:textId="77777777" w:rsidR="00EE6B9E" w:rsidRPr="008A4C54" w:rsidRDefault="00EE6B9E" w:rsidP="008A4C54">
            <w:pPr>
              <w:pStyle w:val="Tabletext1"/>
              <w:rPr>
                <w:rFonts w:cs="Times New Roman"/>
              </w:rPr>
            </w:pPr>
            <w:r w:rsidRPr="008A4C54">
              <w:rPr>
                <w:rFonts w:cs="Times New Roman"/>
              </w:rPr>
              <w:t>NA</w:t>
            </w:r>
          </w:p>
        </w:tc>
        <w:tc>
          <w:tcPr>
            <w:tcW w:w="1086" w:type="dxa"/>
            <w:shd w:val="clear" w:color="auto" w:fill="FFFFFF" w:themeFill="background1"/>
            <w:noWrap/>
            <w:vAlign w:val="bottom"/>
            <w:hideMark/>
          </w:tcPr>
          <w:p w14:paraId="383759E0" w14:textId="77777777" w:rsidR="00EE6B9E" w:rsidRPr="008A4C54" w:rsidRDefault="00EE6B9E" w:rsidP="008A4C54">
            <w:pPr>
              <w:pStyle w:val="Tabletext1"/>
              <w:rPr>
                <w:rFonts w:cs="Times New Roman"/>
              </w:rPr>
            </w:pPr>
            <w:r w:rsidRPr="008A4C54">
              <w:rPr>
                <w:rFonts w:cs="Times New Roman"/>
              </w:rPr>
              <w:t>NA</w:t>
            </w:r>
          </w:p>
        </w:tc>
        <w:tc>
          <w:tcPr>
            <w:tcW w:w="1178" w:type="dxa"/>
            <w:shd w:val="clear" w:color="auto" w:fill="FFFFFF" w:themeFill="background1"/>
            <w:noWrap/>
            <w:vAlign w:val="bottom"/>
            <w:hideMark/>
          </w:tcPr>
          <w:p w14:paraId="3E7FAFA8" w14:textId="77777777" w:rsidR="00EE6B9E" w:rsidRPr="008A4C54" w:rsidRDefault="00EE6B9E" w:rsidP="008A4C54">
            <w:pPr>
              <w:pStyle w:val="Tabletext1"/>
              <w:rPr>
                <w:rFonts w:cs="Times New Roman"/>
              </w:rPr>
            </w:pPr>
            <w:r w:rsidRPr="008A4C54">
              <w:rPr>
                <w:rFonts w:cs="Times New Roman"/>
              </w:rPr>
              <w:t>NA</w:t>
            </w:r>
          </w:p>
        </w:tc>
        <w:tc>
          <w:tcPr>
            <w:tcW w:w="1132" w:type="dxa"/>
            <w:shd w:val="clear" w:color="auto" w:fill="FFFFFF" w:themeFill="background1"/>
            <w:noWrap/>
            <w:vAlign w:val="bottom"/>
            <w:hideMark/>
          </w:tcPr>
          <w:p w14:paraId="43828C3C" w14:textId="77777777" w:rsidR="00EE6B9E" w:rsidRPr="008A4C54" w:rsidRDefault="00EE6B9E" w:rsidP="008A4C54">
            <w:pPr>
              <w:pStyle w:val="Tabletext1"/>
              <w:rPr>
                <w:rFonts w:cs="Times New Roman"/>
              </w:rPr>
            </w:pPr>
            <w:r w:rsidRPr="008A4C54">
              <w:rPr>
                <w:rFonts w:cs="Times New Roman"/>
              </w:rPr>
              <w:t>NA</w:t>
            </w:r>
          </w:p>
        </w:tc>
        <w:tc>
          <w:tcPr>
            <w:tcW w:w="1132" w:type="dxa"/>
            <w:shd w:val="clear" w:color="auto" w:fill="FFFFFF" w:themeFill="background1"/>
            <w:noWrap/>
            <w:vAlign w:val="bottom"/>
            <w:hideMark/>
          </w:tcPr>
          <w:p w14:paraId="024AA93A" w14:textId="77777777" w:rsidR="00EE6B9E" w:rsidRPr="008A4C54" w:rsidRDefault="00EE6B9E" w:rsidP="008A4C54">
            <w:pPr>
              <w:pStyle w:val="Tabletext1"/>
              <w:rPr>
                <w:rFonts w:cs="Times New Roman"/>
              </w:rPr>
            </w:pPr>
            <w:r w:rsidRPr="008A4C54">
              <w:rPr>
                <w:rFonts w:cs="Times New Roman"/>
              </w:rPr>
              <w:t>NA</w:t>
            </w:r>
          </w:p>
        </w:tc>
        <w:tc>
          <w:tcPr>
            <w:tcW w:w="1132" w:type="dxa"/>
            <w:shd w:val="clear" w:color="auto" w:fill="FFFFFF" w:themeFill="background1"/>
            <w:noWrap/>
            <w:vAlign w:val="bottom"/>
            <w:hideMark/>
          </w:tcPr>
          <w:p w14:paraId="054AB7DE" w14:textId="77777777" w:rsidR="00EE6B9E" w:rsidRPr="008A4C54" w:rsidRDefault="00EE6B9E" w:rsidP="008A4C54">
            <w:pPr>
              <w:pStyle w:val="Tabletext1"/>
              <w:rPr>
                <w:rFonts w:cs="Times New Roman"/>
              </w:rPr>
            </w:pPr>
            <w:r w:rsidRPr="008A4C54">
              <w:rPr>
                <w:rFonts w:cs="Times New Roman"/>
              </w:rPr>
              <w:t>NA</w:t>
            </w:r>
          </w:p>
        </w:tc>
        <w:tc>
          <w:tcPr>
            <w:tcW w:w="1162" w:type="dxa"/>
            <w:shd w:val="clear" w:color="auto" w:fill="FFFFFF" w:themeFill="background1"/>
            <w:noWrap/>
            <w:vAlign w:val="bottom"/>
            <w:hideMark/>
          </w:tcPr>
          <w:p w14:paraId="1E7C700F" w14:textId="77777777" w:rsidR="00EE6B9E" w:rsidRPr="008A4C54" w:rsidRDefault="00EE6B9E" w:rsidP="008A4C54">
            <w:pPr>
              <w:pStyle w:val="Tabletext1"/>
              <w:rPr>
                <w:rFonts w:cs="Times New Roman"/>
              </w:rPr>
            </w:pPr>
            <w:r w:rsidRPr="008A4C54">
              <w:rPr>
                <w:rFonts w:cs="Times New Roman"/>
              </w:rPr>
              <w:t>NA</w:t>
            </w:r>
          </w:p>
        </w:tc>
      </w:tr>
      <w:tr w:rsidR="00EE6B9E" w:rsidRPr="008A4C54" w14:paraId="02C40CFC" w14:textId="77777777" w:rsidTr="00723373">
        <w:trPr>
          <w:trHeight w:val="315"/>
        </w:trPr>
        <w:tc>
          <w:tcPr>
            <w:tcW w:w="3032" w:type="dxa"/>
            <w:shd w:val="clear" w:color="auto" w:fill="FFFFFF" w:themeFill="background1"/>
            <w:vAlign w:val="center"/>
            <w:hideMark/>
          </w:tcPr>
          <w:p w14:paraId="0594E5C7" w14:textId="77777777" w:rsidR="00EE6B9E" w:rsidRPr="008A4C54" w:rsidRDefault="00EE6B9E" w:rsidP="008A4C54">
            <w:pPr>
              <w:pStyle w:val="Tabletext1"/>
              <w:rPr>
                <w:rFonts w:cs="Times New Roman"/>
              </w:rPr>
            </w:pPr>
            <w:r w:rsidRPr="008A4C54">
              <w:rPr>
                <w:rFonts w:cs="Times New Roman"/>
              </w:rPr>
              <w:t>14. Was the loss to follow-up reported?</w:t>
            </w:r>
          </w:p>
        </w:tc>
        <w:tc>
          <w:tcPr>
            <w:tcW w:w="957" w:type="dxa"/>
            <w:shd w:val="clear" w:color="auto" w:fill="FFFFFF" w:themeFill="background1"/>
            <w:noWrap/>
            <w:vAlign w:val="bottom"/>
            <w:hideMark/>
          </w:tcPr>
          <w:p w14:paraId="3C3FAEC0" w14:textId="77777777" w:rsidR="00EE6B9E" w:rsidRPr="008A4C54" w:rsidRDefault="00EE6B9E" w:rsidP="008A4C54">
            <w:pPr>
              <w:pStyle w:val="Tabletext1"/>
              <w:rPr>
                <w:rFonts w:cs="Times New Roman"/>
              </w:rPr>
            </w:pPr>
            <w:r w:rsidRPr="008A4C54">
              <w:rPr>
                <w:rFonts w:cs="Times New Roman"/>
              </w:rPr>
              <w:t>0</w:t>
            </w:r>
          </w:p>
        </w:tc>
        <w:tc>
          <w:tcPr>
            <w:tcW w:w="1321" w:type="dxa"/>
            <w:shd w:val="clear" w:color="auto" w:fill="FFFFFF" w:themeFill="background1"/>
            <w:noWrap/>
            <w:vAlign w:val="bottom"/>
            <w:hideMark/>
          </w:tcPr>
          <w:p w14:paraId="721FE313" w14:textId="77777777" w:rsidR="00EE6B9E" w:rsidRPr="008A4C54" w:rsidRDefault="00EE6B9E" w:rsidP="008A4C54">
            <w:pPr>
              <w:pStyle w:val="Tabletext1"/>
              <w:rPr>
                <w:rFonts w:cs="Times New Roman"/>
              </w:rPr>
            </w:pPr>
            <w:r w:rsidRPr="008A4C54">
              <w:rPr>
                <w:rFonts w:cs="Times New Roman"/>
              </w:rPr>
              <w:t>0</w:t>
            </w:r>
          </w:p>
        </w:tc>
        <w:tc>
          <w:tcPr>
            <w:tcW w:w="1068" w:type="dxa"/>
            <w:shd w:val="clear" w:color="auto" w:fill="FFFFFF" w:themeFill="background1"/>
            <w:noWrap/>
            <w:vAlign w:val="bottom"/>
            <w:hideMark/>
          </w:tcPr>
          <w:p w14:paraId="4C573C40"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49AF2FC0" w14:textId="77777777" w:rsidR="00EE6B9E" w:rsidRPr="008A4C54" w:rsidRDefault="00EE6B9E" w:rsidP="008A4C54">
            <w:pPr>
              <w:pStyle w:val="Tabletext1"/>
              <w:rPr>
                <w:rFonts w:cs="Times New Roman"/>
              </w:rPr>
            </w:pPr>
            <w:r w:rsidRPr="008A4C54">
              <w:rPr>
                <w:rFonts w:cs="Times New Roman"/>
              </w:rPr>
              <w:t>0</w:t>
            </w:r>
          </w:p>
        </w:tc>
        <w:tc>
          <w:tcPr>
            <w:tcW w:w="1086" w:type="dxa"/>
            <w:shd w:val="clear" w:color="auto" w:fill="FFFFFF" w:themeFill="background1"/>
            <w:noWrap/>
            <w:vAlign w:val="bottom"/>
            <w:hideMark/>
          </w:tcPr>
          <w:p w14:paraId="60C7C40C" w14:textId="77777777" w:rsidR="00EE6B9E" w:rsidRPr="008A4C54" w:rsidRDefault="00EE6B9E" w:rsidP="008A4C54">
            <w:pPr>
              <w:pStyle w:val="Tabletext1"/>
              <w:rPr>
                <w:rFonts w:cs="Times New Roman"/>
              </w:rPr>
            </w:pPr>
            <w:r w:rsidRPr="008A4C54">
              <w:rPr>
                <w:rFonts w:cs="Times New Roman"/>
              </w:rPr>
              <w:t>0</w:t>
            </w:r>
          </w:p>
        </w:tc>
        <w:tc>
          <w:tcPr>
            <w:tcW w:w="1178" w:type="dxa"/>
            <w:shd w:val="clear" w:color="auto" w:fill="FFFFFF" w:themeFill="background1"/>
            <w:noWrap/>
            <w:vAlign w:val="bottom"/>
            <w:hideMark/>
          </w:tcPr>
          <w:p w14:paraId="6AB8DE64" w14:textId="77777777" w:rsidR="00EE6B9E" w:rsidRPr="008A4C54" w:rsidRDefault="00EE6B9E" w:rsidP="008A4C54">
            <w:pPr>
              <w:pStyle w:val="Tabletext1"/>
              <w:rPr>
                <w:rFonts w:cs="Times New Roman"/>
              </w:rPr>
            </w:pPr>
            <w:r w:rsidRPr="008A4C54">
              <w:rPr>
                <w:rFonts w:cs="Times New Roman"/>
              </w:rPr>
              <w:t>NA</w:t>
            </w:r>
          </w:p>
        </w:tc>
        <w:tc>
          <w:tcPr>
            <w:tcW w:w="1132" w:type="dxa"/>
            <w:shd w:val="clear" w:color="auto" w:fill="FFFFFF" w:themeFill="background1"/>
            <w:noWrap/>
            <w:vAlign w:val="bottom"/>
            <w:hideMark/>
          </w:tcPr>
          <w:p w14:paraId="5138A0F5"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0483AFCC"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4AFBE1F3" w14:textId="77777777" w:rsidR="00EE6B9E" w:rsidRPr="008A4C54" w:rsidRDefault="00EE6B9E" w:rsidP="008A4C54">
            <w:pPr>
              <w:pStyle w:val="Tabletext1"/>
              <w:rPr>
                <w:rFonts w:cs="Times New Roman"/>
              </w:rPr>
            </w:pPr>
            <w:r w:rsidRPr="008A4C54">
              <w:rPr>
                <w:rFonts w:cs="Times New Roman"/>
              </w:rPr>
              <w:t>0</w:t>
            </w:r>
          </w:p>
        </w:tc>
        <w:tc>
          <w:tcPr>
            <w:tcW w:w="1162" w:type="dxa"/>
            <w:shd w:val="clear" w:color="auto" w:fill="FFFFFF" w:themeFill="background1"/>
            <w:noWrap/>
            <w:vAlign w:val="bottom"/>
            <w:hideMark/>
          </w:tcPr>
          <w:p w14:paraId="3C181400" w14:textId="77777777" w:rsidR="00EE6B9E" w:rsidRPr="008A4C54" w:rsidRDefault="00EE6B9E" w:rsidP="008A4C54">
            <w:pPr>
              <w:pStyle w:val="Tabletext1"/>
              <w:rPr>
                <w:rFonts w:cs="Times New Roman"/>
              </w:rPr>
            </w:pPr>
            <w:r w:rsidRPr="008A4C54">
              <w:rPr>
                <w:rFonts w:cs="Times New Roman"/>
              </w:rPr>
              <w:t>0</w:t>
            </w:r>
          </w:p>
        </w:tc>
      </w:tr>
      <w:tr w:rsidR="00EE6B9E" w:rsidRPr="008A4C54" w14:paraId="066170A5" w14:textId="77777777" w:rsidTr="00723373">
        <w:trPr>
          <w:trHeight w:val="690"/>
        </w:trPr>
        <w:tc>
          <w:tcPr>
            <w:tcW w:w="3032" w:type="dxa"/>
            <w:shd w:val="clear" w:color="auto" w:fill="FFFFFF" w:themeFill="background1"/>
            <w:vAlign w:val="center"/>
            <w:hideMark/>
          </w:tcPr>
          <w:p w14:paraId="3632CFE0" w14:textId="77777777" w:rsidR="00EE6B9E" w:rsidRPr="008A4C54" w:rsidRDefault="00EE6B9E" w:rsidP="008A4C54">
            <w:pPr>
              <w:pStyle w:val="Tabletext1"/>
              <w:rPr>
                <w:rFonts w:cs="Times New Roman"/>
              </w:rPr>
            </w:pPr>
            <w:r w:rsidRPr="008A4C54">
              <w:rPr>
                <w:rFonts w:cs="Times New Roman"/>
              </w:rPr>
              <w:t>15. Does the study provide estimates of random variability in the data analysis of relevant outcomes?</w:t>
            </w:r>
          </w:p>
        </w:tc>
        <w:tc>
          <w:tcPr>
            <w:tcW w:w="957" w:type="dxa"/>
            <w:shd w:val="clear" w:color="auto" w:fill="FFFFFF" w:themeFill="background1"/>
            <w:noWrap/>
            <w:vAlign w:val="bottom"/>
            <w:hideMark/>
          </w:tcPr>
          <w:p w14:paraId="565DA449" w14:textId="77777777" w:rsidR="00EE6B9E" w:rsidRPr="008A4C54" w:rsidRDefault="00EE6B9E" w:rsidP="008A4C54">
            <w:pPr>
              <w:pStyle w:val="Tabletext1"/>
              <w:rPr>
                <w:rFonts w:cs="Times New Roman"/>
              </w:rPr>
            </w:pPr>
            <w:r w:rsidRPr="008A4C54">
              <w:rPr>
                <w:rFonts w:cs="Times New Roman"/>
              </w:rPr>
              <w:t>1</w:t>
            </w:r>
          </w:p>
        </w:tc>
        <w:tc>
          <w:tcPr>
            <w:tcW w:w="1321" w:type="dxa"/>
            <w:shd w:val="clear" w:color="auto" w:fill="FFFFFF" w:themeFill="background1"/>
            <w:noWrap/>
            <w:vAlign w:val="bottom"/>
            <w:hideMark/>
          </w:tcPr>
          <w:p w14:paraId="6174622E" w14:textId="77777777" w:rsidR="00EE6B9E" w:rsidRPr="008A4C54" w:rsidRDefault="00EE6B9E" w:rsidP="008A4C54">
            <w:pPr>
              <w:pStyle w:val="Tabletext1"/>
              <w:rPr>
                <w:rFonts w:cs="Times New Roman"/>
              </w:rPr>
            </w:pPr>
            <w:r w:rsidRPr="008A4C54">
              <w:rPr>
                <w:rFonts w:cs="Times New Roman"/>
              </w:rPr>
              <w:t>0</w:t>
            </w:r>
          </w:p>
        </w:tc>
        <w:tc>
          <w:tcPr>
            <w:tcW w:w="1068" w:type="dxa"/>
            <w:shd w:val="clear" w:color="auto" w:fill="FFFFFF" w:themeFill="background1"/>
            <w:noWrap/>
            <w:vAlign w:val="bottom"/>
            <w:hideMark/>
          </w:tcPr>
          <w:p w14:paraId="48E75A7F"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6E87A788" w14:textId="77777777" w:rsidR="00EE6B9E" w:rsidRPr="008A4C54" w:rsidRDefault="00EE6B9E" w:rsidP="008A4C54">
            <w:pPr>
              <w:pStyle w:val="Tabletext1"/>
              <w:rPr>
                <w:rFonts w:cs="Times New Roman"/>
              </w:rPr>
            </w:pPr>
            <w:r w:rsidRPr="008A4C54">
              <w:rPr>
                <w:rFonts w:cs="Times New Roman"/>
              </w:rPr>
              <w:t>0</w:t>
            </w:r>
          </w:p>
        </w:tc>
        <w:tc>
          <w:tcPr>
            <w:tcW w:w="1086" w:type="dxa"/>
            <w:shd w:val="clear" w:color="auto" w:fill="FFFFFF" w:themeFill="background1"/>
            <w:noWrap/>
            <w:vAlign w:val="bottom"/>
            <w:hideMark/>
          </w:tcPr>
          <w:p w14:paraId="6532EDBC" w14:textId="77777777" w:rsidR="00EE6B9E" w:rsidRPr="008A4C54" w:rsidRDefault="00EE6B9E" w:rsidP="008A4C54">
            <w:pPr>
              <w:pStyle w:val="Tabletext1"/>
              <w:rPr>
                <w:rFonts w:cs="Times New Roman"/>
              </w:rPr>
            </w:pPr>
            <w:r w:rsidRPr="008A4C54">
              <w:rPr>
                <w:rFonts w:cs="Times New Roman"/>
              </w:rPr>
              <w:t>1</w:t>
            </w:r>
          </w:p>
        </w:tc>
        <w:tc>
          <w:tcPr>
            <w:tcW w:w="1178" w:type="dxa"/>
            <w:shd w:val="clear" w:color="auto" w:fill="FFFFFF" w:themeFill="background1"/>
            <w:noWrap/>
            <w:vAlign w:val="bottom"/>
            <w:hideMark/>
          </w:tcPr>
          <w:p w14:paraId="6DD743B3" w14:textId="77777777" w:rsidR="00EE6B9E" w:rsidRPr="008A4C54" w:rsidRDefault="00EE6B9E" w:rsidP="008A4C54">
            <w:pPr>
              <w:pStyle w:val="Tabletext1"/>
              <w:rPr>
                <w:rFonts w:cs="Times New Roman"/>
              </w:rPr>
            </w:pPr>
            <w:r w:rsidRPr="008A4C54">
              <w:rPr>
                <w:rFonts w:cs="Times New Roman"/>
              </w:rPr>
              <w:t>NA</w:t>
            </w:r>
          </w:p>
        </w:tc>
        <w:tc>
          <w:tcPr>
            <w:tcW w:w="1132" w:type="dxa"/>
            <w:shd w:val="clear" w:color="auto" w:fill="FFFFFF" w:themeFill="background1"/>
            <w:noWrap/>
            <w:vAlign w:val="bottom"/>
            <w:hideMark/>
          </w:tcPr>
          <w:p w14:paraId="764D1446" w14:textId="77777777" w:rsidR="00EE6B9E" w:rsidRPr="008A4C54" w:rsidRDefault="00EE6B9E" w:rsidP="008A4C54">
            <w:pPr>
              <w:pStyle w:val="Tabletext1"/>
              <w:rPr>
                <w:rFonts w:cs="Times New Roman"/>
              </w:rPr>
            </w:pPr>
            <w:r w:rsidRPr="008A4C54">
              <w:rPr>
                <w:rFonts w:cs="Times New Roman"/>
              </w:rPr>
              <w:t>0</w:t>
            </w:r>
          </w:p>
        </w:tc>
        <w:tc>
          <w:tcPr>
            <w:tcW w:w="1132" w:type="dxa"/>
            <w:shd w:val="clear" w:color="auto" w:fill="FFFFFF" w:themeFill="background1"/>
            <w:noWrap/>
            <w:vAlign w:val="bottom"/>
            <w:hideMark/>
          </w:tcPr>
          <w:p w14:paraId="060FB100"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23061250" w14:textId="77777777" w:rsidR="00EE6B9E" w:rsidRPr="008A4C54" w:rsidRDefault="00EE6B9E" w:rsidP="008A4C54">
            <w:pPr>
              <w:pStyle w:val="Tabletext1"/>
              <w:rPr>
                <w:rFonts w:cs="Times New Roman"/>
              </w:rPr>
            </w:pPr>
            <w:r w:rsidRPr="008A4C54">
              <w:rPr>
                <w:rFonts w:cs="Times New Roman"/>
              </w:rPr>
              <w:t>1</w:t>
            </w:r>
          </w:p>
        </w:tc>
        <w:tc>
          <w:tcPr>
            <w:tcW w:w="1162" w:type="dxa"/>
            <w:shd w:val="clear" w:color="auto" w:fill="FFFFFF" w:themeFill="background1"/>
            <w:noWrap/>
            <w:vAlign w:val="bottom"/>
            <w:hideMark/>
          </w:tcPr>
          <w:p w14:paraId="3AF93B37" w14:textId="77777777" w:rsidR="00EE6B9E" w:rsidRPr="008A4C54" w:rsidRDefault="00EE6B9E" w:rsidP="008A4C54">
            <w:pPr>
              <w:pStyle w:val="Tabletext1"/>
              <w:rPr>
                <w:rFonts w:cs="Times New Roman"/>
              </w:rPr>
            </w:pPr>
            <w:r w:rsidRPr="008A4C54">
              <w:rPr>
                <w:rFonts w:cs="Times New Roman"/>
              </w:rPr>
              <w:t>0</w:t>
            </w:r>
          </w:p>
        </w:tc>
      </w:tr>
      <w:tr w:rsidR="00EE6B9E" w:rsidRPr="008A4C54" w14:paraId="69F9934E" w14:textId="77777777" w:rsidTr="00723373">
        <w:trPr>
          <w:trHeight w:val="315"/>
        </w:trPr>
        <w:tc>
          <w:tcPr>
            <w:tcW w:w="3032" w:type="dxa"/>
            <w:shd w:val="clear" w:color="auto" w:fill="FFFFFF" w:themeFill="background1"/>
            <w:vAlign w:val="center"/>
            <w:hideMark/>
          </w:tcPr>
          <w:p w14:paraId="632B1E3D" w14:textId="77777777" w:rsidR="00EE6B9E" w:rsidRPr="008A4C54" w:rsidRDefault="00EE6B9E" w:rsidP="008A4C54">
            <w:pPr>
              <w:pStyle w:val="Tabletext1"/>
              <w:rPr>
                <w:rFonts w:cs="Times New Roman"/>
              </w:rPr>
            </w:pPr>
            <w:r w:rsidRPr="008A4C54">
              <w:rPr>
                <w:rFonts w:cs="Times New Roman"/>
              </w:rPr>
              <w:t>16. Are adverse events reported?</w:t>
            </w:r>
          </w:p>
        </w:tc>
        <w:tc>
          <w:tcPr>
            <w:tcW w:w="957" w:type="dxa"/>
            <w:shd w:val="clear" w:color="auto" w:fill="FFFFFF" w:themeFill="background1"/>
            <w:noWrap/>
            <w:vAlign w:val="bottom"/>
            <w:hideMark/>
          </w:tcPr>
          <w:p w14:paraId="08340220" w14:textId="77777777" w:rsidR="00EE6B9E" w:rsidRPr="008A4C54" w:rsidRDefault="00EE6B9E" w:rsidP="008A4C54">
            <w:pPr>
              <w:pStyle w:val="Tabletext1"/>
              <w:rPr>
                <w:rFonts w:cs="Times New Roman"/>
              </w:rPr>
            </w:pPr>
            <w:r w:rsidRPr="008A4C54">
              <w:rPr>
                <w:rFonts w:cs="Times New Roman"/>
              </w:rPr>
              <w:t>1</w:t>
            </w:r>
          </w:p>
        </w:tc>
        <w:tc>
          <w:tcPr>
            <w:tcW w:w="1321" w:type="dxa"/>
            <w:shd w:val="clear" w:color="auto" w:fill="FFFFFF" w:themeFill="background1"/>
            <w:noWrap/>
            <w:vAlign w:val="bottom"/>
            <w:hideMark/>
          </w:tcPr>
          <w:p w14:paraId="4E4231AF" w14:textId="77777777" w:rsidR="00EE6B9E" w:rsidRPr="008A4C54" w:rsidRDefault="00EE6B9E" w:rsidP="008A4C54">
            <w:pPr>
              <w:pStyle w:val="Tabletext1"/>
              <w:rPr>
                <w:rFonts w:cs="Times New Roman"/>
              </w:rPr>
            </w:pPr>
            <w:r w:rsidRPr="008A4C54">
              <w:rPr>
                <w:rFonts w:cs="Times New Roman"/>
              </w:rPr>
              <w:t>1</w:t>
            </w:r>
          </w:p>
        </w:tc>
        <w:tc>
          <w:tcPr>
            <w:tcW w:w="1068" w:type="dxa"/>
            <w:shd w:val="clear" w:color="auto" w:fill="FFFFFF" w:themeFill="background1"/>
            <w:noWrap/>
            <w:vAlign w:val="bottom"/>
            <w:hideMark/>
          </w:tcPr>
          <w:p w14:paraId="5C78D8EB"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2326A11D" w14:textId="77777777" w:rsidR="00EE6B9E" w:rsidRPr="008A4C54" w:rsidRDefault="00EE6B9E" w:rsidP="008A4C54">
            <w:pPr>
              <w:pStyle w:val="Tabletext1"/>
              <w:rPr>
                <w:rFonts w:cs="Times New Roman"/>
              </w:rPr>
            </w:pPr>
            <w:r w:rsidRPr="008A4C54">
              <w:rPr>
                <w:rFonts w:cs="Times New Roman"/>
              </w:rPr>
              <w:t>1</w:t>
            </w:r>
          </w:p>
        </w:tc>
        <w:tc>
          <w:tcPr>
            <w:tcW w:w="1086" w:type="dxa"/>
            <w:shd w:val="clear" w:color="auto" w:fill="FFFFFF" w:themeFill="background1"/>
            <w:noWrap/>
            <w:vAlign w:val="bottom"/>
            <w:hideMark/>
          </w:tcPr>
          <w:p w14:paraId="1BFFA509" w14:textId="77777777" w:rsidR="00EE6B9E" w:rsidRPr="008A4C54" w:rsidRDefault="00EE6B9E" w:rsidP="008A4C54">
            <w:pPr>
              <w:pStyle w:val="Tabletext1"/>
              <w:rPr>
                <w:rFonts w:cs="Times New Roman"/>
              </w:rPr>
            </w:pPr>
            <w:r w:rsidRPr="008A4C54">
              <w:rPr>
                <w:rFonts w:cs="Times New Roman"/>
              </w:rPr>
              <w:t>1</w:t>
            </w:r>
          </w:p>
        </w:tc>
        <w:tc>
          <w:tcPr>
            <w:tcW w:w="1178" w:type="dxa"/>
            <w:shd w:val="clear" w:color="auto" w:fill="FFFFFF" w:themeFill="background1"/>
            <w:noWrap/>
            <w:vAlign w:val="bottom"/>
            <w:hideMark/>
          </w:tcPr>
          <w:p w14:paraId="396B1965"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5CBA0A56"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682B6C7E" w14:textId="77777777" w:rsidR="00EE6B9E" w:rsidRPr="008A4C54" w:rsidRDefault="00EE6B9E" w:rsidP="008A4C54">
            <w:pPr>
              <w:pStyle w:val="Tabletext1"/>
              <w:rPr>
                <w:rFonts w:cs="Times New Roman"/>
              </w:rPr>
            </w:pPr>
            <w:r w:rsidRPr="008A4C54">
              <w:rPr>
                <w:rFonts w:cs="Times New Roman"/>
              </w:rPr>
              <w:t>1</w:t>
            </w:r>
          </w:p>
        </w:tc>
        <w:tc>
          <w:tcPr>
            <w:tcW w:w="1132" w:type="dxa"/>
            <w:shd w:val="clear" w:color="auto" w:fill="FFFFFF" w:themeFill="background1"/>
            <w:noWrap/>
            <w:vAlign w:val="bottom"/>
            <w:hideMark/>
          </w:tcPr>
          <w:p w14:paraId="64EE0326" w14:textId="77777777" w:rsidR="00EE6B9E" w:rsidRPr="008A4C54" w:rsidRDefault="00EE6B9E" w:rsidP="008A4C54">
            <w:pPr>
              <w:pStyle w:val="Tabletext1"/>
              <w:rPr>
                <w:rFonts w:cs="Times New Roman"/>
              </w:rPr>
            </w:pPr>
            <w:r w:rsidRPr="008A4C54">
              <w:rPr>
                <w:rFonts w:cs="Times New Roman"/>
              </w:rPr>
              <w:t>1</w:t>
            </w:r>
          </w:p>
        </w:tc>
        <w:tc>
          <w:tcPr>
            <w:tcW w:w="1162" w:type="dxa"/>
            <w:shd w:val="clear" w:color="auto" w:fill="FFFFFF" w:themeFill="background1"/>
            <w:noWrap/>
            <w:vAlign w:val="bottom"/>
            <w:hideMark/>
          </w:tcPr>
          <w:p w14:paraId="19FBBFCB"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4E478D67" w14:textId="77777777" w:rsidTr="00723373">
        <w:trPr>
          <w:trHeight w:val="465"/>
        </w:trPr>
        <w:tc>
          <w:tcPr>
            <w:tcW w:w="3032" w:type="dxa"/>
            <w:shd w:val="clear" w:color="auto" w:fill="FFFFFF" w:themeFill="background1"/>
            <w:vAlign w:val="center"/>
            <w:hideMark/>
          </w:tcPr>
          <w:p w14:paraId="2694F8E5" w14:textId="77777777" w:rsidR="00EE6B9E" w:rsidRPr="008A4C54" w:rsidRDefault="00EE6B9E" w:rsidP="008A4C54">
            <w:pPr>
              <w:pStyle w:val="Tabletext1"/>
              <w:rPr>
                <w:rFonts w:cs="Times New Roman"/>
              </w:rPr>
            </w:pPr>
            <w:r w:rsidRPr="008A4C54">
              <w:rPr>
                <w:rFonts w:cs="Times New Roman"/>
              </w:rPr>
              <w:t>17. Are the conclusions of the study supported by the results?</w:t>
            </w:r>
          </w:p>
        </w:tc>
        <w:tc>
          <w:tcPr>
            <w:tcW w:w="957" w:type="dxa"/>
            <w:tcBorders>
              <w:bottom w:val="single" w:sz="4" w:space="0" w:color="auto"/>
            </w:tcBorders>
            <w:shd w:val="clear" w:color="auto" w:fill="FFFFFF" w:themeFill="background1"/>
            <w:noWrap/>
            <w:vAlign w:val="bottom"/>
            <w:hideMark/>
          </w:tcPr>
          <w:p w14:paraId="3C1D2FB3" w14:textId="77777777" w:rsidR="00EE6B9E" w:rsidRPr="008A4C54" w:rsidRDefault="00EE6B9E" w:rsidP="008A4C54">
            <w:pPr>
              <w:pStyle w:val="Tabletext1"/>
              <w:rPr>
                <w:rFonts w:cs="Times New Roman"/>
              </w:rPr>
            </w:pPr>
            <w:r w:rsidRPr="008A4C54">
              <w:rPr>
                <w:rFonts w:cs="Times New Roman"/>
              </w:rPr>
              <w:t>1</w:t>
            </w:r>
          </w:p>
        </w:tc>
        <w:tc>
          <w:tcPr>
            <w:tcW w:w="1321" w:type="dxa"/>
            <w:tcBorders>
              <w:bottom w:val="single" w:sz="4" w:space="0" w:color="auto"/>
            </w:tcBorders>
            <w:shd w:val="clear" w:color="auto" w:fill="FFFFFF" w:themeFill="background1"/>
            <w:noWrap/>
            <w:vAlign w:val="bottom"/>
            <w:hideMark/>
          </w:tcPr>
          <w:p w14:paraId="46BBBCF2" w14:textId="77777777" w:rsidR="00EE6B9E" w:rsidRPr="008A4C54" w:rsidRDefault="00EE6B9E" w:rsidP="008A4C54">
            <w:pPr>
              <w:pStyle w:val="Tabletext1"/>
              <w:rPr>
                <w:rFonts w:cs="Times New Roman"/>
              </w:rPr>
            </w:pPr>
            <w:r w:rsidRPr="008A4C54">
              <w:rPr>
                <w:rFonts w:cs="Times New Roman"/>
              </w:rPr>
              <w:t>1</w:t>
            </w:r>
          </w:p>
        </w:tc>
        <w:tc>
          <w:tcPr>
            <w:tcW w:w="1068" w:type="dxa"/>
            <w:tcBorders>
              <w:bottom w:val="single" w:sz="4" w:space="0" w:color="auto"/>
            </w:tcBorders>
            <w:shd w:val="clear" w:color="auto" w:fill="FFFFFF" w:themeFill="background1"/>
            <w:noWrap/>
            <w:vAlign w:val="bottom"/>
            <w:hideMark/>
          </w:tcPr>
          <w:p w14:paraId="2B4C5E5E"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2BCCF672" w14:textId="77777777" w:rsidR="00EE6B9E" w:rsidRPr="008A4C54" w:rsidRDefault="00EE6B9E" w:rsidP="008A4C54">
            <w:pPr>
              <w:pStyle w:val="Tabletext1"/>
              <w:rPr>
                <w:rFonts w:cs="Times New Roman"/>
              </w:rPr>
            </w:pPr>
            <w:r w:rsidRPr="008A4C54">
              <w:rPr>
                <w:rFonts w:cs="Times New Roman"/>
              </w:rPr>
              <w:t>1</w:t>
            </w:r>
          </w:p>
        </w:tc>
        <w:tc>
          <w:tcPr>
            <w:tcW w:w="1086" w:type="dxa"/>
            <w:tcBorders>
              <w:bottom w:val="single" w:sz="4" w:space="0" w:color="auto"/>
            </w:tcBorders>
            <w:shd w:val="clear" w:color="auto" w:fill="FFFFFF" w:themeFill="background1"/>
            <w:noWrap/>
            <w:vAlign w:val="bottom"/>
            <w:hideMark/>
          </w:tcPr>
          <w:p w14:paraId="71173307" w14:textId="77777777" w:rsidR="00EE6B9E" w:rsidRPr="008A4C54" w:rsidRDefault="00EE6B9E" w:rsidP="008A4C54">
            <w:pPr>
              <w:pStyle w:val="Tabletext1"/>
              <w:rPr>
                <w:rFonts w:cs="Times New Roman"/>
              </w:rPr>
            </w:pPr>
            <w:r w:rsidRPr="008A4C54">
              <w:rPr>
                <w:rFonts w:cs="Times New Roman"/>
              </w:rPr>
              <w:t>1</w:t>
            </w:r>
          </w:p>
        </w:tc>
        <w:tc>
          <w:tcPr>
            <w:tcW w:w="1178" w:type="dxa"/>
            <w:tcBorders>
              <w:bottom w:val="single" w:sz="4" w:space="0" w:color="auto"/>
            </w:tcBorders>
            <w:shd w:val="clear" w:color="auto" w:fill="FFFFFF" w:themeFill="background1"/>
            <w:noWrap/>
            <w:vAlign w:val="bottom"/>
            <w:hideMark/>
          </w:tcPr>
          <w:p w14:paraId="220D758D"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79636C2C"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7639DEE6" w14:textId="77777777" w:rsidR="00EE6B9E" w:rsidRPr="008A4C54" w:rsidRDefault="00EE6B9E" w:rsidP="008A4C54">
            <w:pPr>
              <w:pStyle w:val="Tabletext1"/>
              <w:rPr>
                <w:rFonts w:cs="Times New Roman"/>
              </w:rPr>
            </w:pPr>
            <w:r w:rsidRPr="008A4C54">
              <w:rPr>
                <w:rFonts w:cs="Times New Roman"/>
              </w:rPr>
              <w:t>1</w:t>
            </w:r>
          </w:p>
        </w:tc>
        <w:tc>
          <w:tcPr>
            <w:tcW w:w="1132" w:type="dxa"/>
            <w:tcBorders>
              <w:bottom w:val="single" w:sz="4" w:space="0" w:color="auto"/>
            </w:tcBorders>
            <w:shd w:val="clear" w:color="auto" w:fill="FFFFFF" w:themeFill="background1"/>
            <w:noWrap/>
            <w:vAlign w:val="bottom"/>
            <w:hideMark/>
          </w:tcPr>
          <w:p w14:paraId="2529149E" w14:textId="77777777" w:rsidR="00EE6B9E" w:rsidRPr="008A4C54" w:rsidRDefault="00EE6B9E" w:rsidP="008A4C54">
            <w:pPr>
              <w:pStyle w:val="Tabletext1"/>
              <w:rPr>
                <w:rFonts w:cs="Times New Roman"/>
              </w:rPr>
            </w:pPr>
            <w:r w:rsidRPr="008A4C54">
              <w:rPr>
                <w:rFonts w:cs="Times New Roman"/>
              </w:rPr>
              <w:t>1</w:t>
            </w:r>
          </w:p>
        </w:tc>
        <w:tc>
          <w:tcPr>
            <w:tcW w:w="1162" w:type="dxa"/>
            <w:tcBorders>
              <w:bottom w:val="single" w:sz="4" w:space="0" w:color="auto"/>
            </w:tcBorders>
            <w:shd w:val="clear" w:color="auto" w:fill="FFFFFF" w:themeFill="background1"/>
            <w:noWrap/>
            <w:vAlign w:val="bottom"/>
            <w:hideMark/>
          </w:tcPr>
          <w:p w14:paraId="3408BD01"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05707622" w14:textId="77777777" w:rsidTr="00723373">
        <w:trPr>
          <w:trHeight w:val="495"/>
        </w:trPr>
        <w:tc>
          <w:tcPr>
            <w:tcW w:w="3032" w:type="dxa"/>
            <w:tcBorders>
              <w:right w:val="single" w:sz="4" w:space="0" w:color="auto"/>
            </w:tcBorders>
            <w:shd w:val="clear" w:color="auto" w:fill="FFFFFF" w:themeFill="background1"/>
            <w:vAlign w:val="center"/>
            <w:hideMark/>
          </w:tcPr>
          <w:p w14:paraId="2A08918B" w14:textId="77777777" w:rsidR="00EE6B9E" w:rsidRPr="008A4C54" w:rsidRDefault="00EE6B9E" w:rsidP="008A4C54">
            <w:pPr>
              <w:pStyle w:val="Tabletext1"/>
              <w:rPr>
                <w:b/>
                <w:bCs/>
              </w:rPr>
            </w:pPr>
            <w:r w:rsidRPr="008A4C54">
              <w:rPr>
                <w:b/>
                <w:bCs/>
              </w:rPr>
              <w:t>COMPETING INTEREST AND SOURCE OF SUPPORT</w:t>
            </w:r>
          </w:p>
        </w:tc>
        <w:tc>
          <w:tcPr>
            <w:tcW w:w="957" w:type="dxa"/>
            <w:tcBorders>
              <w:top w:val="single" w:sz="4" w:space="0" w:color="auto"/>
              <w:left w:val="single" w:sz="4" w:space="0" w:color="auto"/>
              <w:bottom w:val="single" w:sz="4" w:space="0" w:color="auto"/>
              <w:right w:val="nil"/>
            </w:tcBorders>
            <w:shd w:val="clear" w:color="auto" w:fill="FFFFFF" w:themeFill="background1"/>
            <w:vAlign w:val="center"/>
            <w:hideMark/>
          </w:tcPr>
          <w:p w14:paraId="25C45545" w14:textId="77777777" w:rsidR="00EE6B9E" w:rsidRPr="008A4C54" w:rsidRDefault="00EE6B9E" w:rsidP="008A4C54">
            <w:pPr>
              <w:pStyle w:val="Tabletext1"/>
              <w:rPr>
                <w:b/>
                <w:bCs/>
              </w:rPr>
            </w:pPr>
            <w:r w:rsidRPr="008A4C54">
              <w:rPr>
                <w:b/>
                <w:bCs/>
              </w:rPr>
              <w:t> </w:t>
            </w:r>
          </w:p>
        </w:tc>
        <w:tc>
          <w:tcPr>
            <w:tcW w:w="1321" w:type="dxa"/>
            <w:tcBorders>
              <w:top w:val="single" w:sz="4" w:space="0" w:color="auto"/>
              <w:left w:val="nil"/>
              <w:bottom w:val="single" w:sz="4" w:space="0" w:color="auto"/>
              <w:right w:val="nil"/>
            </w:tcBorders>
            <w:shd w:val="clear" w:color="auto" w:fill="FFFFFF" w:themeFill="background1"/>
            <w:vAlign w:val="center"/>
            <w:hideMark/>
          </w:tcPr>
          <w:p w14:paraId="7807EE63" w14:textId="77777777" w:rsidR="00EE6B9E" w:rsidRPr="008A4C54" w:rsidRDefault="00EE6B9E" w:rsidP="008A4C54">
            <w:pPr>
              <w:pStyle w:val="Tabletext1"/>
              <w:rPr>
                <w:b/>
                <w:bCs/>
              </w:rPr>
            </w:pPr>
            <w:r w:rsidRPr="008A4C54">
              <w:rPr>
                <w:b/>
                <w:bCs/>
              </w:rPr>
              <w:t> </w:t>
            </w:r>
          </w:p>
        </w:tc>
        <w:tc>
          <w:tcPr>
            <w:tcW w:w="1068" w:type="dxa"/>
            <w:tcBorders>
              <w:top w:val="single" w:sz="4" w:space="0" w:color="auto"/>
              <w:left w:val="nil"/>
              <w:bottom w:val="single" w:sz="4" w:space="0" w:color="auto"/>
              <w:right w:val="nil"/>
            </w:tcBorders>
            <w:shd w:val="clear" w:color="auto" w:fill="FFFFFF" w:themeFill="background1"/>
            <w:vAlign w:val="center"/>
            <w:hideMark/>
          </w:tcPr>
          <w:p w14:paraId="63514040"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3F1AD3DB" w14:textId="77777777" w:rsidR="00EE6B9E" w:rsidRPr="008A4C54" w:rsidRDefault="00EE6B9E" w:rsidP="008A4C54">
            <w:pPr>
              <w:pStyle w:val="Tabletext1"/>
              <w:rPr>
                <w:b/>
                <w:bCs/>
              </w:rPr>
            </w:pPr>
            <w:r w:rsidRPr="008A4C54">
              <w:rPr>
                <w:b/>
                <w:bCs/>
              </w:rPr>
              <w:t> </w:t>
            </w:r>
          </w:p>
        </w:tc>
        <w:tc>
          <w:tcPr>
            <w:tcW w:w="1086" w:type="dxa"/>
            <w:tcBorders>
              <w:top w:val="single" w:sz="4" w:space="0" w:color="auto"/>
              <w:left w:val="nil"/>
              <w:bottom w:val="single" w:sz="4" w:space="0" w:color="auto"/>
              <w:right w:val="nil"/>
            </w:tcBorders>
            <w:shd w:val="clear" w:color="auto" w:fill="FFFFFF" w:themeFill="background1"/>
            <w:vAlign w:val="center"/>
            <w:hideMark/>
          </w:tcPr>
          <w:p w14:paraId="033E5506" w14:textId="77777777" w:rsidR="00EE6B9E" w:rsidRPr="008A4C54" w:rsidRDefault="00EE6B9E" w:rsidP="008A4C54">
            <w:pPr>
              <w:pStyle w:val="Tabletext1"/>
              <w:rPr>
                <w:b/>
                <w:bCs/>
              </w:rPr>
            </w:pPr>
            <w:r w:rsidRPr="008A4C54">
              <w:rPr>
                <w:b/>
                <w:bCs/>
              </w:rPr>
              <w:t> </w:t>
            </w:r>
          </w:p>
        </w:tc>
        <w:tc>
          <w:tcPr>
            <w:tcW w:w="1178" w:type="dxa"/>
            <w:tcBorders>
              <w:top w:val="single" w:sz="4" w:space="0" w:color="auto"/>
              <w:left w:val="nil"/>
              <w:bottom w:val="single" w:sz="4" w:space="0" w:color="auto"/>
              <w:right w:val="nil"/>
            </w:tcBorders>
            <w:shd w:val="clear" w:color="auto" w:fill="FFFFFF" w:themeFill="background1"/>
            <w:vAlign w:val="center"/>
            <w:hideMark/>
          </w:tcPr>
          <w:p w14:paraId="09508034"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70530722"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3C4595AF" w14:textId="77777777" w:rsidR="00EE6B9E" w:rsidRPr="008A4C54" w:rsidRDefault="00EE6B9E" w:rsidP="008A4C54">
            <w:pPr>
              <w:pStyle w:val="Tabletext1"/>
              <w:rPr>
                <w:b/>
                <w:bCs/>
              </w:rPr>
            </w:pPr>
            <w:r w:rsidRPr="008A4C54">
              <w:rPr>
                <w:b/>
                <w:bCs/>
              </w:rPr>
              <w:t> </w:t>
            </w:r>
          </w:p>
        </w:tc>
        <w:tc>
          <w:tcPr>
            <w:tcW w:w="1132" w:type="dxa"/>
            <w:tcBorders>
              <w:top w:val="single" w:sz="4" w:space="0" w:color="auto"/>
              <w:left w:val="nil"/>
              <w:bottom w:val="single" w:sz="4" w:space="0" w:color="auto"/>
              <w:right w:val="nil"/>
            </w:tcBorders>
            <w:shd w:val="clear" w:color="auto" w:fill="FFFFFF" w:themeFill="background1"/>
            <w:vAlign w:val="center"/>
            <w:hideMark/>
          </w:tcPr>
          <w:p w14:paraId="548C2C2C" w14:textId="77777777" w:rsidR="00EE6B9E" w:rsidRPr="008A4C54" w:rsidRDefault="00EE6B9E" w:rsidP="008A4C54">
            <w:pPr>
              <w:pStyle w:val="Tabletext1"/>
              <w:rPr>
                <w:b/>
                <w:bCs/>
              </w:rPr>
            </w:pPr>
            <w:r w:rsidRPr="008A4C54">
              <w:rPr>
                <w:b/>
                <w:bCs/>
              </w:rPr>
              <w:t> </w:t>
            </w:r>
          </w:p>
        </w:tc>
        <w:tc>
          <w:tcPr>
            <w:tcW w:w="1162" w:type="dxa"/>
            <w:tcBorders>
              <w:top w:val="single" w:sz="4" w:space="0" w:color="auto"/>
              <w:left w:val="nil"/>
              <w:bottom w:val="single" w:sz="4" w:space="0" w:color="auto"/>
              <w:right w:val="single" w:sz="4" w:space="0" w:color="auto"/>
            </w:tcBorders>
            <w:shd w:val="clear" w:color="auto" w:fill="FFFFFF" w:themeFill="background1"/>
            <w:vAlign w:val="center"/>
            <w:hideMark/>
          </w:tcPr>
          <w:p w14:paraId="20876668" w14:textId="77777777" w:rsidR="00EE6B9E" w:rsidRPr="008A4C54" w:rsidRDefault="00EE6B9E" w:rsidP="008A4C54">
            <w:pPr>
              <w:pStyle w:val="Tabletext1"/>
              <w:rPr>
                <w:b/>
                <w:bCs/>
              </w:rPr>
            </w:pPr>
            <w:r w:rsidRPr="008A4C54">
              <w:rPr>
                <w:b/>
                <w:bCs/>
              </w:rPr>
              <w:t> </w:t>
            </w:r>
          </w:p>
        </w:tc>
      </w:tr>
      <w:tr w:rsidR="00EE6B9E" w:rsidRPr="008A4C54" w14:paraId="5C71B73C" w14:textId="77777777" w:rsidTr="00723373">
        <w:trPr>
          <w:trHeight w:val="465"/>
        </w:trPr>
        <w:tc>
          <w:tcPr>
            <w:tcW w:w="3032" w:type="dxa"/>
            <w:shd w:val="clear" w:color="auto" w:fill="FFFFFF" w:themeFill="background1"/>
            <w:vAlign w:val="center"/>
            <w:hideMark/>
          </w:tcPr>
          <w:p w14:paraId="46709B5E" w14:textId="77777777" w:rsidR="00EE6B9E" w:rsidRPr="008A4C54" w:rsidRDefault="00EE6B9E" w:rsidP="008A4C54">
            <w:pPr>
              <w:pStyle w:val="Tabletext1"/>
              <w:rPr>
                <w:rFonts w:cs="Times New Roman"/>
              </w:rPr>
            </w:pPr>
            <w:r w:rsidRPr="008A4C54">
              <w:rPr>
                <w:rFonts w:cs="Times New Roman"/>
              </w:rPr>
              <w:t>18. Are both competing interest and source of support for the study reported?</w:t>
            </w:r>
          </w:p>
        </w:tc>
        <w:tc>
          <w:tcPr>
            <w:tcW w:w="957" w:type="dxa"/>
            <w:tcBorders>
              <w:top w:val="single" w:sz="4" w:space="0" w:color="auto"/>
            </w:tcBorders>
            <w:shd w:val="clear" w:color="auto" w:fill="FFFFFF" w:themeFill="background1"/>
            <w:noWrap/>
            <w:vAlign w:val="bottom"/>
            <w:hideMark/>
          </w:tcPr>
          <w:p w14:paraId="690534A5" w14:textId="77777777" w:rsidR="00EE6B9E" w:rsidRPr="008A4C54" w:rsidRDefault="00EE6B9E" w:rsidP="008A4C54">
            <w:pPr>
              <w:pStyle w:val="Tabletext1"/>
              <w:rPr>
                <w:rFonts w:cs="Times New Roman"/>
              </w:rPr>
            </w:pPr>
            <w:r w:rsidRPr="008A4C54">
              <w:rPr>
                <w:rFonts w:cs="Times New Roman"/>
              </w:rPr>
              <w:t>1</w:t>
            </w:r>
          </w:p>
        </w:tc>
        <w:tc>
          <w:tcPr>
            <w:tcW w:w="1321" w:type="dxa"/>
            <w:tcBorders>
              <w:top w:val="single" w:sz="4" w:space="0" w:color="auto"/>
            </w:tcBorders>
            <w:shd w:val="clear" w:color="auto" w:fill="FFFFFF" w:themeFill="background1"/>
            <w:noWrap/>
            <w:vAlign w:val="bottom"/>
            <w:hideMark/>
          </w:tcPr>
          <w:p w14:paraId="07C1936F" w14:textId="77777777" w:rsidR="00EE6B9E" w:rsidRPr="008A4C54" w:rsidRDefault="00EE6B9E" w:rsidP="008A4C54">
            <w:pPr>
              <w:pStyle w:val="Tabletext1"/>
              <w:rPr>
                <w:rFonts w:cs="Times New Roman"/>
              </w:rPr>
            </w:pPr>
            <w:r w:rsidRPr="008A4C54">
              <w:rPr>
                <w:rFonts w:cs="Times New Roman"/>
              </w:rPr>
              <w:t>1</w:t>
            </w:r>
          </w:p>
        </w:tc>
        <w:tc>
          <w:tcPr>
            <w:tcW w:w="1068" w:type="dxa"/>
            <w:tcBorders>
              <w:top w:val="single" w:sz="4" w:space="0" w:color="auto"/>
            </w:tcBorders>
            <w:shd w:val="clear" w:color="auto" w:fill="FFFFFF" w:themeFill="background1"/>
            <w:noWrap/>
            <w:vAlign w:val="bottom"/>
            <w:hideMark/>
          </w:tcPr>
          <w:p w14:paraId="2841B59C"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7BE0E28E" w14:textId="77777777" w:rsidR="00EE6B9E" w:rsidRPr="008A4C54" w:rsidRDefault="00EE6B9E" w:rsidP="008A4C54">
            <w:pPr>
              <w:pStyle w:val="Tabletext1"/>
              <w:rPr>
                <w:rFonts w:cs="Times New Roman"/>
              </w:rPr>
            </w:pPr>
            <w:r w:rsidRPr="008A4C54">
              <w:rPr>
                <w:rFonts w:cs="Times New Roman"/>
              </w:rPr>
              <w:t>1</w:t>
            </w:r>
          </w:p>
        </w:tc>
        <w:tc>
          <w:tcPr>
            <w:tcW w:w="1086" w:type="dxa"/>
            <w:tcBorders>
              <w:top w:val="single" w:sz="4" w:space="0" w:color="auto"/>
            </w:tcBorders>
            <w:shd w:val="clear" w:color="auto" w:fill="FFFFFF" w:themeFill="background1"/>
            <w:noWrap/>
            <w:vAlign w:val="bottom"/>
            <w:hideMark/>
          </w:tcPr>
          <w:p w14:paraId="7D606D53" w14:textId="77777777" w:rsidR="00EE6B9E" w:rsidRPr="008A4C54" w:rsidRDefault="00EE6B9E" w:rsidP="008A4C54">
            <w:pPr>
              <w:pStyle w:val="Tabletext1"/>
              <w:rPr>
                <w:rFonts w:cs="Times New Roman"/>
              </w:rPr>
            </w:pPr>
            <w:r w:rsidRPr="008A4C54">
              <w:rPr>
                <w:rFonts w:cs="Times New Roman"/>
              </w:rPr>
              <w:t>1</w:t>
            </w:r>
          </w:p>
        </w:tc>
        <w:tc>
          <w:tcPr>
            <w:tcW w:w="1178" w:type="dxa"/>
            <w:tcBorders>
              <w:top w:val="single" w:sz="4" w:space="0" w:color="auto"/>
            </w:tcBorders>
            <w:shd w:val="clear" w:color="auto" w:fill="FFFFFF" w:themeFill="background1"/>
            <w:noWrap/>
            <w:vAlign w:val="bottom"/>
            <w:hideMark/>
          </w:tcPr>
          <w:p w14:paraId="774F0036" w14:textId="77777777" w:rsidR="00EE6B9E" w:rsidRPr="008A4C54" w:rsidRDefault="00EE6B9E" w:rsidP="008A4C54">
            <w:pPr>
              <w:pStyle w:val="Tabletext1"/>
              <w:rPr>
                <w:rFonts w:cs="Times New Roman"/>
              </w:rPr>
            </w:pPr>
            <w:r w:rsidRPr="008A4C54">
              <w:rPr>
                <w:rFonts w:cs="Times New Roman"/>
              </w:rPr>
              <w:t>1</w:t>
            </w:r>
          </w:p>
        </w:tc>
        <w:tc>
          <w:tcPr>
            <w:tcW w:w="1132" w:type="dxa"/>
            <w:tcBorders>
              <w:top w:val="single" w:sz="4" w:space="0" w:color="auto"/>
            </w:tcBorders>
            <w:shd w:val="clear" w:color="auto" w:fill="FFFFFF" w:themeFill="background1"/>
            <w:noWrap/>
            <w:vAlign w:val="bottom"/>
            <w:hideMark/>
          </w:tcPr>
          <w:p w14:paraId="2CC80996" w14:textId="77777777" w:rsidR="00EE6B9E" w:rsidRPr="008A4C54" w:rsidRDefault="00EE6B9E" w:rsidP="008A4C54">
            <w:pPr>
              <w:pStyle w:val="Tabletext1"/>
              <w:rPr>
                <w:rFonts w:cs="Times New Roman"/>
              </w:rPr>
            </w:pPr>
            <w:r w:rsidRPr="008A4C54">
              <w:rPr>
                <w:rFonts w:cs="Times New Roman"/>
              </w:rPr>
              <w:t>0</w:t>
            </w:r>
          </w:p>
        </w:tc>
        <w:tc>
          <w:tcPr>
            <w:tcW w:w="1132" w:type="dxa"/>
            <w:tcBorders>
              <w:top w:val="single" w:sz="4" w:space="0" w:color="auto"/>
            </w:tcBorders>
            <w:shd w:val="clear" w:color="auto" w:fill="FFFFFF" w:themeFill="background1"/>
            <w:noWrap/>
            <w:vAlign w:val="bottom"/>
            <w:hideMark/>
          </w:tcPr>
          <w:p w14:paraId="11247D9C" w14:textId="77777777" w:rsidR="00EE6B9E" w:rsidRPr="008A4C54" w:rsidRDefault="00EE6B9E" w:rsidP="008A4C54">
            <w:pPr>
              <w:pStyle w:val="Tabletext1"/>
              <w:rPr>
                <w:rFonts w:cs="Times New Roman"/>
              </w:rPr>
            </w:pPr>
            <w:r w:rsidRPr="008A4C54">
              <w:rPr>
                <w:rFonts w:cs="Times New Roman"/>
              </w:rPr>
              <w:t>0</w:t>
            </w:r>
          </w:p>
        </w:tc>
        <w:tc>
          <w:tcPr>
            <w:tcW w:w="1132" w:type="dxa"/>
            <w:tcBorders>
              <w:top w:val="single" w:sz="4" w:space="0" w:color="auto"/>
            </w:tcBorders>
            <w:shd w:val="clear" w:color="auto" w:fill="FFFFFF" w:themeFill="background1"/>
            <w:noWrap/>
            <w:vAlign w:val="bottom"/>
            <w:hideMark/>
          </w:tcPr>
          <w:p w14:paraId="3FF39367" w14:textId="77777777" w:rsidR="00EE6B9E" w:rsidRPr="008A4C54" w:rsidRDefault="00EE6B9E" w:rsidP="008A4C54">
            <w:pPr>
              <w:pStyle w:val="Tabletext1"/>
              <w:rPr>
                <w:rFonts w:cs="Times New Roman"/>
              </w:rPr>
            </w:pPr>
            <w:r w:rsidRPr="008A4C54">
              <w:rPr>
                <w:rFonts w:cs="Times New Roman"/>
              </w:rPr>
              <w:t>0</w:t>
            </w:r>
          </w:p>
        </w:tc>
        <w:tc>
          <w:tcPr>
            <w:tcW w:w="1162" w:type="dxa"/>
            <w:tcBorders>
              <w:top w:val="single" w:sz="4" w:space="0" w:color="auto"/>
            </w:tcBorders>
            <w:shd w:val="clear" w:color="auto" w:fill="FFFFFF" w:themeFill="background1"/>
            <w:noWrap/>
            <w:vAlign w:val="bottom"/>
            <w:hideMark/>
          </w:tcPr>
          <w:p w14:paraId="7E6AA610" w14:textId="77777777" w:rsidR="00EE6B9E" w:rsidRPr="008A4C54" w:rsidRDefault="00EE6B9E" w:rsidP="008A4C54">
            <w:pPr>
              <w:pStyle w:val="Tabletext1"/>
              <w:rPr>
                <w:rFonts w:cs="Times New Roman"/>
              </w:rPr>
            </w:pPr>
            <w:r w:rsidRPr="008A4C54">
              <w:rPr>
                <w:rFonts w:cs="Times New Roman"/>
              </w:rPr>
              <w:t>1</w:t>
            </w:r>
          </w:p>
        </w:tc>
      </w:tr>
      <w:tr w:rsidR="00EE6B9E" w:rsidRPr="008A4C54" w14:paraId="25FB184F" w14:textId="77777777" w:rsidTr="00723373">
        <w:trPr>
          <w:trHeight w:val="315"/>
        </w:trPr>
        <w:tc>
          <w:tcPr>
            <w:tcW w:w="3032" w:type="dxa"/>
            <w:shd w:val="clear" w:color="auto" w:fill="FFFFFF" w:themeFill="background1"/>
            <w:noWrap/>
            <w:vAlign w:val="bottom"/>
            <w:hideMark/>
          </w:tcPr>
          <w:p w14:paraId="118F6991" w14:textId="7B859DD0" w:rsidR="00EE6B9E" w:rsidRPr="008A4C54" w:rsidRDefault="00EE6B9E" w:rsidP="008A4C54">
            <w:pPr>
              <w:pStyle w:val="Tabletext1"/>
              <w:rPr>
                <w:rFonts w:cs="Times New Roman"/>
                <w:b/>
                <w:bCs/>
              </w:rPr>
            </w:pPr>
            <w:r w:rsidRPr="008A4C54">
              <w:rPr>
                <w:rFonts w:cs="Times New Roman"/>
                <w:b/>
                <w:bCs/>
              </w:rPr>
              <w:t>TOTAL</w:t>
            </w:r>
            <w:r w:rsidR="00FD5BE0">
              <w:rPr>
                <w:rFonts w:cs="Times New Roman"/>
                <w:b/>
                <w:bCs/>
              </w:rPr>
              <w:t xml:space="preserve"> </w:t>
            </w:r>
            <w:r w:rsidRPr="008A4C54">
              <w:rPr>
                <w:rFonts w:cs="Times New Roman"/>
                <w:b/>
                <w:bCs/>
              </w:rPr>
              <w:t>/18</w:t>
            </w:r>
          </w:p>
        </w:tc>
        <w:tc>
          <w:tcPr>
            <w:tcW w:w="957" w:type="dxa"/>
            <w:shd w:val="clear" w:color="auto" w:fill="FFFFFF" w:themeFill="background1"/>
            <w:noWrap/>
            <w:vAlign w:val="bottom"/>
            <w:hideMark/>
          </w:tcPr>
          <w:p w14:paraId="45D1A150" w14:textId="77777777" w:rsidR="00EE6B9E" w:rsidRPr="008A4C54" w:rsidRDefault="00EE6B9E" w:rsidP="008A4C54">
            <w:pPr>
              <w:pStyle w:val="Tabletext1"/>
              <w:rPr>
                <w:rFonts w:cs="Times New Roman"/>
                <w:b/>
                <w:bCs/>
              </w:rPr>
            </w:pPr>
            <w:r w:rsidRPr="008A4C54">
              <w:rPr>
                <w:rFonts w:cs="Times New Roman"/>
                <w:b/>
                <w:bCs/>
              </w:rPr>
              <w:t>11</w:t>
            </w:r>
          </w:p>
        </w:tc>
        <w:tc>
          <w:tcPr>
            <w:tcW w:w="1321" w:type="dxa"/>
            <w:shd w:val="clear" w:color="auto" w:fill="FFFFFF" w:themeFill="background1"/>
            <w:noWrap/>
            <w:vAlign w:val="bottom"/>
            <w:hideMark/>
          </w:tcPr>
          <w:p w14:paraId="16265866" w14:textId="77777777" w:rsidR="00EE6B9E" w:rsidRPr="008A4C54" w:rsidRDefault="00EE6B9E" w:rsidP="008A4C54">
            <w:pPr>
              <w:pStyle w:val="Tabletext1"/>
              <w:rPr>
                <w:rFonts w:cs="Times New Roman"/>
                <w:b/>
                <w:bCs/>
              </w:rPr>
            </w:pPr>
            <w:r w:rsidRPr="008A4C54">
              <w:rPr>
                <w:rFonts w:cs="Times New Roman"/>
                <w:b/>
                <w:bCs/>
              </w:rPr>
              <w:t>11</w:t>
            </w:r>
          </w:p>
        </w:tc>
        <w:tc>
          <w:tcPr>
            <w:tcW w:w="1068" w:type="dxa"/>
            <w:shd w:val="clear" w:color="auto" w:fill="FFFFFF" w:themeFill="background1"/>
            <w:noWrap/>
            <w:vAlign w:val="bottom"/>
            <w:hideMark/>
          </w:tcPr>
          <w:p w14:paraId="581A0ED4" w14:textId="77777777" w:rsidR="00EE6B9E" w:rsidRPr="008A4C54" w:rsidRDefault="00EE6B9E" w:rsidP="008A4C54">
            <w:pPr>
              <w:pStyle w:val="Tabletext1"/>
              <w:rPr>
                <w:rFonts w:cs="Times New Roman"/>
                <w:b/>
                <w:bCs/>
              </w:rPr>
            </w:pPr>
            <w:r w:rsidRPr="008A4C54">
              <w:rPr>
                <w:rFonts w:cs="Times New Roman"/>
                <w:b/>
                <w:bCs/>
              </w:rPr>
              <w:t>12</w:t>
            </w:r>
          </w:p>
        </w:tc>
        <w:tc>
          <w:tcPr>
            <w:tcW w:w="1132" w:type="dxa"/>
            <w:shd w:val="clear" w:color="auto" w:fill="FFFFFF" w:themeFill="background1"/>
            <w:noWrap/>
            <w:vAlign w:val="bottom"/>
            <w:hideMark/>
          </w:tcPr>
          <w:p w14:paraId="7AB7C9AE" w14:textId="77777777" w:rsidR="00EE6B9E" w:rsidRPr="008A4C54" w:rsidRDefault="00EE6B9E" w:rsidP="008A4C54">
            <w:pPr>
              <w:pStyle w:val="Tabletext1"/>
              <w:rPr>
                <w:rFonts w:cs="Times New Roman"/>
                <w:b/>
                <w:bCs/>
              </w:rPr>
            </w:pPr>
            <w:r w:rsidRPr="008A4C54">
              <w:rPr>
                <w:rFonts w:cs="Times New Roman"/>
                <w:b/>
                <w:bCs/>
              </w:rPr>
              <w:t>11</w:t>
            </w:r>
          </w:p>
        </w:tc>
        <w:tc>
          <w:tcPr>
            <w:tcW w:w="1086" w:type="dxa"/>
            <w:shd w:val="clear" w:color="auto" w:fill="FFFFFF" w:themeFill="background1"/>
            <w:noWrap/>
            <w:vAlign w:val="bottom"/>
            <w:hideMark/>
          </w:tcPr>
          <w:p w14:paraId="77C12346" w14:textId="77777777" w:rsidR="00EE6B9E" w:rsidRPr="008A4C54" w:rsidRDefault="00EE6B9E" w:rsidP="008A4C54">
            <w:pPr>
              <w:pStyle w:val="Tabletext1"/>
              <w:rPr>
                <w:rFonts w:cs="Times New Roman"/>
                <w:b/>
                <w:bCs/>
              </w:rPr>
            </w:pPr>
            <w:r w:rsidRPr="008A4C54">
              <w:rPr>
                <w:rFonts w:cs="Times New Roman"/>
                <w:b/>
                <w:bCs/>
              </w:rPr>
              <w:t>11</w:t>
            </w:r>
          </w:p>
        </w:tc>
        <w:tc>
          <w:tcPr>
            <w:tcW w:w="1178" w:type="dxa"/>
            <w:shd w:val="clear" w:color="auto" w:fill="FFFFFF" w:themeFill="background1"/>
            <w:noWrap/>
            <w:vAlign w:val="bottom"/>
            <w:hideMark/>
          </w:tcPr>
          <w:p w14:paraId="4773396D" w14:textId="77777777" w:rsidR="00EE6B9E" w:rsidRPr="008A4C54" w:rsidRDefault="00EE6B9E" w:rsidP="008A4C54">
            <w:pPr>
              <w:pStyle w:val="Tabletext1"/>
              <w:rPr>
                <w:rFonts w:cs="Times New Roman"/>
                <w:b/>
                <w:bCs/>
              </w:rPr>
            </w:pPr>
            <w:r w:rsidRPr="008A4C54">
              <w:rPr>
                <w:rFonts w:cs="Times New Roman"/>
                <w:b/>
                <w:bCs/>
              </w:rPr>
              <w:t>11</w:t>
            </w:r>
          </w:p>
        </w:tc>
        <w:tc>
          <w:tcPr>
            <w:tcW w:w="1132" w:type="dxa"/>
            <w:shd w:val="clear" w:color="auto" w:fill="FFFFFF" w:themeFill="background1"/>
            <w:noWrap/>
            <w:vAlign w:val="bottom"/>
            <w:hideMark/>
          </w:tcPr>
          <w:p w14:paraId="2A6EF453" w14:textId="77777777" w:rsidR="00EE6B9E" w:rsidRPr="008A4C54" w:rsidRDefault="00EE6B9E" w:rsidP="008A4C54">
            <w:pPr>
              <w:pStyle w:val="Tabletext1"/>
              <w:rPr>
                <w:rFonts w:cs="Times New Roman"/>
                <w:b/>
                <w:bCs/>
              </w:rPr>
            </w:pPr>
            <w:r w:rsidRPr="008A4C54">
              <w:rPr>
                <w:rFonts w:cs="Times New Roman"/>
                <w:b/>
                <w:bCs/>
              </w:rPr>
              <w:t>9</w:t>
            </w:r>
          </w:p>
        </w:tc>
        <w:tc>
          <w:tcPr>
            <w:tcW w:w="1132" w:type="dxa"/>
            <w:shd w:val="clear" w:color="auto" w:fill="FFFFFF" w:themeFill="background1"/>
            <w:noWrap/>
            <w:vAlign w:val="bottom"/>
            <w:hideMark/>
          </w:tcPr>
          <w:p w14:paraId="7D9FD2F0" w14:textId="77777777" w:rsidR="00EE6B9E" w:rsidRPr="008A4C54" w:rsidRDefault="00EE6B9E" w:rsidP="008A4C54">
            <w:pPr>
              <w:pStyle w:val="Tabletext1"/>
              <w:rPr>
                <w:rFonts w:cs="Times New Roman"/>
                <w:b/>
                <w:bCs/>
              </w:rPr>
            </w:pPr>
            <w:r w:rsidRPr="008A4C54">
              <w:rPr>
                <w:rFonts w:cs="Times New Roman"/>
                <w:b/>
                <w:bCs/>
              </w:rPr>
              <w:t>9</w:t>
            </w:r>
          </w:p>
        </w:tc>
        <w:tc>
          <w:tcPr>
            <w:tcW w:w="1132" w:type="dxa"/>
            <w:shd w:val="clear" w:color="auto" w:fill="FFFFFF" w:themeFill="background1"/>
            <w:noWrap/>
            <w:vAlign w:val="bottom"/>
            <w:hideMark/>
          </w:tcPr>
          <w:p w14:paraId="776C49A1" w14:textId="77777777" w:rsidR="00EE6B9E" w:rsidRPr="008A4C54" w:rsidRDefault="00EE6B9E" w:rsidP="008A4C54">
            <w:pPr>
              <w:pStyle w:val="Tabletext1"/>
              <w:rPr>
                <w:rFonts w:cs="Times New Roman"/>
                <w:b/>
                <w:bCs/>
              </w:rPr>
            </w:pPr>
            <w:r w:rsidRPr="008A4C54">
              <w:rPr>
                <w:rFonts w:cs="Times New Roman"/>
                <w:b/>
                <w:bCs/>
              </w:rPr>
              <w:t>10</w:t>
            </w:r>
          </w:p>
        </w:tc>
        <w:tc>
          <w:tcPr>
            <w:tcW w:w="1162" w:type="dxa"/>
            <w:shd w:val="clear" w:color="auto" w:fill="FFFFFF" w:themeFill="background1"/>
            <w:noWrap/>
            <w:vAlign w:val="bottom"/>
            <w:hideMark/>
          </w:tcPr>
          <w:p w14:paraId="10519CDA" w14:textId="77777777" w:rsidR="00EE6B9E" w:rsidRPr="008A4C54" w:rsidRDefault="00EE6B9E" w:rsidP="008A4C54">
            <w:pPr>
              <w:pStyle w:val="Tabletext1"/>
              <w:rPr>
                <w:rFonts w:cs="Times New Roman"/>
                <w:b/>
                <w:bCs/>
              </w:rPr>
            </w:pPr>
            <w:r w:rsidRPr="008A4C54">
              <w:rPr>
                <w:rFonts w:cs="Times New Roman"/>
                <w:b/>
                <w:bCs/>
              </w:rPr>
              <w:t>12</w:t>
            </w:r>
          </w:p>
        </w:tc>
      </w:tr>
    </w:tbl>
    <w:p w14:paraId="1509CAA1" w14:textId="0BCD6315" w:rsidR="008A4C54" w:rsidRDefault="008A4C54" w:rsidP="008A4C54">
      <w:pPr>
        <w:pStyle w:val="TableNotes"/>
        <w:rPr>
          <w:rFonts w:eastAsiaTheme="minorHAnsi"/>
          <w:lang w:eastAsia="en-US"/>
        </w:rPr>
      </w:pPr>
      <w:r>
        <w:rPr>
          <w:rFonts w:eastAsiaTheme="minorHAnsi"/>
          <w:lang w:eastAsia="en-US"/>
        </w:rPr>
        <w:t>1 = yes, 0 = no</w:t>
      </w:r>
      <w:r w:rsidR="00FA05F6">
        <w:rPr>
          <w:rFonts w:eastAsiaTheme="minorHAnsi"/>
          <w:lang w:eastAsia="en-US"/>
        </w:rPr>
        <w:t>.</w:t>
      </w:r>
    </w:p>
    <w:p w14:paraId="73B16D9E" w14:textId="77777777" w:rsidR="00FA05F6" w:rsidRDefault="00FA05F6" w:rsidP="008A4C54">
      <w:pPr>
        <w:pStyle w:val="TableNotes"/>
        <w:rPr>
          <w:rFonts w:eastAsiaTheme="minorHAnsi"/>
          <w:lang w:eastAsia="en-US"/>
        </w:rPr>
      </w:pPr>
    </w:p>
    <w:p w14:paraId="78C72B19" w14:textId="77777777" w:rsidR="00FA05F6" w:rsidRDefault="00FA05F6" w:rsidP="008A4C54">
      <w:pPr>
        <w:pStyle w:val="TableNotes"/>
        <w:rPr>
          <w:rFonts w:eastAsiaTheme="minorHAnsi"/>
          <w:lang w:eastAsia="en-US"/>
        </w:rPr>
        <w:sectPr w:rsidR="00FA05F6" w:rsidSect="00EE6B9E">
          <w:pgSz w:w="16838" w:h="11906" w:orient="landscape"/>
          <w:pgMar w:top="1440" w:right="1440" w:bottom="1440" w:left="1440" w:header="720" w:footer="720" w:gutter="0"/>
          <w:paperSrc w:first="7" w:other="7"/>
          <w:cols w:space="720"/>
          <w:docGrid w:linePitch="360"/>
        </w:sectPr>
      </w:pPr>
    </w:p>
    <w:p w14:paraId="4B5DA5EF" w14:textId="30C36519" w:rsidR="00C15A7E" w:rsidRPr="00113789" w:rsidRDefault="00C15A7E" w:rsidP="00C15A7E">
      <w:pPr>
        <w:pStyle w:val="Heading1"/>
        <w:rPr>
          <w:rFonts w:eastAsiaTheme="minorHAnsi"/>
          <w:lang w:eastAsia="en-US"/>
        </w:rPr>
      </w:pPr>
      <w:bookmarkStart w:id="838" w:name="_Toc460514035"/>
      <w:r>
        <w:rPr>
          <w:rFonts w:eastAsiaTheme="minorHAnsi"/>
          <w:lang w:eastAsia="en-US"/>
        </w:rPr>
        <w:lastRenderedPageBreak/>
        <w:t>Appendix G</w:t>
      </w:r>
      <w:r>
        <w:rPr>
          <w:rFonts w:eastAsiaTheme="minorHAnsi"/>
          <w:lang w:eastAsia="en-US"/>
        </w:rPr>
        <w:tab/>
        <w:t>Diagnostic accuracy results from studies with applicability issues</w:t>
      </w:r>
      <w:bookmarkEnd w:id="838"/>
    </w:p>
    <w:p w14:paraId="3A91F7B8" w14:textId="6AE275C4" w:rsidR="00540200" w:rsidRDefault="00540200" w:rsidP="00540200">
      <w:pPr>
        <w:pStyle w:val="Heading2"/>
      </w:pPr>
      <w:bookmarkStart w:id="839" w:name="_Toc460514036"/>
      <w:bookmarkStart w:id="840" w:name="_Toc379118117"/>
      <w:bookmarkStart w:id="841" w:name="_Toc381796514"/>
      <w:r>
        <w:t>Population 1</w:t>
      </w:r>
      <w:r>
        <w:tab/>
        <w:t>Studies using a PI-RAS ≥ 3 threshold</w:t>
      </w:r>
      <w:bookmarkEnd w:id="839"/>
    </w:p>
    <w:p w14:paraId="5F149671" w14:textId="1CE26221" w:rsidR="00F4257F" w:rsidRPr="00D8414C" w:rsidRDefault="000B1DB4" w:rsidP="000B1DB4">
      <w:pPr>
        <w:pStyle w:val="Caption"/>
        <w:rPr>
          <w:snapToGrid w:val="0"/>
        </w:rPr>
      </w:pPr>
      <w:bookmarkStart w:id="842" w:name="_Toc460514590"/>
      <w:r>
        <w:t xml:space="preserve">Table </w:t>
      </w:r>
      <w:fldSimple w:instr=" SEQ Table \* ARABIC ">
        <w:r w:rsidR="0029649D">
          <w:rPr>
            <w:noProof/>
          </w:rPr>
          <w:t>90</w:t>
        </w:r>
      </w:fldSimple>
      <w:r>
        <w:tab/>
      </w:r>
      <w:r w:rsidR="00F4257F" w:rsidRPr="00D8414C">
        <w:t xml:space="preserve">Summary of findings for the accuracy of </w:t>
      </w:r>
      <w:r w:rsidR="00F4257F">
        <w:rPr>
          <w:snapToGrid w:val="0"/>
        </w:rPr>
        <w:t>mpMRI</w:t>
      </w:r>
      <w:r w:rsidR="00F4257F" w:rsidRPr="00D8414C">
        <w:rPr>
          <w:snapToGrid w:val="0"/>
        </w:rPr>
        <w:t xml:space="preserve">, relative to </w:t>
      </w:r>
      <w:r w:rsidR="00F4257F">
        <w:rPr>
          <w:snapToGrid w:val="0"/>
        </w:rPr>
        <w:t>biopsy</w:t>
      </w:r>
      <w:r w:rsidR="00F4257F" w:rsidRPr="00D8414C">
        <w:rPr>
          <w:snapToGrid w:val="0"/>
        </w:rPr>
        <w:t>, in patients with condition</w:t>
      </w:r>
      <w:r w:rsidR="00EA0AD3">
        <w:rPr>
          <w:snapToGrid w:val="0"/>
        </w:rPr>
        <w:t>s</w:t>
      </w:r>
      <w:r w:rsidR="00F4257F" w:rsidRPr="00D8414C">
        <w:rPr>
          <w:snapToGrid w:val="0"/>
        </w:rPr>
        <w:t xml:space="preserve"> with assumed pre-tes</w:t>
      </w:r>
      <w:r w:rsidR="00F4257F">
        <w:rPr>
          <w:snapToGrid w:val="0"/>
        </w:rPr>
        <w:t>t probability (prevalence) of 35</w:t>
      </w:r>
      <w:r w:rsidR="00F4257F" w:rsidRPr="00D8414C">
        <w:rPr>
          <w:snapToGrid w:val="0"/>
        </w:rPr>
        <w:t>%</w:t>
      </w:r>
      <w:bookmarkEnd w:id="842"/>
    </w:p>
    <w:tbl>
      <w:tblPr>
        <w:tblStyle w:val="TableGrid"/>
        <w:tblW w:w="5000" w:type="pct"/>
        <w:tblLook w:val="04A0" w:firstRow="1" w:lastRow="0" w:firstColumn="1" w:lastColumn="0" w:noHBand="0" w:noVBand="1"/>
        <w:tblDescription w:val="Summary of findings table"/>
      </w:tblPr>
      <w:tblGrid>
        <w:gridCol w:w="1402"/>
        <w:gridCol w:w="1930"/>
        <w:gridCol w:w="1858"/>
        <w:gridCol w:w="1858"/>
        <w:gridCol w:w="2194"/>
      </w:tblGrid>
      <w:tr w:rsidR="00F4257F" w:rsidRPr="00862415" w14:paraId="5ACB84C6" w14:textId="77777777" w:rsidTr="00154A3C">
        <w:trPr>
          <w:tblHeader/>
        </w:trPr>
        <w:tc>
          <w:tcPr>
            <w:tcW w:w="759" w:type="pct"/>
          </w:tcPr>
          <w:p w14:paraId="33DC4B50" w14:textId="77777777" w:rsidR="00F4257F" w:rsidRPr="00D8414C" w:rsidRDefault="00F4257F" w:rsidP="00154A3C">
            <w:pPr>
              <w:pStyle w:val="TableHeading"/>
              <w:ind w:left="0"/>
            </w:pPr>
            <w:r w:rsidRPr="00D8414C">
              <w:t>Outcomes</w:t>
            </w:r>
          </w:p>
        </w:tc>
        <w:tc>
          <w:tcPr>
            <w:tcW w:w="1044" w:type="pct"/>
          </w:tcPr>
          <w:p w14:paraId="254202DF" w14:textId="77777777" w:rsidR="00F4257F" w:rsidRPr="00D8414C" w:rsidRDefault="00F4257F" w:rsidP="00154A3C">
            <w:pPr>
              <w:pStyle w:val="TableHeading"/>
              <w:ind w:left="23"/>
            </w:pPr>
            <w:r w:rsidRPr="00D8414C">
              <w:t>mpMRI – all cancer</w:t>
            </w:r>
          </w:p>
          <w:p w14:paraId="7074F170" w14:textId="77777777" w:rsidR="00F4257F" w:rsidRPr="00D8414C" w:rsidRDefault="00F4257F" w:rsidP="00154A3C">
            <w:pPr>
              <w:pStyle w:val="TableHeading"/>
              <w:ind w:left="23"/>
            </w:pPr>
            <w:r w:rsidRPr="00D8414C">
              <w:t>[95%CI]</w:t>
            </w:r>
          </w:p>
        </w:tc>
        <w:tc>
          <w:tcPr>
            <w:tcW w:w="1005" w:type="pct"/>
          </w:tcPr>
          <w:p w14:paraId="515F3A04" w14:textId="77777777" w:rsidR="00F4257F" w:rsidRPr="00D8414C" w:rsidRDefault="00F4257F" w:rsidP="00154A3C">
            <w:pPr>
              <w:pStyle w:val="TableHeading"/>
              <w:ind w:left="0"/>
            </w:pPr>
            <w:r w:rsidRPr="00D8414C">
              <w:t>mpMRI – clinically significant cancer</w:t>
            </w:r>
          </w:p>
          <w:p w14:paraId="4D418DAF" w14:textId="77777777" w:rsidR="00F4257F" w:rsidRPr="00D8414C" w:rsidRDefault="00F4257F" w:rsidP="00154A3C">
            <w:pPr>
              <w:pStyle w:val="TableHeading"/>
              <w:ind w:left="0"/>
            </w:pPr>
            <w:r w:rsidRPr="00D8414C">
              <w:t>[95%CI]</w:t>
            </w:r>
          </w:p>
        </w:tc>
        <w:tc>
          <w:tcPr>
            <w:tcW w:w="1005" w:type="pct"/>
          </w:tcPr>
          <w:p w14:paraId="66E5516E" w14:textId="77777777" w:rsidR="00F4257F" w:rsidRPr="00D8414C" w:rsidRDefault="00F4257F" w:rsidP="00154A3C">
            <w:pPr>
              <w:pStyle w:val="TableHeading"/>
              <w:ind w:left="28"/>
            </w:pPr>
            <w:r w:rsidRPr="00D8414C">
              <w:t>Quality of evidence</w:t>
            </w:r>
          </w:p>
        </w:tc>
        <w:tc>
          <w:tcPr>
            <w:tcW w:w="1188" w:type="pct"/>
          </w:tcPr>
          <w:p w14:paraId="0671E785" w14:textId="77777777" w:rsidR="00F4257F" w:rsidRPr="00862415" w:rsidRDefault="00F4257F" w:rsidP="00154A3C">
            <w:pPr>
              <w:pStyle w:val="TableHeading"/>
              <w:ind w:left="0"/>
            </w:pPr>
            <w:r w:rsidRPr="00D8414C">
              <w:t>Importance</w:t>
            </w:r>
          </w:p>
        </w:tc>
      </w:tr>
      <w:tr w:rsidR="00F4257F" w14:paraId="63E3678A" w14:textId="77777777" w:rsidTr="00154A3C">
        <w:tc>
          <w:tcPr>
            <w:tcW w:w="759" w:type="pct"/>
          </w:tcPr>
          <w:p w14:paraId="4CB18741" w14:textId="77777777" w:rsidR="00F4257F" w:rsidRPr="008471A5" w:rsidRDefault="00F4257F" w:rsidP="00154A3C">
            <w:pPr>
              <w:pStyle w:val="TableText0"/>
              <w:ind w:left="0"/>
            </w:pPr>
            <w:r w:rsidRPr="008471A5">
              <w:t>Sensitivity</w:t>
            </w:r>
          </w:p>
        </w:tc>
        <w:tc>
          <w:tcPr>
            <w:tcW w:w="1044" w:type="pct"/>
          </w:tcPr>
          <w:p w14:paraId="519EB4F5" w14:textId="77777777" w:rsidR="00F4257F" w:rsidRPr="008471A5" w:rsidRDefault="00F4257F" w:rsidP="00154A3C">
            <w:pPr>
              <w:keepNext/>
              <w:spacing w:before="40" w:after="40" w:line="240" w:lineRule="auto"/>
              <w:ind w:left="23"/>
              <w:rPr>
                <w:rFonts w:ascii="Arial Narrow" w:hAnsi="Arial Narrow" w:cs="Arial"/>
                <w:sz w:val="20"/>
                <w:szCs w:val="20"/>
              </w:rPr>
            </w:pPr>
            <w:r>
              <w:rPr>
                <w:rFonts w:ascii="Arial Narrow" w:hAnsi="Arial Narrow" w:cs="Arial"/>
                <w:sz w:val="20"/>
                <w:szCs w:val="20"/>
              </w:rPr>
              <w:t>87.5</w:t>
            </w:r>
            <w:r w:rsidRPr="008471A5">
              <w:rPr>
                <w:rFonts w:ascii="Arial Narrow" w:hAnsi="Arial Narrow" w:cs="Arial"/>
                <w:sz w:val="20"/>
                <w:szCs w:val="20"/>
              </w:rPr>
              <w:t>% [</w:t>
            </w:r>
            <w:r>
              <w:rPr>
                <w:rFonts w:ascii="Arial Narrow" w:hAnsi="Arial Narrow" w:cs="Arial"/>
                <w:sz w:val="20"/>
                <w:szCs w:val="20"/>
              </w:rPr>
              <w:t>76.8, 93.6</w:t>
            </w:r>
            <w:r w:rsidRPr="008471A5">
              <w:rPr>
                <w:rFonts w:ascii="Arial Narrow" w:hAnsi="Arial Narrow" w:cs="Arial"/>
                <w:sz w:val="20"/>
                <w:szCs w:val="20"/>
              </w:rPr>
              <w:t>]</w:t>
            </w:r>
          </w:p>
        </w:tc>
        <w:tc>
          <w:tcPr>
            <w:tcW w:w="1005" w:type="pct"/>
          </w:tcPr>
          <w:p w14:paraId="50910DDE" w14:textId="77777777" w:rsidR="00F4257F" w:rsidRPr="004A196F" w:rsidRDefault="00F4257F" w:rsidP="00154A3C">
            <w:pPr>
              <w:pStyle w:val="TableText0"/>
              <w:ind w:left="0"/>
              <w:rPr>
                <w:rFonts w:cs="Arial"/>
                <w:sz w:val="18"/>
                <w:szCs w:val="18"/>
              </w:rPr>
            </w:pPr>
            <w:r>
              <w:rPr>
                <w:rFonts w:cs="Arial"/>
                <w:sz w:val="18"/>
                <w:szCs w:val="18"/>
              </w:rPr>
              <w:t>96.5% [61.8, 99.8]</w:t>
            </w:r>
          </w:p>
        </w:tc>
        <w:tc>
          <w:tcPr>
            <w:tcW w:w="1005" w:type="pct"/>
          </w:tcPr>
          <w:p w14:paraId="67CDE8F2" w14:textId="7817422D" w:rsidR="00F4257F" w:rsidRPr="004A196F" w:rsidRDefault="00291227" w:rsidP="00154A3C">
            <w:pPr>
              <w:keepNext/>
              <w:spacing w:before="40" w:after="40" w:line="240" w:lineRule="auto"/>
              <w:ind w:left="28"/>
              <w:rPr>
                <w:rFonts w:ascii="Arial Narrow" w:hAnsi="Arial Narrow" w:cs="Arial"/>
                <w:sz w:val="18"/>
                <w:szCs w:val="18"/>
              </w:rPr>
            </w:pPr>
            <w:r w:rsidRPr="00862415">
              <w:rPr>
                <w:rFonts w:ascii="Cambria Math" w:hAnsi="Cambria Math"/>
                <w:color w:val="00B050"/>
              </w:rPr>
              <w:t>⨁⨁</w:t>
            </w:r>
            <w:r w:rsidRPr="00862415">
              <w:rPr>
                <w:rFonts w:ascii="Cambria Math" w:hAnsi="Cambria Math" w:cs="Cambria Math"/>
                <w:color w:val="C00000"/>
              </w:rPr>
              <w:t>⨀⨀</w:t>
            </w:r>
            <w:r w:rsidR="00745EB5">
              <w:rPr>
                <w:rFonts w:ascii="Arial" w:hAnsi="Arial" w:cs="Arial"/>
                <w:sz w:val="16"/>
                <w:szCs w:val="16"/>
              </w:rPr>
              <w:br/>
              <w:t>Low</w:t>
            </w:r>
            <w:r w:rsidR="00F4257F">
              <w:rPr>
                <w:rFonts w:ascii="Arial" w:hAnsi="Arial" w:cs="Arial"/>
                <w:sz w:val="16"/>
                <w:szCs w:val="16"/>
                <w:vertAlign w:val="superscript"/>
              </w:rPr>
              <w:t>1,2</w:t>
            </w:r>
          </w:p>
        </w:tc>
        <w:tc>
          <w:tcPr>
            <w:tcW w:w="1188" w:type="pct"/>
          </w:tcPr>
          <w:p w14:paraId="616E69F3" w14:textId="77777777" w:rsidR="00F4257F" w:rsidRPr="004A196F" w:rsidRDefault="00F4257F" w:rsidP="00FA05F6">
            <w:pPr>
              <w:keepNext/>
              <w:spacing w:before="40" w:after="40" w:line="240" w:lineRule="auto"/>
              <w:ind w:left="0"/>
              <w:rPr>
                <w:rFonts w:ascii="Arial Narrow" w:hAnsi="Arial Narrow" w:cs="Arial"/>
                <w:sz w:val="18"/>
                <w:szCs w:val="18"/>
              </w:rPr>
            </w:pPr>
            <w:r>
              <w:rPr>
                <w:rFonts w:ascii="Arial Narrow" w:hAnsi="Arial Narrow" w:cs="Arial"/>
                <w:sz w:val="18"/>
                <w:szCs w:val="18"/>
              </w:rPr>
              <w:t>Not important</w:t>
            </w:r>
          </w:p>
        </w:tc>
      </w:tr>
      <w:tr w:rsidR="00F4257F" w14:paraId="1E52E8EF" w14:textId="77777777" w:rsidTr="00154A3C">
        <w:tc>
          <w:tcPr>
            <w:tcW w:w="759" w:type="pct"/>
          </w:tcPr>
          <w:p w14:paraId="2608184A" w14:textId="77777777" w:rsidR="00F4257F" w:rsidRPr="008471A5" w:rsidRDefault="00F4257F" w:rsidP="00154A3C">
            <w:pPr>
              <w:pStyle w:val="TableText0"/>
              <w:ind w:left="0"/>
              <w:rPr>
                <w:szCs w:val="20"/>
              </w:rPr>
            </w:pPr>
            <w:r w:rsidRPr="008471A5">
              <w:rPr>
                <w:szCs w:val="20"/>
              </w:rPr>
              <w:t>Specificity</w:t>
            </w:r>
          </w:p>
        </w:tc>
        <w:tc>
          <w:tcPr>
            <w:tcW w:w="1044" w:type="pct"/>
          </w:tcPr>
          <w:p w14:paraId="1F988BBA" w14:textId="77777777" w:rsidR="00F4257F" w:rsidRPr="008471A5" w:rsidRDefault="00F4257F" w:rsidP="00154A3C">
            <w:pPr>
              <w:pStyle w:val="Tabletext1"/>
              <w:rPr>
                <w:rFonts w:cs="Arial"/>
              </w:rPr>
            </w:pPr>
            <w:r>
              <w:t>57.7% [28.8, 82.1]</w:t>
            </w:r>
          </w:p>
        </w:tc>
        <w:tc>
          <w:tcPr>
            <w:tcW w:w="1005" w:type="pct"/>
          </w:tcPr>
          <w:p w14:paraId="3A3524EE" w14:textId="77777777" w:rsidR="00F4257F" w:rsidRPr="004A196F" w:rsidRDefault="00F4257F" w:rsidP="00FA05F6">
            <w:pPr>
              <w:pStyle w:val="TableText0"/>
              <w:ind w:left="0"/>
              <w:rPr>
                <w:rFonts w:cs="Arial"/>
                <w:sz w:val="18"/>
                <w:szCs w:val="18"/>
              </w:rPr>
            </w:pPr>
            <w:r>
              <w:rPr>
                <w:rFonts w:cs="Arial"/>
                <w:sz w:val="18"/>
                <w:szCs w:val="18"/>
              </w:rPr>
              <w:t>69.8% [45.2, 84.6]</w:t>
            </w:r>
          </w:p>
        </w:tc>
        <w:tc>
          <w:tcPr>
            <w:tcW w:w="1005" w:type="pct"/>
          </w:tcPr>
          <w:p w14:paraId="23D68771" w14:textId="76E88C1F" w:rsidR="00F4257F" w:rsidRPr="004A196F" w:rsidRDefault="00291227" w:rsidP="00745EB5">
            <w:pPr>
              <w:keepNext/>
              <w:spacing w:before="40" w:after="40" w:line="240" w:lineRule="auto"/>
              <w:ind w:left="28"/>
              <w:rPr>
                <w:rFonts w:ascii="Arial Narrow" w:hAnsi="Arial Narrow" w:cs="Arial"/>
                <w:sz w:val="18"/>
                <w:szCs w:val="18"/>
              </w:rPr>
            </w:pPr>
            <w:r w:rsidRPr="00862415">
              <w:rPr>
                <w:rFonts w:ascii="Cambria Math" w:hAnsi="Cambria Math"/>
                <w:color w:val="00B050"/>
              </w:rPr>
              <w:t>⨁⨁</w:t>
            </w:r>
            <w:r w:rsidRPr="00862415">
              <w:rPr>
                <w:rFonts w:ascii="Cambria Math" w:hAnsi="Cambria Math" w:cs="Cambria Math"/>
                <w:color w:val="C00000"/>
              </w:rPr>
              <w:t>⨀⨀</w:t>
            </w:r>
            <w:r w:rsidR="00745EB5">
              <w:rPr>
                <w:rFonts w:ascii="Arial" w:hAnsi="Arial" w:cs="Arial"/>
                <w:sz w:val="16"/>
                <w:szCs w:val="16"/>
              </w:rPr>
              <w:br/>
              <w:t>Low</w:t>
            </w:r>
            <w:r w:rsidR="00F4257F">
              <w:rPr>
                <w:rFonts w:ascii="Arial" w:hAnsi="Arial" w:cs="Arial"/>
                <w:sz w:val="16"/>
                <w:szCs w:val="16"/>
                <w:vertAlign w:val="superscript"/>
              </w:rPr>
              <w:t>1,2</w:t>
            </w:r>
          </w:p>
        </w:tc>
        <w:tc>
          <w:tcPr>
            <w:tcW w:w="1188" w:type="pct"/>
          </w:tcPr>
          <w:p w14:paraId="7816D0BD" w14:textId="77777777" w:rsidR="00F4257F" w:rsidRPr="004A196F" w:rsidRDefault="00F4257F" w:rsidP="00FA05F6">
            <w:pPr>
              <w:keepNext/>
              <w:spacing w:before="40" w:after="40" w:line="240" w:lineRule="auto"/>
              <w:ind w:left="0"/>
              <w:rPr>
                <w:rFonts w:ascii="Arial Narrow" w:hAnsi="Arial Narrow" w:cs="Arial"/>
                <w:sz w:val="18"/>
                <w:szCs w:val="18"/>
              </w:rPr>
            </w:pPr>
            <w:r>
              <w:rPr>
                <w:rFonts w:ascii="Arial Narrow" w:hAnsi="Arial Narrow" w:cs="Arial"/>
                <w:sz w:val="18"/>
                <w:szCs w:val="18"/>
              </w:rPr>
              <w:t>Not important</w:t>
            </w:r>
          </w:p>
        </w:tc>
      </w:tr>
    </w:tbl>
    <w:p w14:paraId="6DBEDF7B" w14:textId="0CE97B93" w:rsidR="00F4257F" w:rsidRPr="00862415" w:rsidRDefault="00F4257F" w:rsidP="008A4C54">
      <w:pPr>
        <w:pStyle w:val="TableNotes"/>
      </w:pPr>
      <w:r w:rsidRPr="00862415">
        <w:rPr>
          <w:vertAlign w:val="superscript"/>
        </w:rPr>
        <w:t>a</w:t>
      </w:r>
      <w:r w:rsidR="00745EB5">
        <w:t xml:space="preserve">: </w:t>
      </w:r>
      <w:r w:rsidRPr="00862415">
        <w:t>GRADE Working Group gr</w:t>
      </w:r>
      <w:r w:rsidR="008864FF">
        <w:t>ades of evidence (Guyatt et al.</w:t>
      </w:r>
      <w:r w:rsidRPr="00862415">
        <w:t xml:space="preserve"> 2013)</w:t>
      </w:r>
      <w:r w:rsidR="00A4761C">
        <w:t>.</w:t>
      </w:r>
      <w:r w:rsidRPr="00862415">
        <w:br/>
      </w:r>
      <w:r w:rsidRPr="00862415">
        <w:rPr>
          <w:rFonts w:ascii="Cambria Math" w:hAnsi="Cambria Math"/>
          <w:color w:val="00B050"/>
        </w:rPr>
        <w:t xml:space="preserve">⨁⨁⨁⨁ </w:t>
      </w:r>
      <w:r w:rsidRPr="00862415">
        <w:rPr>
          <w:b/>
          <w:bCs/>
        </w:rPr>
        <w:t>High quality:</w:t>
      </w:r>
      <w:r w:rsidRPr="00862415">
        <w:t xml:space="preserve"> We are very confident that the true effect lies close to that of the estimate of effect. </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Moderate quality:</w:t>
      </w:r>
      <w:r w:rsidRPr="00862415">
        <w:t xml:space="preserve"> We are moderately confident in the effect estimate: The true effect is likely to be close to the estimate of the effect, but there is a possibility that it is substantially different. </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Low quality:</w:t>
      </w:r>
      <w:r w:rsidRPr="00862415">
        <w:t xml:space="preserve"> Our confidence in the effect estimate is limited: The true effect may be substantially different from the estimate of the effect.</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Very low quality:</w:t>
      </w:r>
      <w:r w:rsidRPr="00862415">
        <w:t xml:space="preserve"> We have very little confidence in the effect estimate: The true effect is likely to be substantially different from the estimate of effect.</w:t>
      </w:r>
      <w:r w:rsidRPr="00862415">
        <w:br/>
      </w:r>
      <w:r>
        <w:rPr>
          <w:color w:val="000000"/>
          <w:sz w:val="16"/>
          <w:szCs w:val="16"/>
          <w:vertAlign w:val="superscript"/>
        </w:rPr>
        <w:t>1</w:t>
      </w:r>
      <w:r w:rsidR="00745EB5" w:rsidRPr="00745EB5">
        <w:rPr>
          <w:color w:val="000000"/>
          <w:sz w:val="16"/>
          <w:szCs w:val="16"/>
        </w:rPr>
        <w:t>:</w:t>
      </w:r>
      <w:r w:rsidRPr="00745EB5">
        <w:rPr>
          <w:color w:val="000000"/>
          <w:sz w:val="16"/>
          <w:szCs w:val="16"/>
        </w:rPr>
        <w:t xml:space="preserve"> </w:t>
      </w:r>
      <w:r w:rsidRPr="00862415">
        <w:rPr>
          <w:color w:val="000000"/>
          <w:sz w:val="16"/>
          <w:szCs w:val="16"/>
        </w:rPr>
        <w:t>No explanation for the observed heterogeneity could be found.</w:t>
      </w:r>
      <w:r w:rsidRPr="00862415">
        <w:rPr>
          <w:color w:val="000000"/>
          <w:sz w:val="16"/>
          <w:szCs w:val="16"/>
        </w:rPr>
        <w:br/>
      </w:r>
      <w:r>
        <w:rPr>
          <w:color w:val="000000"/>
          <w:sz w:val="16"/>
          <w:szCs w:val="16"/>
          <w:vertAlign w:val="superscript"/>
        </w:rPr>
        <w:t>2</w:t>
      </w:r>
      <w:r w:rsidR="00745EB5" w:rsidRPr="00745EB5">
        <w:rPr>
          <w:color w:val="000000"/>
          <w:sz w:val="16"/>
          <w:szCs w:val="16"/>
        </w:rPr>
        <w:t>:</w:t>
      </w:r>
      <w:r w:rsidRPr="00745EB5">
        <w:rPr>
          <w:color w:val="000000"/>
          <w:sz w:val="16"/>
          <w:szCs w:val="16"/>
        </w:rPr>
        <w:t xml:space="preserve"> </w:t>
      </w:r>
      <w:r w:rsidRPr="00862415">
        <w:rPr>
          <w:color w:val="000000"/>
          <w:sz w:val="16"/>
          <w:szCs w:val="16"/>
        </w:rPr>
        <w:t>The wide confidence interval reflects imprecision</w:t>
      </w:r>
      <w:r w:rsidR="00A4761C">
        <w:rPr>
          <w:color w:val="000000"/>
          <w:sz w:val="16"/>
          <w:szCs w:val="16"/>
        </w:rPr>
        <w:t>.</w:t>
      </w:r>
    </w:p>
    <w:p w14:paraId="4E905689" w14:textId="77777777" w:rsidR="00F4257F" w:rsidRDefault="00F4257F" w:rsidP="00F4257F">
      <w:pPr>
        <w:pStyle w:val="Caption"/>
      </w:pPr>
      <w:bookmarkStart w:id="843" w:name="_Toc460514625"/>
      <w:r>
        <w:lastRenderedPageBreak/>
        <w:t xml:space="preserve">Figure </w:t>
      </w:r>
      <w:fldSimple w:instr=" SEQ Figure \* ARABIC ">
        <w:r w:rsidR="0029649D">
          <w:rPr>
            <w:noProof/>
          </w:rPr>
          <w:t>18</w:t>
        </w:r>
      </w:fldSimple>
      <w:r>
        <w:tab/>
        <w:t>HSROC curve for studies using a PI-RADS ≥3 threshold for the detection of any cancer</w:t>
      </w:r>
      <w:bookmarkEnd w:id="843"/>
    </w:p>
    <w:p w14:paraId="1254B258" w14:textId="77777777" w:rsidR="00F4257F" w:rsidRDefault="00F4257F" w:rsidP="00F4257F">
      <w:r>
        <w:rPr>
          <w:noProof/>
        </w:rPr>
        <w:drawing>
          <wp:inline distT="0" distB="0" distL="0" distR="0" wp14:anchorId="7E34B34D" wp14:editId="692224AF">
            <wp:extent cx="3726000" cy="3600000"/>
            <wp:effectExtent l="0" t="0" r="8255" b="635"/>
            <wp:docPr id="1" name="Picture 1" descr="HSROC curve for studies using a PI-RADS ≥3 threshold for the detection of any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726000" cy="3600000"/>
                    </a:xfrm>
                    <a:prstGeom prst="rect">
                      <a:avLst/>
                    </a:prstGeom>
                  </pic:spPr>
                </pic:pic>
              </a:graphicData>
            </a:graphic>
          </wp:inline>
        </w:drawing>
      </w:r>
    </w:p>
    <w:p w14:paraId="564A9503" w14:textId="77777777" w:rsidR="00F4257F" w:rsidRDefault="00F4257F" w:rsidP="00F4257F">
      <w:pPr>
        <w:pStyle w:val="Caption"/>
      </w:pPr>
      <w:bookmarkStart w:id="844" w:name="_Toc460514626"/>
      <w:r>
        <w:t xml:space="preserve">Figure </w:t>
      </w:r>
      <w:fldSimple w:instr=" SEQ Figure \* ARABIC ">
        <w:r w:rsidR="0029649D">
          <w:rPr>
            <w:noProof/>
          </w:rPr>
          <w:t>19</w:t>
        </w:r>
      </w:fldSimple>
      <w:r>
        <w:tab/>
        <w:t>HSROC curve for studies using a PI-RADS ≥3 threshold for the detection of clinically significant cancer</w:t>
      </w:r>
      <w:bookmarkEnd w:id="844"/>
    </w:p>
    <w:p w14:paraId="64A08C56" w14:textId="1FDA1A67" w:rsidR="00F4257F" w:rsidRDefault="00F4257F" w:rsidP="00F4257F">
      <w:r>
        <w:rPr>
          <w:noProof/>
        </w:rPr>
        <w:drawing>
          <wp:inline distT="0" distB="0" distL="0" distR="0" wp14:anchorId="26150519" wp14:editId="20CCBAAC">
            <wp:extent cx="3726000" cy="3600000"/>
            <wp:effectExtent l="0" t="0" r="8255" b="635"/>
            <wp:docPr id="10" name="Picture 10" descr="HSROC curve for studies using a PI-RADS ≥3 threshold for the detection of clinically significan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726000" cy="3600000"/>
                    </a:xfrm>
                    <a:prstGeom prst="rect">
                      <a:avLst/>
                    </a:prstGeom>
                  </pic:spPr>
                </pic:pic>
              </a:graphicData>
            </a:graphic>
          </wp:inline>
        </w:drawing>
      </w:r>
      <w:r>
        <w:br w:type="page"/>
      </w:r>
    </w:p>
    <w:p w14:paraId="5F099B41" w14:textId="644AFBFF" w:rsidR="00540200" w:rsidRDefault="00540200" w:rsidP="00540200">
      <w:pPr>
        <w:pStyle w:val="Heading2"/>
      </w:pPr>
      <w:bookmarkStart w:id="845" w:name="_Toc460514037"/>
      <w:r>
        <w:lastRenderedPageBreak/>
        <w:t>Population 1</w:t>
      </w:r>
      <w:r>
        <w:tab/>
        <w:t>PI-RADS not used or threshold not reported</w:t>
      </w:r>
      <w:bookmarkEnd w:id="845"/>
    </w:p>
    <w:p w14:paraId="67F34311" w14:textId="34AE2CF5" w:rsidR="00540200" w:rsidRPr="00D8414C" w:rsidRDefault="000B1DB4" w:rsidP="000B1DB4">
      <w:pPr>
        <w:pStyle w:val="Caption"/>
        <w:rPr>
          <w:snapToGrid w:val="0"/>
        </w:rPr>
      </w:pPr>
      <w:bookmarkStart w:id="846" w:name="_Toc460514591"/>
      <w:r>
        <w:t xml:space="preserve">Table </w:t>
      </w:r>
      <w:fldSimple w:instr=" SEQ Table \* ARABIC ">
        <w:r w:rsidR="0029649D">
          <w:rPr>
            <w:noProof/>
          </w:rPr>
          <w:t>91</w:t>
        </w:r>
      </w:fldSimple>
      <w:r>
        <w:tab/>
      </w:r>
      <w:r w:rsidR="00540200" w:rsidRPr="00D8414C">
        <w:t xml:space="preserve">Summary of findings for the accuracy of </w:t>
      </w:r>
      <w:r w:rsidR="00540200">
        <w:rPr>
          <w:snapToGrid w:val="0"/>
        </w:rPr>
        <w:t>mpMRI</w:t>
      </w:r>
      <w:r w:rsidR="00540200" w:rsidRPr="00D8414C">
        <w:rPr>
          <w:snapToGrid w:val="0"/>
        </w:rPr>
        <w:t xml:space="preserve">, relative to </w:t>
      </w:r>
      <w:r w:rsidR="00540200">
        <w:rPr>
          <w:snapToGrid w:val="0"/>
        </w:rPr>
        <w:t>biopsy</w:t>
      </w:r>
      <w:r w:rsidR="00540200" w:rsidRPr="00D8414C">
        <w:rPr>
          <w:snapToGrid w:val="0"/>
        </w:rPr>
        <w:t>, in patients with condition</w:t>
      </w:r>
      <w:r w:rsidR="00EA0AD3">
        <w:rPr>
          <w:snapToGrid w:val="0"/>
        </w:rPr>
        <w:t>s</w:t>
      </w:r>
      <w:r w:rsidR="00540200" w:rsidRPr="00D8414C">
        <w:rPr>
          <w:snapToGrid w:val="0"/>
        </w:rPr>
        <w:t xml:space="preserve"> with assumed pre-tes</w:t>
      </w:r>
      <w:r w:rsidR="00540200">
        <w:rPr>
          <w:snapToGrid w:val="0"/>
        </w:rPr>
        <w:t>t probability (prevalence) of 35</w:t>
      </w:r>
      <w:r w:rsidR="00540200" w:rsidRPr="00D8414C">
        <w:rPr>
          <w:snapToGrid w:val="0"/>
        </w:rPr>
        <w:t>%</w:t>
      </w:r>
      <w:bookmarkEnd w:id="846"/>
    </w:p>
    <w:tbl>
      <w:tblPr>
        <w:tblStyle w:val="TableGrid"/>
        <w:tblW w:w="5000" w:type="pct"/>
        <w:tblLook w:val="04A0" w:firstRow="1" w:lastRow="0" w:firstColumn="1" w:lastColumn="0" w:noHBand="0" w:noVBand="1"/>
        <w:tblDescription w:val="Summary of findings table"/>
      </w:tblPr>
      <w:tblGrid>
        <w:gridCol w:w="1402"/>
        <w:gridCol w:w="1930"/>
        <w:gridCol w:w="1858"/>
        <w:gridCol w:w="1858"/>
        <w:gridCol w:w="2194"/>
      </w:tblGrid>
      <w:tr w:rsidR="00540200" w:rsidRPr="00862415" w14:paraId="7E0D118F" w14:textId="77777777" w:rsidTr="00154A3C">
        <w:trPr>
          <w:tblHeader/>
        </w:trPr>
        <w:tc>
          <w:tcPr>
            <w:tcW w:w="759" w:type="pct"/>
          </w:tcPr>
          <w:p w14:paraId="7A60E180" w14:textId="77777777" w:rsidR="00540200" w:rsidRPr="00D8414C" w:rsidRDefault="00540200" w:rsidP="00154A3C">
            <w:pPr>
              <w:pStyle w:val="TableHeading"/>
              <w:ind w:left="0"/>
            </w:pPr>
            <w:r w:rsidRPr="00D8414C">
              <w:t>Outcomes</w:t>
            </w:r>
          </w:p>
        </w:tc>
        <w:tc>
          <w:tcPr>
            <w:tcW w:w="1044" w:type="pct"/>
          </w:tcPr>
          <w:p w14:paraId="71B7F524" w14:textId="77777777" w:rsidR="00540200" w:rsidRPr="00D8414C" w:rsidRDefault="00540200" w:rsidP="00154A3C">
            <w:pPr>
              <w:pStyle w:val="TableHeading"/>
              <w:ind w:left="23"/>
            </w:pPr>
            <w:r w:rsidRPr="00D8414C">
              <w:t>mpMRI – all cancer</w:t>
            </w:r>
          </w:p>
          <w:p w14:paraId="394459D8" w14:textId="77777777" w:rsidR="00540200" w:rsidRPr="00D8414C" w:rsidRDefault="00540200" w:rsidP="00154A3C">
            <w:pPr>
              <w:pStyle w:val="TableHeading"/>
              <w:ind w:left="23"/>
            </w:pPr>
            <w:r w:rsidRPr="00D8414C">
              <w:t>[95%CI]</w:t>
            </w:r>
          </w:p>
        </w:tc>
        <w:tc>
          <w:tcPr>
            <w:tcW w:w="1005" w:type="pct"/>
          </w:tcPr>
          <w:p w14:paraId="0E377F60" w14:textId="77777777" w:rsidR="00540200" w:rsidRPr="00D8414C" w:rsidRDefault="00540200" w:rsidP="00154A3C">
            <w:pPr>
              <w:pStyle w:val="TableHeading"/>
              <w:ind w:left="0"/>
            </w:pPr>
            <w:r w:rsidRPr="00D8414C">
              <w:t>mpMRI – clinically significant cancer</w:t>
            </w:r>
          </w:p>
          <w:p w14:paraId="021E396E" w14:textId="77777777" w:rsidR="00540200" w:rsidRPr="00D8414C" w:rsidRDefault="00540200" w:rsidP="00154A3C">
            <w:pPr>
              <w:pStyle w:val="TableHeading"/>
              <w:ind w:left="0"/>
            </w:pPr>
            <w:r w:rsidRPr="00D8414C">
              <w:t>[95%CI]</w:t>
            </w:r>
          </w:p>
        </w:tc>
        <w:tc>
          <w:tcPr>
            <w:tcW w:w="1005" w:type="pct"/>
          </w:tcPr>
          <w:p w14:paraId="5C8DE33D" w14:textId="77777777" w:rsidR="00540200" w:rsidRPr="00D8414C" w:rsidRDefault="00540200" w:rsidP="00154A3C">
            <w:pPr>
              <w:pStyle w:val="TableHeading"/>
              <w:ind w:left="28"/>
            </w:pPr>
            <w:r w:rsidRPr="00D8414C">
              <w:t>Quality of evidence</w:t>
            </w:r>
          </w:p>
        </w:tc>
        <w:tc>
          <w:tcPr>
            <w:tcW w:w="1188" w:type="pct"/>
          </w:tcPr>
          <w:p w14:paraId="4A53706E" w14:textId="77777777" w:rsidR="00540200" w:rsidRPr="00862415" w:rsidRDefault="00540200" w:rsidP="00154A3C">
            <w:pPr>
              <w:pStyle w:val="TableHeading"/>
              <w:ind w:left="0"/>
            </w:pPr>
            <w:r w:rsidRPr="00D8414C">
              <w:t>Importance</w:t>
            </w:r>
          </w:p>
        </w:tc>
      </w:tr>
      <w:tr w:rsidR="00540200" w14:paraId="71AAD8E2" w14:textId="77777777" w:rsidTr="00154A3C">
        <w:tc>
          <w:tcPr>
            <w:tcW w:w="759" w:type="pct"/>
          </w:tcPr>
          <w:p w14:paraId="5667A6D7" w14:textId="77777777" w:rsidR="00540200" w:rsidRPr="008471A5" w:rsidRDefault="00540200" w:rsidP="00154A3C">
            <w:pPr>
              <w:pStyle w:val="TableText0"/>
              <w:ind w:left="0"/>
            </w:pPr>
            <w:r w:rsidRPr="008471A5">
              <w:t>Sensitivity</w:t>
            </w:r>
          </w:p>
        </w:tc>
        <w:tc>
          <w:tcPr>
            <w:tcW w:w="1044" w:type="pct"/>
          </w:tcPr>
          <w:p w14:paraId="617864BD" w14:textId="7547C648" w:rsidR="00540200" w:rsidRPr="008471A5" w:rsidRDefault="002460D6" w:rsidP="00E21A96">
            <w:pPr>
              <w:keepNext/>
              <w:spacing w:before="40" w:after="40" w:line="240" w:lineRule="auto"/>
              <w:ind w:left="23"/>
              <w:rPr>
                <w:rFonts w:ascii="Arial Narrow" w:hAnsi="Arial Narrow" w:cs="Arial"/>
                <w:sz w:val="20"/>
                <w:szCs w:val="20"/>
              </w:rPr>
            </w:pPr>
            <w:r>
              <w:rPr>
                <w:rFonts w:ascii="Arial Narrow" w:hAnsi="Arial Narrow" w:cs="Arial"/>
                <w:sz w:val="20"/>
                <w:szCs w:val="20"/>
              </w:rPr>
              <w:t>8</w:t>
            </w:r>
            <w:r w:rsidR="00E21A96">
              <w:rPr>
                <w:rFonts w:ascii="Arial Narrow" w:hAnsi="Arial Narrow" w:cs="Arial"/>
                <w:sz w:val="20"/>
                <w:szCs w:val="20"/>
              </w:rPr>
              <w:t>5.1</w:t>
            </w:r>
            <w:r w:rsidR="00540200" w:rsidRPr="008471A5">
              <w:rPr>
                <w:rFonts w:ascii="Arial Narrow" w:hAnsi="Arial Narrow" w:cs="Arial"/>
                <w:sz w:val="20"/>
                <w:szCs w:val="20"/>
              </w:rPr>
              <w:t>% [</w:t>
            </w:r>
            <w:r w:rsidR="00E21A96">
              <w:rPr>
                <w:rFonts w:ascii="Arial Narrow" w:hAnsi="Arial Narrow" w:cs="Arial"/>
                <w:sz w:val="20"/>
                <w:szCs w:val="20"/>
              </w:rPr>
              <w:t>79.3</w:t>
            </w:r>
            <w:r w:rsidR="00540200">
              <w:rPr>
                <w:rFonts w:ascii="Arial Narrow" w:hAnsi="Arial Narrow" w:cs="Arial"/>
                <w:sz w:val="20"/>
                <w:szCs w:val="20"/>
              </w:rPr>
              <w:t xml:space="preserve">, </w:t>
            </w:r>
            <w:r w:rsidR="00E21A96">
              <w:rPr>
                <w:rFonts w:ascii="Arial Narrow" w:hAnsi="Arial Narrow" w:cs="Arial"/>
                <w:sz w:val="20"/>
                <w:szCs w:val="20"/>
              </w:rPr>
              <w:t>89.5</w:t>
            </w:r>
            <w:r w:rsidR="00540200" w:rsidRPr="008471A5">
              <w:rPr>
                <w:rFonts w:ascii="Arial Narrow" w:hAnsi="Arial Narrow" w:cs="Arial"/>
                <w:sz w:val="20"/>
                <w:szCs w:val="20"/>
              </w:rPr>
              <w:t>]</w:t>
            </w:r>
          </w:p>
        </w:tc>
        <w:tc>
          <w:tcPr>
            <w:tcW w:w="1005" w:type="pct"/>
          </w:tcPr>
          <w:p w14:paraId="62BD904F" w14:textId="7F973EFA" w:rsidR="00540200" w:rsidRPr="004A196F" w:rsidRDefault="00E21A96" w:rsidP="00154A3C">
            <w:pPr>
              <w:pStyle w:val="TableText0"/>
              <w:ind w:left="0"/>
              <w:rPr>
                <w:rFonts w:cs="Arial"/>
                <w:sz w:val="18"/>
                <w:szCs w:val="18"/>
              </w:rPr>
            </w:pPr>
            <w:r>
              <w:rPr>
                <w:rFonts w:cs="Arial"/>
                <w:sz w:val="18"/>
                <w:szCs w:val="18"/>
              </w:rPr>
              <w:t>84.9% [80.9, 88.2]</w:t>
            </w:r>
          </w:p>
        </w:tc>
        <w:tc>
          <w:tcPr>
            <w:tcW w:w="1005" w:type="pct"/>
          </w:tcPr>
          <w:p w14:paraId="1D5604E3" w14:textId="648065D1" w:rsidR="00540200" w:rsidRPr="004A196F" w:rsidRDefault="001D7B73" w:rsidP="00154A3C">
            <w:pPr>
              <w:keepNext/>
              <w:spacing w:before="40" w:after="40" w:line="240" w:lineRule="auto"/>
              <w:ind w:left="28"/>
              <w:rPr>
                <w:rFonts w:ascii="Arial Narrow" w:hAnsi="Arial Narrow" w:cs="Arial"/>
                <w:sz w:val="18"/>
                <w:szCs w:val="18"/>
              </w:rPr>
            </w:pPr>
            <w:r w:rsidRPr="00862415">
              <w:rPr>
                <w:rFonts w:ascii="Cambria Math" w:hAnsi="Cambria Math"/>
                <w:color w:val="00B050"/>
              </w:rPr>
              <w:t>⨁⨁</w:t>
            </w:r>
            <w:r w:rsidRPr="00862415">
              <w:rPr>
                <w:rFonts w:ascii="Cambria Math" w:hAnsi="Cambria Math" w:cs="Cambria Math"/>
                <w:color w:val="C00000"/>
              </w:rPr>
              <w:t>⨀⨀</w:t>
            </w:r>
            <w:r w:rsidR="00745EB5">
              <w:rPr>
                <w:rFonts w:ascii="Arial" w:hAnsi="Arial" w:cs="Arial"/>
                <w:sz w:val="16"/>
                <w:szCs w:val="16"/>
              </w:rPr>
              <w:br/>
              <w:t>Low</w:t>
            </w:r>
            <w:r w:rsidR="00540200">
              <w:rPr>
                <w:rFonts w:ascii="Arial" w:hAnsi="Arial" w:cs="Arial"/>
                <w:sz w:val="16"/>
                <w:szCs w:val="16"/>
                <w:vertAlign w:val="superscript"/>
              </w:rPr>
              <w:t>1,2</w:t>
            </w:r>
          </w:p>
        </w:tc>
        <w:tc>
          <w:tcPr>
            <w:tcW w:w="1188" w:type="pct"/>
          </w:tcPr>
          <w:p w14:paraId="0806384F" w14:textId="6F0ADF42" w:rsidR="00540200" w:rsidRPr="004A196F" w:rsidRDefault="002460D6" w:rsidP="00154A3C">
            <w:pPr>
              <w:keepNext/>
              <w:spacing w:before="40" w:after="40" w:line="240" w:lineRule="auto"/>
              <w:rPr>
                <w:rFonts w:ascii="Arial Narrow" w:hAnsi="Arial Narrow" w:cs="Arial"/>
                <w:sz w:val="18"/>
                <w:szCs w:val="18"/>
              </w:rPr>
            </w:pPr>
            <w:r>
              <w:rPr>
                <w:rFonts w:ascii="Arial Narrow" w:hAnsi="Arial Narrow" w:cs="Arial"/>
                <w:sz w:val="18"/>
                <w:szCs w:val="18"/>
              </w:rPr>
              <w:t>Not important</w:t>
            </w:r>
          </w:p>
        </w:tc>
      </w:tr>
      <w:tr w:rsidR="00540200" w14:paraId="5C9E7B5B" w14:textId="77777777" w:rsidTr="00154A3C">
        <w:tc>
          <w:tcPr>
            <w:tcW w:w="759" w:type="pct"/>
          </w:tcPr>
          <w:p w14:paraId="424F3A0E" w14:textId="77777777" w:rsidR="00540200" w:rsidRPr="008471A5" w:rsidRDefault="00540200" w:rsidP="00154A3C">
            <w:pPr>
              <w:pStyle w:val="TableText0"/>
              <w:ind w:left="0"/>
              <w:rPr>
                <w:szCs w:val="20"/>
              </w:rPr>
            </w:pPr>
            <w:r w:rsidRPr="008471A5">
              <w:rPr>
                <w:szCs w:val="20"/>
              </w:rPr>
              <w:t>Specificity</w:t>
            </w:r>
          </w:p>
        </w:tc>
        <w:tc>
          <w:tcPr>
            <w:tcW w:w="1044" w:type="pct"/>
          </w:tcPr>
          <w:p w14:paraId="747310C3" w14:textId="5B428374" w:rsidR="00540200" w:rsidRPr="008471A5" w:rsidRDefault="00E21A96" w:rsidP="00E21A96">
            <w:pPr>
              <w:pStyle w:val="Tabletext1"/>
              <w:rPr>
                <w:rFonts w:cs="Arial"/>
              </w:rPr>
            </w:pPr>
            <w:r>
              <w:t>65.9</w:t>
            </w:r>
            <w:r w:rsidR="002460D6">
              <w:t>% [</w:t>
            </w:r>
            <w:r>
              <w:t>55.1</w:t>
            </w:r>
            <w:r w:rsidR="002460D6">
              <w:t xml:space="preserve">, </w:t>
            </w:r>
            <w:r>
              <w:t>75.2</w:t>
            </w:r>
            <w:r w:rsidR="002460D6">
              <w:t>]</w:t>
            </w:r>
          </w:p>
        </w:tc>
        <w:tc>
          <w:tcPr>
            <w:tcW w:w="1005" w:type="pct"/>
          </w:tcPr>
          <w:p w14:paraId="7D56F555" w14:textId="4DB2B79B" w:rsidR="00540200" w:rsidRPr="004A196F" w:rsidRDefault="00E21A96" w:rsidP="00E21A96">
            <w:pPr>
              <w:keepNext/>
              <w:spacing w:before="40" w:after="40" w:line="240" w:lineRule="auto"/>
              <w:rPr>
                <w:rFonts w:ascii="Arial Narrow" w:hAnsi="Arial Narrow" w:cs="Arial"/>
                <w:sz w:val="18"/>
                <w:szCs w:val="18"/>
              </w:rPr>
            </w:pPr>
            <w:r>
              <w:rPr>
                <w:rFonts w:ascii="Arial Narrow" w:hAnsi="Arial Narrow" w:cs="Arial"/>
                <w:sz w:val="18"/>
                <w:szCs w:val="18"/>
              </w:rPr>
              <w:t>55.4</w:t>
            </w:r>
            <w:r w:rsidR="00540200">
              <w:rPr>
                <w:rFonts w:ascii="Arial Narrow" w:hAnsi="Arial Narrow" w:cs="Arial"/>
                <w:sz w:val="18"/>
                <w:szCs w:val="18"/>
              </w:rPr>
              <w:t>% [</w:t>
            </w:r>
            <w:r>
              <w:rPr>
                <w:rFonts w:ascii="Arial Narrow" w:hAnsi="Arial Narrow" w:cs="Arial"/>
                <w:sz w:val="18"/>
                <w:szCs w:val="18"/>
              </w:rPr>
              <w:t>43.1</w:t>
            </w:r>
            <w:r w:rsidR="00540200">
              <w:rPr>
                <w:rFonts w:ascii="Arial Narrow" w:hAnsi="Arial Narrow" w:cs="Arial"/>
                <w:sz w:val="18"/>
                <w:szCs w:val="18"/>
              </w:rPr>
              <w:t xml:space="preserve">, </w:t>
            </w:r>
            <w:r>
              <w:rPr>
                <w:rFonts w:ascii="Arial Narrow" w:hAnsi="Arial Narrow" w:cs="Arial"/>
                <w:sz w:val="18"/>
                <w:szCs w:val="18"/>
              </w:rPr>
              <w:t>66.7</w:t>
            </w:r>
            <w:r w:rsidR="00540200">
              <w:rPr>
                <w:rFonts w:ascii="Arial Narrow" w:hAnsi="Arial Narrow" w:cs="Arial"/>
                <w:sz w:val="18"/>
                <w:szCs w:val="18"/>
              </w:rPr>
              <w:t>]</w:t>
            </w:r>
          </w:p>
        </w:tc>
        <w:tc>
          <w:tcPr>
            <w:tcW w:w="1005" w:type="pct"/>
          </w:tcPr>
          <w:p w14:paraId="0C0EBEAF" w14:textId="546A3871" w:rsidR="00540200" w:rsidRPr="004A196F" w:rsidRDefault="001D7B73" w:rsidP="00745EB5">
            <w:pPr>
              <w:keepNext/>
              <w:spacing w:before="40" w:after="40" w:line="240" w:lineRule="auto"/>
              <w:ind w:left="28"/>
              <w:rPr>
                <w:rFonts w:ascii="Arial Narrow" w:hAnsi="Arial Narrow" w:cs="Arial"/>
                <w:sz w:val="18"/>
                <w:szCs w:val="18"/>
              </w:rPr>
            </w:pPr>
            <w:r w:rsidRPr="00862415">
              <w:rPr>
                <w:rFonts w:ascii="Cambria Math" w:hAnsi="Cambria Math"/>
                <w:color w:val="00B050"/>
              </w:rPr>
              <w:t>⨁⨁</w:t>
            </w:r>
            <w:r w:rsidRPr="00862415">
              <w:rPr>
                <w:rFonts w:ascii="Cambria Math" w:hAnsi="Cambria Math" w:cs="Cambria Math"/>
                <w:color w:val="C00000"/>
              </w:rPr>
              <w:t>⨀⨀</w:t>
            </w:r>
            <w:r w:rsidR="00745EB5">
              <w:rPr>
                <w:rFonts w:ascii="Arial" w:hAnsi="Arial" w:cs="Arial"/>
                <w:sz w:val="16"/>
                <w:szCs w:val="16"/>
              </w:rPr>
              <w:br/>
              <w:t>Low</w:t>
            </w:r>
            <w:r w:rsidR="00540200">
              <w:rPr>
                <w:rFonts w:ascii="Arial" w:hAnsi="Arial" w:cs="Arial"/>
                <w:sz w:val="16"/>
                <w:szCs w:val="16"/>
                <w:vertAlign w:val="superscript"/>
              </w:rPr>
              <w:t>1,2</w:t>
            </w:r>
          </w:p>
        </w:tc>
        <w:tc>
          <w:tcPr>
            <w:tcW w:w="1188" w:type="pct"/>
          </w:tcPr>
          <w:p w14:paraId="2CB5FC58" w14:textId="5CFA57E4" w:rsidR="00540200" w:rsidRPr="004A196F" w:rsidRDefault="002460D6" w:rsidP="00154A3C">
            <w:pPr>
              <w:keepNext/>
              <w:spacing w:before="40" w:after="40" w:line="240" w:lineRule="auto"/>
              <w:rPr>
                <w:rFonts w:ascii="Arial Narrow" w:hAnsi="Arial Narrow" w:cs="Arial"/>
                <w:sz w:val="18"/>
                <w:szCs w:val="18"/>
              </w:rPr>
            </w:pPr>
            <w:r>
              <w:rPr>
                <w:rFonts w:ascii="Arial Narrow" w:hAnsi="Arial Narrow" w:cs="Arial"/>
                <w:sz w:val="18"/>
                <w:szCs w:val="18"/>
              </w:rPr>
              <w:t>Not important</w:t>
            </w:r>
          </w:p>
        </w:tc>
      </w:tr>
    </w:tbl>
    <w:p w14:paraId="46EF4586" w14:textId="5CE44BB0" w:rsidR="00540200" w:rsidRPr="008864FF" w:rsidRDefault="00540200" w:rsidP="008A4C54">
      <w:pPr>
        <w:pStyle w:val="TableNotes"/>
      </w:pPr>
      <w:r w:rsidRPr="00862415">
        <w:rPr>
          <w:vertAlign w:val="superscript"/>
        </w:rPr>
        <w:t>a</w:t>
      </w:r>
      <w:r w:rsidR="00745EB5" w:rsidRPr="00745EB5">
        <w:t>:</w:t>
      </w:r>
      <w:r w:rsidR="00745EB5">
        <w:rPr>
          <w:vertAlign w:val="superscript"/>
        </w:rPr>
        <w:t xml:space="preserve"> </w:t>
      </w:r>
      <w:r w:rsidRPr="00862415">
        <w:t>GRADE Working Group grades of evidence (Guyatt et al., 2013)</w:t>
      </w:r>
      <w:r w:rsidR="00A4761C">
        <w:t>.</w:t>
      </w:r>
      <w:r w:rsidRPr="00862415">
        <w:br/>
      </w:r>
      <w:r w:rsidRPr="00862415">
        <w:rPr>
          <w:rFonts w:ascii="Cambria Math" w:hAnsi="Cambria Math"/>
          <w:color w:val="00B050"/>
        </w:rPr>
        <w:t xml:space="preserve">⨁⨁⨁⨁ </w:t>
      </w:r>
      <w:r w:rsidRPr="00862415">
        <w:rPr>
          <w:b/>
          <w:bCs/>
        </w:rPr>
        <w:t>High quality:</w:t>
      </w:r>
      <w:r w:rsidRPr="00862415">
        <w:t xml:space="preserve"> We are very confident that the true effect lies close to that of the estimate of effect. </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Moderate quality:</w:t>
      </w:r>
      <w:r w:rsidRPr="00862415">
        <w:t xml:space="preserve"> We are moderately confident in the effect estimate: The true effect is likely to be close to the estimate of the effect, but there is a possibility that it is substantially different. </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Low quality:</w:t>
      </w:r>
      <w:r w:rsidRPr="00862415">
        <w:t xml:space="preserve"> Our confidence in the effect estimate is limited: The true effect may be substantially different from the estimate of the effect.</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Very low quality:</w:t>
      </w:r>
      <w:r w:rsidRPr="00862415">
        <w:t xml:space="preserve"> We have very little confidence in the effect estimate: The true effect is likely to be substantially different from the estimate of effect.</w:t>
      </w:r>
      <w:r w:rsidRPr="00862415">
        <w:br/>
      </w:r>
      <w:r w:rsidR="008864FF" w:rsidRPr="00C44F15">
        <w:rPr>
          <w:color w:val="000000"/>
          <w:sz w:val="16"/>
          <w:szCs w:val="16"/>
          <w:vertAlign w:val="superscript"/>
        </w:rPr>
        <w:t>1</w:t>
      </w:r>
      <w:r w:rsidR="008864FF">
        <w:rPr>
          <w:color w:val="000000"/>
          <w:sz w:val="16"/>
          <w:szCs w:val="16"/>
        </w:rPr>
        <w:t xml:space="preserve">: </w:t>
      </w:r>
      <w:r w:rsidRPr="008864FF">
        <w:rPr>
          <w:color w:val="000000"/>
          <w:sz w:val="16"/>
          <w:szCs w:val="16"/>
        </w:rPr>
        <w:t>No explanation for the observed heterogeneity could be found.</w:t>
      </w:r>
      <w:r w:rsidRPr="008864FF">
        <w:rPr>
          <w:color w:val="000000"/>
          <w:sz w:val="16"/>
          <w:szCs w:val="16"/>
        </w:rPr>
        <w:br/>
      </w:r>
      <w:r w:rsidR="008864FF" w:rsidRPr="00C44F15">
        <w:rPr>
          <w:color w:val="000000"/>
          <w:sz w:val="16"/>
          <w:szCs w:val="16"/>
          <w:vertAlign w:val="superscript"/>
        </w:rPr>
        <w:t>2</w:t>
      </w:r>
      <w:r w:rsidR="008864FF">
        <w:rPr>
          <w:color w:val="000000"/>
          <w:sz w:val="16"/>
          <w:szCs w:val="16"/>
        </w:rPr>
        <w:t xml:space="preserve">: </w:t>
      </w:r>
      <w:r w:rsidRPr="008864FF">
        <w:rPr>
          <w:color w:val="000000"/>
          <w:sz w:val="16"/>
          <w:szCs w:val="16"/>
        </w:rPr>
        <w:t>The wide confidence interval reflects imprecision</w:t>
      </w:r>
      <w:r w:rsidR="00A4761C" w:rsidRPr="008864FF">
        <w:rPr>
          <w:color w:val="000000"/>
          <w:sz w:val="16"/>
          <w:szCs w:val="16"/>
        </w:rPr>
        <w:t>.</w:t>
      </w:r>
    </w:p>
    <w:p w14:paraId="04521FE1" w14:textId="60F89772" w:rsidR="0028223F" w:rsidRDefault="0028223F" w:rsidP="00041D94">
      <w:pPr>
        <w:pStyle w:val="Caption"/>
      </w:pPr>
      <w:bookmarkStart w:id="847" w:name="_Toc460514627"/>
      <w:r>
        <w:t xml:space="preserve">Figure </w:t>
      </w:r>
      <w:fldSimple w:instr=" SEQ Figure \* ARABIC ">
        <w:r w:rsidR="0029649D">
          <w:rPr>
            <w:noProof/>
          </w:rPr>
          <w:t>20</w:t>
        </w:r>
      </w:fldSimple>
      <w:r>
        <w:tab/>
      </w:r>
      <w:r w:rsidR="00041D94">
        <w:t>HSROC curve for studies not reporting the threshold or not using PI-RADS for the detection of any cancer</w:t>
      </w:r>
      <w:bookmarkEnd w:id="847"/>
    </w:p>
    <w:p w14:paraId="327AEAC8" w14:textId="6BF79A1E" w:rsidR="0028223F" w:rsidRDefault="00041D94" w:rsidP="0028223F">
      <w:r>
        <w:rPr>
          <w:noProof/>
        </w:rPr>
        <w:drawing>
          <wp:inline distT="0" distB="0" distL="0" distR="0" wp14:anchorId="14E06770" wp14:editId="48F958B4">
            <wp:extent cx="3726000" cy="3600000"/>
            <wp:effectExtent l="0" t="0" r="8255" b="635"/>
            <wp:docPr id="18" name="Picture 18" descr="HSROC curve for studies not reporting the threshold or not using PI-RADS for the detection of any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726000" cy="3600000"/>
                    </a:xfrm>
                    <a:prstGeom prst="rect">
                      <a:avLst/>
                    </a:prstGeom>
                  </pic:spPr>
                </pic:pic>
              </a:graphicData>
            </a:graphic>
          </wp:inline>
        </w:drawing>
      </w:r>
    </w:p>
    <w:p w14:paraId="371B20D7" w14:textId="2C4D575F" w:rsidR="0028223F" w:rsidRDefault="0028223F" w:rsidP="0028223F">
      <w:pPr>
        <w:pStyle w:val="Caption"/>
      </w:pPr>
      <w:bookmarkStart w:id="848" w:name="_Toc460514628"/>
      <w:r>
        <w:lastRenderedPageBreak/>
        <w:t xml:space="preserve">Figure </w:t>
      </w:r>
      <w:fldSimple w:instr=" SEQ Figure \* ARABIC ">
        <w:r w:rsidR="0029649D">
          <w:rPr>
            <w:noProof/>
          </w:rPr>
          <w:t>21</w:t>
        </w:r>
      </w:fldSimple>
      <w:r>
        <w:tab/>
      </w:r>
      <w:r w:rsidR="00041D94">
        <w:t xml:space="preserve">HSROC curve for studies not reporting the threshold or not using PI-RADS for the </w:t>
      </w:r>
      <w:r>
        <w:t>detection of clinically significant cancer</w:t>
      </w:r>
      <w:bookmarkEnd w:id="848"/>
    </w:p>
    <w:p w14:paraId="1DE6B785" w14:textId="647CC726" w:rsidR="0028223F" w:rsidRPr="0028223F" w:rsidRDefault="00041D94" w:rsidP="0028223F">
      <w:r>
        <w:rPr>
          <w:noProof/>
        </w:rPr>
        <w:drawing>
          <wp:inline distT="0" distB="0" distL="0" distR="0" wp14:anchorId="21F0F9F0" wp14:editId="61BDC9F3">
            <wp:extent cx="3726000" cy="3600000"/>
            <wp:effectExtent l="0" t="0" r="8255" b="635"/>
            <wp:docPr id="22" name="Picture 22" descr="HSROC curve for studies not reporting the threshold or not using PI-RADS for the detection of clinically significan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726000" cy="3600000"/>
                    </a:xfrm>
                    <a:prstGeom prst="rect">
                      <a:avLst/>
                    </a:prstGeom>
                  </pic:spPr>
                </pic:pic>
              </a:graphicData>
            </a:graphic>
          </wp:inline>
        </w:drawing>
      </w:r>
    </w:p>
    <w:p w14:paraId="5EBB9D3B" w14:textId="78522EDD" w:rsidR="00F57111" w:rsidRDefault="00F57111">
      <w:pPr>
        <w:spacing w:after="0" w:line="240" w:lineRule="auto"/>
      </w:pPr>
      <w:r>
        <w:br w:type="page"/>
      </w:r>
    </w:p>
    <w:p w14:paraId="0B4012F2" w14:textId="33055175" w:rsidR="00F57111" w:rsidRDefault="00F57111" w:rsidP="00F57111">
      <w:pPr>
        <w:pStyle w:val="Heading2"/>
      </w:pPr>
      <w:bookmarkStart w:id="849" w:name="_Toc460514038"/>
      <w:r>
        <w:lastRenderedPageBreak/>
        <w:t>Population 2</w:t>
      </w:r>
      <w:r>
        <w:tab/>
        <w:t>Studies using a PI-RA</w:t>
      </w:r>
      <w:r w:rsidR="00350AF1">
        <w:t>D</w:t>
      </w:r>
      <w:r>
        <w:t>S ≥ 3 threshold</w:t>
      </w:r>
      <w:bookmarkEnd w:id="849"/>
    </w:p>
    <w:p w14:paraId="73139463" w14:textId="3FEB16EF" w:rsidR="00041D94" w:rsidRPr="00862415" w:rsidRDefault="00EA6D61" w:rsidP="00EA6D61">
      <w:r>
        <w:t>Note: only a single study reported use of a PI-RADS ≥ 3 threshold for a positive result therefore no meta-analysis was undertaken</w:t>
      </w:r>
    </w:p>
    <w:p w14:paraId="50197728" w14:textId="53C15C7E" w:rsidR="00F57111" w:rsidRDefault="00F57111" w:rsidP="00F57111">
      <w:pPr>
        <w:pStyle w:val="Heading2"/>
      </w:pPr>
      <w:bookmarkStart w:id="850" w:name="_Toc460514039"/>
      <w:r>
        <w:t>Population 2</w:t>
      </w:r>
      <w:r>
        <w:tab/>
        <w:t>PI-RADS not used or threshold not reported</w:t>
      </w:r>
      <w:bookmarkEnd w:id="850"/>
    </w:p>
    <w:p w14:paraId="521FC6C9" w14:textId="6332756D" w:rsidR="00977A49" w:rsidRPr="009A220C" w:rsidRDefault="000B1DB4" w:rsidP="000B1DB4">
      <w:pPr>
        <w:pStyle w:val="Caption"/>
      </w:pPr>
      <w:bookmarkStart w:id="851" w:name="_Toc460514592"/>
      <w:r w:rsidRPr="000B1DB4">
        <w:t xml:space="preserve">Table </w:t>
      </w:r>
      <w:r w:rsidRPr="000B1DB4">
        <w:fldChar w:fldCharType="begin"/>
      </w:r>
      <w:r w:rsidRPr="009A220C">
        <w:instrText xml:space="preserve"> SEQ Table \* ARABIC </w:instrText>
      </w:r>
      <w:r w:rsidRPr="000B1DB4">
        <w:fldChar w:fldCharType="separate"/>
      </w:r>
      <w:r w:rsidR="0029649D">
        <w:rPr>
          <w:noProof/>
        </w:rPr>
        <w:t>92</w:t>
      </w:r>
      <w:r w:rsidRPr="000B1DB4">
        <w:fldChar w:fldCharType="end"/>
      </w:r>
      <w:r>
        <w:tab/>
      </w:r>
      <w:r w:rsidR="00977A49" w:rsidRPr="000B1DB4">
        <w:t xml:space="preserve">Summary of findings for the accuracy of </w:t>
      </w:r>
      <w:r w:rsidR="00977A49" w:rsidRPr="009A220C">
        <w:t xml:space="preserve">mpMRI, relative to biopsy for </w:t>
      </w:r>
      <w:r w:rsidR="00EA6D61" w:rsidRPr="009A220C">
        <w:t>detecting</w:t>
      </w:r>
      <w:r w:rsidR="00977A49" w:rsidRPr="009A220C">
        <w:t xml:space="preserve"> cancer upgrade in patients on active surveillance with an assumed pre-test probability (prevalence) of 30%</w:t>
      </w:r>
      <w:bookmarkEnd w:id="851"/>
    </w:p>
    <w:tbl>
      <w:tblPr>
        <w:tblStyle w:val="TableGrid"/>
        <w:tblW w:w="3995" w:type="pct"/>
        <w:tblLook w:val="04A0" w:firstRow="1" w:lastRow="0" w:firstColumn="1" w:lastColumn="0" w:noHBand="0" w:noVBand="1"/>
        <w:tblDescription w:val="Summary of findings table"/>
      </w:tblPr>
      <w:tblGrid>
        <w:gridCol w:w="1401"/>
        <w:gridCol w:w="1930"/>
        <w:gridCol w:w="1858"/>
        <w:gridCol w:w="2195"/>
      </w:tblGrid>
      <w:tr w:rsidR="00EA6D61" w:rsidRPr="00862415" w14:paraId="6E3955C3" w14:textId="77777777" w:rsidTr="00EA6D61">
        <w:trPr>
          <w:tblHeader/>
        </w:trPr>
        <w:tc>
          <w:tcPr>
            <w:tcW w:w="949" w:type="pct"/>
          </w:tcPr>
          <w:p w14:paraId="2819EF54" w14:textId="77777777" w:rsidR="00EA6D61" w:rsidRPr="00D8414C" w:rsidRDefault="00EA6D61" w:rsidP="00154A3C">
            <w:pPr>
              <w:pStyle w:val="TableHeading"/>
              <w:ind w:left="0"/>
            </w:pPr>
            <w:r w:rsidRPr="00D8414C">
              <w:t>Outcomes</w:t>
            </w:r>
          </w:p>
        </w:tc>
        <w:tc>
          <w:tcPr>
            <w:tcW w:w="1307" w:type="pct"/>
          </w:tcPr>
          <w:p w14:paraId="05FF28FC" w14:textId="77777777" w:rsidR="00EA6D61" w:rsidRPr="00D8414C" w:rsidRDefault="00EA6D61" w:rsidP="00154A3C">
            <w:pPr>
              <w:pStyle w:val="TableHeading"/>
              <w:ind w:left="23"/>
            </w:pPr>
            <w:r w:rsidRPr="00D8414C">
              <w:t>mpMRI – all cancer</w:t>
            </w:r>
          </w:p>
          <w:p w14:paraId="28D3F941" w14:textId="77777777" w:rsidR="00EA6D61" w:rsidRPr="00D8414C" w:rsidRDefault="00EA6D61" w:rsidP="00154A3C">
            <w:pPr>
              <w:pStyle w:val="TableHeading"/>
              <w:ind w:left="23"/>
            </w:pPr>
            <w:r w:rsidRPr="00D8414C">
              <w:t>[95%CI]</w:t>
            </w:r>
          </w:p>
        </w:tc>
        <w:tc>
          <w:tcPr>
            <w:tcW w:w="1258" w:type="pct"/>
          </w:tcPr>
          <w:p w14:paraId="3D8BC71B" w14:textId="77777777" w:rsidR="00EA6D61" w:rsidRPr="00D8414C" w:rsidRDefault="00EA6D61" w:rsidP="00154A3C">
            <w:pPr>
              <w:pStyle w:val="TableHeading"/>
              <w:ind w:left="28"/>
            </w:pPr>
            <w:r w:rsidRPr="00D8414C">
              <w:t>Quality of evidence</w:t>
            </w:r>
          </w:p>
        </w:tc>
        <w:tc>
          <w:tcPr>
            <w:tcW w:w="1486" w:type="pct"/>
          </w:tcPr>
          <w:p w14:paraId="3662252F" w14:textId="77777777" w:rsidR="00EA6D61" w:rsidRPr="00862415" w:rsidRDefault="00EA6D61" w:rsidP="00154A3C">
            <w:pPr>
              <w:pStyle w:val="TableHeading"/>
              <w:ind w:left="0"/>
            </w:pPr>
            <w:r w:rsidRPr="00D8414C">
              <w:t>Importance</w:t>
            </w:r>
          </w:p>
        </w:tc>
      </w:tr>
      <w:tr w:rsidR="00EA6D61" w14:paraId="29A30BCA" w14:textId="77777777" w:rsidTr="00EA6D61">
        <w:tc>
          <w:tcPr>
            <w:tcW w:w="949" w:type="pct"/>
          </w:tcPr>
          <w:p w14:paraId="289C03F1" w14:textId="77777777" w:rsidR="00EA6D61" w:rsidRPr="008471A5" w:rsidRDefault="00EA6D61" w:rsidP="00154A3C">
            <w:pPr>
              <w:pStyle w:val="TableText0"/>
              <w:ind w:left="0"/>
            </w:pPr>
            <w:r w:rsidRPr="008471A5">
              <w:t>Sensitivity</w:t>
            </w:r>
          </w:p>
        </w:tc>
        <w:tc>
          <w:tcPr>
            <w:tcW w:w="1307" w:type="pct"/>
          </w:tcPr>
          <w:p w14:paraId="044FEFD3" w14:textId="13D27991" w:rsidR="00EA6D61" w:rsidRPr="008471A5" w:rsidRDefault="00EA6D61" w:rsidP="00154A3C">
            <w:pPr>
              <w:keepNext/>
              <w:spacing w:before="40" w:after="40" w:line="240" w:lineRule="auto"/>
              <w:ind w:left="23"/>
              <w:rPr>
                <w:rFonts w:ascii="Arial Narrow" w:hAnsi="Arial Narrow" w:cs="Arial"/>
                <w:sz w:val="20"/>
                <w:szCs w:val="20"/>
              </w:rPr>
            </w:pPr>
            <w:r>
              <w:rPr>
                <w:rFonts w:ascii="Arial Narrow" w:hAnsi="Arial Narrow" w:cs="Arial"/>
                <w:sz w:val="20"/>
                <w:szCs w:val="20"/>
              </w:rPr>
              <w:t>62.2</w:t>
            </w:r>
            <w:r w:rsidRPr="008471A5">
              <w:rPr>
                <w:rFonts w:ascii="Arial Narrow" w:hAnsi="Arial Narrow" w:cs="Arial"/>
                <w:sz w:val="20"/>
                <w:szCs w:val="20"/>
              </w:rPr>
              <w:t>% [</w:t>
            </w:r>
            <w:r>
              <w:rPr>
                <w:rFonts w:ascii="Arial Narrow" w:hAnsi="Arial Narrow" w:cs="Arial"/>
                <w:sz w:val="20"/>
                <w:szCs w:val="20"/>
              </w:rPr>
              <w:t>42.2, 78.7</w:t>
            </w:r>
            <w:r w:rsidRPr="008471A5">
              <w:rPr>
                <w:rFonts w:ascii="Arial Narrow" w:hAnsi="Arial Narrow" w:cs="Arial"/>
                <w:sz w:val="20"/>
                <w:szCs w:val="20"/>
              </w:rPr>
              <w:t>]</w:t>
            </w:r>
          </w:p>
        </w:tc>
        <w:tc>
          <w:tcPr>
            <w:tcW w:w="1258" w:type="pct"/>
          </w:tcPr>
          <w:p w14:paraId="43B2EA00" w14:textId="1D5519B9" w:rsidR="00EA6D61" w:rsidRPr="004A196F" w:rsidRDefault="00291227" w:rsidP="00154A3C">
            <w:pPr>
              <w:keepNext/>
              <w:spacing w:before="40" w:after="40" w:line="240" w:lineRule="auto"/>
              <w:ind w:left="28"/>
              <w:rPr>
                <w:rFonts w:ascii="Arial Narrow" w:hAnsi="Arial Narrow" w:cs="Arial"/>
                <w:sz w:val="18"/>
                <w:szCs w:val="18"/>
              </w:rPr>
            </w:pPr>
            <w:r w:rsidRPr="00862415">
              <w:rPr>
                <w:rFonts w:ascii="Cambria Math" w:hAnsi="Cambria Math"/>
                <w:color w:val="00B050"/>
              </w:rPr>
              <w:t>⨁⨁</w:t>
            </w:r>
            <w:r w:rsidRPr="00862415">
              <w:rPr>
                <w:rFonts w:ascii="Cambria Math" w:hAnsi="Cambria Math" w:cs="Cambria Math"/>
                <w:color w:val="C00000"/>
              </w:rPr>
              <w:t>⨀⨀</w:t>
            </w:r>
            <w:r w:rsidR="00EA6D61">
              <w:rPr>
                <w:rFonts w:ascii="Arial" w:hAnsi="Arial" w:cs="Arial"/>
                <w:sz w:val="16"/>
                <w:szCs w:val="16"/>
              </w:rPr>
              <w:br/>
              <w:t xml:space="preserve">Low </w:t>
            </w:r>
            <w:r w:rsidR="00EA6D61">
              <w:rPr>
                <w:rFonts w:ascii="Arial" w:hAnsi="Arial" w:cs="Arial"/>
                <w:sz w:val="16"/>
                <w:szCs w:val="16"/>
                <w:vertAlign w:val="superscript"/>
              </w:rPr>
              <w:t>1,2</w:t>
            </w:r>
          </w:p>
        </w:tc>
        <w:tc>
          <w:tcPr>
            <w:tcW w:w="1486" w:type="pct"/>
          </w:tcPr>
          <w:p w14:paraId="41C7D0D3" w14:textId="77777777" w:rsidR="00EA6D61" w:rsidRPr="004A196F" w:rsidRDefault="00EA6D61" w:rsidP="00154A3C">
            <w:pPr>
              <w:keepNext/>
              <w:spacing w:before="40" w:after="40" w:line="240" w:lineRule="auto"/>
              <w:rPr>
                <w:rFonts w:ascii="Arial Narrow" w:hAnsi="Arial Narrow" w:cs="Arial"/>
                <w:sz w:val="18"/>
                <w:szCs w:val="18"/>
              </w:rPr>
            </w:pPr>
            <w:r>
              <w:rPr>
                <w:rFonts w:ascii="Arial Narrow" w:hAnsi="Arial Narrow" w:cs="Arial"/>
                <w:sz w:val="18"/>
                <w:szCs w:val="18"/>
              </w:rPr>
              <w:t>Not important</w:t>
            </w:r>
          </w:p>
        </w:tc>
      </w:tr>
      <w:tr w:rsidR="00EA6D61" w14:paraId="2FF893A0" w14:textId="77777777" w:rsidTr="00EA6D61">
        <w:tc>
          <w:tcPr>
            <w:tcW w:w="949" w:type="pct"/>
          </w:tcPr>
          <w:p w14:paraId="6F0815C1" w14:textId="77777777" w:rsidR="00EA6D61" w:rsidRPr="008471A5" w:rsidRDefault="00EA6D61" w:rsidP="00154A3C">
            <w:pPr>
              <w:pStyle w:val="TableText0"/>
              <w:ind w:left="0"/>
              <w:rPr>
                <w:szCs w:val="20"/>
              </w:rPr>
            </w:pPr>
            <w:r w:rsidRPr="008471A5">
              <w:rPr>
                <w:szCs w:val="20"/>
              </w:rPr>
              <w:t>Specificity</w:t>
            </w:r>
          </w:p>
        </w:tc>
        <w:tc>
          <w:tcPr>
            <w:tcW w:w="1307" w:type="pct"/>
          </w:tcPr>
          <w:p w14:paraId="243770FF" w14:textId="54D5EA67" w:rsidR="00EA6D61" w:rsidRPr="008471A5" w:rsidRDefault="00EA6D61" w:rsidP="00EA6D61">
            <w:pPr>
              <w:pStyle w:val="Tabletext1"/>
              <w:rPr>
                <w:rFonts w:cs="Arial"/>
              </w:rPr>
            </w:pPr>
            <w:r>
              <w:t>69.9% [32.4, 91.9]</w:t>
            </w:r>
          </w:p>
        </w:tc>
        <w:tc>
          <w:tcPr>
            <w:tcW w:w="1258" w:type="pct"/>
          </w:tcPr>
          <w:p w14:paraId="7940D3AB" w14:textId="745F1CEB" w:rsidR="00EA6D61" w:rsidRPr="004A196F" w:rsidRDefault="00291227" w:rsidP="00154A3C">
            <w:pPr>
              <w:keepNext/>
              <w:spacing w:before="40" w:after="40" w:line="240" w:lineRule="auto"/>
              <w:ind w:left="28"/>
              <w:rPr>
                <w:rFonts w:ascii="Arial Narrow" w:hAnsi="Arial Narrow" w:cs="Arial"/>
                <w:sz w:val="18"/>
                <w:szCs w:val="18"/>
              </w:rPr>
            </w:pPr>
            <w:r w:rsidRPr="00862415">
              <w:rPr>
                <w:rFonts w:ascii="Cambria Math" w:hAnsi="Cambria Math"/>
                <w:color w:val="00B050"/>
              </w:rPr>
              <w:t>⨁⨁</w:t>
            </w:r>
            <w:r w:rsidRPr="00862415">
              <w:rPr>
                <w:rFonts w:ascii="Cambria Math" w:hAnsi="Cambria Math" w:cs="Cambria Math"/>
                <w:color w:val="C00000"/>
              </w:rPr>
              <w:t>⨀⨀</w:t>
            </w:r>
            <w:r w:rsidR="00EA6D61">
              <w:rPr>
                <w:rFonts w:ascii="Arial" w:hAnsi="Arial" w:cs="Arial"/>
                <w:sz w:val="16"/>
                <w:szCs w:val="16"/>
              </w:rPr>
              <w:br/>
              <w:t xml:space="preserve">Low </w:t>
            </w:r>
            <w:r w:rsidR="00EA6D61">
              <w:rPr>
                <w:rFonts w:ascii="Arial" w:hAnsi="Arial" w:cs="Arial"/>
                <w:sz w:val="16"/>
                <w:szCs w:val="16"/>
                <w:vertAlign w:val="superscript"/>
              </w:rPr>
              <w:t>1,2</w:t>
            </w:r>
          </w:p>
        </w:tc>
        <w:tc>
          <w:tcPr>
            <w:tcW w:w="1486" w:type="pct"/>
          </w:tcPr>
          <w:p w14:paraId="4705436D" w14:textId="77777777" w:rsidR="00EA6D61" w:rsidRPr="004A196F" w:rsidRDefault="00EA6D61" w:rsidP="00154A3C">
            <w:pPr>
              <w:keepNext/>
              <w:spacing w:before="40" w:after="40" w:line="240" w:lineRule="auto"/>
              <w:rPr>
                <w:rFonts w:ascii="Arial Narrow" w:hAnsi="Arial Narrow" w:cs="Arial"/>
                <w:sz w:val="18"/>
                <w:szCs w:val="18"/>
              </w:rPr>
            </w:pPr>
            <w:r>
              <w:rPr>
                <w:rFonts w:ascii="Arial Narrow" w:hAnsi="Arial Narrow" w:cs="Arial"/>
                <w:sz w:val="18"/>
                <w:szCs w:val="18"/>
              </w:rPr>
              <w:t>Not important</w:t>
            </w:r>
          </w:p>
        </w:tc>
      </w:tr>
    </w:tbl>
    <w:p w14:paraId="6E443198" w14:textId="2E3BD1EC" w:rsidR="00977A49" w:rsidRPr="008864FF" w:rsidRDefault="00977A49" w:rsidP="008A4C54">
      <w:pPr>
        <w:pStyle w:val="TableNotes"/>
      </w:pPr>
      <w:r w:rsidRPr="00862415">
        <w:rPr>
          <w:vertAlign w:val="superscript"/>
        </w:rPr>
        <w:t>a</w:t>
      </w:r>
      <w:r w:rsidR="00745EB5" w:rsidRPr="00745EB5">
        <w:rPr>
          <w:color w:val="000000"/>
          <w:sz w:val="16"/>
          <w:szCs w:val="16"/>
        </w:rPr>
        <w:t xml:space="preserve">: </w:t>
      </w:r>
      <w:r w:rsidRPr="00862415">
        <w:t>GRADE Working Group gr</w:t>
      </w:r>
      <w:r w:rsidR="008864FF">
        <w:t>ades of evidence (Guyatt et al.</w:t>
      </w:r>
      <w:r w:rsidRPr="00862415">
        <w:t xml:space="preserve"> 2013)</w:t>
      </w:r>
      <w:r w:rsidR="00A4761C">
        <w:t>.</w:t>
      </w:r>
      <w:r w:rsidRPr="00862415">
        <w:br/>
      </w:r>
      <w:r w:rsidRPr="00862415">
        <w:rPr>
          <w:rFonts w:ascii="Cambria Math" w:hAnsi="Cambria Math"/>
          <w:color w:val="00B050"/>
        </w:rPr>
        <w:t xml:space="preserve">⨁⨁⨁⨁ </w:t>
      </w:r>
      <w:r w:rsidRPr="00862415">
        <w:rPr>
          <w:b/>
          <w:bCs/>
        </w:rPr>
        <w:t>High quality:</w:t>
      </w:r>
      <w:r w:rsidRPr="00862415">
        <w:t xml:space="preserve"> We are very confident that the true effect lies close to that of the estimate of effect. </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Moderate quality:</w:t>
      </w:r>
      <w:r w:rsidRPr="00862415">
        <w:t xml:space="preserve"> We are moderately confident in the effect estimate: The true effect is likely to be close to the estimate of the effect, but there is a possibility that it is substantially different. </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Low quality:</w:t>
      </w:r>
      <w:r w:rsidRPr="00862415">
        <w:t xml:space="preserve"> Our confidence in the effect estimate is limited: The true effect may be substantially different from the estimate of the effect.</w:t>
      </w:r>
      <w:r w:rsidRPr="00862415">
        <w:br/>
      </w:r>
      <w:r w:rsidRPr="00862415">
        <w:rPr>
          <w:rFonts w:ascii="Cambria Math" w:hAnsi="Cambria Math"/>
          <w:color w:val="00B050"/>
        </w:rPr>
        <w:t>⨁</w:t>
      </w:r>
      <w:r w:rsidRPr="00862415">
        <w:rPr>
          <w:rFonts w:ascii="Cambria Math" w:hAnsi="Cambria Math" w:cs="Cambria Math"/>
          <w:color w:val="C00000"/>
        </w:rPr>
        <w:t xml:space="preserve">⨀⨀⨀ </w:t>
      </w:r>
      <w:r w:rsidRPr="00862415">
        <w:rPr>
          <w:b/>
          <w:bCs/>
        </w:rPr>
        <w:t>Very low quality:</w:t>
      </w:r>
      <w:r w:rsidRPr="00862415">
        <w:t xml:space="preserve"> We have very little confidence in the effect estimate: The true effect is likely to be substantially different from </w:t>
      </w:r>
      <w:r w:rsidRPr="008864FF">
        <w:t>the estimate of effect.</w:t>
      </w:r>
      <w:r w:rsidRPr="008864FF">
        <w:br/>
      </w:r>
      <w:r w:rsidR="008864FF" w:rsidRPr="00C44F15">
        <w:rPr>
          <w:color w:val="000000"/>
          <w:sz w:val="16"/>
          <w:szCs w:val="16"/>
          <w:vertAlign w:val="superscript"/>
        </w:rPr>
        <w:t>1</w:t>
      </w:r>
      <w:r w:rsidR="008864FF" w:rsidRPr="00745EB5">
        <w:rPr>
          <w:color w:val="000000"/>
          <w:sz w:val="16"/>
          <w:szCs w:val="16"/>
        </w:rPr>
        <w:t xml:space="preserve">: </w:t>
      </w:r>
      <w:r w:rsidRPr="008864FF">
        <w:rPr>
          <w:color w:val="000000"/>
          <w:sz w:val="16"/>
          <w:szCs w:val="16"/>
        </w:rPr>
        <w:t>No explanation for the observed heterogeneity could be found.</w:t>
      </w:r>
      <w:r w:rsidRPr="008864FF">
        <w:rPr>
          <w:color w:val="000000"/>
          <w:sz w:val="16"/>
          <w:szCs w:val="16"/>
        </w:rPr>
        <w:br/>
      </w:r>
      <w:r w:rsidR="008864FF" w:rsidRPr="00C44F15">
        <w:rPr>
          <w:color w:val="000000"/>
          <w:sz w:val="16"/>
          <w:szCs w:val="16"/>
          <w:vertAlign w:val="superscript"/>
        </w:rPr>
        <w:t>2</w:t>
      </w:r>
      <w:r w:rsidR="008864FF">
        <w:rPr>
          <w:color w:val="000000"/>
          <w:sz w:val="16"/>
          <w:szCs w:val="16"/>
        </w:rPr>
        <w:t xml:space="preserve">: </w:t>
      </w:r>
      <w:r w:rsidRPr="008864FF">
        <w:rPr>
          <w:color w:val="000000"/>
          <w:sz w:val="16"/>
          <w:szCs w:val="16"/>
        </w:rPr>
        <w:t>The wide confidence interval reflects imprecision</w:t>
      </w:r>
      <w:r w:rsidR="00A4761C" w:rsidRPr="008864FF">
        <w:rPr>
          <w:color w:val="000000"/>
          <w:sz w:val="16"/>
          <w:szCs w:val="16"/>
        </w:rPr>
        <w:t>.</w:t>
      </w:r>
    </w:p>
    <w:p w14:paraId="2E4A1F45" w14:textId="77777777" w:rsidR="00995764" w:rsidRDefault="00995764" w:rsidP="00995764">
      <w:pPr>
        <w:pStyle w:val="Caption"/>
      </w:pPr>
      <w:bookmarkStart w:id="852" w:name="_Toc460514629"/>
      <w:r>
        <w:lastRenderedPageBreak/>
        <w:t xml:space="preserve">Figure </w:t>
      </w:r>
      <w:fldSimple w:instr=" SEQ Figure \* ARABIC ">
        <w:r w:rsidR="0029649D">
          <w:rPr>
            <w:noProof/>
          </w:rPr>
          <w:t>22</w:t>
        </w:r>
      </w:fldSimple>
      <w:r>
        <w:tab/>
        <w:t>HSROC curve for studies not reporting the threshold or not using PI-RADS for the detection of clinically significant cancer</w:t>
      </w:r>
      <w:bookmarkEnd w:id="852"/>
    </w:p>
    <w:p w14:paraId="70A0FCC8" w14:textId="13006E1A" w:rsidR="00BE5341" w:rsidRDefault="00995764">
      <w:pPr>
        <w:spacing w:after="0" w:line="240" w:lineRule="auto"/>
      </w:pPr>
      <w:r>
        <w:rPr>
          <w:noProof/>
        </w:rPr>
        <w:drawing>
          <wp:inline distT="0" distB="0" distL="0" distR="0" wp14:anchorId="128C9C1D" wp14:editId="0E294EB9">
            <wp:extent cx="3967200" cy="3600000"/>
            <wp:effectExtent l="0" t="0" r="0" b="635"/>
            <wp:docPr id="34" name="Picture 34" descr="HSROC curve for studies not reporting the threshold or not using PI-RADS for the detection of clinically significant can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967200" cy="3600000"/>
                    </a:xfrm>
                    <a:prstGeom prst="rect">
                      <a:avLst/>
                    </a:prstGeom>
                  </pic:spPr>
                </pic:pic>
              </a:graphicData>
            </a:graphic>
          </wp:inline>
        </w:drawing>
      </w:r>
    </w:p>
    <w:p w14:paraId="6B0E88D4" w14:textId="77777777" w:rsidR="00BE5341" w:rsidRDefault="00BE5341">
      <w:pPr>
        <w:spacing w:after="0" w:line="240" w:lineRule="auto"/>
      </w:pPr>
    </w:p>
    <w:p w14:paraId="27A416BE" w14:textId="77777777" w:rsidR="00BE5341" w:rsidRDefault="00BE5341">
      <w:pPr>
        <w:spacing w:after="0" w:line="240" w:lineRule="auto"/>
        <w:sectPr w:rsidR="00BE5341" w:rsidSect="00BE5341">
          <w:pgSz w:w="11906" w:h="16838"/>
          <w:pgMar w:top="1440" w:right="1440" w:bottom="1440" w:left="1440" w:header="720" w:footer="720" w:gutter="0"/>
          <w:paperSrc w:first="7" w:other="7"/>
          <w:cols w:space="720"/>
          <w:docGrid w:linePitch="360"/>
        </w:sectPr>
      </w:pPr>
    </w:p>
    <w:p w14:paraId="614AC5BB" w14:textId="77777777" w:rsidR="004B32E9" w:rsidRDefault="004B32E9" w:rsidP="004B32E9">
      <w:pPr>
        <w:pStyle w:val="Heading1"/>
        <w:pBdr>
          <w:bottom w:val="single" w:sz="4" w:space="0" w:color="auto"/>
        </w:pBdr>
      </w:pPr>
      <w:bookmarkStart w:id="853" w:name="_Toc460514040"/>
      <w:r>
        <w:lastRenderedPageBreak/>
        <w:t>Appendix H</w:t>
      </w:r>
      <w:r>
        <w:tab/>
        <w:t>Results from studies reporting patients outcomes and safety of biopsy</w:t>
      </w:r>
      <w:bookmarkEnd w:id="853"/>
    </w:p>
    <w:p w14:paraId="74F35A98" w14:textId="0D9A41A3" w:rsidR="00615DB5" w:rsidRPr="00D43330" w:rsidRDefault="00615DB5" w:rsidP="00615DB5">
      <w:pPr>
        <w:pStyle w:val="Heading2"/>
      </w:pPr>
      <w:bookmarkStart w:id="854" w:name="_Toc460514041"/>
      <w:r>
        <w:t xml:space="preserve">Results </w:t>
      </w:r>
      <w:r w:rsidR="00912297">
        <w:t>from studies</w:t>
      </w:r>
      <w:r>
        <w:t xml:space="preserve"> reporting patient outcomes associated with delayed treatment (Section B5)</w:t>
      </w:r>
      <w:bookmarkEnd w:id="854"/>
    </w:p>
    <w:p w14:paraId="36E7790C" w14:textId="77777777" w:rsidR="00615DB5" w:rsidRDefault="00615DB5" w:rsidP="00615DB5">
      <w:pPr>
        <w:pStyle w:val="Caption"/>
        <w:rPr>
          <w:vanish/>
          <w:color w:val="C00000"/>
        </w:rPr>
      </w:pPr>
      <w:bookmarkStart w:id="855" w:name="_Toc460514593"/>
      <w:r>
        <w:t xml:space="preserve">Table </w:t>
      </w:r>
      <w:fldSimple w:instr=" SEQ Table \* ARABIC ">
        <w:r w:rsidR="0029649D">
          <w:rPr>
            <w:noProof/>
          </w:rPr>
          <w:t>93</w:t>
        </w:r>
      </w:fldSimple>
      <w:r>
        <w:tab/>
        <w:t xml:space="preserve">Summary of studies </w:t>
      </w:r>
      <w:r w:rsidRPr="005602E5">
        <w:rPr>
          <w:snapToGrid w:val="0"/>
          <w:lang w:eastAsia="en-US"/>
        </w:rPr>
        <w:t>assessing impact of delayed</w:t>
      </w:r>
      <w:r>
        <w:rPr>
          <w:snapToGrid w:val="0"/>
          <w:lang w:eastAsia="en-US"/>
        </w:rPr>
        <w:t xml:space="preserve"> treatment in Population 1</w:t>
      </w:r>
      <w:bookmarkEnd w:id="85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1160"/>
        <w:gridCol w:w="934"/>
        <w:gridCol w:w="874"/>
        <w:gridCol w:w="977"/>
        <w:gridCol w:w="915"/>
        <w:gridCol w:w="939"/>
        <w:gridCol w:w="1188"/>
        <w:gridCol w:w="1360"/>
        <w:gridCol w:w="1081"/>
        <w:gridCol w:w="929"/>
        <w:gridCol w:w="1360"/>
        <w:gridCol w:w="1309"/>
      </w:tblGrid>
      <w:tr w:rsidR="00615DB5" w:rsidRPr="00225A26" w14:paraId="1CC7E0AB" w14:textId="77777777" w:rsidTr="00154A3C">
        <w:trPr>
          <w:cantSplit/>
          <w:trHeight w:val="600"/>
          <w:tblHeader/>
        </w:trPr>
        <w:tc>
          <w:tcPr>
            <w:tcW w:w="0" w:type="auto"/>
            <w:shd w:val="clear" w:color="auto" w:fill="auto"/>
            <w:hideMark/>
          </w:tcPr>
          <w:p w14:paraId="691B968D" w14:textId="77777777" w:rsidR="00615DB5" w:rsidRPr="00225A26" w:rsidRDefault="00615DB5" w:rsidP="00154A3C">
            <w:pPr>
              <w:pStyle w:val="TableHeading"/>
            </w:pPr>
            <w:r>
              <w:t>S</w:t>
            </w:r>
            <w:r w:rsidRPr="00225A26">
              <w:t>tudy</w:t>
            </w:r>
          </w:p>
        </w:tc>
        <w:tc>
          <w:tcPr>
            <w:tcW w:w="0" w:type="auto"/>
            <w:shd w:val="clear" w:color="auto" w:fill="auto"/>
            <w:hideMark/>
          </w:tcPr>
          <w:p w14:paraId="626B8D37" w14:textId="77777777" w:rsidR="00615DB5" w:rsidRPr="00225A26" w:rsidRDefault="00615DB5" w:rsidP="00154A3C">
            <w:pPr>
              <w:pStyle w:val="TableHeading"/>
            </w:pPr>
            <w:r>
              <w:t>Length of delay</w:t>
            </w:r>
          </w:p>
        </w:tc>
        <w:tc>
          <w:tcPr>
            <w:tcW w:w="0" w:type="auto"/>
          </w:tcPr>
          <w:p w14:paraId="531569B2" w14:textId="77777777" w:rsidR="00615DB5" w:rsidRPr="00225A26" w:rsidRDefault="00615DB5" w:rsidP="00154A3C">
            <w:pPr>
              <w:pStyle w:val="TableHeading"/>
            </w:pPr>
            <w:r>
              <w:t>Length of f</w:t>
            </w:r>
            <w:r w:rsidRPr="00225A26">
              <w:t>ollow-up</w:t>
            </w:r>
          </w:p>
        </w:tc>
        <w:tc>
          <w:tcPr>
            <w:tcW w:w="0" w:type="auto"/>
            <w:shd w:val="clear" w:color="auto" w:fill="auto"/>
            <w:hideMark/>
          </w:tcPr>
          <w:p w14:paraId="7784AF06" w14:textId="77777777" w:rsidR="00615DB5" w:rsidRPr="00225A26" w:rsidRDefault="00615DB5" w:rsidP="00154A3C">
            <w:pPr>
              <w:pStyle w:val="TableHeading"/>
            </w:pPr>
            <w:r w:rsidRPr="00225A26">
              <w:t>N [I]</w:t>
            </w:r>
          </w:p>
          <w:p w14:paraId="383B5F75" w14:textId="77777777" w:rsidR="00615DB5" w:rsidRPr="00225A26" w:rsidRDefault="00615DB5" w:rsidP="00154A3C">
            <w:pPr>
              <w:pStyle w:val="TableHeading"/>
            </w:pPr>
            <w:r>
              <w:t>N [D]</w:t>
            </w:r>
          </w:p>
        </w:tc>
        <w:tc>
          <w:tcPr>
            <w:tcW w:w="0" w:type="auto"/>
          </w:tcPr>
          <w:p w14:paraId="58C9E318" w14:textId="77777777" w:rsidR="00615DB5" w:rsidRPr="00225A26" w:rsidRDefault="00615DB5" w:rsidP="00154A3C">
            <w:pPr>
              <w:pStyle w:val="TableHeading"/>
            </w:pPr>
            <w:r w:rsidRPr="00225A26">
              <w:t>Disease risk profile</w:t>
            </w:r>
          </w:p>
        </w:tc>
        <w:tc>
          <w:tcPr>
            <w:tcW w:w="0" w:type="auto"/>
          </w:tcPr>
          <w:p w14:paraId="5419F685" w14:textId="77777777" w:rsidR="00615DB5" w:rsidRPr="00225A26" w:rsidRDefault="00615DB5" w:rsidP="00154A3C">
            <w:pPr>
              <w:pStyle w:val="TableHeading"/>
            </w:pPr>
            <w:r w:rsidRPr="00225A26">
              <w:t>Overall survival</w:t>
            </w:r>
          </w:p>
        </w:tc>
        <w:tc>
          <w:tcPr>
            <w:tcW w:w="0" w:type="auto"/>
            <w:shd w:val="clear" w:color="auto" w:fill="auto"/>
            <w:hideMark/>
          </w:tcPr>
          <w:p w14:paraId="03132E40" w14:textId="77777777" w:rsidR="00615DB5" w:rsidRPr="00225A26" w:rsidRDefault="00615DB5" w:rsidP="00154A3C">
            <w:pPr>
              <w:pStyle w:val="TableHeading"/>
            </w:pPr>
            <w:r w:rsidRPr="00225A26">
              <w:t>Cancer specific survival</w:t>
            </w:r>
          </w:p>
        </w:tc>
        <w:tc>
          <w:tcPr>
            <w:tcW w:w="0" w:type="auto"/>
            <w:shd w:val="clear" w:color="auto" w:fill="auto"/>
            <w:hideMark/>
          </w:tcPr>
          <w:p w14:paraId="11E2103D" w14:textId="77777777" w:rsidR="00615DB5" w:rsidRPr="00225A26" w:rsidRDefault="00615DB5" w:rsidP="00154A3C">
            <w:pPr>
              <w:pStyle w:val="TableHeading"/>
            </w:pPr>
            <w:r w:rsidRPr="00225A26">
              <w:t>Metastases Formation</w:t>
            </w:r>
          </w:p>
        </w:tc>
        <w:tc>
          <w:tcPr>
            <w:tcW w:w="0" w:type="auto"/>
            <w:shd w:val="clear" w:color="auto" w:fill="auto"/>
            <w:hideMark/>
          </w:tcPr>
          <w:p w14:paraId="2895B67A" w14:textId="77777777" w:rsidR="00615DB5" w:rsidRPr="00225A26" w:rsidRDefault="00615DB5" w:rsidP="00154A3C">
            <w:pPr>
              <w:pStyle w:val="TableHeading"/>
            </w:pPr>
            <w:r w:rsidRPr="00225A26">
              <w:t>Biochemical recurrence</w:t>
            </w:r>
          </w:p>
        </w:tc>
        <w:tc>
          <w:tcPr>
            <w:tcW w:w="0" w:type="auto"/>
            <w:shd w:val="clear" w:color="auto" w:fill="auto"/>
            <w:hideMark/>
          </w:tcPr>
          <w:p w14:paraId="12862749" w14:textId="141399CF" w:rsidR="00615DB5" w:rsidRPr="00225A26" w:rsidRDefault="00745EB5" w:rsidP="00154A3C">
            <w:pPr>
              <w:pStyle w:val="TableHeading"/>
            </w:pPr>
            <w:r>
              <w:t>E</w:t>
            </w:r>
            <w:r w:rsidR="00615DB5" w:rsidRPr="00225A26">
              <w:t>xtra capsular extension</w:t>
            </w:r>
          </w:p>
        </w:tc>
        <w:tc>
          <w:tcPr>
            <w:tcW w:w="0" w:type="auto"/>
            <w:shd w:val="clear" w:color="auto" w:fill="auto"/>
            <w:hideMark/>
          </w:tcPr>
          <w:p w14:paraId="3F9DE181" w14:textId="06630C1E" w:rsidR="00615DB5" w:rsidRPr="00225A26" w:rsidRDefault="00745EB5" w:rsidP="00154A3C">
            <w:pPr>
              <w:pStyle w:val="TableHeading"/>
            </w:pPr>
            <w:r>
              <w:t>L</w:t>
            </w:r>
            <w:r w:rsidR="00615DB5" w:rsidRPr="00225A26">
              <w:t>ymph node positive</w:t>
            </w:r>
          </w:p>
        </w:tc>
        <w:tc>
          <w:tcPr>
            <w:tcW w:w="0" w:type="auto"/>
            <w:shd w:val="clear" w:color="auto" w:fill="auto"/>
            <w:hideMark/>
          </w:tcPr>
          <w:p w14:paraId="26E0DE5E" w14:textId="77777777" w:rsidR="00615DB5" w:rsidRPr="00225A26" w:rsidRDefault="00615DB5" w:rsidP="00154A3C">
            <w:pPr>
              <w:pStyle w:val="TableHeading"/>
            </w:pPr>
            <w:r w:rsidRPr="00225A26">
              <w:t>Positive surgical margins</w:t>
            </w:r>
          </w:p>
        </w:tc>
        <w:tc>
          <w:tcPr>
            <w:tcW w:w="0" w:type="auto"/>
            <w:shd w:val="clear" w:color="auto" w:fill="auto"/>
            <w:hideMark/>
          </w:tcPr>
          <w:p w14:paraId="1BBF8116" w14:textId="77777777" w:rsidR="00615DB5" w:rsidRPr="00225A26" w:rsidRDefault="00615DB5" w:rsidP="00154A3C">
            <w:pPr>
              <w:pStyle w:val="TableHeading"/>
            </w:pPr>
            <w:r w:rsidRPr="00225A26">
              <w:t>Tumour upgrade</w:t>
            </w:r>
          </w:p>
        </w:tc>
      </w:tr>
      <w:tr w:rsidR="00615DB5" w:rsidRPr="008A4C54" w14:paraId="1BE54510" w14:textId="77777777" w:rsidTr="00154A3C">
        <w:trPr>
          <w:cantSplit/>
          <w:trHeight w:val="1200"/>
        </w:trPr>
        <w:tc>
          <w:tcPr>
            <w:tcW w:w="0" w:type="auto"/>
            <w:shd w:val="clear" w:color="auto" w:fill="auto"/>
            <w:hideMark/>
          </w:tcPr>
          <w:p w14:paraId="3B02B206" w14:textId="77777777" w:rsidR="00615DB5" w:rsidRPr="008A4C54" w:rsidRDefault="00615DB5" w:rsidP="008A4C54">
            <w:pPr>
              <w:pStyle w:val="Tabletext1"/>
            </w:pPr>
            <w:r w:rsidRPr="008A4C54">
              <w:t>Abern et al.</w:t>
            </w:r>
          </w:p>
        </w:tc>
        <w:tc>
          <w:tcPr>
            <w:tcW w:w="0" w:type="auto"/>
            <w:shd w:val="clear" w:color="auto" w:fill="auto"/>
            <w:hideMark/>
          </w:tcPr>
          <w:p w14:paraId="717468F8" w14:textId="7C1EDBE2" w:rsidR="00615DB5" w:rsidRPr="008A4C54" w:rsidRDefault="008864FF" w:rsidP="008A4C54">
            <w:pPr>
              <w:pStyle w:val="Tabletext1"/>
            </w:pPr>
            <w:r>
              <w:t>[I] &lt;9</w:t>
            </w:r>
            <w:r w:rsidR="00615DB5" w:rsidRPr="008A4C54">
              <w:t xml:space="preserve">m </w:t>
            </w:r>
          </w:p>
          <w:p w14:paraId="19EBD54D" w14:textId="7DD16997" w:rsidR="00615DB5" w:rsidRPr="008A4C54" w:rsidRDefault="008864FF" w:rsidP="008A4C54">
            <w:pPr>
              <w:pStyle w:val="Tabletext1"/>
            </w:pPr>
            <w:r>
              <w:t>[D] &gt;9</w:t>
            </w:r>
            <w:r w:rsidR="00615DB5" w:rsidRPr="008A4C54">
              <w:t>m</w:t>
            </w:r>
          </w:p>
        </w:tc>
        <w:tc>
          <w:tcPr>
            <w:tcW w:w="0" w:type="auto"/>
          </w:tcPr>
          <w:p w14:paraId="0762B156" w14:textId="77777777" w:rsidR="00615DB5" w:rsidRPr="008A4C54" w:rsidRDefault="00615DB5" w:rsidP="008A4C54">
            <w:pPr>
              <w:pStyle w:val="Tabletext1"/>
            </w:pPr>
            <w:r w:rsidRPr="008A4C54">
              <w:t>5 years</w:t>
            </w:r>
          </w:p>
        </w:tc>
        <w:tc>
          <w:tcPr>
            <w:tcW w:w="0" w:type="auto"/>
            <w:shd w:val="clear" w:color="auto" w:fill="auto"/>
            <w:hideMark/>
          </w:tcPr>
          <w:p w14:paraId="7039D2DB" w14:textId="27E5D0A9" w:rsidR="00615DB5" w:rsidRPr="008A4C54" w:rsidRDefault="008864FF" w:rsidP="008A4C54">
            <w:pPr>
              <w:pStyle w:val="Tabletext1"/>
            </w:pPr>
            <w:r>
              <w:t>[I]</w:t>
            </w:r>
            <w:r w:rsidR="00615DB5" w:rsidRPr="008A4C54">
              <w:t xml:space="preserve"> 1503 </w:t>
            </w:r>
          </w:p>
          <w:p w14:paraId="755B189C" w14:textId="77777777" w:rsidR="00615DB5" w:rsidRPr="008A4C54" w:rsidRDefault="00615DB5" w:rsidP="008A4C54">
            <w:pPr>
              <w:pStyle w:val="Tabletext1"/>
            </w:pPr>
            <w:r w:rsidRPr="008A4C54">
              <w:t xml:space="preserve">[D] 58 </w:t>
            </w:r>
          </w:p>
        </w:tc>
        <w:tc>
          <w:tcPr>
            <w:tcW w:w="0" w:type="auto"/>
          </w:tcPr>
          <w:p w14:paraId="42CC1F05" w14:textId="4FA2A3FA" w:rsidR="00615DB5" w:rsidRPr="008A4C54" w:rsidRDefault="008864FF" w:rsidP="008A4C54">
            <w:pPr>
              <w:pStyle w:val="Tabletext1"/>
            </w:pPr>
            <w:r>
              <w:t>[I]</w:t>
            </w:r>
            <w:r w:rsidR="00615DB5" w:rsidRPr="008A4C54">
              <w:t xml:space="preserve"> L-52%, In-48% </w:t>
            </w:r>
          </w:p>
          <w:p w14:paraId="2BCED085" w14:textId="2D799CB7" w:rsidR="00615DB5" w:rsidRPr="008A4C54" w:rsidRDefault="00615DB5" w:rsidP="008864FF">
            <w:pPr>
              <w:pStyle w:val="Tabletext1"/>
            </w:pPr>
            <w:r w:rsidRPr="008A4C54">
              <w:t>[D] L-57% In- 43%</w:t>
            </w:r>
          </w:p>
        </w:tc>
        <w:tc>
          <w:tcPr>
            <w:tcW w:w="0" w:type="auto"/>
          </w:tcPr>
          <w:p w14:paraId="38223FA8" w14:textId="77777777" w:rsidR="00615DB5" w:rsidRPr="008A4C54" w:rsidRDefault="00615DB5" w:rsidP="008A4C54">
            <w:pPr>
              <w:pStyle w:val="Tabletext1"/>
            </w:pPr>
            <w:r w:rsidRPr="008A4C54">
              <w:t>.</w:t>
            </w:r>
          </w:p>
        </w:tc>
        <w:tc>
          <w:tcPr>
            <w:tcW w:w="0" w:type="auto"/>
            <w:shd w:val="clear" w:color="auto" w:fill="auto"/>
            <w:hideMark/>
          </w:tcPr>
          <w:p w14:paraId="14F0D27F" w14:textId="77777777" w:rsidR="00615DB5" w:rsidRPr="008A4C54" w:rsidRDefault="00615DB5" w:rsidP="008A4C54">
            <w:pPr>
              <w:pStyle w:val="Tabletext1"/>
            </w:pPr>
            <w:r w:rsidRPr="008A4C54">
              <w:t>.</w:t>
            </w:r>
          </w:p>
        </w:tc>
        <w:tc>
          <w:tcPr>
            <w:tcW w:w="0" w:type="auto"/>
            <w:shd w:val="clear" w:color="auto" w:fill="auto"/>
            <w:hideMark/>
          </w:tcPr>
          <w:p w14:paraId="75C80A08" w14:textId="77777777" w:rsidR="00615DB5" w:rsidRPr="008A4C54" w:rsidRDefault="00615DB5" w:rsidP="008A4C54">
            <w:pPr>
              <w:pStyle w:val="Tabletext1"/>
            </w:pPr>
            <w:r w:rsidRPr="008A4C54">
              <w:t>.</w:t>
            </w:r>
          </w:p>
        </w:tc>
        <w:tc>
          <w:tcPr>
            <w:tcW w:w="0" w:type="auto"/>
            <w:shd w:val="clear" w:color="auto" w:fill="auto"/>
            <w:hideMark/>
          </w:tcPr>
          <w:p w14:paraId="1635C214" w14:textId="0697F2E2" w:rsidR="00615DB5" w:rsidRPr="008A4C54" w:rsidRDefault="00615DB5" w:rsidP="008A4C54">
            <w:pPr>
              <w:pStyle w:val="Tabletext1"/>
            </w:pPr>
            <w:r w:rsidRPr="008A4C54">
              <w:t>37% vs</w:t>
            </w:r>
            <w:r w:rsidR="008864FF">
              <w:t>.</w:t>
            </w:r>
            <w:r w:rsidRPr="008A4C54">
              <w:t xml:space="preserve"> 70% (intermediate disease only)</w:t>
            </w:r>
          </w:p>
        </w:tc>
        <w:tc>
          <w:tcPr>
            <w:tcW w:w="0" w:type="auto"/>
            <w:shd w:val="clear" w:color="auto" w:fill="auto"/>
            <w:hideMark/>
          </w:tcPr>
          <w:p w14:paraId="276345C5" w14:textId="77777777" w:rsidR="00615DB5" w:rsidRPr="008A4C54" w:rsidRDefault="00615DB5" w:rsidP="008A4C54">
            <w:pPr>
              <w:pStyle w:val="Tabletext1"/>
            </w:pPr>
            <w:r w:rsidRPr="008A4C54">
              <w:t>NS</w:t>
            </w:r>
          </w:p>
        </w:tc>
        <w:tc>
          <w:tcPr>
            <w:tcW w:w="0" w:type="auto"/>
            <w:shd w:val="clear" w:color="auto" w:fill="auto"/>
            <w:hideMark/>
          </w:tcPr>
          <w:p w14:paraId="26785B81" w14:textId="77777777" w:rsidR="00615DB5" w:rsidRPr="008A4C54" w:rsidRDefault="00615DB5" w:rsidP="008A4C54">
            <w:pPr>
              <w:pStyle w:val="Tabletext1"/>
            </w:pPr>
            <w:r w:rsidRPr="008A4C54">
              <w:t>.</w:t>
            </w:r>
          </w:p>
        </w:tc>
        <w:tc>
          <w:tcPr>
            <w:tcW w:w="0" w:type="auto"/>
            <w:shd w:val="clear" w:color="auto" w:fill="auto"/>
            <w:hideMark/>
          </w:tcPr>
          <w:p w14:paraId="725B1B88" w14:textId="0E4D755D" w:rsidR="00615DB5" w:rsidRPr="008A4C54" w:rsidRDefault="00615DB5" w:rsidP="008A4C54">
            <w:pPr>
              <w:pStyle w:val="Tabletext1"/>
            </w:pPr>
            <w:r w:rsidRPr="008A4C54">
              <w:t>30% vs</w:t>
            </w:r>
            <w:r w:rsidR="008864FF">
              <w:t>.</w:t>
            </w:r>
            <w:r w:rsidRPr="008A4C54">
              <w:t xml:space="preserve"> 76% (intermediate disease only)</w:t>
            </w:r>
          </w:p>
        </w:tc>
        <w:tc>
          <w:tcPr>
            <w:tcW w:w="0" w:type="auto"/>
            <w:shd w:val="clear" w:color="auto" w:fill="auto"/>
            <w:hideMark/>
          </w:tcPr>
          <w:p w14:paraId="2C3C2F09" w14:textId="77777777" w:rsidR="00615DB5" w:rsidRPr="008A4C54" w:rsidRDefault="00615DB5" w:rsidP="008A4C54">
            <w:pPr>
              <w:pStyle w:val="Tabletext1"/>
            </w:pPr>
            <w:r w:rsidRPr="008A4C54">
              <w:t>NS</w:t>
            </w:r>
          </w:p>
        </w:tc>
      </w:tr>
      <w:tr w:rsidR="00615DB5" w:rsidRPr="00A00B9F" w14:paraId="754B3BCE" w14:textId="77777777" w:rsidTr="00154A3C">
        <w:trPr>
          <w:cantSplit/>
          <w:trHeight w:val="900"/>
        </w:trPr>
        <w:tc>
          <w:tcPr>
            <w:tcW w:w="0" w:type="auto"/>
            <w:shd w:val="clear" w:color="auto" w:fill="auto"/>
            <w:hideMark/>
          </w:tcPr>
          <w:p w14:paraId="459733A7" w14:textId="77777777" w:rsidR="00615DB5" w:rsidRPr="00A00B9F" w:rsidRDefault="00615DB5" w:rsidP="00154A3C">
            <w:pPr>
              <w:pStyle w:val="Tabletext1"/>
            </w:pPr>
            <w:r w:rsidRPr="00A00B9F">
              <w:t>Andrews et al.</w:t>
            </w:r>
          </w:p>
        </w:tc>
        <w:tc>
          <w:tcPr>
            <w:tcW w:w="0" w:type="auto"/>
            <w:shd w:val="clear" w:color="auto" w:fill="auto"/>
            <w:hideMark/>
          </w:tcPr>
          <w:p w14:paraId="54A57A63" w14:textId="7C90DD8D" w:rsidR="00615DB5" w:rsidRDefault="008864FF" w:rsidP="00154A3C">
            <w:pPr>
              <w:pStyle w:val="Tabletext1"/>
            </w:pPr>
            <w:r>
              <w:t>[I] &lt;</w:t>
            </w:r>
            <w:r w:rsidR="00615DB5">
              <w:t xml:space="preserve">3m </w:t>
            </w:r>
          </w:p>
          <w:p w14:paraId="6B55174E" w14:textId="77777777" w:rsidR="00615DB5" w:rsidRDefault="00615DB5" w:rsidP="00154A3C">
            <w:pPr>
              <w:pStyle w:val="Tabletext1"/>
            </w:pPr>
            <w:r>
              <w:t xml:space="preserve">[D1] 3-9 m </w:t>
            </w:r>
          </w:p>
          <w:p w14:paraId="3A6C0864" w14:textId="77777777" w:rsidR="00615DB5" w:rsidRPr="00A00B9F" w:rsidRDefault="00615DB5" w:rsidP="00154A3C">
            <w:pPr>
              <w:pStyle w:val="Tabletext1"/>
            </w:pPr>
            <w:r>
              <w:t>[D2] &gt;9 m</w:t>
            </w:r>
          </w:p>
        </w:tc>
        <w:tc>
          <w:tcPr>
            <w:tcW w:w="0" w:type="auto"/>
          </w:tcPr>
          <w:p w14:paraId="5D8AC44F" w14:textId="77777777" w:rsidR="00615DB5" w:rsidRDefault="00615DB5" w:rsidP="00154A3C">
            <w:pPr>
              <w:pStyle w:val="Tabletext1"/>
            </w:pPr>
            <w:r>
              <w:t>5 years</w:t>
            </w:r>
          </w:p>
        </w:tc>
        <w:tc>
          <w:tcPr>
            <w:tcW w:w="0" w:type="auto"/>
            <w:shd w:val="clear" w:color="auto" w:fill="auto"/>
            <w:hideMark/>
          </w:tcPr>
          <w:p w14:paraId="2F99FEB1" w14:textId="77777777" w:rsidR="00615DB5" w:rsidRDefault="00615DB5" w:rsidP="00154A3C">
            <w:pPr>
              <w:pStyle w:val="Tabletext1"/>
            </w:pPr>
            <w:r>
              <w:t xml:space="preserve">[I] 633 </w:t>
            </w:r>
          </w:p>
          <w:p w14:paraId="41CC86AC" w14:textId="77777777" w:rsidR="00615DB5" w:rsidRDefault="00615DB5" w:rsidP="00154A3C">
            <w:pPr>
              <w:pStyle w:val="Tabletext1"/>
            </w:pPr>
            <w:r>
              <w:t xml:space="preserve">[D1] 623 </w:t>
            </w:r>
          </w:p>
          <w:p w14:paraId="5E573B11" w14:textId="77777777" w:rsidR="00615DB5" w:rsidRPr="00A00B9F" w:rsidRDefault="00615DB5" w:rsidP="00154A3C">
            <w:pPr>
              <w:pStyle w:val="Tabletext1"/>
            </w:pPr>
            <w:r>
              <w:t xml:space="preserve">[D2] 62 </w:t>
            </w:r>
          </w:p>
        </w:tc>
        <w:tc>
          <w:tcPr>
            <w:tcW w:w="0" w:type="auto"/>
          </w:tcPr>
          <w:p w14:paraId="5381D90F" w14:textId="77777777" w:rsidR="00615DB5" w:rsidRDefault="00615DB5" w:rsidP="00154A3C">
            <w:pPr>
              <w:pStyle w:val="Tabletext1"/>
            </w:pPr>
            <w:r>
              <w:t>Total:</w:t>
            </w:r>
          </w:p>
          <w:p w14:paraId="37710524" w14:textId="77777777" w:rsidR="00615DB5" w:rsidRPr="00A00B9F" w:rsidRDefault="00615DB5" w:rsidP="00154A3C">
            <w:pPr>
              <w:pStyle w:val="Tabletext1"/>
            </w:pPr>
            <w:r>
              <w:t>L-</w:t>
            </w:r>
            <w:r w:rsidRPr="00A00B9F">
              <w:t>42%</w:t>
            </w:r>
            <w:r>
              <w:t>, In-39%, H-19%</w:t>
            </w:r>
          </w:p>
        </w:tc>
        <w:tc>
          <w:tcPr>
            <w:tcW w:w="0" w:type="auto"/>
          </w:tcPr>
          <w:p w14:paraId="05DF171D" w14:textId="77777777" w:rsidR="00615DB5" w:rsidRPr="00A00B9F" w:rsidRDefault="00615DB5" w:rsidP="00154A3C">
            <w:pPr>
              <w:pStyle w:val="Tabletext1"/>
            </w:pPr>
            <w:r w:rsidRPr="00A00B9F">
              <w:t>NS</w:t>
            </w:r>
          </w:p>
        </w:tc>
        <w:tc>
          <w:tcPr>
            <w:tcW w:w="0" w:type="auto"/>
            <w:shd w:val="clear" w:color="auto" w:fill="auto"/>
            <w:hideMark/>
          </w:tcPr>
          <w:p w14:paraId="5A866FA0" w14:textId="77777777" w:rsidR="00615DB5" w:rsidRPr="00A00B9F" w:rsidRDefault="00615DB5" w:rsidP="00154A3C">
            <w:pPr>
              <w:pStyle w:val="Tabletext1"/>
            </w:pPr>
            <w:r w:rsidRPr="00A00B9F">
              <w:t>NS</w:t>
            </w:r>
          </w:p>
        </w:tc>
        <w:tc>
          <w:tcPr>
            <w:tcW w:w="0" w:type="auto"/>
            <w:shd w:val="clear" w:color="auto" w:fill="auto"/>
            <w:hideMark/>
          </w:tcPr>
          <w:p w14:paraId="727540E3" w14:textId="77777777" w:rsidR="00615DB5" w:rsidRPr="00A00B9F" w:rsidRDefault="00615DB5" w:rsidP="00154A3C">
            <w:pPr>
              <w:pStyle w:val="Tabletext1"/>
            </w:pPr>
            <w:r w:rsidRPr="00A00B9F">
              <w:t>NS</w:t>
            </w:r>
          </w:p>
        </w:tc>
        <w:tc>
          <w:tcPr>
            <w:tcW w:w="0" w:type="auto"/>
            <w:shd w:val="clear" w:color="auto" w:fill="auto"/>
            <w:hideMark/>
          </w:tcPr>
          <w:p w14:paraId="174736A9" w14:textId="77777777" w:rsidR="00615DB5" w:rsidRPr="00A00B9F" w:rsidRDefault="00615DB5" w:rsidP="00154A3C">
            <w:pPr>
              <w:pStyle w:val="Tabletext1"/>
            </w:pPr>
            <w:r w:rsidRPr="00A00B9F">
              <w:t>NS</w:t>
            </w:r>
          </w:p>
        </w:tc>
        <w:tc>
          <w:tcPr>
            <w:tcW w:w="0" w:type="auto"/>
            <w:shd w:val="clear" w:color="auto" w:fill="auto"/>
            <w:hideMark/>
          </w:tcPr>
          <w:p w14:paraId="22089DFB" w14:textId="77777777" w:rsidR="00615DB5" w:rsidRPr="00A00B9F" w:rsidRDefault="00615DB5" w:rsidP="00154A3C">
            <w:pPr>
              <w:pStyle w:val="Tabletext1"/>
            </w:pPr>
            <w:r w:rsidRPr="00A00B9F">
              <w:t>.</w:t>
            </w:r>
          </w:p>
        </w:tc>
        <w:tc>
          <w:tcPr>
            <w:tcW w:w="0" w:type="auto"/>
            <w:shd w:val="clear" w:color="auto" w:fill="auto"/>
            <w:hideMark/>
          </w:tcPr>
          <w:p w14:paraId="3FA15C95" w14:textId="77777777" w:rsidR="00615DB5" w:rsidRPr="00A00B9F" w:rsidRDefault="00615DB5" w:rsidP="00154A3C">
            <w:pPr>
              <w:pStyle w:val="Tabletext1"/>
            </w:pPr>
            <w:r w:rsidRPr="00A00B9F">
              <w:t>.</w:t>
            </w:r>
          </w:p>
        </w:tc>
        <w:tc>
          <w:tcPr>
            <w:tcW w:w="0" w:type="auto"/>
            <w:shd w:val="clear" w:color="auto" w:fill="auto"/>
            <w:hideMark/>
          </w:tcPr>
          <w:p w14:paraId="2C699506" w14:textId="77777777" w:rsidR="00615DB5" w:rsidRPr="00A00B9F" w:rsidRDefault="00615DB5" w:rsidP="00154A3C">
            <w:pPr>
              <w:pStyle w:val="Tabletext1"/>
            </w:pPr>
            <w:r w:rsidRPr="00A00B9F">
              <w:t>.</w:t>
            </w:r>
          </w:p>
        </w:tc>
        <w:tc>
          <w:tcPr>
            <w:tcW w:w="0" w:type="auto"/>
            <w:shd w:val="clear" w:color="auto" w:fill="auto"/>
            <w:hideMark/>
          </w:tcPr>
          <w:p w14:paraId="6986D94D" w14:textId="77777777" w:rsidR="00615DB5" w:rsidRPr="00A00B9F" w:rsidRDefault="00615DB5" w:rsidP="00154A3C">
            <w:pPr>
              <w:pStyle w:val="Tabletext1"/>
            </w:pPr>
            <w:r w:rsidRPr="00A00B9F">
              <w:t>.</w:t>
            </w:r>
          </w:p>
        </w:tc>
      </w:tr>
      <w:tr w:rsidR="00615DB5" w:rsidRPr="00A00B9F" w14:paraId="450C2A96" w14:textId="77777777" w:rsidTr="00154A3C">
        <w:trPr>
          <w:cantSplit/>
          <w:trHeight w:val="900"/>
        </w:trPr>
        <w:tc>
          <w:tcPr>
            <w:tcW w:w="0" w:type="auto"/>
            <w:shd w:val="clear" w:color="auto" w:fill="auto"/>
            <w:hideMark/>
          </w:tcPr>
          <w:p w14:paraId="6242500F" w14:textId="77777777" w:rsidR="00615DB5" w:rsidRPr="00A00B9F" w:rsidRDefault="00615DB5" w:rsidP="00154A3C">
            <w:pPr>
              <w:pStyle w:val="Tabletext1"/>
            </w:pPr>
            <w:r w:rsidRPr="00A00B9F">
              <w:t>Dall'era et al.</w:t>
            </w:r>
          </w:p>
        </w:tc>
        <w:tc>
          <w:tcPr>
            <w:tcW w:w="0" w:type="auto"/>
            <w:shd w:val="clear" w:color="auto" w:fill="auto"/>
            <w:hideMark/>
          </w:tcPr>
          <w:p w14:paraId="250643D1" w14:textId="781257D9" w:rsidR="00615DB5" w:rsidRDefault="008864FF" w:rsidP="00154A3C">
            <w:pPr>
              <w:pStyle w:val="Tabletext1"/>
            </w:pPr>
            <w:r>
              <w:t>[I] median 3</w:t>
            </w:r>
            <w:r w:rsidR="00615DB5">
              <w:t xml:space="preserve">m </w:t>
            </w:r>
          </w:p>
          <w:p w14:paraId="7C645FC5" w14:textId="7783792B" w:rsidR="00615DB5" w:rsidRPr="00A00B9F" w:rsidRDefault="008864FF" w:rsidP="00154A3C">
            <w:pPr>
              <w:pStyle w:val="Tabletext1"/>
            </w:pPr>
            <w:r>
              <w:t>[D] median 18</w:t>
            </w:r>
            <w:r w:rsidR="00615DB5" w:rsidRPr="00A00B9F">
              <w:t>m</w:t>
            </w:r>
          </w:p>
        </w:tc>
        <w:tc>
          <w:tcPr>
            <w:tcW w:w="0" w:type="auto"/>
          </w:tcPr>
          <w:p w14:paraId="31BB0745" w14:textId="77777777" w:rsidR="00615DB5" w:rsidRPr="00A00B9F" w:rsidRDefault="00615DB5" w:rsidP="00154A3C">
            <w:pPr>
              <w:pStyle w:val="Tabletext1"/>
            </w:pPr>
            <w:r>
              <w:t>Median 27 months (range 1-162)</w:t>
            </w:r>
          </w:p>
        </w:tc>
        <w:tc>
          <w:tcPr>
            <w:tcW w:w="0" w:type="auto"/>
            <w:shd w:val="clear" w:color="auto" w:fill="auto"/>
            <w:hideMark/>
          </w:tcPr>
          <w:p w14:paraId="6F12C1E6" w14:textId="77777777" w:rsidR="00615DB5" w:rsidRDefault="00615DB5" w:rsidP="00154A3C">
            <w:pPr>
              <w:pStyle w:val="Tabletext1"/>
            </w:pPr>
            <w:r>
              <w:t>[I] 1345</w:t>
            </w:r>
          </w:p>
          <w:p w14:paraId="3DA57A9C" w14:textId="77777777" w:rsidR="00615DB5" w:rsidRPr="00A00B9F" w:rsidRDefault="00615DB5" w:rsidP="00154A3C">
            <w:pPr>
              <w:pStyle w:val="Tabletext1"/>
            </w:pPr>
            <w:r>
              <w:t>[D] 63</w:t>
            </w:r>
          </w:p>
        </w:tc>
        <w:tc>
          <w:tcPr>
            <w:tcW w:w="0" w:type="auto"/>
          </w:tcPr>
          <w:p w14:paraId="105D7549" w14:textId="77777777" w:rsidR="00615DB5" w:rsidRDefault="00615DB5" w:rsidP="00154A3C">
            <w:pPr>
              <w:pStyle w:val="Tabletext1"/>
            </w:pPr>
            <w:r>
              <w:t>[I] 21% low, 79% high</w:t>
            </w:r>
          </w:p>
          <w:p w14:paraId="6C69375A" w14:textId="77777777" w:rsidR="00615DB5" w:rsidRPr="00A00B9F" w:rsidRDefault="00615DB5" w:rsidP="00154A3C">
            <w:pPr>
              <w:pStyle w:val="Tabletext1"/>
            </w:pPr>
            <w:r>
              <w:t>[D] 52% low, 48% high</w:t>
            </w:r>
          </w:p>
        </w:tc>
        <w:tc>
          <w:tcPr>
            <w:tcW w:w="0" w:type="auto"/>
          </w:tcPr>
          <w:p w14:paraId="1B7D5CA0" w14:textId="77777777" w:rsidR="00615DB5" w:rsidRPr="00A00B9F" w:rsidRDefault="00615DB5" w:rsidP="00154A3C">
            <w:pPr>
              <w:pStyle w:val="Tabletext1"/>
            </w:pPr>
            <w:r w:rsidRPr="00A00B9F">
              <w:t>.</w:t>
            </w:r>
          </w:p>
        </w:tc>
        <w:tc>
          <w:tcPr>
            <w:tcW w:w="0" w:type="auto"/>
            <w:shd w:val="clear" w:color="auto" w:fill="auto"/>
            <w:hideMark/>
          </w:tcPr>
          <w:p w14:paraId="33573361" w14:textId="77777777" w:rsidR="00615DB5" w:rsidRPr="00A00B9F" w:rsidRDefault="00615DB5" w:rsidP="00154A3C">
            <w:pPr>
              <w:pStyle w:val="Tabletext1"/>
            </w:pPr>
            <w:r w:rsidRPr="00A00B9F">
              <w:t>.</w:t>
            </w:r>
          </w:p>
        </w:tc>
        <w:tc>
          <w:tcPr>
            <w:tcW w:w="0" w:type="auto"/>
            <w:shd w:val="clear" w:color="auto" w:fill="auto"/>
            <w:hideMark/>
          </w:tcPr>
          <w:p w14:paraId="335ACE21" w14:textId="77777777" w:rsidR="00615DB5" w:rsidRPr="00A00B9F" w:rsidRDefault="00615DB5" w:rsidP="00154A3C">
            <w:pPr>
              <w:pStyle w:val="Tabletext1"/>
            </w:pPr>
            <w:r w:rsidRPr="00A00B9F">
              <w:t>.</w:t>
            </w:r>
          </w:p>
        </w:tc>
        <w:tc>
          <w:tcPr>
            <w:tcW w:w="0" w:type="auto"/>
            <w:shd w:val="clear" w:color="auto" w:fill="auto"/>
            <w:hideMark/>
          </w:tcPr>
          <w:p w14:paraId="3DA2A32D" w14:textId="77777777" w:rsidR="00615DB5" w:rsidRPr="00A00B9F" w:rsidRDefault="00615DB5" w:rsidP="00154A3C">
            <w:pPr>
              <w:pStyle w:val="Tabletext1"/>
            </w:pPr>
            <w:r w:rsidRPr="00A00B9F">
              <w:t>.</w:t>
            </w:r>
          </w:p>
        </w:tc>
        <w:tc>
          <w:tcPr>
            <w:tcW w:w="0" w:type="auto"/>
            <w:shd w:val="clear" w:color="auto" w:fill="auto"/>
            <w:hideMark/>
          </w:tcPr>
          <w:p w14:paraId="235AD15D" w14:textId="77777777" w:rsidR="00615DB5" w:rsidRPr="00A00B9F" w:rsidRDefault="00615DB5" w:rsidP="00154A3C">
            <w:pPr>
              <w:pStyle w:val="Tabletext1"/>
            </w:pPr>
            <w:r w:rsidRPr="00A00B9F">
              <w:t>NS</w:t>
            </w:r>
          </w:p>
        </w:tc>
        <w:tc>
          <w:tcPr>
            <w:tcW w:w="0" w:type="auto"/>
            <w:shd w:val="clear" w:color="auto" w:fill="auto"/>
            <w:hideMark/>
          </w:tcPr>
          <w:p w14:paraId="6E1E925B" w14:textId="77777777" w:rsidR="00615DB5" w:rsidRPr="00A00B9F" w:rsidRDefault="00615DB5" w:rsidP="00154A3C">
            <w:pPr>
              <w:pStyle w:val="Tabletext1"/>
            </w:pPr>
            <w:r w:rsidRPr="00A00B9F">
              <w:t>.</w:t>
            </w:r>
          </w:p>
        </w:tc>
        <w:tc>
          <w:tcPr>
            <w:tcW w:w="0" w:type="auto"/>
            <w:shd w:val="clear" w:color="auto" w:fill="auto"/>
            <w:hideMark/>
          </w:tcPr>
          <w:p w14:paraId="25E1A864" w14:textId="77777777" w:rsidR="00615DB5" w:rsidRPr="00A00B9F" w:rsidRDefault="00615DB5" w:rsidP="00154A3C">
            <w:pPr>
              <w:pStyle w:val="Tabletext1"/>
            </w:pPr>
            <w:r w:rsidRPr="00A00B9F">
              <w:t>NS</w:t>
            </w:r>
          </w:p>
        </w:tc>
        <w:tc>
          <w:tcPr>
            <w:tcW w:w="0" w:type="auto"/>
            <w:shd w:val="clear" w:color="auto" w:fill="auto"/>
            <w:hideMark/>
          </w:tcPr>
          <w:p w14:paraId="5D05DD6B" w14:textId="77777777" w:rsidR="00615DB5" w:rsidRPr="00A00B9F" w:rsidRDefault="00615DB5" w:rsidP="00154A3C">
            <w:pPr>
              <w:pStyle w:val="Tabletext1"/>
            </w:pPr>
            <w:r w:rsidRPr="00A00B9F">
              <w:t>NS</w:t>
            </w:r>
          </w:p>
        </w:tc>
      </w:tr>
      <w:tr w:rsidR="00615DB5" w:rsidRPr="00A00B9F" w14:paraId="2EEF1250" w14:textId="77777777" w:rsidTr="00154A3C">
        <w:trPr>
          <w:cantSplit/>
          <w:trHeight w:val="600"/>
        </w:trPr>
        <w:tc>
          <w:tcPr>
            <w:tcW w:w="0" w:type="auto"/>
            <w:shd w:val="clear" w:color="auto" w:fill="auto"/>
            <w:hideMark/>
          </w:tcPr>
          <w:p w14:paraId="7ECA98BA" w14:textId="77777777" w:rsidR="00615DB5" w:rsidRPr="00A00B9F" w:rsidRDefault="00615DB5" w:rsidP="00154A3C">
            <w:pPr>
              <w:pStyle w:val="Tabletext1"/>
            </w:pPr>
            <w:r w:rsidRPr="00A00B9F">
              <w:lastRenderedPageBreak/>
              <w:t>Graefen et al.</w:t>
            </w:r>
          </w:p>
        </w:tc>
        <w:tc>
          <w:tcPr>
            <w:tcW w:w="0" w:type="auto"/>
            <w:shd w:val="clear" w:color="auto" w:fill="auto"/>
            <w:hideMark/>
          </w:tcPr>
          <w:p w14:paraId="3D52086A" w14:textId="77777777" w:rsidR="00615DB5" w:rsidRDefault="00615DB5" w:rsidP="00154A3C">
            <w:pPr>
              <w:pStyle w:val="Tabletext1"/>
            </w:pPr>
            <w:r>
              <w:t xml:space="preserve">[I] &lt;1 month </w:t>
            </w:r>
          </w:p>
          <w:p w14:paraId="0F19931E" w14:textId="77777777" w:rsidR="00615DB5" w:rsidRPr="00A00B9F" w:rsidRDefault="00615DB5" w:rsidP="00154A3C">
            <w:pPr>
              <w:pStyle w:val="Tabletext1"/>
            </w:pPr>
            <w:r>
              <w:t>[D]</w:t>
            </w:r>
            <w:r w:rsidRPr="00A00B9F">
              <w:t xml:space="preserve"> &gt;4 months</w:t>
            </w:r>
          </w:p>
        </w:tc>
        <w:tc>
          <w:tcPr>
            <w:tcW w:w="0" w:type="auto"/>
          </w:tcPr>
          <w:p w14:paraId="632D99BF" w14:textId="77777777" w:rsidR="00615DB5" w:rsidRPr="00A00B9F" w:rsidRDefault="00615DB5" w:rsidP="00154A3C">
            <w:pPr>
              <w:pStyle w:val="Tabletext1"/>
            </w:pPr>
            <w:r>
              <w:t>Mean 33 months (range 1-116)</w:t>
            </w:r>
          </w:p>
        </w:tc>
        <w:tc>
          <w:tcPr>
            <w:tcW w:w="0" w:type="auto"/>
            <w:shd w:val="clear" w:color="auto" w:fill="auto"/>
            <w:hideMark/>
          </w:tcPr>
          <w:p w14:paraId="677028E6" w14:textId="77777777" w:rsidR="00615DB5" w:rsidRDefault="00615DB5" w:rsidP="00154A3C">
            <w:pPr>
              <w:pStyle w:val="Tabletext1"/>
            </w:pPr>
            <w:r>
              <w:t>[I] 111</w:t>
            </w:r>
          </w:p>
          <w:p w14:paraId="54DDEAB4" w14:textId="77777777" w:rsidR="00615DB5" w:rsidRPr="00A00B9F" w:rsidRDefault="00615DB5" w:rsidP="00154A3C">
            <w:pPr>
              <w:pStyle w:val="Tabletext1"/>
            </w:pPr>
            <w:r>
              <w:t>[D] 42</w:t>
            </w:r>
          </w:p>
        </w:tc>
        <w:tc>
          <w:tcPr>
            <w:tcW w:w="0" w:type="auto"/>
          </w:tcPr>
          <w:p w14:paraId="6081CB7D" w14:textId="77777777" w:rsidR="00615DB5" w:rsidRDefault="00615DB5" w:rsidP="00154A3C">
            <w:pPr>
              <w:pStyle w:val="Tabletext1"/>
            </w:pPr>
            <w:r>
              <w:t>Total:</w:t>
            </w:r>
          </w:p>
          <w:p w14:paraId="6E685AEA" w14:textId="77777777" w:rsidR="00615DB5" w:rsidRDefault="00615DB5" w:rsidP="00154A3C">
            <w:pPr>
              <w:pStyle w:val="Tabletext1"/>
            </w:pPr>
            <w:r>
              <w:t>59.6% low</w:t>
            </w:r>
          </w:p>
          <w:p w14:paraId="3474C16A" w14:textId="77777777" w:rsidR="00615DB5" w:rsidRDefault="00615DB5" w:rsidP="00154A3C">
            <w:pPr>
              <w:pStyle w:val="Tabletext1"/>
            </w:pPr>
            <w:r>
              <w:t>36.7% int</w:t>
            </w:r>
          </w:p>
          <w:p w14:paraId="7E2CC377" w14:textId="77777777" w:rsidR="00615DB5" w:rsidRPr="00A00B9F" w:rsidRDefault="00615DB5" w:rsidP="00154A3C">
            <w:pPr>
              <w:pStyle w:val="Tabletext1"/>
            </w:pPr>
            <w:r>
              <w:t>3.7% high</w:t>
            </w:r>
          </w:p>
        </w:tc>
        <w:tc>
          <w:tcPr>
            <w:tcW w:w="0" w:type="auto"/>
          </w:tcPr>
          <w:p w14:paraId="1653A2C5" w14:textId="77777777" w:rsidR="00615DB5" w:rsidRPr="00A00B9F" w:rsidRDefault="00615DB5" w:rsidP="00154A3C">
            <w:pPr>
              <w:pStyle w:val="Tabletext1"/>
            </w:pPr>
            <w:r w:rsidRPr="00A00B9F">
              <w:t>.</w:t>
            </w:r>
          </w:p>
        </w:tc>
        <w:tc>
          <w:tcPr>
            <w:tcW w:w="0" w:type="auto"/>
            <w:shd w:val="clear" w:color="auto" w:fill="auto"/>
            <w:hideMark/>
          </w:tcPr>
          <w:p w14:paraId="219820AE" w14:textId="77777777" w:rsidR="00615DB5" w:rsidRPr="00A00B9F" w:rsidRDefault="00615DB5" w:rsidP="00154A3C">
            <w:pPr>
              <w:pStyle w:val="Tabletext1"/>
            </w:pPr>
            <w:r w:rsidRPr="00A00B9F">
              <w:t>.</w:t>
            </w:r>
          </w:p>
        </w:tc>
        <w:tc>
          <w:tcPr>
            <w:tcW w:w="0" w:type="auto"/>
            <w:shd w:val="clear" w:color="auto" w:fill="auto"/>
            <w:hideMark/>
          </w:tcPr>
          <w:p w14:paraId="642A8721" w14:textId="77777777" w:rsidR="00615DB5" w:rsidRPr="00A00B9F" w:rsidRDefault="00615DB5" w:rsidP="00154A3C">
            <w:pPr>
              <w:pStyle w:val="Tabletext1"/>
            </w:pPr>
            <w:r w:rsidRPr="00A00B9F">
              <w:t>.</w:t>
            </w:r>
          </w:p>
        </w:tc>
        <w:tc>
          <w:tcPr>
            <w:tcW w:w="0" w:type="auto"/>
            <w:shd w:val="clear" w:color="auto" w:fill="auto"/>
            <w:hideMark/>
          </w:tcPr>
          <w:p w14:paraId="4E8EE79C" w14:textId="77777777" w:rsidR="00615DB5" w:rsidRPr="00A00B9F" w:rsidRDefault="00615DB5" w:rsidP="00154A3C">
            <w:pPr>
              <w:pStyle w:val="Tabletext1"/>
            </w:pPr>
            <w:r w:rsidRPr="00A00B9F">
              <w:t>NS</w:t>
            </w:r>
          </w:p>
        </w:tc>
        <w:tc>
          <w:tcPr>
            <w:tcW w:w="0" w:type="auto"/>
            <w:shd w:val="clear" w:color="auto" w:fill="auto"/>
            <w:hideMark/>
          </w:tcPr>
          <w:p w14:paraId="5B5837B8" w14:textId="77777777" w:rsidR="00615DB5" w:rsidRPr="00A00B9F" w:rsidRDefault="00615DB5" w:rsidP="00154A3C">
            <w:pPr>
              <w:pStyle w:val="Tabletext1"/>
            </w:pPr>
            <w:r w:rsidRPr="00A00B9F">
              <w:t>.</w:t>
            </w:r>
          </w:p>
        </w:tc>
        <w:tc>
          <w:tcPr>
            <w:tcW w:w="0" w:type="auto"/>
            <w:shd w:val="clear" w:color="auto" w:fill="auto"/>
            <w:hideMark/>
          </w:tcPr>
          <w:p w14:paraId="625E64D5" w14:textId="77777777" w:rsidR="00615DB5" w:rsidRPr="00A00B9F" w:rsidRDefault="00615DB5" w:rsidP="00154A3C">
            <w:pPr>
              <w:pStyle w:val="Tabletext1"/>
            </w:pPr>
            <w:r w:rsidRPr="00A00B9F">
              <w:t>.</w:t>
            </w:r>
          </w:p>
        </w:tc>
        <w:tc>
          <w:tcPr>
            <w:tcW w:w="0" w:type="auto"/>
            <w:shd w:val="clear" w:color="auto" w:fill="auto"/>
            <w:hideMark/>
          </w:tcPr>
          <w:p w14:paraId="5A4F3B29" w14:textId="77777777" w:rsidR="00615DB5" w:rsidRPr="00A00B9F" w:rsidRDefault="00615DB5" w:rsidP="00154A3C">
            <w:pPr>
              <w:pStyle w:val="Tabletext1"/>
            </w:pPr>
            <w:r w:rsidRPr="00A00B9F">
              <w:t>.</w:t>
            </w:r>
          </w:p>
        </w:tc>
        <w:tc>
          <w:tcPr>
            <w:tcW w:w="0" w:type="auto"/>
            <w:shd w:val="clear" w:color="auto" w:fill="auto"/>
            <w:hideMark/>
          </w:tcPr>
          <w:p w14:paraId="2C9D706F" w14:textId="77777777" w:rsidR="00615DB5" w:rsidRPr="00A00B9F" w:rsidRDefault="00615DB5" w:rsidP="00154A3C">
            <w:pPr>
              <w:pStyle w:val="Tabletext1"/>
            </w:pPr>
            <w:r w:rsidRPr="00A00B9F">
              <w:t>.</w:t>
            </w:r>
          </w:p>
        </w:tc>
      </w:tr>
      <w:tr w:rsidR="00615DB5" w:rsidRPr="00A00B9F" w14:paraId="5951B7F3" w14:textId="77777777" w:rsidTr="00154A3C">
        <w:trPr>
          <w:cantSplit/>
          <w:trHeight w:val="600"/>
        </w:trPr>
        <w:tc>
          <w:tcPr>
            <w:tcW w:w="0" w:type="auto"/>
            <w:shd w:val="clear" w:color="auto" w:fill="auto"/>
            <w:hideMark/>
          </w:tcPr>
          <w:p w14:paraId="249E658D" w14:textId="77777777" w:rsidR="00615DB5" w:rsidRPr="00A00B9F" w:rsidRDefault="00615DB5" w:rsidP="00154A3C">
            <w:pPr>
              <w:pStyle w:val="Tabletext1"/>
            </w:pPr>
            <w:r w:rsidRPr="00A00B9F">
              <w:t>Holmstrom et al.</w:t>
            </w:r>
          </w:p>
        </w:tc>
        <w:tc>
          <w:tcPr>
            <w:tcW w:w="0" w:type="auto"/>
            <w:shd w:val="clear" w:color="auto" w:fill="auto"/>
            <w:hideMark/>
          </w:tcPr>
          <w:p w14:paraId="6BAA8792" w14:textId="77777777" w:rsidR="00615DB5" w:rsidRDefault="00615DB5" w:rsidP="00154A3C">
            <w:pPr>
              <w:pStyle w:val="Tabletext1"/>
            </w:pPr>
            <w:r>
              <w:t>[I] median 3.5 months</w:t>
            </w:r>
          </w:p>
          <w:p w14:paraId="081FD278" w14:textId="77777777" w:rsidR="00615DB5" w:rsidRPr="00A00B9F" w:rsidRDefault="00615DB5" w:rsidP="00154A3C">
            <w:pPr>
              <w:pStyle w:val="Tabletext1"/>
            </w:pPr>
            <w:r>
              <w:t>[D]</w:t>
            </w:r>
            <w:r w:rsidRPr="00A00B9F">
              <w:t xml:space="preserve"> median 19.2 months</w:t>
            </w:r>
          </w:p>
        </w:tc>
        <w:tc>
          <w:tcPr>
            <w:tcW w:w="0" w:type="auto"/>
          </w:tcPr>
          <w:p w14:paraId="47DA04C2" w14:textId="77777777" w:rsidR="00615DB5" w:rsidRPr="00A00B9F" w:rsidRDefault="00615DB5" w:rsidP="00154A3C">
            <w:pPr>
              <w:pStyle w:val="Tabletext1"/>
            </w:pPr>
            <w:r>
              <w:t>Median 8 years</w:t>
            </w:r>
          </w:p>
        </w:tc>
        <w:tc>
          <w:tcPr>
            <w:tcW w:w="0" w:type="auto"/>
            <w:shd w:val="clear" w:color="auto" w:fill="auto"/>
            <w:hideMark/>
          </w:tcPr>
          <w:p w14:paraId="11F5650A" w14:textId="77777777" w:rsidR="00615DB5" w:rsidRDefault="00615DB5" w:rsidP="00154A3C">
            <w:pPr>
              <w:pStyle w:val="Tabletext1"/>
            </w:pPr>
            <w:r>
              <w:t xml:space="preserve">[I] 2344 </w:t>
            </w:r>
          </w:p>
          <w:p w14:paraId="0E31ECF4" w14:textId="77777777" w:rsidR="00615DB5" w:rsidRPr="00A00B9F" w:rsidRDefault="00615DB5" w:rsidP="00154A3C">
            <w:pPr>
              <w:pStyle w:val="Tabletext1"/>
            </w:pPr>
            <w:r>
              <w:t xml:space="preserve">[D] </w:t>
            </w:r>
            <w:r w:rsidRPr="00A00B9F">
              <w:t xml:space="preserve">222 </w:t>
            </w:r>
          </w:p>
        </w:tc>
        <w:tc>
          <w:tcPr>
            <w:tcW w:w="0" w:type="auto"/>
          </w:tcPr>
          <w:p w14:paraId="2C5C0896" w14:textId="77777777" w:rsidR="00615DB5" w:rsidRPr="00A00B9F" w:rsidRDefault="00615DB5" w:rsidP="00154A3C">
            <w:pPr>
              <w:pStyle w:val="Tabletext1"/>
            </w:pPr>
            <w:r>
              <w:t>Total: 100% low</w:t>
            </w:r>
          </w:p>
        </w:tc>
        <w:tc>
          <w:tcPr>
            <w:tcW w:w="0" w:type="auto"/>
          </w:tcPr>
          <w:p w14:paraId="61C221F4" w14:textId="77777777" w:rsidR="00615DB5" w:rsidRPr="00A00B9F" w:rsidRDefault="00615DB5" w:rsidP="00154A3C">
            <w:pPr>
              <w:pStyle w:val="Tabletext1"/>
            </w:pPr>
            <w:r w:rsidRPr="00A00B9F">
              <w:t>.</w:t>
            </w:r>
          </w:p>
        </w:tc>
        <w:tc>
          <w:tcPr>
            <w:tcW w:w="0" w:type="auto"/>
            <w:shd w:val="clear" w:color="auto" w:fill="auto"/>
            <w:hideMark/>
          </w:tcPr>
          <w:p w14:paraId="6F9D8812" w14:textId="77777777" w:rsidR="00615DB5" w:rsidRPr="00A00B9F" w:rsidRDefault="00615DB5" w:rsidP="00154A3C">
            <w:pPr>
              <w:pStyle w:val="Tabletext1"/>
            </w:pPr>
            <w:r w:rsidRPr="00A00B9F">
              <w:t>.</w:t>
            </w:r>
          </w:p>
        </w:tc>
        <w:tc>
          <w:tcPr>
            <w:tcW w:w="0" w:type="auto"/>
            <w:shd w:val="clear" w:color="auto" w:fill="auto"/>
            <w:hideMark/>
          </w:tcPr>
          <w:p w14:paraId="097A131A" w14:textId="77777777" w:rsidR="00615DB5" w:rsidRPr="00A00B9F" w:rsidRDefault="00615DB5" w:rsidP="00154A3C">
            <w:pPr>
              <w:pStyle w:val="Tabletext1"/>
            </w:pPr>
            <w:r w:rsidRPr="00A00B9F">
              <w:t>.</w:t>
            </w:r>
          </w:p>
        </w:tc>
        <w:tc>
          <w:tcPr>
            <w:tcW w:w="0" w:type="auto"/>
            <w:shd w:val="clear" w:color="auto" w:fill="auto"/>
            <w:hideMark/>
          </w:tcPr>
          <w:p w14:paraId="2B3B89F7" w14:textId="77777777" w:rsidR="00615DB5" w:rsidRPr="00A00B9F" w:rsidRDefault="00615DB5" w:rsidP="00154A3C">
            <w:pPr>
              <w:pStyle w:val="Tabletext1"/>
            </w:pPr>
            <w:r w:rsidRPr="00A00B9F">
              <w:t>.</w:t>
            </w:r>
          </w:p>
        </w:tc>
        <w:tc>
          <w:tcPr>
            <w:tcW w:w="0" w:type="auto"/>
            <w:shd w:val="clear" w:color="auto" w:fill="auto"/>
            <w:hideMark/>
          </w:tcPr>
          <w:p w14:paraId="26288114" w14:textId="77777777" w:rsidR="00615DB5" w:rsidRPr="00A00B9F" w:rsidRDefault="00615DB5" w:rsidP="00154A3C">
            <w:pPr>
              <w:pStyle w:val="Tabletext1"/>
            </w:pPr>
            <w:r w:rsidRPr="00A00B9F">
              <w:t>NS</w:t>
            </w:r>
          </w:p>
        </w:tc>
        <w:tc>
          <w:tcPr>
            <w:tcW w:w="0" w:type="auto"/>
            <w:shd w:val="clear" w:color="auto" w:fill="auto"/>
            <w:hideMark/>
          </w:tcPr>
          <w:p w14:paraId="7AECA684" w14:textId="77777777" w:rsidR="00615DB5" w:rsidRPr="00A00B9F" w:rsidRDefault="00615DB5" w:rsidP="00154A3C">
            <w:pPr>
              <w:pStyle w:val="Tabletext1"/>
            </w:pPr>
            <w:r w:rsidRPr="00A00B9F">
              <w:t>.</w:t>
            </w:r>
          </w:p>
        </w:tc>
        <w:tc>
          <w:tcPr>
            <w:tcW w:w="0" w:type="auto"/>
            <w:shd w:val="clear" w:color="auto" w:fill="auto"/>
            <w:hideMark/>
          </w:tcPr>
          <w:p w14:paraId="63BD1661" w14:textId="77777777" w:rsidR="00615DB5" w:rsidRPr="00A00B9F" w:rsidRDefault="00615DB5" w:rsidP="00154A3C">
            <w:pPr>
              <w:pStyle w:val="Tabletext1"/>
            </w:pPr>
            <w:r w:rsidRPr="00A00B9F">
              <w:t>NS</w:t>
            </w:r>
          </w:p>
        </w:tc>
        <w:tc>
          <w:tcPr>
            <w:tcW w:w="0" w:type="auto"/>
            <w:shd w:val="clear" w:color="auto" w:fill="auto"/>
            <w:hideMark/>
          </w:tcPr>
          <w:p w14:paraId="68106DD0" w14:textId="4C9C192C" w:rsidR="00615DB5" w:rsidRPr="00A00B9F" w:rsidRDefault="00615DB5" w:rsidP="00154A3C">
            <w:pPr>
              <w:pStyle w:val="Tabletext1"/>
            </w:pPr>
            <w:r w:rsidRPr="00A00B9F">
              <w:t>25% vs</w:t>
            </w:r>
            <w:r w:rsidR="008864FF">
              <w:t>.</w:t>
            </w:r>
            <w:r w:rsidRPr="00A00B9F">
              <w:t xml:space="preserve"> 38% p&lt;0.001</w:t>
            </w:r>
          </w:p>
        </w:tc>
      </w:tr>
      <w:tr w:rsidR="00615DB5" w:rsidRPr="00A00B9F" w14:paraId="35AF8C1A" w14:textId="77777777" w:rsidTr="00154A3C">
        <w:trPr>
          <w:cantSplit/>
          <w:trHeight w:val="600"/>
        </w:trPr>
        <w:tc>
          <w:tcPr>
            <w:tcW w:w="0" w:type="auto"/>
            <w:shd w:val="clear" w:color="auto" w:fill="auto"/>
            <w:hideMark/>
          </w:tcPr>
          <w:p w14:paraId="2F0ADAFE" w14:textId="77777777" w:rsidR="00615DB5" w:rsidRPr="00A00B9F" w:rsidRDefault="00615DB5" w:rsidP="00154A3C">
            <w:pPr>
              <w:pStyle w:val="Tabletext1"/>
            </w:pPr>
            <w:r w:rsidRPr="00A00B9F">
              <w:t xml:space="preserve">Khan et al. </w:t>
            </w:r>
          </w:p>
        </w:tc>
        <w:tc>
          <w:tcPr>
            <w:tcW w:w="0" w:type="auto"/>
            <w:shd w:val="clear" w:color="auto" w:fill="auto"/>
            <w:hideMark/>
          </w:tcPr>
          <w:p w14:paraId="4E800376" w14:textId="2D7DEBBA" w:rsidR="00615DB5" w:rsidRDefault="00615DB5" w:rsidP="00154A3C">
            <w:pPr>
              <w:pStyle w:val="Tabletext1"/>
            </w:pPr>
            <w:r>
              <w:t>[I] &lt;2</w:t>
            </w:r>
            <w:r w:rsidR="008864FF">
              <w:t xml:space="preserve"> </w:t>
            </w:r>
            <w:r>
              <w:t xml:space="preserve">months </w:t>
            </w:r>
          </w:p>
          <w:p w14:paraId="2011A0C2" w14:textId="77777777" w:rsidR="00615DB5" w:rsidRPr="00A00B9F" w:rsidRDefault="00615DB5" w:rsidP="00154A3C">
            <w:pPr>
              <w:pStyle w:val="Tabletext1"/>
            </w:pPr>
            <w:r>
              <w:t>[D]</w:t>
            </w:r>
            <w:r w:rsidRPr="00A00B9F">
              <w:t xml:space="preserve"> &gt;2 months</w:t>
            </w:r>
          </w:p>
        </w:tc>
        <w:tc>
          <w:tcPr>
            <w:tcW w:w="0" w:type="auto"/>
          </w:tcPr>
          <w:p w14:paraId="5F50F29D" w14:textId="77777777" w:rsidR="00615DB5" w:rsidRPr="00A00B9F" w:rsidRDefault="00615DB5" w:rsidP="00154A3C">
            <w:pPr>
              <w:pStyle w:val="Tabletext1"/>
            </w:pPr>
            <w:r>
              <w:t>10 years</w:t>
            </w:r>
          </w:p>
        </w:tc>
        <w:tc>
          <w:tcPr>
            <w:tcW w:w="0" w:type="auto"/>
            <w:shd w:val="clear" w:color="auto" w:fill="auto"/>
            <w:hideMark/>
          </w:tcPr>
          <w:p w14:paraId="3F785D75" w14:textId="77777777" w:rsidR="00615DB5" w:rsidRDefault="00615DB5" w:rsidP="00154A3C">
            <w:pPr>
              <w:pStyle w:val="Tabletext1"/>
            </w:pPr>
            <w:r>
              <w:t xml:space="preserve">[I] 162 </w:t>
            </w:r>
          </w:p>
          <w:p w14:paraId="07A624FA" w14:textId="77777777" w:rsidR="00615DB5" w:rsidRPr="00A00B9F" w:rsidRDefault="00615DB5" w:rsidP="00154A3C">
            <w:pPr>
              <w:pStyle w:val="Tabletext1"/>
            </w:pPr>
            <w:r>
              <w:t>[D]</w:t>
            </w:r>
            <w:r w:rsidRPr="00A00B9F">
              <w:t xml:space="preserve"> 764 </w:t>
            </w:r>
          </w:p>
        </w:tc>
        <w:tc>
          <w:tcPr>
            <w:tcW w:w="0" w:type="auto"/>
          </w:tcPr>
          <w:p w14:paraId="0BE54BA3" w14:textId="77777777" w:rsidR="00615DB5" w:rsidRDefault="00615DB5" w:rsidP="00154A3C">
            <w:pPr>
              <w:pStyle w:val="Tabletext1"/>
            </w:pPr>
            <w:r>
              <w:t>Total:</w:t>
            </w:r>
          </w:p>
          <w:p w14:paraId="76936442" w14:textId="77777777" w:rsidR="00615DB5" w:rsidRPr="00A00B9F" w:rsidRDefault="00615DB5" w:rsidP="00154A3C">
            <w:pPr>
              <w:pStyle w:val="Tabletext1"/>
            </w:pPr>
            <w:r>
              <w:t>&lt;5% high risk</w:t>
            </w:r>
          </w:p>
        </w:tc>
        <w:tc>
          <w:tcPr>
            <w:tcW w:w="0" w:type="auto"/>
          </w:tcPr>
          <w:p w14:paraId="0F7A3316" w14:textId="77777777" w:rsidR="00615DB5" w:rsidRPr="00A00B9F" w:rsidRDefault="00615DB5" w:rsidP="00154A3C">
            <w:pPr>
              <w:pStyle w:val="Tabletext1"/>
            </w:pPr>
            <w:r w:rsidRPr="00A00B9F">
              <w:t>.</w:t>
            </w:r>
          </w:p>
        </w:tc>
        <w:tc>
          <w:tcPr>
            <w:tcW w:w="0" w:type="auto"/>
            <w:shd w:val="clear" w:color="auto" w:fill="auto"/>
            <w:hideMark/>
          </w:tcPr>
          <w:p w14:paraId="5E069740" w14:textId="77777777" w:rsidR="00615DB5" w:rsidRPr="00A00B9F" w:rsidRDefault="00615DB5" w:rsidP="00154A3C">
            <w:pPr>
              <w:pStyle w:val="Tabletext1"/>
            </w:pPr>
            <w:r w:rsidRPr="00A00B9F">
              <w:t>.</w:t>
            </w:r>
          </w:p>
        </w:tc>
        <w:tc>
          <w:tcPr>
            <w:tcW w:w="0" w:type="auto"/>
            <w:shd w:val="clear" w:color="auto" w:fill="auto"/>
            <w:hideMark/>
          </w:tcPr>
          <w:p w14:paraId="3DE55E4C" w14:textId="77777777" w:rsidR="00615DB5" w:rsidRPr="00A00B9F" w:rsidRDefault="00615DB5" w:rsidP="00154A3C">
            <w:pPr>
              <w:pStyle w:val="Tabletext1"/>
            </w:pPr>
            <w:r w:rsidRPr="00A00B9F">
              <w:t>.</w:t>
            </w:r>
          </w:p>
        </w:tc>
        <w:tc>
          <w:tcPr>
            <w:tcW w:w="0" w:type="auto"/>
            <w:shd w:val="clear" w:color="auto" w:fill="auto"/>
            <w:hideMark/>
          </w:tcPr>
          <w:p w14:paraId="235F609A" w14:textId="77777777" w:rsidR="00615DB5" w:rsidRPr="00A00B9F" w:rsidRDefault="00615DB5" w:rsidP="00154A3C">
            <w:pPr>
              <w:pStyle w:val="Tabletext1"/>
            </w:pPr>
            <w:r w:rsidRPr="00A00B9F">
              <w:t>NS</w:t>
            </w:r>
          </w:p>
        </w:tc>
        <w:tc>
          <w:tcPr>
            <w:tcW w:w="0" w:type="auto"/>
            <w:shd w:val="clear" w:color="auto" w:fill="auto"/>
            <w:hideMark/>
          </w:tcPr>
          <w:p w14:paraId="1D09C95E" w14:textId="77777777" w:rsidR="00615DB5" w:rsidRPr="00A00B9F" w:rsidRDefault="00615DB5" w:rsidP="00154A3C">
            <w:pPr>
              <w:pStyle w:val="Tabletext1"/>
            </w:pPr>
            <w:r w:rsidRPr="00A00B9F">
              <w:t>.</w:t>
            </w:r>
          </w:p>
        </w:tc>
        <w:tc>
          <w:tcPr>
            <w:tcW w:w="0" w:type="auto"/>
            <w:shd w:val="clear" w:color="auto" w:fill="auto"/>
            <w:hideMark/>
          </w:tcPr>
          <w:p w14:paraId="1B7ED153" w14:textId="77777777" w:rsidR="00615DB5" w:rsidRPr="00A00B9F" w:rsidRDefault="00615DB5" w:rsidP="00154A3C">
            <w:pPr>
              <w:pStyle w:val="Tabletext1"/>
            </w:pPr>
            <w:r w:rsidRPr="00A00B9F">
              <w:t>NS</w:t>
            </w:r>
          </w:p>
        </w:tc>
        <w:tc>
          <w:tcPr>
            <w:tcW w:w="0" w:type="auto"/>
            <w:shd w:val="clear" w:color="auto" w:fill="auto"/>
            <w:hideMark/>
          </w:tcPr>
          <w:p w14:paraId="6B311D24" w14:textId="77777777" w:rsidR="00615DB5" w:rsidRPr="00A00B9F" w:rsidRDefault="00615DB5" w:rsidP="00154A3C">
            <w:pPr>
              <w:pStyle w:val="Tabletext1"/>
            </w:pPr>
            <w:r w:rsidRPr="00A00B9F">
              <w:t>.</w:t>
            </w:r>
          </w:p>
        </w:tc>
        <w:tc>
          <w:tcPr>
            <w:tcW w:w="0" w:type="auto"/>
            <w:shd w:val="clear" w:color="auto" w:fill="auto"/>
            <w:hideMark/>
          </w:tcPr>
          <w:p w14:paraId="5637CC90" w14:textId="77777777" w:rsidR="00615DB5" w:rsidRPr="00A00B9F" w:rsidRDefault="00615DB5" w:rsidP="00154A3C">
            <w:pPr>
              <w:pStyle w:val="Tabletext1"/>
            </w:pPr>
            <w:r w:rsidRPr="00A00B9F">
              <w:t>.</w:t>
            </w:r>
          </w:p>
        </w:tc>
      </w:tr>
      <w:tr w:rsidR="00615DB5" w:rsidRPr="00A00B9F" w14:paraId="67C748DC" w14:textId="77777777" w:rsidTr="00154A3C">
        <w:trPr>
          <w:cantSplit/>
          <w:trHeight w:val="600"/>
        </w:trPr>
        <w:tc>
          <w:tcPr>
            <w:tcW w:w="0" w:type="auto"/>
            <w:shd w:val="clear" w:color="auto" w:fill="auto"/>
            <w:hideMark/>
          </w:tcPr>
          <w:p w14:paraId="2A9E887B" w14:textId="77777777" w:rsidR="00615DB5" w:rsidRPr="00A00B9F" w:rsidRDefault="00615DB5" w:rsidP="00154A3C">
            <w:pPr>
              <w:pStyle w:val="Tabletext1"/>
            </w:pPr>
            <w:r w:rsidRPr="00A00B9F">
              <w:t>Korets et al.</w:t>
            </w:r>
          </w:p>
        </w:tc>
        <w:tc>
          <w:tcPr>
            <w:tcW w:w="0" w:type="auto"/>
            <w:shd w:val="clear" w:color="auto" w:fill="auto"/>
            <w:hideMark/>
          </w:tcPr>
          <w:p w14:paraId="1EE691A8" w14:textId="77777777" w:rsidR="00615DB5" w:rsidRDefault="00615DB5" w:rsidP="00154A3C">
            <w:pPr>
              <w:pStyle w:val="Tabletext1"/>
            </w:pPr>
            <w:r>
              <w:t xml:space="preserve">[I] &lt; 2months [D1] </w:t>
            </w:r>
            <w:r w:rsidRPr="00A00B9F">
              <w:t>2-3 month</w:t>
            </w:r>
            <w:r>
              <w:t>s</w:t>
            </w:r>
          </w:p>
          <w:p w14:paraId="0E6E8BA3" w14:textId="52C910D7" w:rsidR="00615DB5" w:rsidRPr="00A00B9F" w:rsidRDefault="00615DB5" w:rsidP="00154A3C">
            <w:pPr>
              <w:pStyle w:val="Tabletext1"/>
            </w:pPr>
            <w:r>
              <w:t>[D2]</w:t>
            </w:r>
            <w:r w:rsidR="008864FF">
              <w:t xml:space="preserve"> </w:t>
            </w:r>
            <w:r w:rsidRPr="00A00B9F">
              <w:t>&gt;3 months</w:t>
            </w:r>
          </w:p>
        </w:tc>
        <w:tc>
          <w:tcPr>
            <w:tcW w:w="0" w:type="auto"/>
          </w:tcPr>
          <w:p w14:paraId="41EFA922" w14:textId="77777777" w:rsidR="00615DB5" w:rsidRPr="00A00B9F" w:rsidRDefault="00615DB5" w:rsidP="00154A3C">
            <w:pPr>
              <w:pStyle w:val="Tabletext1"/>
            </w:pPr>
            <w:r>
              <w:t>Median 64 months (IQR 30, 93)</w:t>
            </w:r>
          </w:p>
        </w:tc>
        <w:tc>
          <w:tcPr>
            <w:tcW w:w="0" w:type="auto"/>
            <w:shd w:val="clear" w:color="auto" w:fill="auto"/>
            <w:hideMark/>
          </w:tcPr>
          <w:p w14:paraId="22384AAE" w14:textId="77777777" w:rsidR="00615DB5" w:rsidRDefault="00615DB5" w:rsidP="00154A3C">
            <w:pPr>
              <w:pStyle w:val="Tabletext1"/>
            </w:pPr>
            <w:r>
              <w:t xml:space="preserve">[I] 1098 </w:t>
            </w:r>
          </w:p>
          <w:p w14:paraId="6495BA11" w14:textId="77777777" w:rsidR="00615DB5" w:rsidRDefault="00615DB5" w:rsidP="00154A3C">
            <w:pPr>
              <w:pStyle w:val="Tabletext1"/>
            </w:pPr>
            <w:r>
              <w:t xml:space="preserve">[D1] 303 </w:t>
            </w:r>
          </w:p>
          <w:p w14:paraId="5F101B9B" w14:textId="77777777" w:rsidR="00615DB5" w:rsidRPr="00A00B9F" w:rsidRDefault="00615DB5" w:rsidP="00154A3C">
            <w:pPr>
              <w:pStyle w:val="Tabletext1"/>
            </w:pPr>
            <w:r>
              <w:t>[D2] 167</w:t>
            </w:r>
          </w:p>
        </w:tc>
        <w:tc>
          <w:tcPr>
            <w:tcW w:w="0" w:type="auto"/>
          </w:tcPr>
          <w:p w14:paraId="07FFE5B3" w14:textId="77777777" w:rsidR="00615DB5" w:rsidRDefault="00615DB5" w:rsidP="00154A3C">
            <w:pPr>
              <w:pStyle w:val="Tabletext1"/>
            </w:pPr>
            <w:r>
              <w:t>[I] 34% low, 54% int, 12% high</w:t>
            </w:r>
          </w:p>
          <w:p w14:paraId="7F1BB613" w14:textId="77777777" w:rsidR="00615DB5" w:rsidRDefault="00615DB5" w:rsidP="00154A3C">
            <w:pPr>
              <w:pStyle w:val="Tabletext1"/>
            </w:pPr>
            <w:r>
              <w:t>[D1] 37% low, 54% int, 9% high</w:t>
            </w:r>
          </w:p>
          <w:p w14:paraId="652503FE" w14:textId="77777777" w:rsidR="00615DB5" w:rsidRPr="00A00B9F" w:rsidRDefault="00615DB5" w:rsidP="00154A3C">
            <w:pPr>
              <w:pStyle w:val="Tabletext1"/>
            </w:pPr>
            <w:r>
              <w:t>[D2] 48% low, 47% int, 5% high</w:t>
            </w:r>
          </w:p>
        </w:tc>
        <w:tc>
          <w:tcPr>
            <w:tcW w:w="0" w:type="auto"/>
          </w:tcPr>
          <w:p w14:paraId="5817024F" w14:textId="77777777" w:rsidR="00615DB5" w:rsidRPr="00A00B9F" w:rsidRDefault="00615DB5" w:rsidP="00154A3C">
            <w:pPr>
              <w:pStyle w:val="Tabletext1"/>
            </w:pPr>
            <w:r w:rsidRPr="00A00B9F">
              <w:t xml:space="preserve">NS </w:t>
            </w:r>
          </w:p>
        </w:tc>
        <w:tc>
          <w:tcPr>
            <w:tcW w:w="0" w:type="auto"/>
            <w:shd w:val="clear" w:color="auto" w:fill="auto"/>
            <w:hideMark/>
          </w:tcPr>
          <w:p w14:paraId="05C08524" w14:textId="77777777" w:rsidR="00615DB5" w:rsidRPr="00A00B9F" w:rsidRDefault="00615DB5" w:rsidP="00154A3C">
            <w:pPr>
              <w:pStyle w:val="Tabletext1"/>
            </w:pPr>
            <w:r w:rsidRPr="00A00B9F">
              <w:t>.</w:t>
            </w:r>
          </w:p>
        </w:tc>
        <w:tc>
          <w:tcPr>
            <w:tcW w:w="0" w:type="auto"/>
            <w:shd w:val="clear" w:color="auto" w:fill="auto"/>
            <w:hideMark/>
          </w:tcPr>
          <w:p w14:paraId="45C073E5" w14:textId="77777777" w:rsidR="00615DB5" w:rsidRPr="00A00B9F" w:rsidRDefault="00615DB5" w:rsidP="00154A3C">
            <w:pPr>
              <w:pStyle w:val="Tabletext1"/>
            </w:pPr>
            <w:r w:rsidRPr="00A00B9F">
              <w:t>.</w:t>
            </w:r>
          </w:p>
        </w:tc>
        <w:tc>
          <w:tcPr>
            <w:tcW w:w="0" w:type="auto"/>
            <w:shd w:val="clear" w:color="auto" w:fill="auto"/>
            <w:hideMark/>
          </w:tcPr>
          <w:p w14:paraId="032AEC6A" w14:textId="77777777" w:rsidR="00615DB5" w:rsidRPr="00A00B9F" w:rsidRDefault="00615DB5" w:rsidP="00154A3C">
            <w:pPr>
              <w:pStyle w:val="Tabletext1"/>
            </w:pPr>
            <w:r w:rsidRPr="00A00B9F">
              <w:t>NS</w:t>
            </w:r>
          </w:p>
        </w:tc>
        <w:tc>
          <w:tcPr>
            <w:tcW w:w="0" w:type="auto"/>
            <w:shd w:val="clear" w:color="auto" w:fill="auto"/>
            <w:hideMark/>
          </w:tcPr>
          <w:p w14:paraId="20BC5848" w14:textId="77777777" w:rsidR="00615DB5" w:rsidRPr="00A00B9F" w:rsidRDefault="00615DB5" w:rsidP="00154A3C">
            <w:pPr>
              <w:pStyle w:val="Tabletext1"/>
            </w:pPr>
            <w:r>
              <w:t>NS</w:t>
            </w:r>
          </w:p>
        </w:tc>
        <w:tc>
          <w:tcPr>
            <w:tcW w:w="0" w:type="auto"/>
            <w:shd w:val="clear" w:color="auto" w:fill="auto"/>
            <w:hideMark/>
          </w:tcPr>
          <w:p w14:paraId="7493775B" w14:textId="77777777" w:rsidR="00615DB5" w:rsidRPr="00A00B9F" w:rsidRDefault="00615DB5" w:rsidP="00154A3C">
            <w:pPr>
              <w:pStyle w:val="Tabletext1"/>
            </w:pPr>
            <w:r>
              <w:t>NS</w:t>
            </w:r>
          </w:p>
        </w:tc>
        <w:tc>
          <w:tcPr>
            <w:tcW w:w="0" w:type="auto"/>
            <w:shd w:val="clear" w:color="auto" w:fill="auto"/>
            <w:hideMark/>
          </w:tcPr>
          <w:p w14:paraId="5856CD8D" w14:textId="77777777" w:rsidR="00615DB5" w:rsidRPr="00A00B9F" w:rsidRDefault="00615DB5" w:rsidP="00154A3C">
            <w:pPr>
              <w:pStyle w:val="Tabletext1"/>
            </w:pPr>
            <w:r w:rsidRPr="00A00B9F">
              <w:t>.</w:t>
            </w:r>
          </w:p>
        </w:tc>
        <w:tc>
          <w:tcPr>
            <w:tcW w:w="0" w:type="auto"/>
            <w:shd w:val="clear" w:color="auto" w:fill="auto"/>
            <w:hideMark/>
          </w:tcPr>
          <w:p w14:paraId="15187EDB" w14:textId="77777777" w:rsidR="00615DB5" w:rsidRPr="00A00B9F" w:rsidRDefault="00615DB5" w:rsidP="00154A3C">
            <w:pPr>
              <w:pStyle w:val="Tabletext1"/>
            </w:pPr>
            <w:r>
              <w:t>NS</w:t>
            </w:r>
          </w:p>
        </w:tc>
      </w:tr>
      <w:tr w:rsidR="00615DB5" w:rsidRPr="00A00B9F" w14:paraId="61E5761C" w14:textId="77777777" w:rsidTr="00154A3C">
        <w:trPr>
          <w:cantSplit/>
          <w:trHeight w:val="900"/>
        </w:trPr>
        <w:tc>
          <w:tcPr>
            <w:tcW w:w="0" w:type="auto"/>
            <w:shd w:val="clear" w:color="auto" w:fill="auto"/>
            <w:hideMark/>
          </w:tcPr>
          <w:p w14:paraId="63430DB1" w14:textId="77777777" w:rsidR="00615DB5" w:rsidRPr="00A00B9F" w:rsidRDefault="00615DB5" w:rsidP="00154A3C">
            <w:pPr>
              <w:pStyle w:val="Tabletext1"/>
            </w:pPr>
            <w:r w:rsidRPr="00A00B9F">
              <w:lastRenderedPageBreak/>
              <w:t>Kwan et al.</w:t>
            </w:r>
          </w:p>
        </w:tc>
        <w:tc>
          <w:tcPr>
            <w:tcW w:w="0" w:type="auto"/>
            <w:shd w:val="clear" w:color="auto" w:fill="auto"/>
            <w:hideMark/>
          </w:tcPr>
          <w:p w14:paraId="1E711D1D" w14:textId="12B9A6F7" w:rsidR="00615DB5" w:rsidRDefault="008864FF" w:rsidP="00154A3C">
            <w:pPr>
              <w:pStyle w:val="Tabletext1"/>
            </w:pPr>
            <w:r>
              <w:t>[I] &lt;</w:t>
            </w:r>
            <w:r w:rsidR="00615DB5">
              <w:t xml:space="preserve">3.7 months </w:t>
            </w:r>
          </w:p>
          <w:p w14:paraId="7476A4E5" w14:textId="77777777" w:rsidR="00615DB5" w:rsidRPr="00A00B9F" w:rsidRDefault="00615DB5" w:rsidP="00154A3C">
            <w:pPr>
              <w:pStyle w:val="Tabletext1"/>
            </w:pPr>
            <w:r>
              <w:t xml:space="preserve">[D] </w:t>
            </w:r>
            <w:r w:rsidRPr="00A00B9F">
              <w:t>&gt;3.7 months</w:t>
            </w:r>
          </w:p>
        </w:tc>
        <w:tc>
          <w:tcPr>
            <w:tcW w:w="0" w:type="auto"/>
          </w:tcPr>
          <w:p w14:paraId="06A0CA59" w14:textId="77777777" w:rsidR="00615DB5" w:rsidRPr="00A00B9F" w:rsidRDefault="00615DB5" w:rsidP="00154A3C">
            <w:pPr>
              <w:pStyle w:val="Tabletext1"/>
            </w:pPr>
            <w:r>
              <w:t>Median 49 months</w:t>
            </w:r>
          </w:p>
        </w:tc>
        <w:tc>
          <w:tcPr>
            <w:tcW w:w="0" w:type="auto"/>
            <w:shd w:val="clear" w:color="auto" w:fill="auto"/>
            <w:hideMark/>
          </w:tcPr>
          <w:p w14:paraId="617F740C" w14:textId="77777777" w:rsidR="00615DB5" w:rsidRDefault="00615DB5" w:rsidP="00154A3C">
            <w:pPr>
              <w:pStyle w:val="Tabletext1"/>
            </w:pPr>
            <w:r>
              <w:t xml:space="preserve">[I] 512 </w:t>
            </w:r>
          </w:p>
          <w:p w14:paraId="7193E7A4" w14:textId="77777777" w:rsidR="00615DB5" w:rsidRPr="00A00B9F" w:rsidRDefault="00615DB5" w:rsidP="00154A3C">
            <w:pPr>
              <w:pStyle w:val="Tabletext1"/>
            </w:pPr>
            <w:r>
              <w:t>[D] 512</w:t>
            </w:r>
          </w:p>
        </w:tc>
        <w:tc>
          <w:tcPr>
            <w:tcW w:w="0" w:type="auto"/>
          </w:tcPr>
          <w:p w14:paraId="522A8560" w14:textId="77777777" w:rsidR="00615DB5" w:rsidRDefault="00615DB5" w:rsidP="00154A3C">
            <w:pPr>
              <w:pStyle w:val="Tabletext1"/>
            </w:pPr>
            <w:r>
              <w:t>Total</w:t>
            </w:r>
          </w:p>
          <w:p w14:paraId="444B8506" w14:textId="77777777" w:rsidR="00615DB5" w:rsidRPr="00A00B9F" w:rsidRDefault="00615DB5" w:rsidP="00154A3C">
            <w:pPr>
              <w:pStyle w:val="Tabletext1"/>
            </w:pPr>
            <w:r>
              <w:t>26% low, 47% int, 27% high</w:t>
            </w:r>
          </w:p>
        </w:tc>
        <w:tc>
          <w:tcPr>
            <w:tcW w:w="0" w:type="auto"/>
          </w:tcPr>
          <w:p w14:paraId="203B0628" w14:textId="77777777" w:rsidR="00615DB5" w:rsidRPr="00A00B9F" w:rsidRDefault="00615DB5" w:rsidP="00154A3C">
            <w:pPr>
              <w:pStyle w:val="Tabletext1"/>
            </w:pPr>
            <w:r w:rsidRPr="00A00B9F">
              <w:t>.</w:t>
            </w:r>
          </w:p>
        </w:tc>
        <w:tc>
          <w:tcPr>
            <w:tcW w:w="0" w:type="auto"/>
            <w:shd w:val="clear" w:color="auto" w:fill="auto"/>
            <w:hideMark/>
          </w:tcPr>
          <w:p w14:paraId="1367F13E" w14:textId="77777777" w:rsidR="00615DB5" w:rsidRPr="00A00B9F" w:rsidRDefault="00615DB5" w:rsidP="00154A3C">
            <w:pPr>
              <w:pStyle w:val="Tabletext1"/>
            </w:pPr>
            <w:r w:rsidRPr="00A00B9F">
              <w:t>.</w:t>
            </w:r>
          </w:p>
        </w:tc>
        <w:tc>
          <w:tcPr>
            <w:tcW w:w="0" w:type="auto"/>
            <w:shd w:val="clear" w:color="auto" w:fill="auto"/>
            <w:hideMark/>
          </w:tcPr>
          <w:p w14:paraId="159EA0A8" w14:textId="77777777" w:rsidR="00615DB5" w:rsidRPr="00A00B9F" w:rsidRDefault="00615DB5" w:rsidP="00154A3C">
            <w:pPr>
              <w:pStyle w:val="Tabletext1"/>
            </w:pPr>
            <w:r w:rsidRPr="00A00B9F">
              <w:t>.</w:t>
            </w:r>
          </w:p>
        </w:tc>
        <w:tc>
          <w:tcPr>
            <w:tcW w:w="0" w:type="auto"/>
            <w:shd w:val="clear" w:color="auto" w:fill="auto"/>
            <w:hideMark/>
          </w:tcPr>
          <w:p w14:paraId="01860B4D" w14:textId="77777777" w:rsidR="00615DB5" w:rsidRPr="00A00B9F" w:rsidRDefault="00615DB5" w:rsidP="00154A3C">
            <w:pPr>
              <w:pStyle w:val="Tabletext1"/>
            </w:pPr>
            <w:r w:rsidRPr="00A00B9F">
              <w:t>NS</w:t>
            </w:r>
          </w:p>
        </w:tc>
        <w:tc>
          <w:tcPr>
            <w:tcW w:w="0" w:type="auto"/>
            <w:shd w:val="clear" w:color="auto" w:fill="auto"/>
            <w:hideMark/>
          </w:tcPr>
          <w:p w14:paraId="0E6C3A47" w14:textId="77777777" w:rsidR="00615DB5" w:rsidRPr="00A00B9F" w:rsidRDefault="00615DB5" w:rsidP="00154A3C">
            <w:pPr>
              <w:pStyle w:val="Tabletext1"/>
            </w:pPr>
            <w:r w:rsidRPr="00A00B9F">
              <w:t>.</w:t>
            </w:r>
          </w:p>
        </w:tc>
        <w:tc>
          <w:tcPr>
            <w:tcW w:w="0" w:type="auto"/>
            <w:shd w:val="clear" w:color="auto" w:fill="auto"/>
            <w:hideMark/>
          </w:tcPr>
          <w:p w14:paraId="69047D33" w14:textId="77777777" w:rsidR="00615DB5" w:rsidRPr="00A00B9F" w:rsidRDefault="00615DB5" w:rsidP="00154A3C">
            <w:pPr>
              <w:pStyle w:val="Tabletext1"/>
            </w:pPr>
            <w:r w:rsidRPr="00A00B9F">
              <w:t>.</w:t>
            </w:r>
          </w:p>
        </w:tc>
        <w:tc>
          <w:tcPr>
            <w:tcW w:w="0" w:type="auto"/>
            <w:shd w:val="clear" w:color="auto" w:fill="auto"/>
            <w:hideMark/>
          </w:tcPr>
          <w:p w14:paraId="6C43F6D6" w14:textId="77777777" w:rsidR="00615DB5" w:rsidRPr="00A00B9F" w:rsidRDefault="00615DB5" w:rsidP="00154A3C">
            <w:pPr>
              <w:pStyle w:val="Tabletext1"/>
            </w:pPr>
            <w:r w:rsidRPr="00A00B9F">
              <w:t>.</w:t>
            </w:r>
          </w:p>
        </w:tc>
        <w:tc>
          <w:tcPr>
            <w:tcW w:w="0" w:type="auto"/>
            <w:shd w:val="clear" w:color="auto" w:fill="auto"/>
            <w:hideMark/>
          </w:tcPr>
          <w:p w14:paraId="06616828" w14:textId="77777777" w:rsidR="00615DB5" w:rsidRPr="00A00B9F" w:rsidRDefault="00615DB5" w:rsidP="00154A3C">
            <w:pPr>
              <w:pStyle w:val="Tabletext1"/>
            </w:pPr>
            <w:r w:rsidRPr="00A00B9F">
              <w:t>.</w:t>
            </w:r>
          </w:p>
        </w:tc>
      </w:tr>
      <w:tr w:rsidR="00615DB5" w:rsidRPr="00A00B9F" w14:paraId="39E42885" w14:textId="77777777" w:rsidTr="00154A3C">
        <w:trPr>
          <w:cantSplit/>
          <w:trHeight w:val="300"/>
        </w:trPr>
        <w:tc>
          <w:tcPr>
            <w:tcW w:w="0" w:type="auto"/>
            <w:shd w:val="clear" w:color="auto" w:fill="auto"/>
            <w:hideMark/>
          </w:tcPr>
          <w:p w14:paraId="3AF0F720" w14:textId="77777777" w:rsidR="00615DB5" w:rsidRPr="00A00B9F" w:rsidRDefault="00615DB5" w:rsidP="00154A3C">
            <w:pPr>
              <w:pStyle w:val="Tabletext1"/>
            </w:pPr>
            <w:r w:rsidRPr="00A00B9F">
              <w:t xml:space="preserve">Lee et al. </w:t>
            </w:r>
          </w:p>
        </w:tc>
        <w:tc>
          <w:tcPr>
            <w:tcW w:w="0" w:type="auto"/>
            <w:shd w:val="clear" w:color="auto" w:fill="auto"/>
            <w:hideMark/>
          </w:tcPr>
          <w:p w14:paraId="49455021" w14:textId="77777777" w:rsidR="00615DB5" w:rsidRDefault="00615DB5" w:rsidP="00154A3C">
            <w:pPr>
              <w:pStyle w:val="Tabletext1"/>
            </w:pPr>
            <w:r>
              <w:t>[I] &lt;56 days</w:t>
            </w:r>
          </w:p>
          <w:p w14:paraId="031FE319" w14:textId="77777777" w:rsidR="00615DB5" w:rsidRPr="00A00B9F" w:rsidRDefault="00615DB5" w:rsidP="00154A3C">
            <w:pPr>
              <w:pStyle w:val="Tabletext1"/>
            </w:pPr>
            <w:r>
              <w:t>[D]</w:t>
            </w:r>
            <w:r w:rsidRPr="00A00B9F">
              <w:t xml:space="preserve"> &gt;56 days</w:t>
            </w:r>
          </w:p>
        </w:tc>
        <w:tc>
          <w:tcPr>
            <w:tcW w:w="0" w:type="auto"/>
          </w:tcPr>
          <w:p w14:paraId="7957F924" w14:textId="77777777" w:rsidR="00615DB5" w:rsidRPr="00A00B9F" w:rsidRDefault="00615DB5" w:rsidP="00154A3C">
            <w:pPr>
              <w:pStyle w:val="Tabletext1"/>
            </w:pPr>
            <w:r>
              <w:t>At least 6 months</w:t>
            </w:r>
          </w:p>
        </w:tc>
        <w:tc>
          <w:tcPr>
            <w:tcW w:w="0" w:type="auto"/>
            <w:shd w:val="clear" w:color="auto" w:fill="auto"/>
            <w:hideMark/>
          </w:tcPr>
          <w:p w14:paraId="3EFDC9B9" w14:textId="77777777" w:rsidR="00615DB5" w:rsidRDefault="00615DB5" w:rsidP="00154A3C">
            <w:pPr>
              <w:pStyle w:val="Tabletext1"/>
            </w:pPr>
            <w:r>
              <w:t xml:space="preserve">[I] 84 </w:t>
            </w:r>
          </w:p>
          <w:p w14:paraId="2930A157" w14:textId="77777777" w:rsidR="00615DB5" w:rsidRPr="00A00B9F" w:rsidRDefault="00615DB5" w:rsidP="00154A3C">
            <w:pPr>
              <w:pStyle w:val="Tabletext1"/>
            </w:pPr>
            <w:r>
              <w:t>[D] 8</w:t>
            </w:r>
            <w:r w:rsidRPr="00A00B9F">
              <w:t>5</w:t>
            </w:r>
          </w:p>
        </w:tc>
        <w:tc>
          <w:tcPr>
            <w:tcW w:w="0" w:type="auto"/>
          </w:tcPr>
          <w:p w14:paraId="49AA45FF" w14:textId="77777777" w:rsidR="00615DB5" w:rsidRPr="00A00B9F" w:rsidRDefault="00615DB5" w:rsidP="00154A3C">
            <w:pPr>
              <w:pStyle w:val="Tabletext1"/>
            </w:pPr>
            <w:r>
              <w:t>NR</w:t>
            </w:r>
          </w:p>
        </w:tc>
        <w:tc>
          <w:tcPr>
            <w:tcW w:w="0" w:type="auto"/>
          </w:tcPr>
          <w:p w14:paraId="244C14BD" w14:textId="77777777" w:rsidR="00615DB5" w:rsidRPr="00A00B9F" w:rsidRDefault="00615DB5" w:rsidP="00154A3C">
            <w:pPr>
              <w:pStyle w:val="Tabletext1"/>
            </w:pPr>
            <w:r w:rsidRPr="00A00B9F">
              <w:t>.</w:t>
            </w:r>
          </w:p>
        </w:tc>
        <w:tc>
          <w:tcPr>
            <w:tcW w:w="0" w:type="auto"/>
            <w:shd w:val="clear" w:color="auto" w:fill="auto"/>
            <w:hideMark/>
          </w:tcPr>
          <w:p w14:paraId="15C46CFB" w14:textId="77777777" w:rsidR="00615DB5" w:rsidRPr="00A00B9F" w:rsidRDefault="00615DB5" w:rsidP="00154A3C">
            <w:pPr>
              <w:pStyle w:val="Tabletext1"/>
            </w:pPr>
            <w:r w:rsidRPr="00A00B9F">
              <w:t>.</w:t>
            </w:r>
          </w:p>
        </w:tc>
        <w:tc>
          <w:tcPr>
            <w:tcW w:w="0" w:type="auto"/>
            <w:shd w:val="clear" w:color="auto" w:fill="auto"/>
            <w:hideMark/>
          </w:tcPr>
          <w:p w14:paraId="2B959640" w14:textId="77777777" w:rsidR="00615DB5" w:rsidRPr="00A00B9F" w:rsidRDefault="00615DB5" w:rsidP="00154A3C">
            <w:pPr>
              <w:pStyle w:val="Tabletext1"/>
            </w:pPr>
            <w:r w:rsidRPr="00A00B9F">
              <w:t>.</w:t>
            </w:r>
          </w:p>
        </w:tc>
        <w:tc>
          <w:tcPr>
            <w:tcW w:w="0" w:type="auto"/>
            <w:shd w:val="clear" w:color="auto" w:fill="auto"/>
            <w:hideMark/>
          </w:tcPr>
          <w:p w14:paraId="24B1F084" w14:textId="77777777" w:rsidR="00615DB5" w:rsidRPr="00A00B9F" w:rsidRDefault="00615DB5" w:rsidP="00154A3C">
            <w:pPr>
              <w:pStyle w:val="Tabletext1"/>
            </w:pPr>
            <w:r w:rsidRPr="00A00B9F">
              <w:t>.</w:t>
            </w:r>
          </w:p>
        </w:tc>
        <w:tc>
          <w:tcPr>
            <w:tcW w:w="0" w:type="auto"/>
            <w:shd w:val="clear" w:color="auto" w:fill="auto"/>
            <w:hideMark/>
          </w:tcPr>
          <w:p w14:paraId="5964B492" w14:textId="77777777" w:rsidR="00615DB5" w:rsidRPr="00A00B9F" w:rsidRDefault="00615DB5" w:rsidP="00154A3C">
            <w:pPr>
              <w:pStyle w:val="Tabletext1"/>
            </w:pPr>
            <w:r w:rsidRPr="00A00B9F">
              <w:t>.</w:t>
            </w:r>
          </w:p>
        </w:tc>
        <w:tc>
          <w:tcPr>
            <w:tcW w:w="0" w:type="auto"/>
            <w:shd w:val="clear" w:color="auto" w:fill="auto"/>
            <w:hideMark/>
          </w:tcPr>
          <w:p w14:paraId="07701CDC" w14:textId="77777777" w:rsidR="00615DB5" w:rsidRPr="00A00B9F" w:rsidRDefault="00615DB5" w:rsidP="00154A3C">
            <w:pPr>
              <w:pStyle w:val="Tabletext1"/>
            </w:pPr>
            <w:r w:rsidRPr="00A00B9F">
              <w:t>.</w:t>
            </w:r>
          </w:p>
        </w:tc>
        <w:tc>
          <w:tcPr>
            <w:tcW w:w="0" w:type="auto"/>
            <w:shd w:val="clear" w:color="auto" w:fill="auto"/>
            <w:hideMark/>
          </w:tcPr>
          <w:p w14:paraId="730FD2E6" w14:textId="77777777" w:rsidR="00615DB5" w:rsidRPr="00A00B9F" w:rsidRDefault="00615DB5" w:rsidP="00154A3C">
            <w:pPr>
              <w:pStyle w:val="Tabletext1"/>
            </w:pPr>
            <w:r w:rsidRPr="00A00B9F">
              <w:t>NS</w:t>
            </w:r>
          </w:p>
        </w:tc>
        <w:tc>
          <w:tcPr>
            <w:tcW w:w="0" w:type="auto"/>
            <w:shd w:val="clear" w:color="auto" w:fill="auto"/>
            <w:hideMark/>
          </w:tcPr>
          <w:p w14:paraId="411ABD7D" w14:textId="77777777" w:rsidR="00615DB5" w:rsidRPr="00A00B9F" w:rsidRDefault="00615DB5" w:rsidP="00154A3C">
            <w:pPr>
              <w:pStyle w:val="Tabletext1"/>
            </w:pPr>
            <w:r w:rsidRPr="00A00B9F">
              <w:t>.</w:t>
            </w:r>
          </w:p>
        </w:tc>
      </w:tr>
      <w:tr w:rsidR="00615DB5" w:rsidRPr="00A00B9F" w14:paraId="13921529" w14:textId="77777777" w:rsidTr="00154A3C">
        <w:trPr>
          <w:cantSplit/>
          <w:trHeight w:val="900"/>
        </w:trPr>
        <w:tc>
          <w:tcPr>
            <w:tcW w:w="0" w:type="auto"/>
            <w:shd w:val="clear" w:color="auto" w:fill="auto"/>
            <w:hideMark/>
          </w:tcPr>
          <w:p w14:paraId="00F3546E" w14:textId="77777777" w:rsidR="00615DB5" w:rsidRPr="00A00B9F" w:rsidRDefault="00615DB5" w:rsidP="00154A3C">
            <w:pPr>
              <w:pStyle w:val="Tabletext1"/>
            </w:pPr>
            <w:r w:rsidRPr="00A00B9F">
              <w:t>Nam et al.</w:t>
            </w:r>
          </w:p>
        </w:tc>
        <w:tc>
          <w:tcPr>
            <w:tcW w:w="0" w:type="auto"/>
            <w:shd w:val="clear" w:color="auto" w:fill="auto"/>
            <w:hideMark/>
          </w:tcPr>
          <w:p w14:paraId="11FAB8D6" w14:textId="77777777" w:rsidR="00615DB5" w:rsidRDefault="00615DB5" w:rsidP="00154A3C">
            <w:pPr>
              <w:pStyle w:val="Tabletext1"/>
            </w:pPr>
            <w:r>
              <w:t xml:space="preserve">[I] &lt;3 months </w:t>
            </w:r>
          </w:p>
          <w:p w14:paraId="5A91980C" w14:textId="77777777" w:rsidR="00615DB5" w:rsidRPr="00A00B9F" w:rsidRDefault="00615DB5" w:rsidP="00154A3C">
            <w:pPr>
              <w:pStyle w:val="Tabletext1"/>
            </w:pPr>
            <w:r>
              <w:t xml:space="preserve">[D] </w:t>
            </w:r>
            <w:r w:rsidRPr="00A00B9F">
              <w:t>&gt;3 months</w:t>
            </w:r>
          </w:p>
        </w:tc>
        <w:tc>
          <w:tcPr>
            <w:tcW w:w="0" w:type="auto"/>
          </w:tcPr>
          <w:p w14:paraId="1E82F371" w14:textId="77777777" w:rsidR="00615DB5" w:rsidRPr="00A00B9F" w:rsidRDefault="00615DB5" w:rsidP="00154A3C">
            <w:pPr>
              <w:pStyle w:val="Tabletext1"/>
            </w:pPr>
            <w:r>
              <w:t>10 years</w:t>
            </w:r>
          </w:p>
        </w:tc>
        <w:tc>
          <w:tcPr>
            <w:tcW w:w="0" w:type="auto"/>
            <w:shd w:val="clear" w:color="auto" w:fill="auto"/>
            <w:hideMark/>
          </w:tcPr>
          <w:p w14:paraId="20C20793" w14:textId="77777777" w:rsidR="00615DB5" w:rsidRDefault="00615DB5" w:rsidP="00154A3C">
            <w:pPr>
              <w:pStyle w:val="Tabletext1"/>
            </w:pPr>
            <w:r>
              <w:t xml:space="preserve">[I] 456 </w:t>
            </w:r>
          </w:p>
          <w:p w14:paraId="4EA95DDB" w14:textId="77777777" w:rsidR="00615DB5" w:rsidRPr="00A00B9F" w:rsidRDefault="00615DB5" w:rsidP="00154A3C">
            <w:pPr>
              <w:pStyle w:val="Tabletext1"/>
            </w:pPr>
            <w:r>
              <w:t>[D] 189</w:t>
            </w:r>
          </w:p>
        </w:tc>
        <w:tc>
          <w:tcPr>
            <w:tcW w:w="0" w:type="auto"/>
          </w:tcPr>
          <w:p w14:paraId="52827106" w14:textId="77777777" w:rsidR="00615DB5" w:rsidRPr="00A00B9F" w:rsidRDefault="00615DB5" w:rsidP="00154A3C">
            <w:pPr>
              <w:pStyle w:val="Tabletext1"/>
            </w:pPr>
            <w:r>
              <w:t>10.2% high risk</w:t>
            </w:r>
          </w:p>
        </w:tc>
        <w:tc>
          <w:tcPr>
            <w:tcW w:w="0" w:type="auto"/>
          </w:tcPr>
          <w:p w14:paraId="7136E48B" w14:textId="77777777" w:rsidR="00615DB5" w:rsidRPr="00A00B9F" w:rsidRDefault="00615DB5" w:rsidP="00154A3C">
            <w:pPr>
              <w:pStyle w:val="Tabletext1"/>
            </w:pPr>
            <w:r w:rsidRPr="00A00B9F">
              <w:t>.</w:t>
            </w:r>
          </w:p>
        </w:tc>
        <w:tc>
          <w:tcPr>
            <w:tcW w:w="0" w:type="auto"/>
            <w:shd w:val="clear" w:color="auto" w:fill="auto"/>
            <w:hideMark/>
          </w:tcPr>
          <w:p w14:paraId="61EAA1E1" w14:textId="77777777" w:rsidR="00615DB5" w:rsidRPr="00A00B9F" w:rsidRDefault="00615DB5" w:rsidP="00154A3C">
            <w:pPr>
              <w:pStyle w:val="Tabletext1"/>
            </w:pPr>
            <w:r w:rsidRPr="00A00B9F">
              <w:t>.</w:t>
            </w:r>
          </w:p>
        </w:tc>
        <w:tc>
          <w:tcPr>
            <w:tcW w:w="0" w:type="auto"/>
            <w:shd w:val="clear" w:color="auto" w:fill="auto"/>
            <w:hideMark/>
          </w:tcPr>
          <w:p w14:paraId="01511879" w14:textId="77777777" w:rsidR="00615DB5" w:rsidRPr="00A00B9F" w:rsidRDefault="00615DB5" w:rsidP="00154A3C">
            <w:pPr>
              <w:pStyle w:val="Tabletext1"/>
            </w:pPr>
            <w:r w:rsidRPr="00A00B9F">
              <w:t>.</w:t>
            </w:r>
          </w:p>
        </w:tc>
        <w:tc>
          <w:tcPr>
            <w:tcW w:w="0" w:type="auto"/>
            <w:shd w:val="clear" w:color="auto" w:fill="auto"/>
            <w:hideMark/>
          </w:tcPr>
          <w:p w14:paraId="1F24845E" w14:textId="77777777" w:rsidR="00615DB5" w:rsidRPr="00A00B9F" w:rsidRDefault="00615DB5" w:rsidP="00154A3C">
            <w:pPr>
              <w:pStyle w:val="Tabletext1"/>
            </w:pPr>
            <w:r>
              <w:t>NS</w:t>
            </w:r>
          </w:p>
        </w:tc>
        <w:tc>
          <w:tcPr>
            <w:tcW w:w="0" w:type="auto"/>
            <w:shd w:val="clear" w:color="auto" w:fill="auto"/>
            <w:hideMark/>
          </w:tcPr>
          <w:p w14:paraId="56F6DCA5" w14:textId="77777777" w:rsidR="00615DB5" w:rsidRPr="00A00B9F" w:rsidRDefault="00615DB5" w:rsidP="00154A3C">
            <w:pPr>
              <w:pStyle w:val="Tabletext1"/>
            </w:pPr>
            <w:r w:rsidRPr="00A00B9F">
              <w:t>.</w:t>
            </w:r>
          </w:p>
        </w:tc>
        <w:tc>
          <w:tcPr>
            <w:tcW w:w="0" w:type="auto"/>
            <w:shd w:val="clear" w:color="auto" w:fill="auto"/>
            <w:hideMark/>
          </w:tcPr>
          <w:p w14:paraId="577B8AC2" w14:textId="77777777" w:rsidR="00615DB5" w:rsidRPr="00A00B9F" w:rsidRDefault="00615DB5" w:rsidP="00154A3C">
            <w:pPr>
              <w:pStyle w:val="Tabletext1"/>
            </w:pPr>
            <w:r w:rsidRPr="00A00B9F">
              <w:t>.</w:t>
            </w:r>
          </w:p>
        </w:tc>
        <w:tc>
          <w:tcPr>
            <w:tcW w:w="0" w:type="auto"/>
            <w:shd w:val="clear" w:color="auto" w:fill="auto"/>
            <w:hideMark/>
          </w:tcPr>
          <w:p w14:paraId="39870A6C" w14:textId="77777777" w:rsidR="00615DB5" w:rsidRPr="00A00B9F" w:rsidRDefault="00615DB5" w:rsidP="00154A3C">
            <w:pPr>
              <w:pStyle w:val="Tabletext1"/>
            </w:pPr>
            <w:r w:rsidRPr="00A00B9F">
              <w:t>.</w:t>
            </w:r>
          </w:p>
        </w:tc>
        <w:tc>
          <w:tcPr>
            <w:tcW w:w="0" w:type="auto"/>
            <w:shd w:val="clear" w:color="auto" w:fill="auto"/>
            <w:hideMark/>
          </w:tcPr>
          <w:p w14:paraId="0CA791D3" w14:textId="77777777" w:rsidR="00615DB5" w:rsidRPr="00A00B9F" w:rsidRDefault="00615DB5" w:rsidP="00154A3C">
            <w:pPr>
              <w:pStyle w:val="Tabletext1"/>
            </w:pPr>
            <w:r w:rsidRPr="00A00B9F">
              <w:t>.</w:t>
            </w:r>
          </w:p>
        </w:tc>
      </w:tr>
      <w:tr w:rsidR="00615DB5" w:rsidRPr="00A00B9F" w14:paraId="7A25C26C" w14:textId="77777777" w:rsidTr="00154A3C">
        <w:trPr>
          <w:cantSplit/>
          <w:trHeight w:val="1200"/>
        </w:trPr>
        <w:tc>
          <w:tcPr>
            <w:tcW w:w="0" w:type="auto"/>
            <w:shd w:val="clear" w:color="auto" w:fill="auto"/>
            <w:hideMark/>
          </w:tcPr>
          <w:p w14:paraId="664280A3" w14:textId="77777777" w:rsidR="00615DB5" w:rsidRPr="00A00B9F" w:rsidRDefault="00615DB5" w:rsidP="00154A3C">
            <w:pPr>
              <w:pStyle w:val="Tabletext1"/>
            </w:pPr>
            <w:r w:rsidRPr="00A00B9F">
              <w:t>Nguyen et al.</w:t>
            </w:r>
          </w:p>
        </w:tc>
        <w:tc>
          <w:tcPr>
            <w:tcW w:w="0" w:type="auto"/>
            <w:shd w:val="clear" w:color="auto" w:fill="auto"/>
            <w:hideMark/>
          </w:tcPr>
          <w:p w14:paraId="204DD6A4" w14:textId="77777777" w:rsidR="00615DB5" w:rsidRDefault="00615DB5" w:rsidP="00154A3C">
            <w:pPr>
              <w:pStyle w:val="Tabletext1"/>
            </w:pPr>
            <w:r>
              <w:t xml:space="preserve">[I] &lt;2.5 months </w:t>
            </w:r>
          </w:p>
          <w:p w14:paraId="65301ADB" w14:textId="77777777" w:rsidR="00615DB5" w:rsidRPr="00A00B9F" w:rsidRDefault="00615DB5" w:rsidP="00154A3C">
            <w:pPr>
              <w:pStyle w:val="Tabletext1"/>
            </w:pPr>
            <w:r>
              <w:t>[D] &gt;</w:t>
            </w:r>
            <w:r w:rsidRPr="00A00B9F">
              <w:t>2.5 months</w:t>
            </w:r>
          </w:p>
        </w:tc>
        <w:tc>
          <w:tcPr>
            <w:tcW w:w="0" w:type="auto"/>
          </w:tcPr>
          <w:p w14:paraId="01833621" w14:textId="77777777" w:rsidR="00615DB5" w:rsidRPr="00A00B9F" w:rsidRDefault="00615DB5" w:rsidP="00154A3C">
            <w:pPr>
              <w:pStyle w:val="Tabletext1"/>
            </w:pPr>
            <w:r>
              <w:t>5 years</w:t>
            </w:r>
          </w:p>
        </w:tc>
        <w:tc>
          <w:tcPr>
            <w:tcW w:w="0" w:type="auto"/>
            <w:shd w:val="clear" w:color="auto" w:fill="auto"/>
            <w:hideMark/>
          </w:tcPr>
          <w:p w14:paraId="21C0390D" w14:textId="77777777" w:rsidR="00615DB5" w:rsidRDefault="00615DB5" w:rsidP="00154A3C">
            <w:pPr>
              <w:pStyle w:val="Tabletext1"/>
            </w:pPr>
            <w:r>
              <w:t xml:space="preserve">[I] 240 </w:t>
            </w:r>
          </w:p>
          <w:p w14:paraId="66596FE1" w14:textId="77777777" w:rsidR="00615DB5" w:rsidRPr="00A00B9F" w:rsidRDefault="00615DB5" w:rsidP="00154A3C">
            <w:pPr>
              <w:pStyle w:val="Tabletext1"/>
            </w:pPr>
            <w:r>
              <w:t>[D] 240</w:t>
            </w:r>
          </w:p>
        </w:tc>
        <w:tc>
          <w:tcPr>
            <w:tcW w:w="0" w:type="auto"/>
          </w:tcPr>
          <w:p w14:paraId="1025ED03" w14:textId="77777777" w:rsidR="00615DB5" w:rsidRPr="00A00B9F" w:rsidRDefault="00615DB5" w:rsidP="00154A3C">
            <w:pPr>
              <w:pStyle w:val="Tabletext1"/>
            </w:pPr>
            <w:r>
              <w:t>9.6 % high risk</w:t>
            </w:r>
          </w:p>
        </w:tc>
        <w:tc>
          <w:tcPr>
            <w:tcW w:w="0" w:type="auto"/>
          </w:tcPr>
          <w:p w14:paraId="1A0234EE" w14:textId="77777777" w:rsidR="00615DB5" w:rsidRPr="00A00B9F" w:rsidRDefault="00615DB5" w:rsidP="00154A3C">
            <w:pPr>
              <w:pStyle w:val="Tabletext1"/>
            </w:pPr>
            <w:r w:rsidRPr="00A00B9F">
              <w:t>.</w:t>
            </w:r>
          </w:p>
        </w:tc>
        <w:tc>
          <w:tcPr>
            <w:tcW w:w="0" w:type="auto"/>
            <w:shd w:val="clear" w:color="auto" w:fill="auto"/>
            <w:hideMark/>
          </w:tcPr>
          <w:p w14:paraId="61B541B6" w14:textId="77777777" w:rsidR="00615DB5" w:rsidRPr="00A00B9F" w:rsidRDefault="00615DB5" w:rsidP="00154A3C">
            <w:pPr>
              <w:pStyle w:val="Tabletext1"/>
            </w:pPr>
            <w:r w:rsidRPr="00A00B9F">
              <w:t>.</w:t>
            </w:r>
          </w:p>
        </w:tc>
        <w:tc>
          <w:tcPr>
            <w:tcW w:w="0" w:type="auto"/>
            <w:shd w:val="clear" w:color="auto" w:fill="auto"/>
            <w:hideMark/>
          </w:tcPr>
          <w:p w14:paraId="01A6C640" w14:textId="77777777" w:rsidR="00615DB5" w:rsidRPr="00A00B9F" w:rsidRDefault="00615DB5" w:rsidP="00154A3C">
            <w:pPr>
              <w:pStyle w:val="Tabletext1"/>
            </w:pPr>
            <w:r w:rsidRPr="00A00B9F">
              <w:t>.</w:t>
            </w:r>
          </w:p>
        </w:tc>
        <w:tc>
          <w:tcPr>
            <w:tcW w:w="0" w:type="auto"/>
            <w:shd w:val="clear" w:color="auto" w:fill="auto"/>
            <w:hideMark/>
          </w:tcPr>
          <w:p w14:paraId="761044A3" w14:textId="1B7E8328" w:rsidR="00615DB5" w:rsidRDefault="00615DB5" w:rsidP="00154A3C">
            <w:pPr>
              <w:pStyle w:val="Tabletext1"/>
            </w:pPr>
            <w:r w:rsidRPr="00A00B9F">
              <w:t>55% vs</w:t>
            </w:r>
            <w:r w:rsidR="008864FF">
              <w:t>.</w:t>
            </w:r>
            <w:r w:rsidRPr="00A00B9F">
              <w:t xml:space="preserve"> 39% </w:t>
            </w:r>
            <w:r>
              <w:t>(</w:t>
            </w:r>
            <w:r w:rsidRPr="008864FF">
              <w:rPr>
                <w:i/>
              </w:rPr>
              <w:t>p</w:t>
            </w:r>
            <w:r w:rsidRPr="00A00B9F">
              <w:t xml:space="preserve"> = 0.014</w:t>
            </w:r>
            <w:r>
              <w:t xml:space="preserve">), </w:t>
            </w:r>
          </w:p>
          <w:p w14:paraId="692614AE" w14:textId="77777777" w:rsidR="00615DB5" w:rsidRPr="00A00B9F" w:rsidRDefault="00615DB5" w:rsidP="00154A3C">
            <w:pPr>
              <w:pStyle w:val="Tabletext1"/>
            </w:pPr>
            <w:r>
              <w:t>High risk disease only</w:t>
            </w:r>
          </w:p>
        </w:tc>
        <w:tc>
          <w:tcPr>
            <w:tcW w:w="0" w:type="auto"/>
            <w:shd w:val="clear" w:color="auto" w:fill="auto"/>
            <w:hideMark/>
          </w:tcPr>
          <w:p w14:paraId="74F438FD" w14:textId="77777777" w:rsidR="00615DB5" w:rsidRPr="00A00B9F" w:rsidRDefault="00615DB5" w:rsidP="00154A3C">
            <w:pPr>
              <w:pStyle w:val="Tabletext1"/>
            </w:pPr>
            <w:r w:rsidRPr="00A00B9F">
              <w:t>.</w:t>
            </w:r>
          </w:p>
        </w:tc>
        <w:tc>
          <w:tcPr>
            <w:tcW w:w="0" w:type="auto"/>
            <w:shd w:val="clear" w:color="auto" w:fill="auto"/>
            <w:hideMark/>
          </w:tcPr>
          <w:p w14:paraId="583B43AF" w14:textId="77777777" w:rsidR="00615DB5" w:rsidRPr="00A00B9F" w:rsidRDefault="00615DB5" w:rsidP="00154A3C">
            <w:pPr>
              <w:pStyle w:val="Tabletext1"/>
            </w:pPr>
            <w:r w:rsidRPr="00A00B9F">
              <w:t>.</w:t>
            </w:r>
          </w:p>
        </w:tc>
        <w:tc>
          <w:tcPr>
            <w:tcW w:w="0" w:type="auto"/>
            <w:shd w:val="clear" w:color="auto" w:fill="auto"/>
            <w:hideMark/>
          </w:tcPr>
          <w:p w14:paraId="74A0817D" w14:textId="77777777" w:rsidR="00615DB5" w:rsidRPr="00A00B9F" w:rsidRDefault="00615DB5" w:rsidP="00154A3C">
            <w:pPr>
              <w:pStyle w:val="Tabletext1"/>
            </w:pPr>
            <w:r w:rsidRPr="00A00B9F">
              <w:t>.</w:t>
            </w:r>
          </w:p>
        </w:tc>
        <w:tc>
          <w:tcPr>
            <w:tcW w:w="0" w:type="auto"/>
            <w:shd w:val="clear" w:color="auto" w:fill="auto"/>
            <w:hideMark/>
          </w:tcPr>
          <w:p w14:paraId="4C948E59" w14:textId="77777777" w:rsidR="00615DB5" w:rsidRPr="00A00B9F" w:rsidRDefault="00615DB5" w:rsidP="00154A3C">
            <w:pPr>
              <w:pStyle w:val="Tabletext1"/>
            </w:pPr>
            <w:r w:rsidRPr="00A00B9F">
              <w:t>.</w:t>
            </w:r>
          </w:p>
        </w:tc>
      </w:tr>
      <w:tr w:rsidR="00615DB5" w:rsidRPr="00A00B9F" w14:paraId="12D6B1E3" w14:textId="77777777" w:rsidTr="00154A3C">
        <w:trPr>
          <w:cantSplit/>
          <w:trHeight w:val="600"/>
        </w:trPr>
        <w:tc>
          <w:tcPr>
            <w:tcW w:w="0" w:type="auto"/>
            <w:shd w:val="clear" w:color="auto" w:fill="auto"/>
            <w:hideMark/>
          </w:tcPr>
          <w:p w14:paraId="15A09E20" w14:textId="77777777" w:rsidR="00615DB5" w:rsidRPr="00A00B9F" w:rsidRDefault="00615DB5" w:rsidP="00154A3C">
            <w:pPr>
              <w:pStyle w:val="Tabletext1"/>
            </w:pPr>
            <w:r w:rsidRPr="00A00B9F">
              <w:t>O'Brien et al.</w:t>
            </w:r>
          </w:p>
        </w:tc>
        <w:tc>
          <w:tcPr>
            <w:tcW w:w="0" w:type="auto"/>
            <w:shd w:val="clear" w:color="auto" w:fill="auto"/>
            <w:hideMark/>
          </w:tcPr>
          <w:p w14:paraId="4DDEF2E3" w14:textId="77777777" w:rsidR="00615DB5" w:rsidRDefault="00615DB5" w:rsidP="00154A3C">
            <w:pPr>
              <w:pStyle w:val="Tabletext1"/>
            </w:pPr>
            <w:r>
              <w:t xml:space="preserve">[I] &lt;6 months </w:t>
            </w:r>
          </w:p>
          <w:p w14:paraId="7D18D051" w14:textId="77777777" w:rsidR="00615DB5" w:rsidRPr="00A00B9F" w:rsidRDefault="00615DB5" w:rsidP="00154A3C">
            <w:pPr>
              <w:pStyle w:val="Tabletext1"/>
            </w:pPr>
            <w:r>
              <w:t>[D] &gt;6</w:t>
            </w:r>
            <w:r w:rsidRPr="00A00B9F">
              <w:t>months</w:t>
            </w:r>
          </w:p>
        </w:tc>
        <w:tc>
          <w:tcPr>
            <w:tcW w:w="0" w:type="auto"/>
          </w:tcPr>
          <w:p w14:paraId="3BFCBC2C" w14:textId="77777777" w:rsidR="00615DB5" w:rsidRPr="00A00B9F" w:rsidRDefault="00615DB5" w:rsidP="00154A3C">
            <w:pPr>
              <w:pStyle w:val="Tabletext1"/>
            </w:pPr>
            <w:r>
              <w:t>Mean 38 months (range 1-222)</w:t>
            </w:r>
          </w:p>
        </w:tc>
        <w:tc>
          <w:tcPr>
            <w:tcW w:w="0" w:type="auto"/>
            <w:shd w:val="clear" w:color="auto" w:fill="auto"/>
            <w:hideMark/>
          </w:tcPr>
          <w:p w14:paraId="69CBAA7D" w14:textId="77777777" w:rsidR="00615DB5" w:rsidRDefault="00615DB5" w:rsidP="00154A3C">
            <w:pPr>
              <w:pStyle w:val="Tabletext1"/>
            </w:pPr>
            <w:r>
              <w:t xml:space="preserve">[I] 1052 </w:t>
            </w:r>
          </w:p>
          <w:p w14:paraId="45587AB1" w14:textId="77777777" w:rsidR="00615DB5" w:rsidRPr="00A00B9F" w:rsidRDefault="00615DB5" w:rsidP="00154A3C">
            <w:pPr>
              <w:pStyle w:val="Tabletext1"/>
            </w:pPr>
            <w:r>
              <w:t xml:space="preserve">[D] </w:t>
            </w:r>
            <w:r w:rsidRPr="00A00B9F">
              <w:t xml:space="preserve">59 </w:t>
            </w:r>
          </w:p>
        </w:tc>
        <w:tc>
          <w:tcPr>
            <w:tcW w:w="0" w:type="auto"/>
          </w:tcPr>
          <w:p w14:paraId="6E67A6C0" w14:textId="77777777" w:rsidR="00615DB5" w:rsidRPr="00A00B9F" w:rsidRDefault="00615DB5" w:rsidP="00154A3C">
            <w:pPr>
              <w:pStyle w:val="Tabletext1"/>
            </w:pPr>
            <w:r>
              <w:t xml:space="preserve">100% low </w:t>
            </w:r>
          </w:p>
        </w:tc>
        <w:tc>
          <w:tcPr>
            <w:tcW w:w="0" w:type="auto"/>
          </w:tcPr>
          <w:p w14:paraId="1974F469" w14:textId="77777777" w:rsidR="00615DB5" w:rsidRPr="00A00B9F" w:rsidRDefault="00615DB5" w:rsidP="00154A3C">
            <w:pPr>
              <w:pStyle w:val="Tabletext1"/>
            </w:pPr>
            <w:r w:rsidRPr="00A00B9F">
              <w:t>.</w:t>
            </w:r>
          </w:p>
        </w:tc>
        <w:tc>
          <w:tcPr>
            <w:tcW w:w="0" w:type="auto"/>
            <w:shd w:val="clear" w:color="auto" w:fill="auto"/>
            <w:hideMark/>
          </w:tcPr>
          <w:p w14:paraId="36D11FC2" w14:textId="77777777" w:rsidR="00615DB5" w:rsidRPr="00A00B9F" w:rsidRDefault="00615DB5" w:rsidP="00154A3C">
            <w:pPr>
              <w:pStyle w:val="Tabletext1"/>
            </w:pPr>
            <w:r w:rsidRPr="00A00B9F">
              <w:t>.</w:t>
            </w:r>
          </w:p>
        </w:tc>
        <w:tc>
          <w:tcPr>
            <w:tcW w:w="0" w:type="auto"/>
            <w:shd w:val="clear" w:color="auto" w:fill="auto"/>
            <w:hideMark/>
          </w:tcPr>
          <w:p w14:paraId="0FBC377C" w14:textId="77777777" w:rsidR="00615DB5" w:rsidRPr="00A00B9F" w:rsidRDefault="00615DB5" w:rsidP="00154A3C">
            <w:pPr>
              <w:pStyle w:val="Tabletext1"/>
            </w:pPr>
            <w:r w:rsidRPr="00A00B9F">
              <w:t>NS</w:t>
            </w:r>
          </w:p>
        </w:tc>
        <w:tc>
          <w:tcPr>
            <w:tcW w:w="0" w:type="auto"/>
            <w:shd w:val="clear" w:color="auto" w:fill="auto"/>
            <w:hideMark/>
          </w:tcPr>
          <w:p w14:paraId="42A95A00" w14:textId="5F7A44A9" w:rsidR="00615DB5" w:rsidRPr="00A00B9F" w:rsidRDefault="00615DB5" w:rsidP="00154A3C">
            <w:pPr>
              <w:pStyle w:val="Tabletext1"/>
            </w:pPr>
            <w:r w:rsidRPr="00A00B9F">
              <w:t>5% vs</w:t>
            </w:r>
            <w:r w:rsidR="008864FF">
              <w:t>.</w:t>
            </w:r>
            <w:r w:rsidRPr="00A00B9F">
              <w:t xml:space="preserve"> 12%</w:t>
            </w:r>
          </w:p>
        </w:tc>
        <w:tc>
          <w:tcPr>
            <w:tcW w:w="0" w:type="auto"/>
            <w:shd w:val="clear" w:color="auto" w:fill="auto"/>
            <w:hideMark/>
          </w:tcPr>
          <w:p w14:paraId="75EE968D" w14:textId="77777777" w:rsidR="00615DB5" w:rsidRPr="00A00B9F" w:rsidRDefault="00615DB5" w:rsidP="00154A3C">
            <w:pPr>
              <w:pStyle w:val="Tabletext1"/>
            </w:pPr>
            <w:r w:rsidRPr="00A00B9F">
              <w:t>NS</w:t>
            </w:r>
          </w:p>
        </w:tc>
        <w:tc>
          <w:tcPr>
            <w:tcW w:w="0" w:type="auto"/>
            <w:shd w:val="clear" w:color="auto" w:fill="auto"/>
            <w:hideMark/>
          </w:tcPr>
          <w:p w14:paraId="5D129648" w14:textId="77777777" w:rsidR="00615DB5" w:rsidRPr="00A00B9F" w:rsidRDefault="00615DB5" w:rsidP="00154A3C">
            <w:pPr>
              <w:pStyle w:val="Tabletext1"/>
            </w:pPr>
            <w:r w:rsidRPr="00A00B9F">
              <w:t>NS</w:t>
            </w:r>
          </w:p>
        </w:tc>
        <w:tc>
          <w:tcPr>
            <w:tcW w:w="0" w:type="auto"/>
            <w:shd w:val="clear" w:color="auto" w:fill="auto"/>
            <w:hideMark/>
          </w:tcPr>
          <w:p w14:paraId="2D1C3A20" w14:textId="77777777" w:rsidR="00615DB5" w:rsidRPr="00A00B9F" w:rsidRDefault="00615DB5" w:rsidP="00154A3C">
            <w:pPr>
              <w:pStyle w:val="Tabletext1"/>
            </w:pPr>
            <w:r w:rsidRPr="00A00B9F">
              <w:t>NS</w:t>
            </w:r>
          </w:p>
        </w:tc>
        <w:tc>
          <w:tcPr>
            <w:tcW w:w="0" w:type="auto"/>
            <w:shd w:val="clear" w:color="auto" w:fill="auto"/>
            <w:hideMark/>
          </w:tcPr>
          <w:p w14:paraId="2EEE9BAB" w14:textId="70A8EAE6" w:rsidR="00615DB5" w:rsidRPr="00A00B9F" w:rsidRDefault="00615DB5" w:rsidP="00154A3C">
            <w:pPr>
              <w:pStyle w:val="Tabletext1"/>
            </w:pPr>
            <w:r w:rsidRPr="00A00B9F">
              <w:t>27% vs</w:t>
            </w:r>
            <w:r w:rsidR="008864FF">
              <w:t>.</w:t>
            </w:r>
            <w:r w:rsidRPr="00A00B9F">
              <w:t xml:space="preserve"> 47%</w:t>
            </w:r>
          </w:p>
        </w:tc>
      </w:tr>
      <w:tr w:rsidR="00615DB5" w:rsidRPr="00A00B9F" w14:paraId="3C95A901" w14:textId="77777777" w:rsidTr="00154A3C">
        <w:trPr>
          <w:cantSplit/>
          <w:trHeight w:val="600"/>
        </w:trPr>
        <w:tc>
          <w:tcPr>
            <w:tcW w:w="0" w:type="auto"/>
            <w:shd w:val="clear" w:color="auto" w:fill="auto"/>
            <w:hideMark/>
          </w:tcPr>
          <w:p w14:paraId="5172FEDF" w14:textId="77777777" w:rsidR="00615DB5" w:rsidRPr="00A00B9F" w:rsidRDefault="00615DB5" w:rsidP="00154A3C">
            <w:pPr>
              <w:pStyle w:val="Tabletext1"/>
            </w:pPr>
            <w:r w:rsidRPr="00A00B9F">
              <w:t>Phillips et al.</w:t>
            </w:r>
          </w:p>
        </w:tc>
        <w:tc>
          <w:tcPr>
            <w:tcW w:w="0" w:type="auto"/>
            <w:shd w:val="clear" w:color="auto" w:fill="auto"/>
            <w:hideMark/>
          </w:tcPr>
          <w:p w14:paraId="43A88DB3" w14:textId="1B485BCA" w:rsidR="00615DB5" w:rsidRPr="00A00B9F" w:rsidRDefault="00615DB5" w:rsidP="00154A3C">
            <w:pPr>
              <w:pStyle w:val="Tabletext1"/>
            </w:pPr>
            <w:r>
              <w:t>[I] &lt;3 months [D]</w:t>
            </w:r>
            <w:r w:rsidR="008864FF">
              <w:t xml:space="preserve"> </w:t>
            </w:r>
            <w:r w:rsidRPr="00A00B9F">
              <w:t>&gt;3 months</w:t>
            </w:r>
          </w:p>
        </w:tc>
        <w:tc>
          <w:tcPr>
            <w:tcW w:w="0" w:type="auto"/>
          </w:tcPr>
          <w:p w14:paraId="3450D9F4" w14:textId="77777777" w:rsidR="00615DB5" w:rsidRPr="00A00B9F" w:rsidRDefault="00615DB5" w:rsidP="00154A3C">
            <w:pPr>
              <w:pStyle w:val="Tabletext1"/>
            </w:pPr>
            <w:r>
              <w:t>Median 2.3 years (range 0.1-14)</w:t>
            </w:r>
          </w:p>
        </w:tc>
        <w:tc>
          <w:tcPr>
            <w:tcW w:w="0" w:type="auto"/>
            <w:shd w:val="clear" w:color="auto" w:fill="auto"/>
            <w:hideMark/>
          </w:tcPr>
          <w:p w14:paraId="1CC63BE3" w14:textId="77777777" w:rsidR="00615DB5" w:rsidRDefault="00615DB5" w:rsidP="00154A3C">
            <w:pPr>
              <w:pStyle w:val="Tabletext1"/>
            </w:pPr>
            <w:r>
              <w:t>[I] 310</w:t>
            </w:r>
          </w:p>
          <w:p w14:paraId="7BF4298F" w14:textId="77777777" w:rsidR="00615DB5" w:rsidRPr="00A00B9F" w:rsidRDefault="00615DB5" w:rsidP="00154A3C">
            <w:pPr>
              <w:pStyle w:val="Tabletext1"/>
            </w:pPr>
            <w:r>
              <w:t>[D] 83</w:t>
            </w:r>
          </w:p>
        </w:tc>
        <w:tc>
          <w:tcPr>
            <w:tcW w:w="0" w:type="auto"/>
          </w:tcPr>
          <w:p w14:paraId="60EB58B2" w14:textId="77777777" w:rsidR="00615DB5" w:rsidRDefault="00615DB5" w:rsidP="00154A3C">
            <w:pPr>
              <w:pStyle w:val="Tabletext1"/>
            </w:pPr>
            <w:r>
              <w:t>Total:</w:t>
            </w:r>
          </w:p>
          <w:p w14:paraId="3FB68758" w14:textId="77777777" w:rsidR="00615DB5" w:rsidRPr="00A00B9F" w:rsidRDefault="00615DB5" w:rsidP="00154A3C">
            <w:pPr>
              <w:pStyle w:val="Tabletext1"/>
            </w:pPr>
            <w:r>
              <w:t>59% low, 25% int, 6% high</w:t>
            </w:r>
          </w:p>
        </w:tc>
        <w:tc>
          <w:tcPr>
            <w:tcW w:w="0" w:type="auto"/>
          </w:tcPr>
          <w:p w14:paraId="58731D46" w14:textId="77777777" w:rsidR="00615DB5" w:rsidRPr="00A00B9F" w:rsidRDefault="00615DB5" w:rsidP="00154A3C">
            <w:pPr>
              <w:pStyle w:val="Tabletext1"/>
            </w:pPr>
            <w:r w:rsidRPr="00A00B9F">
              <w:t>.</w:t>
            </w:r>
          </w:p>
        </w:tc>
        <w:tc>
          <w:tcPr>
            <w:tcW w:w="0" w:type="auto"/>
            <w:shd w:val="clear" w:color="auto" w:fill="auto"/>
            <w:hideMark/>
          </w:tcPr>
          <w:p w14:paraId="5336EC42" w14:textId="77777777" w:rsidR="00615DB5" w:rsidRPr="00A00B9F" w:rsidRDefault="00615DB5" w:rsidP="00154A3C">
            <w:pPr>
              <w:pStyle w:val="Tabletext1"/>
            </w:pPr>
            <w:r w:rsidRPr="00A00B9F">
              <w:t>.</w:t>
            </w:r>
          </w:p>
        </w:tc>
        <w:tc>
          <w:tcPr>
            <w:tcW w:w="0" w:type="auto"/>
            <w:shd w:val="clear" w:color="auto" w:fill="auto"/>
            <w:hideMark/>
          </w:tcPr>
          <w:p w14:paraId="7D12740B" w14:textId="77777777" w:rsidR="00615DB5" w:rsidRPr="00A00B9F" w:rsidRDefault="00615DB5" w:rsidP="00154A3C">
            <w:pPr>
              <w:pStyle w:val="Tabletext1"/>
            </w:pPr>
            <w:r w:rsidRPr="00A00B9F">
              <w:t>.</w:t>
            </w:r>
          </w:p>
        </w:tc>
        <w:tc>
          <w:tcPr>
            <w:tcW w:w="0" w:type="auto"/>
            <w:shd w:val="clear" w:color="auto" w:fill="auto"/>
            <w:hideMark/>
          </w:tcPr>
          <w:p w14:paraId="47FAC28E" w14:textId="77777777" w:rsidR="00615DB5" w:rsidRPr="00A00B9F" w:rsidRDefault="00615DB5" w:rsidP="00154A3C">
            <w:pPr>
              <w:pStyle w:val="Tabletext1"/>
            </w:pPr>
            <w:r w:rsidRPr="00A00B9F">
              <w:t>NS</w:t>
            </w:r>
          </w:p>
        </w:tc>
        <w:tc>
          <w:tcPr>
            <w:tcW w:w="0" w:type="auto"/>
            <w:shd w:val="clear" w:color="auto" w:fill="auto"/>
            <w:hideMark/>
          </w:tcPr>
          <w:p w14:paraId="7A06A576" w14:textId="77777777" w:rsidR="00615DB5" w:rsidRPr="00A00B9F" w:rsidRDefault="00615DB5" w:rsidP="00154A3C">
            <w:pPr>
              <w:pStyle w:val="Tabletext1"/>
            </w:pPr>
            <w:r w:rsidRPr="00A00B9F">
              <w:t>.</w:t>
            </w:r>
          </w:p>
        </w:tc>
        <w:tc>
          <w:tcPr>
            <w:tcW w:w="0" w:type="auto"/>
            <w:shd w:val="clear" w:color="auto" w:fill="auto"/>
            <w:hideMark/>
          </w:tcPr>
          <w:p w14:paraId="6C06A4F0" w14:textId="77777777" w:rsidR="00615DB5" w:rsidRPr="00A00B9F" w:rsidRDefault="00615DB5" w:rsidP="00154A3C">
            <w:pPr>
              <w:pStyle w:val="Tabletext1"/>
            </w:pPr>
            <w:r w:rsidRPr="00A00B9F">
              <w:t>.</w:t>
            </w:r>
          </w:p>
        </w:tc>
        <w:tc>
          <w:tcPr>
            <w:tcW w:w="0" w:type="auto"/>
            <w:shd w:val="clear" w:color="auto" w:fill="auto"/>
            <w:hideMark/>
          </w:tcPr>
          <w:p w14:paraId="55F27BCE" w14:textId="77777777" w:rsidR="00615DB5" w:rsidRPr="00A00B9F" w:rsidRDefault="00615DB5" w:rsidP="00154A3C">
            <w:pPr>
              <w:pStyle w:val="Tabletext1"/>
            </w:pPr>
            <w:r w:rsidRPr="00A00B9F">
              <w:t>.</w:t>
            </w:r>
          </w:p>
        </w:tc>
        <w:tc>
          <w:tcPr>
            <w:tcW w:w="0" w:type="auto"/>
            <w:shd w:val="clear" w:color="auto" w:fill="auto"/>
            <w:hideMark/>
          </w:tcPr>
          <w:p w14:paraId="528467F9" w14:textId="77777777" w:rsidR="00615DB5" w:rsidRPr="00A00B9F" w:rsidRDefault="00615DB5" w:rsidP="00154A3C">
            <w:pPr>
              <w:pStyle w:val="Tabletext1"/>
            </w:pPr>
            <w:r w:rsidRPr="00A00B9F">
              <w:t>.</w:t>
            </w:r>
          </w:p>
        </w:tc>
      </w:tr>
      <w:tr w:rsidR="00615DB5" w:rsidRPr="00A00B9F" w14:paraId="79A12078" w14:textId="77777777" w:rsidTr="00154A3C">
        <w:trPr>
          <w:cantSplit/>
          <w:trHeight w:val="900"/>
        </w:trPr>
        <w:tc>
          <w:tcPr>
            <w:tcW w:w="0" w:type="auto"/>
            <w:shd w:val="clear" w:color="auto" w:fill="auto"/>
            <w:hideMark/>
          </w:tcPr>
          <w:p w14:paraId="54815445" w14:textId="77777777" w:rsidR="00615DB5" w:rsidRPr="00A00B9F" w:rsidRDefault="00615DB5" w:rsidP="00154A3C">
            <w:pPr>
              <w:pStyle w:val="Tabletext1"/>
            </w:pPr>
            <w:r w:rsidRPr="00A00B9F">
              <w:lastRenderedPageBreak/>
              <w:t>Sun et al.</w:t>
            </w:r>
          </w:p>
        </w:tc>
        <w:tc>
          <w:tcPr>
            <w:tcW w:w="0" w:type="auto"/>
            <w:shd w:val="clear" w:color="auto" w:fill="auto"/>
            <w:hideMark/>
          </w:tcPr>
          <w:p w14:paraId="008AAACB" w14:textId="77777777" w:rsidR="00615DB5" w:rsidRPr="00A00B9F" w:rsidRDefault="00615DB5" w:rsidP="00154A3C">
            <w:pPr>
              <w:pStyle w:val="Tabletext1"/>
            </w:pPr>
            <w:r>
              <w:t>[I] &lt;3 months [D]</w:t>
            </w:r>
            <w:r w:rsidRPr="00A00B9F">
              <w:t xml:space="preserve"> &gt;3 months (median 11.5 months)</w:t>
            </w:r>
          </w:p>
        </w:tc>
        <w:tc>
          <w:tcPr>
            <w:tcW w:w="0" w:type="auto"/>
          </w:tcPr>
          <w:p w14:paraId="62C6EB69" w14:textId="77777777" w:rsidR="00615DB5" w:rsidRPr="00A00B9F" w:rsidRDefault="00615DB5" w:rsidP="00154A3C">
            <w:pPr>
              <w:pStyle w:val="Tabletext1"/>
            </w:pPr>
            <w:r>
              <w:t>18 months</w:t>
            </w:r>
          </w:p>
        </w:tc>
        <w:tc>
          <w:tcPr>
            <w:tcW w:w="0" w:type="auto"/>
            <w:shd w:val="clear" w:color="auto" w:fill="auto"/>
            <w:hideMark/>
          </w:tcPr>
          <w:p w14:paraId="044207CC" w14:textId="00B890B0" w:rsidR="00615DB5" w:rsidRPr="00A00B9F" w:rsidRDefault="00615DB5" w:rsidP="00154A3C">
            <w:pPr>
              <w:pStyle w:val="Tabletext1"/>
            </w:pPr>
            <w:r>
              <w:t xml:space="preserve">[I] </w:t>
            </w:r>
            <w:r w:rsidRPr="00A00B9F">
              <w:t>14577 vs</w:t>
            </w:r>
            <w:r w:rsidR="00F5175B">
              <w:t>.</w:t>
            </w:r>
            <w:r w:rsidRPr="00A00B9F">
              <w:t xml:space="preserve"> </w:t>
            </w:r>
            <w:r>
              <w:t>[C] 2576</w:t>
            </w:r>
          </w:p>
        </w:tc>
        <w:tc>
          <w:tcPr>
            <w:tcW w:w="0" w:type="auto"/>
          </w:tcPr>
          <w:p w14:paraId="7431C438" w14:textId="77777777" w:rsidR="00615DB5" w:rsidRPr="00A00B9F" w:rsidRDefault="00615DB5" w:rsidP="00154A3C">
            <w:pPr>
              <w:pStyle w:val="Tabletext1"/>
            </w:pPr>
            <w:r>
              <w:t>100% low</w:t>
            </w:r>
          </w:p>
        </w:tc>
        <w:tc>
          <w:tcPr>
            <w:tcW w:w="0" w:type="auto"/>
          </w:tcPr>
          <w:p w14:paraId="34419181" w14:textId="77777777" w:rsidR="00615DB5" w:rsidRPr="00A00B9F" w:rsidRDefault="00615DB5" w:rsidP="00154A3C">
            <w:pPr>
              <w:pStyle w:val="Tabletext1"/>
            </w:pPr>
            <w:r w:rsidRPr="00A00B9F">
              <w:t>NS</w:t>
            </w:r>
          </w:p>
        </w:tc>
        <w:tc>
          <w:tcPr>
            <w:tcW w:w="0" w:type="auto"/>
            <w:shd w:val="clear" w:color="auto" w:fill="auto"/>
            <w:hideMark/>
          </w:tcPr>
          <w:p w14:paraId="5277D0C3" w14:textId="77777777" w:rsidR="00615DB5" w:rsidRPr="00A00B9F" w:rsidRDefault="00615DB5" w:rsidP="00154A3C">
            <w:pPr>
              <w:pStyle w:val="Tabletext1"/>
            </w:pPr>
            <w:r w:rsidRPr="00A00B9F">
              <w:t>.</w:t>
            </w:r>
          </w:p>
        </w:tc>
        <w:tc>
          <w:tcPr>
            <w:tcW w:w="0" w:type="auto"/>
            <w:shd w:val="clear" w:color="auto" w:fill="auto"/>
            <w:hideMark/>
          </w:tcPr>
          <w:p w14:paraId="5990ACF1" w14:textId="77777777" w:rsidR="00615DB5" w:rsidRPr="00A00B9F" w:rsidRDefault="00615DB5" w:rsidP="00154A3C">
            <w:pPr>
              <w:pStyle w:val="Tabletext1"/>
            </w:pPr>
            <w:r w:rsidRPr="00A00B9F">
              <w:t>.</w:t>
            </w:r>
          </w:p>
        </w:tc>
        <w:tc>
          <w:tcPr>
            <w:tcW w:w="0" w:type="auto"/>
            <w:shd w:val="clear" w:color="auto" w:fill="auto"/>
            <w:hideMark/>
          </w:tcPr>
          <w:p w14:paraId="1E478D2B" w14:textId="77777777" w:rsidR="00615DB5" w:rsidRPr="00A00B9F" w:rsidRDefault="00615DB5" w:rsidP="00154A3C">
            <w:pPr>
              <w:pStyle w:val="Tabletext1"/>
            </w:pPr>
            <w:r w:rsidRPr="00A00B9F">
              <w:t>.</w:t>
            </w:r>
          </w:p>
        </w:tc>
        <w:tc>
          <w:tcPr>
            <w:tcW w:w="0" w:type="auto"/>
            <w:shd w:val="clear" w:color="auto" w:fill="auto"/>
            <w:hideMark/>
          </w:tcPr>
          <w:p w14:paraId="39FF6883" w14:textId="77777777" w:rsidR="00615DB5" w:rsidRPr="00A00B9F" w:rsidRDefault="00615DB5" w:rsidP="00154A3C">
            <w:pPr>
              <w:pStyle w:val="Tabletext1"/>
            </w:pPr>
            <w:r w:rsidRPr="00A00B9F">
              <w:t>.</w:t>
            </w:r>
          </w:p>
        </w:tc>
        <w:tc>
          <w:tcPr>
            <w:tcW w:w="0" w:type="auto"/>
            <w:shd w:val="clear" w:color="auto" w:fill="auto"/>
            <w:hideMark/>
          </w:tcPr>
          <w:p w14:paraId="165944C8" w14:textId="77777777" w:rsidR="00615DB5" w:rsidRPr="00A00B9F" w:rsidRDefault="00615DB5" w:rsidP="00154A3C">
            <w:pPr>
              <w:pStyle w:val="Tabletext1"/>
            </w:pPr>
            <w:r w:rsidRPr="00A00B9F">
              <w:t>.</w:t>
            </w:r>
          </w:p>
        </w:tc>
        <w:tc>
          <w:tcPr>
            <w:tcW w:w="0" w:type="auto"/>
            <w:shd w:val="clear" w:color="auto" w:fill="auto"/>
            <w:hideMark/>
          </w:tcPr>
          <w:p w14:paraId="79B0624D" w14:textId="77777777" w:rsidR="00615DB5" w:rsidRPr="00A00B9F" w:rsidRDefault="00615DB5" w:rsidP="00154A3C">
            <w:pPr>
              <w:pStyle w:val="Tabletext1"/>
            </w:pPr>
            <w:r w:rsidRPr="00A00B9F">
              <w:t>.</w:t>
            </w:r>
          </w:p>
        </w:tc>
        <w:tc>
          <w:tcPr>
            <w:tcW w:w="0" w:type="auto"/>
            <w:shd w:val="clear" w:color="auto" w:fill="auto"/>
            <w:hideMark/>
          </w:tcPr>
          <w:p w14:paraId="7EB82645" w14:textId="77777777" w:rsidR="00615DB5" w:rsidRPr="00A00B9F" w:rsidRDefault="00615DB5" w:rsidP="00154A3C">
            <w:pPr>
              <w:pStyle w:val="Tabletext1"/>
            </w:pPr>
            <w:r w:rsidRPr="00A00B9F">
              <w:t>NS</w:t>
            </w:r>
          </w:p>
        </w:tc>
      </w:tr>
      <w:tr w:rsidR="00615DB5" w:rsidRPr="00A00B9F" w14:paraId="6CDE6078" w14:textId="77777777" w:rsidTr="00154A3C">
        <w:trPr>
          <w:cantSplit/>
          <w:trHeight w:val="600"/>
        </w:trPr>
        <w:tc>
          <w:tcPr>
            <w:tcW w:w="0" w:type="auto"/>
            <w:shd w:val="clear" w:color="auto" w:fill="auto"/>
            <w:hideMark/>
          </w:tcPr>
          <w:p w14:paraId="3567A217" w14:textId="77777777" w:rsidR="00615DB5" w:rsidRPr="00A00B9F" w:rsidRDefault="00615DB5" w:rsidP="00154A3C">
            <w:pPr>
              <w:pStyle w:val="Tabletext1"/>
            </w:pPr>
            <w:r w:rsidRPr="00A00B9F">
              <w:t>van den Bergh et al.</w:t>
            </w:r>
          </w:p>
        </w:tc>
        <w:tc>
          <w:tcPr>
            <w:tcW w:w="0" w:type="auto"/>
            <w:shd w:val="clear" w:color="auto" w:fill="auto"/>
            <w:hideMark/>
          </w:tcPr>
          <w:p w14:paraId="63C227FE" w14:textId="77777777" w:rsidR="00615DB5" w:rsidRDefault="00615DB5" w:rsidP="00154A3C">
            <w:pPr>
              <w:pStyle w:val="Tabletext1"/>
            </w:pPr>
            <w:r>
              <w:t xml:space="preserve">[I] </w:t>
            </w:r>
            <w:r w:rsidRPr="00A00B9F">
              <w:t xml:space="preserve">median 0.5 years </w:t>
            </w:r>
          </w:p>
          <w:p w14:paraId="2A851ABC" w14:textId="77777777" w:rsidR="00615DB5" w:rsidRPr="00A00B9F" w:rsidRDefault="00615DB5" w:rsidP="00154A3C">
            <w:pPr>
              <w:pStyle w:val="Tabletext1"/>
            </w:pPr>
            <w:r>
              <w:t>[D]</w:t>
            </w:r>
            <w:r w:rsidRPr="00A00B9F">
              <w:t xml:space="preserve"> median 2.6 years</w:t>
            </w:r>
          </w:p>
        </w:tc>
        <w:tc>
          <w:tcPr>
            <w:tcW w:w="0" w:type="auto"/>
          </w:tcPr>
          <w:p w14:paraId="4F5F6182" w14:textId="37A6452D" w:rsidR="00615DB5" w:rsidRDefault="00615DB5" w:rsidP="00154A3C">
            <w:pPr>
              <w:pStyle w:val="Tabletext1"/>
            </w:pPr>
            <w:r>
              <w:t>Mean 5.7 years</w:t>
            </w:r>
            <w:r w:rsidR="00F5175B">
              <w:t xml:space="preserve"> </w:t>
            </w:r>
            <w:r>
              <w:t>(SD 3.2 years)</w:t>
            </w:r>
          </w:p>
          <w:p w14:paraId="192C8F72" w14:textId="77777777" w:rsidR="00615DB5" w:rsidRPr="00200440" w:rsidRDefault="00615DB5" w:rsidP="00154A3C"/>
        </w:tc>
        <w:tc>
          <w:tcPr>
            <w:tcW w:w="0" w:type="auto"/>
            <w:shd w:val="clear" w:color="auto" w:fill="auto"/>
            <w:hideMark/>
          </w:tcPr>
          <w:p w14:paraId="5D87CC5F" w14:textId="77777777" w:rsidR="00615DB5" w:rsidRDefault="00615DB5" w:rsidP="00154A3C">
            <w:pPr>
              <w:pStyle w:val="Tabletext1"/>
            </w:pPr>
            <w:r>
              <w:t xml:space="preserve">[I] 158 </w:t>
            </w:r>
          </w:p>
          <w:p w14:paraId="3DB84F0C" w14:textId="77777777" w:rsidR="00615DB5" w:rsidRPr="00A00B9F" w:rsidRDefault="00615DB5" w:rsidP="00154A3C">
            <w:pPr>
              <w:pStyle w:val="Tabletext1"/>
            </w:pPr>
            <w:r>
              <w:t>[D] 69</w:t>
            </w:r>
          </w:p>
        </w:tc>
        <w:tc>
          <w:tcPr>
            <w:tcW w:w="0" w:type="auto"/>
          </w:tcPr>
          <w:p w14:paraId="62BD66D5" w14:textId="77777777" w:rsidR="00615DB5" w:rsidRPr="00A00B9F" w:rsidRDefault="00615DB5" w:rsidP="00154A3C">
            <w:pPr>
              <w:pStyle w:val="Tabletext1"/>
            </w:pPr>
            <w:r>
              <w:t>100% low</w:t>
            </w:r>
          </w:p>
        </w:tc>
        <w:tc>
          <w:tcPr>
            <w:tcW w:w="0" w:type="auto"/>
          </w:tcPr>
          <w:p w14:paraId="171EF3AA" w14:textId="77777777" w:rsidR="00615DB5" w:rsidRPr="00A00B9F" w:rsidRDefault="00615DB5" w:rsidP="00154A3C">
            <w:pPr>
              <w:pStyle w:val="Tabletext1"/>
            </w:pPr>
            <w:r w:rsidRPr="00A00B9F">
              <w:t>.</w:t>
            </w:r>
          </w:p>
        </w:tc>
        <w:tc>
          <w:tcPr>
            <w:tcW w:w="0" w:type="auto"/>
            <w:shd w:val="clear" w:color="auto" w:fill="auto"/>
            <w:hideMark/>
          </w:tcPr>
          <w:p w14:paraId="19768505" w14:textId="77777777" w:rsidR="00615DB5" w:rsidRPr="00A00B9F" w:rsidRDefault="00615DB5" w:rsidP="00154A3C">
            <w:pPr>
              <w:pStyle w:val="Tabletext1"/>
            </w:pPr>
            <w:r w:rsidRPr="00A00B9F">
              <w:t>.</w:t>
            </w:r>
          </w:p>
        </w:tc>
        <w:tc>
          <w:tcPr>
            <w:tcW w:w="0" w:type="auto"/>
            <w:shd w:val="clear" w:color="auto" w:fill="auto"/>
            <w:hideMark/>
          </w:tcPr>
          <w:p w14:paraId="72D9D67F" w14:textId="77777777" w:rsidR="00615DB5" w:rsidRPr="00A00B9F" w:rsidRDefault="00615DB5" w:rsidP="00154A3C">
            <w:pPr>
              <w:pStyle w:val="Tabletext1"/>
            </w:pPr>
            <w:r w:rsidRPr="00A00B9F">
              <w:t>.</w:t>
            </w:r>
          </w:p>
        </w:tc>
        <w:tc>
          <w:tcPr>
            <w:tcW w:w="0" w:type="auto"/>
            <w:shd w:val="clear" w:color="auto" w:fill="auto"/>
            <w:hideMark/>
          </w:tcPr>
          <w:p w14:paraId="2A06C37E" w14:textId="77777777" w:rsidR="00615DB5" w:rsidRPr="00A00B9F" w:rsidRDefault="00615DB5" w:rsidP="00154A3C">
            <w:pPr>
              <w:pStyle w:val="Tabletext1"/>
            </w:pPr>
            <w:r w:rsidRPr="00A00B9F">
              <w:t>NS</w:t>
            </w:r>
          </w:p>
        </w:tc>
        <w:tc>
          <w:tcPr>
            <w:tcW w:w="0" w:type="auto"/>
            <w:shd w:val="clear" w:color="auto" w:fill="auto"/>
            <w:hideMark/>
          </w:tcPr>
          <w:p w14:paraId="60868E44" w14:textId="77777777" w:rsidR="00615DB5" w:rsidRPr="00A00B9F" w:rsidRDefault="00615DB5" w:rsidP="00154A3C">
            <w:pPr>
              <w:pStyle w:val="Tabletext1"/>
            </w:pPr>
            <w:r w:rsidRPr="00A00B9F">
              <w:t>NS</w:t>
            </w:r>
          </w:p>
        </w:tc>
        <w:tc>
          <w:tcPr>
            <w:tcW w:w="0" w:type="auto"/>
            <w:shd w:val="clear" w:color="auto" w:fill="auto"/>
            <w:hideMark/>
          </w:tcPr>
          <w:p w14:paraId="250CAA36" w14:textId="77777777" w:rsidR="00615DB5" w:rsidRPr="00A00B9F" w:rsidRDefault="00615DB5" w:rsidP="00154A3C">
            <w:pPr>
              <w:pStyle w:val="Tabletext1"/>
            </w:pPr>
            <w:r w:rsidRPr="00A00B9F">
              <w:t>.</w:t>
            </w:r>
          </w:p>
        </w:tc>
        <w:tc>
          <w:tcPr>
            <w:tcW w:w="0" w:type="auto"/>
            <w:shd w:val="clear" w:color="auto" w:fill="auto"/>
            <w:hideMark/>
          </w:tcPr>
          <w:p w14:paraId="71EA957B" w14:textId="77777777" w:rsidR="00615DB5" w:rsidRPr="00A00B9F" w:rsidRDefault="00615DB5" w:rsidP="00154A3C">
            <w:pPr>
              <w:pStyle w:val="Tabletext1"/>
            </w:pPr>
            <w:r w:rsidRPr="00A00B9F">
              <w:t>.</w:t>
            </w:r>
          </w:p>
        </w:tc>
        <w:tc>
          <w:tcPr>
            <w:tcW w:w="0" w:type="auto"/>
            <w:shd w:val="clear" w:color="auto" w:fill="auto"/>
            <w:hideMark/>
          </w:tcPr>
          <w:p w14:paraId="4F7594E8" w14:textId="77777777" w:rsidR="00615DB5" w:rsidRPr="00A00B9F" w:rsidRDefault="00615DB5" w:rsidP="00154A3C">
            <w:pPr>
              <w:pStyle w:val="Tabletext1"/>
            </w:pPr>
            <w:r w:rsidRPr="00A00B9F">
              <w:t>NS</w:t>
            </w:r>
          </w:p>
        </w:tc>
      </w:tr>
      <w:tr w:rsidR="00615DB5" w:rsidRPr="00A00B9F" w14:paraId="081C79B7" w14:textId="77777777" w:rsidTr="00154A3C">
        <w:trPr>
          <w:cantSplit/>
          <w:trHeight w:val="600"/>
        </w:trPr>
        <w:tc>
          <w:tcPr>
            <w:tcW w:w="0" w:type="auto"/>
            <w:shd w:val="clear" w:color="auto" w:fill="auto"/>
            <w:hideMark/>
          </w:tcPr>
          <w:p w14:paraId="2A27D3C8" w14:textId="77777777" w:rsidR="00615DB5" w:rsidRPr="00A00B9F" w:rsidRDefault="00615DB5" w:rsidP="00154A3C">
            <w:pPr>
              <w:pStyle w:val="Tabletext1"/>
            </w:pPr>
            <w:r w:rsidRPr="00A00B9F">
              <w:t>Vickers et al.</w:t>
            </w:r>
          </w:p>
        </w:tc>
        <w:tc>
          <w:tcPr>
            <w:tcW w:w="0" w:type="auto"/>
            <w:shd w:val="clear" w:color="auto" w:fill="auto"/>
            <w:hideMark/>
          </w:tcPr>
          <w:p w14:paraId="54F4609E" w14:textId="77777777" w:rsidR="00615DB5" w:rsidRDefault="00615DB5" w:rsidP="00154A3C">
            <w:pPr>
              <w:pStyle w:val="Tabletext1"/>
            </w:pPr>
            <w:r>
              <w:t>[I] &lt;90 days</w:t>
            </w:r>
          </w:p>
          <w:p w14:paraId="3E2B79BF" w14:textId="77777777" w:rsidR="00615DB5" w:rsidRPr="00A00B9F" w:rsidRDefault="00615DB5" w:rsidP="00154A3C">
            <w:pPr>
              <w:pStyle w:val="Tabletext1"/>
            </w:pPr>
            <w:r>
              <w:t>[D] 90-365 days</w:t>
            </w:r>
          </w:p>
        </w:tc>
        <w:tc>
          <w:tcPr>
            <w:tcW w:w="0" w:type="auto"/>
          </w:tcPr>
          <w:p w14:paraId="24EA60E4" w14:textId="77777777" w:rsidR="00615DB5" w:rsidRPr="00A00B9F" w:rsidRDefault="00615DB5" w:rsidP="00154A3C">
            <w:pPr>
              <w:pStyle w:val="Tabletext1"/>
            </w:pPr>
            <w:r>
              <w:t>10 years</w:t>
            </w:r>
          </w:p>
        </w:tc>
        <w:tc>
          <w:tcPr>
            <w:tcW w:w="0" w:type="auto"/>
            <w:shd w:val="clear" w:color="auto" w:fill="auto"/>
            <w:hideMark/>
          </w:tcPr>
          <w:p w14:paraId="4E93CFC3" w14:textId="77777777" w:rsidR="00615DB5" w:rsidRDefault="00615DB5" w:rsidP="00154A3C">
            <w:pPr>
              <w:pStyle w:val="Tabletext1"/>
            </w:pPr>
            <w:r>
              <w:t>[I] 2258</w:t>
            </w:r>
          </w:p>
          <w:p w14:paraId="179649E1" w14:textId="77777777" w:rsidR="00615DB5" w:rsidRPr="00A00B9F" w:rsidRDefault="00615DB5" w:rsidP="00154A3C">
            <w:pPr>
              <w:pStyle w:val="Tabletext1"/>
            </w:pPr>
            <w:r>
              <w:t>[D] 891</w:t>
            </w:r>
          </w:p>
        </w:tc>
        <w:tc>
          <w:tcPr>
            <w:tcW w:w="0" w:type="auto"/>
          </w:tcPr>
          <w:p w14:paraId="7B9CEEA3" w14:textId="77777777" w:rsidR="00615DB5" w:rsidRPr="00A00B9F" w:rsidRDefault="00615DB5" w:rsidP="00154A3C">
            <w:pPr>
              <w:pStyle w:val="Tabletext1"/>
            </w:pPr>
            <w:r>
              <w:t>5% high risk</w:t>
            </w:r>
          </w:p>
        </w:tc>
        <w:tc>
          <w:tcPr>
            <w:tcW w:w="0" w:type="auto"/>
          </w:tcPr>
          <w:p w14:paraId="4E7BE25E" w14:textId="77777777" w:rsidR="00615DB5" w:rsidRPr="00A00B9F" w:rsidRDefault="00615DB5" w:rsidP="00154A3C">
            <w:pPr>
              <w:pStyle w:val="Tabletext1"/>
            </w:pPr>
            <w:r w:rsidRPr="00A00B9F">
              <w:t>.</w:t>
            </w:r>
          </w:p>
        </w:tc>
        <w:tc>
          <w:tcPr>
            <w:tcW w:w="0" w:type="auto"/>
            <w:shd w:val="clear" w:color="auto" w:fill="auto"/>
            <w:hideMark/>
          </w:tcPr>
          <w:p w14:paraId="01A8136F" w14:textId="77777777" w:rsidR="00615DB5" w:rsidRPr="00A00B9F" w:rsidRDefault="00615DB5" w:rsidP="00154A3C">
            <w:pPr>
              <w:pStyle w:val="Tabletext1"/>
            </w:pPr>
            <w:r w:rsidRPr="00A00B9F">
              <w:t>.</w:t>
            </w:r>
          </w:p>
        </w:tc>
        <w:tc>
          <w:tcPr>
            <w:tcW w:w="0" w:type="auto"/>
            <w:shd w:val="clear" w:color="auto" w:fill="auto"/>
            <w:hideMark/>
          </w:tcPr>
          <w:p w14:paraId="27FE304A" w14:textId="77777777" w:rsidR="00615DB5" w:rsidRPr="00A00B9F" w:rsidRDefault="00615DB5" w:rsidP="00154A3C">
            <w:pPr>
              <w:pStyle w:val="Tabletext1"/>
            </w:pPr>
            <w:r w:rsidRPr="00A00B9F">
              <w:t>.</w:t>
            </w:r>
          </w:p>
        </w:tc>
        <w:tc>
          <w:tcPr>
            <w:tcW w:w="0" w:type="auto"/>
            <w:shd w:val="clear" w:color="auto" w:fill="auto"/>
            <w:hideMark/>
          </w:tcPr>
          <w:p w14:paraId="5D8F4BBE" w14:textId="77777777" w:rsidR="00615DB5" w:rsidRPr="00A00B9F" w:rsidRDefault="00615DB5" w:rsidP="00154A3C">
            <w:pPr>
              <w:pStyle w:val="Tabletext1"/>
            </w:pPr>
            <w:r w:rsidRPr="00A00B9F">
              <w:t>NS</w:t>
            </w:r>
          </w:p>
        </w:tc>
        <w:tc>
          <w:tcPr>
            <w:tcW w:w="0" w:type="auto"/>
            <w:shd w:val="clear" w:color="auto" w:fill="auto"/>
            <w:hideMark/>
          </w:tcPr>
          <w:p w14:paraId="5D599A97" w14:textId="77777777" w:rsidR="00615DB5" w:rsidRPr="00A00B9F" w:rsidRDefault="00615DB5" w:rsidP="00154A3C">
            <w:pPr>
              <w:pStyle w:val="Tabletext1"/>
            </w:pPr>
            <w:r w:rsidRPr="00A00B9F">
              <w:t>.</w:t>
            </w:r>
          </w:p>
        </w:tc>
        <w:tc>
          <w:tcPr>
            <w:tcW w:w="0" w:type="auto"/>
            <w:shd w:val="clear" w:color="auto" w:fill="auto"/>
            <w:hideMark/>
          </w:tcPr>
          <w:p w14:paraId="518C7DED" w14:textId="77777777" w:rsidR="00615DB5" w:rsidRPr="00A00B9F" w:rsidRDefault="00615DB5" w:rsidP="00154A3C">
            <w:pPr>
              <w:pStyle w:val="Tabletext1"/>
            </w:pPr>
            <w:r w:rsidRPr="00A00B9F">
              <w:t>.</w:t>
            </w:r>
          </w:p>
        </w:tc>
        <w:tc>
          <w:tcPr>
            <w:tcW w:w="0" w:type="auto"/>
            <w:shd w:val="clear" w:color="auto" w:fill="auto"/>
            <w:hideMark/>
          </w:tcPr>
          <w:p w14:paraId="15C7DC98" w14:textId="77777777" w:rsidR="00615DB5" w:rsidRPr="00A00B9F" w:rsidRDefault="00615DB5" w:rsidP="00154A3C">
            <w:pPr>
              <w:pStyle w:val="Tabletext1"/>
            </w:pPr>
            <w:r w:rsidRPr="00A00B9F">
              <w:t>.</w:t>
            </w:r>
          </w:p>
        </w:tc>
        <w:tc>
          <w:tcPr>
            <w:tcW w:w="0" w:type="auto"/>
            <w:shd w:val="clear" w:color="auto" w:fill="auto"/>
            <w:hideMark/>
          </w:tcPr>
          <w:p w14:paraId="2F66717C" w14:textId="77777777" w:rsidR="00615DB5" w:rsidRPr="00A00B9F" w:rsidRDefault="00615DB5" w:rsidP="00154A3C">
            <w:pPr>
              <w:pStyle w:val="Tabletext1"/>
            </w:pPr>
            <w:r w:rsidRPr="00A00B9F">
              <w:t>.</w:t>
            </w:r>
          </w:p>
        </w:tc>
      </w:tr>
      <w:tr w:rsidR="00615DB5" w:rsidRPr="00A00B9F" w14:paraId="317F7552" w14:textId="77777777" w:rsidTr="00154A3C">
        <w:trPr>
          <w:cantSplit/>
          <w:trHeight w:val="600"/>
        </w:trPr>
        <w:tc>
          <w:tcPr>
            <w:tcW w:w="0" w:type="auto"/>
            <w:shd w:val="clear" w:color="auto" w:fill="auto"/>
            <w:hideMark/>
          </w:tcPr>
          <w:p w14:paraId="477628E3" w14:textId="77777777" w:rsidR="00615DB5" w:rsidRPr="00A00B9F" w:rsidRDefault="00615DB5" w:rsidP="00154A3C">
            <w:pPr>
              <w:pStyle w:val="Tabletext1"/>
            </w:pPr>
            <w:r w:rsidRPr="00A00B9F">
              <w:t>Warlick et al.</w:t>
            </w:r>
          </w:p>
        </w:tc>
        <w:tc>
          <w:tcPr>
            <w:tcW w:w="0" w:type="auto"/>
            <w:shd w:val="clear" w:color="auto" w:fill="auto"/>
            <w:hideMark/>
          </w:tcPr>
          <w:p w14:paraId="1B0B6A47" w14:textId="77777777" w:rsidR="00615DB5" w:rsidRDefault="00615DB5" w:rsidP="00154A3C">
            <w:pPr>
              <w:pStyle w:val="Tabletext1"/>
            </w:pPr>
            <w:r>
              <w:t xml:space="preserve">[I] median 3 months </w:t>
            </w:r>
          </w:p>
          <w:p w14:paraId="1FF8E928" w14:textId="77777777" w:rsidR="00615DB5" w:rsidRPr="00A00B9F" w:rsidRDefault="00615DB5" w:rsidP="00154A3C">
            <w:pPr>
              <w:pStyle w:val="Tabletext1"/>
            </w:pPr>
            <w:r>
              <w:t xml:space="preserve">[D] </w:t>
            </w:r>
            <w:r w:rsidRPr="00A00B9F">
              <w:t>median 26.5 months</w:t>
            </w:r>
          </w:p>
        </w:tc>
        <w:tc>
          <w:tcPr>
            <w:tcW w:w="0" w:type="auto"/>
          </w:tcPr>
          <w:p w14:paraId="2B156253" w14:textId="77777777" w:rsidR="00615DB5" w:rsidRPr="00A00B9F" w:rsidRDefault="00615DB5" w:rsidP="00154A3C">
            <w:pPr>
              <w:pStyle w:val="Tabletext1"/>
            </w:pPr>
            <w:r>
              <w:t>10 years</w:t>
            </w:r>
          </w:p>
        </w:tc>
        <w:tc>
          <w:tcPr>
            <w:tcW w:w="0" w:type="auto"/>
            <w:shd w:val="clear" w:color="auto" w:fill="auto"/>
            <w:hideMark/>
          </w:tcPr>
          <w:p w14:paraId="6E69C5DE" w14:textId="77777777" w:rsidR="00615DB5" w:rsidRDefault="00615DB5" w:rsidP="00154A3C">
            <w:pPr>
              <w:pStyle w:val="Tabletext1"/>
            </w:pPr>
            <w:r>
              <w:t>[I] 150</w:t>
            </w:r>
          </w:p>
          <w:p w14:paraId="6AD8CCEF" w14:textId="77777777" w:rsidR="00615DB5" w:rsidRPr="00A00B9F" w:rsidRDefault="00615DB5" w:rsidP="00154A3C">
            <w:pPr>
              <w:pStyle w:val="Tabletext1"/>
            </w:pPr>
            <w:r>
              <w:t xml:space="preserve">[D] 38 </w:t>
            </w:r>
          </w:p>
        </w:tc>
        <w:tc>
          <w:tcPr>
            <w:tcW w:w="0" w:type="auto"/>
          </w:tcPr>
          <w:p w14:paraId="1A3ACD42" w14:textId="77777777" w:rsidR="00615DB5" w:rsidRPr="00A00B9F" w:rsidRDefault="00615DB5" w:rsidP="00154A3C">
            <w:pPr>
              <w:pStyle w:val="Tabletext1"/>
            </w:pPr>
            <w:r>
              <w:t>100% low</w:t>
            </w:r>
          </w:p>
        </w:tc>
        <w:tc>
          <w:tcPr>
            <w:tcW w:w="0" w:type="auto"/>
          </w:tcPr>
          <w:p w14:paraId="5CE12E1F" w14:textId="77777777" w:rsidR="00615DB5" w:rsidRPr="00A00B9F" w:rsidRDefault="00615DB5" w:rsidP="00154A3C">
            <w:pPr>
              <w:pStyle w:val="Tabletext1"/>
            </w:pPr>
            <w:r w:rsidRPr="00A00B9F">
              <w:t>.</w:t>
            </w:r>
          </w:p>
        </w:tc>
        <w:tc>
          <w:tcPr>
            <w:tcW w:w="0" w:type="auto"/>
            <w:shd w:val="clear" w:color="auto" w:fill="auto"/>
            <w:hideMark/>
          </w:tcPr>
          <w:p w14:paraId="45B35099" w14:textId="77777777" w:rsidR="00615DB5" w:rsidRPr="00A00B9F" w:rsidRDefault="00615DB5" w:rsidP="00154A3C">
            <w:pPr>
              <w:pStyle w:val="Tabletext1"/>
            </w:pPr>
            <w:r w:rsidRPr="00A00B9F">
              <w:t>.</w:t>
            </w:r>
          </w:p>
        </w:tc>
        <w:tc>
          <w:tcPr>
            <w:tcW w:w="0" w:type="auto"/>
            <w:shd w:val="clear" w:color="auto" w:fill="auto"/>
            <w:hideMark/>
          </w:tcPr>
          <w:p w14:paraId="0B27E8A8" w14:textId="77777777" w:rsidR="00615DB5" w:rsidRPr="00A00B9F" w:rsidRDefault="00615DB5" w:rsidP="00154A3C">
            <w:pPr>
              <w:pStyle w:val="Tabletext1"/>
            </w:pPr>
            <w:r>
              <w:t>NS</w:t>
            </w:r>
          </w:p>
        </w:tc>
        <w:tc>
          <w:tcPr>
            <w:tcW w:w="0" w:type="auto"/>
            <w:shd w:val="clear" w:color="auto" w:fill="auto"/>
            <w:hideMark/>
          </w:tcPr>
          <w:p w14:paraId="15153E2A" w14:textId="77777777" w:rsidR="00615DB5" w:rsidRPr="00A00B9F" w:rsidRDefault="00615DB5" w:rsidP="00154A3C">
            <w:pPr>
              <w:pStyle w:val="Tabletext1"/>
            </w:pPr>
            <w:r w:rsidRPr="00A00B9F">
              <w:t>.</w:t>
            </w:r>
          </w:p>
        </w:tc>
        <w:tc>
          <w:tcPr>
            <w:tcW w:w="0" w:type="auto"/>
            <w:shd w:val="clear" w:color="auto" w:fill="auto"/>
            <w:hideMark/>
          </w:tcPr>
          <w:p w14:paraId="6AFE8F85" w14:textId="77777777" w:rsidR="00615DB5" w:rsidRPr="00A00B9F" w:rsidRDefault="00615DB5" w:rsidP="00154A3C">
            <w:pPr>
              <w:pStyle w:val="Tabletext1"/>
            </w:pPr>
            <w:r w:rsidRPr="00A00B9F">
              <w:t>.</w:t>
            </w:r>
          </w:p>
        </w:tc>
        <w:tc>
          <w:tcPr>
            <w:tcW w:w="0" w:type="auto"/>
            <w:shd w:val="clear" w:color="auto" w:fill="auto"/>
            <w:hideMark/>
          </w:tcPr>
          <w:p w14:paraId="42D4DF59" w14:textId="77777777" w:rsidR="00615DB5" w:rsidRPr="00A00B9F" w:rsidRDefault="00615DB5" w:rsidP="00154A3C">
            <w:pPr>
              <w:pStyle w:val="Tabletext1"/>
            </w:pPr>
            <w:r w:rsidRPr="00A00B9F">
              <w:t>.</w:t>
            </w:r>
          </w:p>
        </w:tc>
        <w:tc>
          <w:tcPr>
            <w:tcW w:w="0" w:type="auto"/>
            <w:shd w:val="clear" w:color="auto" w:fill="auto"/>
            <w:hideMark/>
          </w:tcPr>
          <w:p w14:paraId="7B8920BC" w14:textId="77777777" w:rsidR="00615DB5" w:rsidRPr="00A00B9F" w:rsidRDefault="00615DB5" w:rsidP="00154A3C">
            <w:pPr>
              <w:pStyle w:val="Tabletext1"/>
            </w:pPr>
            <w:r w:rsidRPr="00A00B9F">
              <w:t>.</w:t>
            </w:r>
          </w:p>
        </w:tc>
        <w:tc>
          <w:tcPr>
            <w:tcW w:w="0" w:type="auto"/>
            <w:shd w:val="clear" w:color="auto" w:fill="auto"/>
            <w:hideMark/>
          </w:tcPr>
          <w:p w14:paraId="56B9D078" w14:textId="77777777" w:rsidR="00615DB5" w:rsidRPr="00A00B9F" w:rsidRDefault="00615DB5" w:rsidP="00154A3C">
            <w:pPr>
              <w:pStyle w:val="Tabletext1"/>
            </w:pPr>
            <w:r w:rsidRPr="00A00B9F">
              <w:t>.</w:t>
            </w:r>
          </w:p>
        </w:tc>
      </w:tr>
      <w:tr w:rsidR="00615DB5" w:rsidRPr="00A00B9F" w14:paraId="662BF221" w14:textId="77777777" w:rsidTr="00154A3C">
        <w:trPr>
          <w:cantSplit/>
          <w:trHeight w:val="600"/>
        </w:trPr>
        <w:tc>
          <w:tcPr>
            <w:tcW w:w="0" w:type="auto"/>
            <w:shd w:val="clear" w:color="auto" w:fill="auto"/>
            <w:hideMark/>
          </w:tcPr>
          <w:p w14:paraId="01C48995" w14:textId="77777777" w:rsidR="00615DB5" w:rsidRPr="00A00B9F" w:rsidRDefault="00615DB5" w:rsidP="00154A3C">
            <w:pPr>
              <w:pStyle w:val="Tabletext1"/>
            </w:pPr>
            <w:r w:rsidRPr="00A00B9F">
              <w:t>Redaniel et al.</w:t>
            </w:r>
          </w:p>
        </w:tc>
        <w:tc>
          <w:tcPr>
            <w:tcW w:w="0" w:type="auto"/>
            <w:shd w:val="clear" w:color="auto" w:fill="auto"/>
            <w:hideMark/>
          </w:tcPr>
          <w:p w14:paraId="6BDED4D8" w14:textId="77777777" w:rsidR="00615DB5" w:rsidRDefault="00615DB5" w:rsidP="00154A3C">
            <w:pPr>
              <w:pStyle w:val="Tabletext1"/>
            </w:pPr>
            <w:r>
              <w:t xml:space="preserve">[I] 0-3 months </w:t>
            </w:r>
          </w:p>
          <w:p w14:paraId="5E9859C1" w14:textId="77777777" w:rsidR="00615DB5" w:rsidRPr="00A00B9F" w:rsidRDefault="00615DB5" w:rsidP="00154A3C">
            <w:pPr>
              <w:pStyle w:val="Tabletext1"/>
            </w:pPr>
            <w:r>
              <w:t xml:space="preserve">[D] </w:t>
            </w:r>
            <w:r w:rsidRPr="00A00B9F">
              <w:t>4-6 months</w:t>
            </w:r>
          </w:p>
        </w:tc>
        <w:tc>
          <w:tcPr>
            <w:tcW w:w="0" w:type="auto"/>
          </w:tcPr>
          <w:p w14:paraId="15B8387A" w14:textId="77777777" w:rsidR="00615DB5" w:rsidRPr="00A00B9F" w:rsidRDefault="00615DB5" w:rsidP="00154A3C">
            <w:pPr>
              <w:pStyle w:val="Tabletext1"/>
            </w:pPr>
            <w:r>
              <w:t>10 years</w:t>
            </w:r>
          </w:p>
        </w:tc>
        <w:tc>
          <w:tcPr>
            <w:tcW w:w="0" w:type="auto"/>
            <w:shd w:val="clear" w:color="auto" w:fill="auto"/>
            <w:hideMark/>
          </w:tcPr>
          <w:p w14:paraId="575B615B" w14:textId="77777777" w:rsidR="00615DB5" w:rsidRDefault="00615DB5" w:rsidP="00154A3C">
            <w:pPr>
              <w:pStyle w:val="Tabletext1"/>
            </w:pPr>
            <w:r>
              <w:t>[I] 8522</w:t>
            </w:r>
          </w:p>
          <w:p w14:paraId="67B2D35F" w14:textId="77777777" w:rsidR="00615DB5" w:rsidRPr="00A00B9F" w:rsidRDefault="00615DB5" w:rsidP="00154A3C">
            <w:pPr>
              <w:pStyle w:val="Tabletext1"/>
            </w:pPr>
            <w:r>
              <w:t>[D]</w:t>
            </w:r>
            <w:r w:rsidRPr="00A00B9F">
              <w:t xml:space="preserve"> 8521 </w:t>
            </w:r>
          </w:p>
        </w:tc>
        <w:tc>
          <w:tcPr>
            <w:tcW w:w="0" w:type="auto"/>
          </w:tcPr>
          <w:p w14:paraId="5263D241" w14:textId="6A0EA88F" w:rsidR="00615DB5" w:rsidRPr="00A00B9F" w:rsidRDefault="006A0BDA" w:rsidP="00154A3C">
            <w:pPr>
              <w:pStyle w:val="Tabletext1"/>
            </w:pPr>
            <w:r>
              <w:t>NR</w:t>
            </w:r>
          </w:p>
        </w:tc>
        <w:tc>
          <w:tcPr>
            <w:tcW w:w="0" w:type="auto"/>
          </w:tcPr>
          <w:p w14:paraId="5A85F349" w14:textId="77777777" w:rsidR="00615DB5" w:rsidRPr="00A00B9F" w:rsidRDefault="00615DB5" w:rsidP="00154A3C">
            <w:pPr>
              <w:pStyle w:val="Tabletext1"/>
            </w:pPr>
            <w:r>
              <w:t>NS</w:t>
            </w:r>
          </w:p>
        </w:tc>
        <w:tc>
          <w:tcPr>
            <w:tcW w:w="0" w:type="auto"/>
            <w:shd w:val="clear" w:color="auto" w:fill="auto"/>
            <w:hideMark/>
          </w:tcPr>
          <w:p w14:paraId="5FD31208" w14:textId="77777777" w:rsidR="00615DB5" w:rsidRPr="00A00B9F" w:rsidRDefault="00615DB5" w:rsidP="00154A3C">
            <w:pPr>
              <w:pStyle w:val="Tabletext1"/>
            </w:pPr>
            <w:r w:rsidRPr="00A00B9F">
              <w:t>.</w:t>
            </w:r>
          </w:p>
        </w:tc>
        <w:tc>
          <w:tcPr>
            <w:tcW w:w="0" w:type="auto"/>
            <w:shd w:val="clear" w:color="auto" w:fill="auto"/>
            <w:hideMark/>
          </w:tcPr>
          <w:p w14:paraId="3F67A6EE" w14:textId="77777777" w:rsidR="00615DB5" w:rsidRPr="00A00B9F" w:rsidRDefault="00615DB5" w:rsidP="00154A3C">
            <w:pPr>
              <w:pStyle w:val="Tabletext1"/>
            </w:pPr>
            <w:r w:rsidRPr="00A00B9F">
              <w:t>.</w:t>
            </w:r>
          </w:p>
        </w:tc>
        <w:tc>
          <w:tcPr>
            <w:tcW w:w="0" w:type="auto"/>
            <w:shd w:val="clear" w:color="auto" w:fill="auto"/>
            <w:hideMark/>
          </w:tcPr>
          <w:p w14:paraId="067BD321" w14:textId="77777777" w:rsidR="00615DB5" w:rsidRPr="00A00B9F" w:rsidRDefault="00615DB5" w:rsidP="00154A3C">
            <w:pPr>
              <w:pStyle w:val="Tabletext1"/>
            </w:pPr>
            <w:r w:rsidRPr="00A00B9F">
              <w:t>.</w:t>
            </w:r>
          </w:p>
        </w:tc>
        <w:tc>
          <w:tcPr>
            <w:tcW w:w="0" w:type="auto"/>
            <w:shd w:val="clear" w:color="auto" w:fill="auto"/>
            <w:hideMark/>
          </w:tcPr>
          <w:p w14:paraId="575F4439" w14:textId="77777777" w:rsidR="00615DB5" w:rsidRPr="00A00B9F" w:rsidRDefault="00615DB5" w:rsidP="00154A3C">
            <w:pPr>
              <w:pStyle w:val="Tabletext1"/>
            </w:pPr>
            <w:r w:rsidRPr="00A00B9F">
              <w:t>.</w:t>
            </w:r>
          </w:p>
        </w:tc>
        <w:tc>
          <w:tcPr>
            <w:tcW w:w="0" w:type="auto"/>
            <w:shd w:val="clear" w:color="auto" w:fill="auto"/>
            <w:hideMark/>
          </w:tcPr>
          <w:p w14:paraId="7CC91120" w14:textId="77777777" w:rsidR="00615DB5" w:rsidRPr="00A00B9F" w:rsidRDefault="00615DB5" w:rsidP="00154A3C">
            <w:pPr>
              <w:pStyle w:val="Tabletext1"/>
            </w:pPr>
            <w:r w:rsidRPr="00A00B9F">
              <w:t>.</w:t>
            </w:r>
          </w:p>
        </w:tc>
        <w:tc>
          <w:tcPr>
            <w:tcW w:w="0" w:type="auto"/>
            <w:shd w:val="clear" w:color="auto" w:fill="auto"/>
            <w:hideMark/>
          </w:tcPr>
          <w:p w14:paraId="48A2F156" w14:textId="77777777" w:rsidR="00615DB5" w:rsidRPr="00A00B9F" w:rsidRDefault="00615DB5" w:rsidP="00154A3C">
            <w:pPr>
              <w:pStyle w:val="Tabletext1"/>
            </w:pPr>
            <w:r w:rsidRPr="00A00B9F">
              <w:t>.</w:t>
            </w:r>
          </w:p>
        </w:tc>
        <w:tc>
          <w:tcPr>
            <w:tcW w:w="0" w:type="auto"/>
            <w:shd w:val="clear" w:color="auto" w:fill="auto"/>
            <w:hideMark/>
          </w:tcPr>
          <w:p w14:paraId="2E113BB2" w14:textId="77777777" w:rsidR="00615DB5" w:rsidRPr="00A00B9F" w:rsidRDefault="00615DB5" w:rsidP="00154A3C">
            <w:pPr>
              <w:pStyle w:val="Tabletext1"/>
            </w:pPr>
            <w:r w:rsidRPr="00A00B9F">
              <w:t>.</w:t>
            </w:r>
          </w:p>
        </w:tc>
      </w:tr>
      <w:tr w:rsidR="00615DB5" w:rsidRPr="00A00B9F" w14:paraId="3DB3C980" w14:textId="77777777" w:rsidTr="00154A3C">
        <w:trPr>
          <w:cantSplit/>
          <w:trHeight w:val="900"/>
        </w:trPr>
        <w:tc>
          <w:tcPr>
            <w:tcW w:w="0" w:type="auto"/>
            <w:shd w:val="clear" w:color="auto" w:fill="auto"/>
            <w:hideMark/>
          </w:tcPr>
          <w:p w14:paraId="3EF4CD5B" w14:textId="77777777" w:rsidR="00615DB5" w:rsidRPr="00A00B9F" w:rsidRDefault="00615DB5" w:rsidP="00154A3C">
            <w:pPr>
              <w:pStyle w:val="Tabletext1"/>
            </w:pPr>
            <w:r w:rsidRPr="00A00B9F">
              <w:t>Eroglu et al.</w:t>
            </w:r>
          </w:p>
        </w:tc>
        <w:tc>
          <w:tcPr>
            <w:tcW w:w="0" w:type="auto"/>
            <w:shd w:val="clear" w:color="auto" w:fill="auto"/>
            <w:hideMark/>
          </w:tcPr>
          <w:p w14:paraId="5076EF14" w14:textId="77777777" w:rsidR="00615DB5" w:rsidRPr="00A00B9F" w:rsidRDefault="00615DB5" w:rsidP="00154A3C">
            <w:pPr>
              <w:pStyle w:val="Tabletext1"/>
            </w:pPr>
            <w:r w:rsidRPr="00A00B9F">
              <w:t>NR</w:t>
            </w:r>
          </w:p>
        </w:tc>
        <w:tc>
          <w:tcPr>
            <w:tcW w:w="0" w:type="auto"/>
          </w:tcPr>
          <w:p w14:paraId="7DBEB5FE" w14:textId="77777777" w:rsidR="00615DB5" w:rsidRPr="00A00B9F" w:rsidRDefault="00615DB5" w:rsidP="00154A3C">
            <w:pPr>
              <w:pStyle w:val="Tabletext1"/>
            </w:pPr>
            <w:r>
              <w:t>NR</w:t>
            </w:r>
          </w:p>
        </w:tc>
        <w:tc>
          <w:tcPr>
            <w:tcW w:w="0" w:type="auto"/>
            <w:shd w:val="clear" w:color="auto" w:fill="auto"/>
            <w:hideMark/>
          </w:tcPr>
          <w:p w14:paraId="1858C86A" w14:textId="77777777" w:rsidR="00615DB5" w:rsidRPr="00A00B9F" w:rsidRDefault="00615DB5" w:rsidP="00154A3C">
            <w:pPr>
              <w:pStyle w:val="Tabletext1"/>
            </w:pPr>
            <w:r w:rsidRPr="00A00B9F">
              <w:t>290</w:t>
            </w:r>
          </w:p>
        </w:tc>
        <w:tc>
          <w:tcPr>
            <w:tcW w:w="0" w:type="auto"/>
          </w:tcPr>
          <w:p w14:paraId="210D36A5" w14:textId="77777777" w:rsidR="00615DB5" w:rsidRPr="00A00B9F" w:rsidRDefault="00615DB5" w:rsidP="00154A3C">
            <w:pPr>
              <w:pStyle w:val="Tabletext1"/>
            </w:pPr>
            <w:r>
              <w:t>NR</w:t>
            </w:r>
          </w:p>
        </w:tc>
        <w:tc>
          <w:tcPr>
            <w:tcW w:w="0" w:type="auto"/>
          </w:tcPr>
          <w:p w14:paraId="12F60AE5" w14:textId="77777777" w:rsidR="00615DB5" w:rsidRPr="00A00B9F" w:rsidRDefault="00615DB5" w:rsidP="00154A3C">
            <w:pPr>
              <w:pStyle w:val="Tabletext1"/>
            </w:pPr>
            <w:r w:rsidRPr="00A00B9F">
              <w:t>.</w:t>
            </w:r>
          </w:p>
        </w:tc>
        <w:tc>
          <w:tcPr>
            <w:tcW w:w="0" w:type="auto"/>
            <w:shd w:val="clear" w:color="auto" w:fill="auto"/>
            <w:hideMark/>
          </w:tcPr>
          <w:p w14:paraId="040CBA74" w14:textId="77777777" w:rsidR="00615DB5" w:rsidRPr="00A00B9F" w:rsidRDefault="00615DB5" w:rsidP="00154A3C">
            <w:pPr>
              <w:pStyle w:val="Tabletext1"/>
            </w:pPr>
            <w:r w:rsidRPr="00A00B9F">
              <w:t>.</w:t>
            </w:r>
          </w:p>
        </w:tc>
        <w:tc>
          <w:tcPr>
            <w:tcW w:w="0" w:type="auto"/>
            <w:shd w:val="clear" w:color="auto" w:fill="auto"/>
            <w:hideMark/>
          </w:tcPr>
          <w:p w14:paraId="77599DA6" w14:textId="77777777" w:rsidR="00615DB5" w:rsidRPr="00A00B9F" w:rsidRDefault="00615DB5" w:rsidP="00154A3C">
            <w:pPr>
              <w:pStyle w:val="Tabletext1"/>
            </w:pPr>
            <w:r w:rsidRPr="00A00B9F">
              <w:t>.</w:t>
            </w:r>
          </w:p>
        </w:tc>
        <w:tc>
          <w:tcPr>
            <w:tcW w:w="0" w:type="auto"/>
            <w:shd w:val="clear" w:color="auto" w:fill="auto"/>
            <w:hideMark/>
          </w:tcPr>
          <w:p w14:paraId="4401DB45" w14:textId="77777777" w:rsidR="00615DB5" w:rsidRPr="00A00B9F" w:rsidRDefault="00615DB5" w:rsidP="00154A3C">
            <w:pPr>
              <w:pStyle w:val="Tabletext1"/>
            </w:pPr>
            <w:r w:rsidRPr="00A00B9F">
              <w:t>.</w:t>
            </w:r>
          </w:p>
        </w:tc>
        <w:tc>
          <w:tcPr>
            <w:tcW w:w="0" w:type="auto"/>
            <w:shd w:val="clear" w:color="auto" w:fill="auto"/>
            <w:hideMark/>
          </w:tcPr>
          <w:p w14:paraId="1645CA8C" w14:textId="77777777" w:rsidR="00615DB5" w:rsidRPr="00A00B9F" w:rsidRDefault="00615DB5" w:rsidP="00154A3C">
            <w:pPr>
              <w:pStyle w:val="Tabletext1"/>
            </w:pPr>
            <w:r w:rsidRPr="00A00B9F">
              <w:t>.</w:t>
            </w:r>
          </w:p>
        </w:tc>
        <w:tc>
          <w:tcPr>
            <w:tcW w:w="0" w:type="auto"/>
            <w:shd w:val="clear" w:color="auto" w:fill="auto"/>
            <w:hideMark/>
          </w:tcPr>
          <w:p w14:paraId="0E782698" w14:textId="77777777" w:rsidR="00615DB5" w:rsidRPr="00A00B9F" w:rsidRDefault="00615DB5" w:rsidP="00154A3C">
            <w:pPr>
              <w:pStyle w:val="Tabletext1"/>
            </w:pPr>
            <w:r w:rsidRPr="00A00B9F">
              <w:t>.</w:t>
            </w:r>
          </w:p>
        </w:tc>
        <w:tc>
          <w:tcPr>
            <w:tcW w:w="0" w:type="auto"/>
            <w:shd w:val="clear" w:color="auto" w:fill="auto"/>
            <w:hideMark/>
          </w:tcPr>
          <w:p w14:paraId="326D3E81" w14:textId="77777777" w:rsidR="00615DB5" w:rsidRPr="00A00B9F" w:rsidRDefault="00615DB5" w:rsidP="00154A3C">
            <w:pPr>
              <w:pStyle w:val="Tabletext1"/>
            </w:pPr>
            <w:r w:rsidRPr="00A00B9F">
              <w:t>.</w:t>
            </w:r>
          </w:p>
        </w:tc>
        <w:tc>
          <w:tcPr>
            <w:tcW w:w="0" w:type="auto"/>
            <w:shd w:val="clear" w:color="auto" w:fill="auto"/>
            <w:hideMark/>
          </w:tcPr>
          <w:p w14:paraId="2403B7ED" w14:textId="77777777" w:rsidR="00615DB5" w:rsidRPr="00A00B9F" w:rsidRDefault="00615DB5" w:rsidP="00154A3C">
            <w:pPr>
              <w:pStyle w:val="Tabletext1"/>
            </w:pPr>
            <w:r w:rsidRPr="00A00B9F">
              <w:t>Delay associated with upgrade to Gleason score</w:t>
            </w:r>
          </w:p>
        </w:tc>
      </w:tr>
      <w:tr w:rsidR="00615DB5" w:rsidRPr="00A00B9F" w14:paraId="3C36BB0F" w14:textId="77777777" w:rsidTr="00154A3C">
        <w:trPr>
          <w:cantSplit/>
          <w:trHeight w:val="1200"/>
        </w:trPr>
        <w:tc>
          <w:tcPr>
            <w:tcW w:w="0" w:type="auto"/>
            <w:shd w:val="clear" w:color="auto" w:fill="auto"/>
            <w:hideMark/>
          </w:tcPr>
          <w:p w14:paraId="35461B80" w14:textId="77777777" w:rsidR="00615DB5" w:rsidRPr="00A00B9F" w:rsidRDefault="00615DB5" w:rsidP="00154A3C">
            <w:pPr>
              <w:pStyle w:val="Tabletext1"/>
            </w:pPr>
            <w:r w:rsidRPr="00A00B9F">
              <w:lastRenderedPageBreak/>
              <w:t>Dong et Al.</w:t>
            </w:r>
          </w:p>
        </w:tc>
        <w:tc>
          <w:tcPr>
            <w:tcW w:w="0" w:type="auto"/>
            <w:shd w:val="clear" w:color="auto" w:fill="auto"/>
            <w:hideMark/>
          </w:tcPr>
          <w:p w14:paraId="5D99DBD5" w14:textId="43937266" w:rsidR="00615DB5" w:rsidRDefault="00615DB5" w:rsidP="00154A3C">
            <w:pPr>
              <w:pStyle w:val="Tabletext1"/>
            </w:pPr>
            <w:r>
              <w:t>[I] &lt;3</w:t>
            </w:r>
            <w:r w:rsidR="00F5175B">
              <w:t xml:space="preserve"> </w:t>
            </w:r>
            <w:r>
              <w:t xml:space="preserve">months [D1] 3-6 months </w:t>
            </w:r>
          </w:p>
          <w:p w14:paraId="72936E84" w14:textId="77777777" w:rsidR="00615DB5" w:rsidRDefault="00615DB5" w:rsidP="00154A3C">
            <w:pPr>
              <w:pStyle w:val="Tabletext1"/>
            </w:pPr>
            <w:r>
              <w:t>[D2] 6-9 months</w:t>
            </w:r>
          </w:p>
          <w:p w14:paraId="1D03ACA0" w14:textId="77777777" w:rsidR="00615DB5" w:rsidRPr="00A00B9F" w:rsidRDefault="00615DB5" w:rsidP="00154A3C">
            <w:pPr>
              <w:pStyle w:val="Tabletext1"/>
            </w:pPr>
            <w:r>
              <w:t xml:space="preserve">[D3] 9-24 months </w:t>
            </w:r>
          </w:p>
        </w:tc>
        <w:tc>
          <w:tcPr>
            <w:tcW w:w="0" w:type="auto"/>
          </w:tcPr>
          <w:p w14:paraId="3102348B" w14:textId="77777777" w:rsidR="00615DB5" w:rsidRPr="00A00B9F" w:rsidRDefault="00615DB5" w:rsidP="00154A3C">
            <w:pPr>
              <w:pStyle w:val="Tabletext1"/>
            </w:pPr>
            <w:r>
              <w:t>Median 64 months</w:t>
            </w:r>
          </w:p>
        </w:tc>
        <w:tc>
          <w:tcPr>
            <w:tcW w:w="0" w:type="auto"/>
            <w:shd w:val="clear" w:color="auto" w:fill="auto"/>
            <w:hideMark/>
          </w:tcPr>
          <w:p w14:paraId="3CA677BC" w14:textId="0A989152" w:rsidR="00615DB5" w:rsidRPr="00A00B9F" w:rsidRDefault="00615DB5" w:rsidP="00154A3C">
            <w:pPr>
              <w:pStyle w:val="Tabletext1"/>
            </w:pPr>
            <w:r>
              <w:t xml:space="preserve">[I] </w:t>
            </w:r>
            <w:r w:rsidRPr="00A00B9F">
              <w:t>1611 vs</w:t>
            </w:r>
            <w:r w:rsidR="00F5175B">
              <w:t>.</w:t>
            </w:r>
            <w:r w:rsidRPr="00A00B9F">
              <w:t xml:space="preserve"> </w:t>
            </w:r>
            <w:r>
              <w:t xml:space="preserve">[D1] 1956 [D2] 323 [D3] </w:t>
            </w:r>
            <w:r w:rsidRPr="00A00B9F">
              <w:t xml:space="preserve">174 </w:t>
            </w:r>
          </w:p>
        </w:tc>
        <w:tc>
          <w:tcPr>
            <w:tcW w:w="0" w:type="auto"/>
          </w:tcPr>
          <w:p w14:paraId="594C4CD3" w14:textId="77777777" w:rsidR="00615DB5" w:rsidRDefault="00615DB5" w:rsidP="00154A3C">
            <w:pPr>
              <w:pStyle w:val="Tabletext1"/>
            </w:pPr>
            <w:r>
              <w:t>Total:</w:t>
            </w:r>
          </w:p>
          <w:p w14:paraId="5F2C1936" w14:textId="77777777" w:rsidR="00615DB5" w:rsidRPr="00A00B9F" w:rsidRDefault="00615DB5" w:rsidP="00154A3C">
            <w:pPr>
              <w:pStyle w:val="Tabletext1"/>
            </w:pPr>
            <w:r>
              <w:t>38% low, 40% int, 22 high</w:t>
            </w:r>
          </w:p>
        </w:tc>
        <w:tc>
          <w:tcPr>
            <w:tcW w:w="0" w:type="auto"/>
          </w:tcPr>
          <w:p w14:paraId="39D00F4C" w14:textId="77777777" w:rsidR="00615DB5" w:rsidRPr="00A00B9F" w:rsidRDefault="00615DB5" w:rsidP="00154A3C">
            <w:pPr>
              <w:pStyle w:val="Tabletext1"/>
            </w:pPr>
            <w:r w:rsidRPr="00A00B9F">
              <w:t>NS</w:t>
            </w:r>
          </w:p>
        </w:tc>
        <w:tc>
          <w:tcPr>
            <w:tcW w:w="0" w:type="auto"/>
            <w:shd w:val="clear" w:color="auto" w:fill="auto"/>
            <w:hideMark/>
          </w:tcPr>
          <w:p w14:paraId="7DE7B8E9" w14:textId="77777777" w:rsidR="00615DB5" w:rsidRPr="00A00B9F" w:rsidRDefault="00615DB5" w:rsidP="00154A3C">
            <w:pPr>
              <w:pStyle w:val="Tabletext1"/>
            </w:pPr>
            <w:r w:rsidRPr="00A00B9F">
              <w:t>.</w:t>
            </w:r>
          </w:p>
        </w:tc>
        <w:tc>
          <w:tcPr>
            <w:tcW w:w="0" w:type="auto"/>
            <w:shd w:val="clear" w:color="auto" w:fill="auto"/>
            <w:hideMark/>
          </w:tcPr>
          <w:p w14:paraId="3DADCED6" w14:textId="77777777" w:rsidR="00615DB5" w:rsidRPr="00A00B9F" w:rsidRDefault="00615DB5" w:rsidP="00154A3C">
            <w:pPr>
              <w:pStyle w:val="Tabletext1"/>
            </w:pPr>
            <w:r w:rsidRPr="00A00B9F">
              <w:t>NS</w:t>
            </w:r>
          </w:p>
        </w:tc>
        <w:tc>
          <w:tcPr>
            <w:tcW w:w="0" w:type="auto"/>
            <w:shd w:val="clear" w:color="auto" w:fill="auto"/>
            <w:hideMark/>
          </w:tcPr>
          <w:p w14:paraId="4FE4BBE3" w14:textId="77777777" w:rsidR="00615DB5" w:rsidRPr="00A00B9F" w:rsidRDefault="00615DB5" w:rsidP="00154A3C">
            <w:pPr>
              <w:pStyle w:val="Tabletext1"/>
            </w:pPr>
            <w:r w:rsidRPr="00A00B9F">
              <w:t>NS</w:t>
            </w:r>
          </w:p>
        </w:tc>
        <w:tc>
          <w:tcPr>
            <w:tcW w:w="0" w:type="auto"/>
            <w:shd w:val="clear" w:color="auto" w:fill="auto"/>
            <w:hideMark/>
          </w:tcPr>
          <w:p w14:paraId="1508CCA2" w14:textId="77777777" w:rsidR="00615DB5" w:rsidRPr="00A00B9F" w:rsidRDefault="00615DB5" w:rsidP="00154A3C">
            <w:pPr>
              <w:pStyle w:val="Tabletext1"/>
            </w:pPr>
            <w:r w:rsidRPr="00A00B9F">
              <w:t>.</w:t>
            </w:r>
          </w:p>
        </w:tc>
        <w:tc>
          <w:tcPr>
            <w:tcW w:w="0" w:type="auto"/>
            <w:shd w:val="clear" w:color="auto" w:fill="auto"/>
            <w:hideMark/>
          </w:tcPr>
          <w:p w14:paraId="0D9F1C2D" w14:textId="77777777" w:rsidR="00615DB5" w:rsidRPr="00A00B9F" w:rsidRDefault="00615DB5" w:rsidP="00154A3C">
            <w:pPr>
              <w:pStyle w:val="Tabletext1"/>
            </w:pPr>
            <w:r w:rsidRPr="00A00B9F">
              <w:t>.</w:t>
            </w:r>
          </w:p>
        </w:tc>
        <w:tc>
          <w:tcPr>
            <w:tcW w:w="0" w:type="auto"/>
            <w:shd w:val="clear" w:color="auto" w:fill="auto"/>
            <w:hideMark/>
          </w:tcPr>
          <w:p w14:paraId="2C089C1A" w14:textId="77777777" w:rsidR="00615DB5" w:rsidRPr="00A00B9F" w:rsidRDefault="00615DB5" w:rsidP="00154A3C">
            <w:pPr>
              <w:pStyle w:val="Tabletext1"/>
            </w:pPr>
            <w:r w:rsidRPr="00A00B9F">
              <w:t>.</w:t>
            </w:r>
          </w:p>
        </w:tc>
        <w:tc>
          <w:tcPr>
            <w:tcW w:w="0" w:type="auto"/>
            <w:shd w:val="clear" w:color="auto" w:fill="auto"/>
            <w:hideMark/>
          </w:tcPr>
          <w:p w14:paraId="61595C4C" w14:textId="77777777" w:rsidR="00615DB5" w:rsidRPr="00A00B9F" w:rsidRDefault="00615DB5" w:rsidP="00154A3C">
            <w:pPr>
              <w:pStyle w:val="Tabletext1"/>
            </w:pPr>
            <w:r w:rsidRPr="00A00B9F">
              <w:t>.</w:t>
            </w:r>
          </w:p>
        </w:tc>
      </w:tr>
      <w:tr w:rsidR="00615DB5" w:rsidRPr="00A00B9F" w14:paraId="67B72FA3" w14:textId="77777777" w:rsidTr="00154A3C">
        <w:trPr>
          <w:cantSplit/>
          <w:trHeight w:val="1200"/>
        </w:trPr>
        <w:tc>
          <w:tcPr>
            <w:tcW w:w="0" w:type="auto"/>
            <w:shd w:val="clear" w:color="auto" w:fill="auto"/>
            <w:hideMark/>
          </w:tcPr>
          <w:p w14:paraId="1AB2F40F" w14:textId="77777777" w:rsidR="00615DB5" w:rsidRPr="00A00B9F" w:rsidRDefault="00615DB5" w:rsidP="00154A3C">
            <w:pPr>
              <w:pStyle w:val="Tabletext1"/>
            </w:pPr>
            <w:r w:rsidRPr="00A00B9F">
              <w:t>Boorjian et al.</w:t>
            </w:r>
          </w:p>
        </w:tc>
        <w:tc>
          <w:tcPr>
            <w:tcW w:w="0" w:type="auto"/>
            <w:shd w:val="clear" w:color="auto" w:fill="auto"/>
            <w:hideMark/>
          </w:tcPr>
          <w:p w14:paraId="5E49B379" w14:textId="77777777" w:rsidR="00615DB5" w:rsidRDefault="00615DB5" w:rsidP="00154A3C">
            <w:pPr>
              <w:pStyle w:val="Tabletext1"/>
            </w:pPr>
            <w:r>
              <w:t xml:space="preserve">[I] &lt;3 months </w:t>
            </w:r>
          </w:p>
          <w:p w14:paraId="4C77027F" w14:textId="77777777" w:rsidR="00615DB5" w:rsidRPr="00A00B9F" w:rsidRDefault="00615DB5" w:rsidP="00154A3C">
            <w:pPr>
              <w:pStyle w:val="Tabletext1"/>
            </w:pPr>
            <w:r>
              <w:t xml:space="preserve">[D] </w:t>
            </w:r>
            <w:r w:rsidRPr="00A00B9F">
              <w:t>&gt;3 months</w:t>
            </w:r>
          </w:p>
        </w:tc>
        <w:tc>
          <w:tcPr>
            <w:tcW w:w="0" w:type="auto"/>
          </w:tcPr>
          <w:p w14:paraId="0CA79E4D" w14:textId="77777777" w:rsidR="00615DB5" w:rsidRPr="00A00B9F" w:rsidRDefault="00615DB5" w:rsidP="00154A3C">
            <w:pPr>
              <w:pStyle w:val="Tabletext1"/>
            </w:pPr>
            <w:r>
              <w:t>5.4 years (IQR 2.2-7.9)</w:t>
            </w:r>
          </w:p>
        </w:tc>
        <w:tc>
          <w:tcPr>
            <w:tcW w:w="0" w:type="auto"/>
            <w:shd w:val="clear" w:color="auto" w:fill="auto"/>
            <w:hideMark/>
          </w:tcPr>
          <w:p w14:paraId="1570B37C" w14:textId="77777777" w:rsidR="00615DB5" w:rsidRDefault="00615DB5" w:rsidP="00154A3C">
            <w:pPr>
              <w:pStyle w:val="Tabletext1"/>
            </w:pPr>
            <w:r>
              <w:t>[I] 2258</w:t>
            </w:r>
          </w:p>
          <w:p w14:paraId="1FA268C7" w14:textId="77777777" w:rsidR="00615DB5" w:rsidRPr="00A00B9F" w:rsidRDefault="00615DB5" w:rsidP="00154A3C">
            <w:pPr>
              <w:pStyle w:val="Tabletext1"/>
            </w:pPr>
            <w:r>
              <w:t>[D] 891</w:t>
            </w:r>
          </w:p>
        </w:tc>
        <w:tc>
          <w:tcPr>
            <w:tcW w:w="0" w:type="auto"/>
          </w:tcPr>
          <w:p w14:paraId="349A4DC5" w14:textId="77777777" w:rsidR="00615DB5" w:rsidRDefault="00615DB5" w:rsidP="00154A3C">
            <w:pPr>
              <w:pStyle w:val="Tabletext1"/>
            </w:pPr>
            <w:r>
              <w:t xml:space="preserve">[I] </w:t>
            </w:r>
            <w:r w:rsidRPr="00A00B9F">
              <w:t>67% low, 27% i</w:t>
            </w:r>
            <w:r>
              <w:t>nt, 6%</w:t>
            </w:r>
            <w:r w:rsidRPr="00A00B9F">
              <w:t xml:space="preserve"> high</w:t>
            </w:r>
          </w:p>
          <w:p w14:paraId="1EA6503E" w14:textId="77777777" w:rsidR="00615DB5" w:rsidRPr="00A00B9F" w:rsidRDefault="00615DB5" w:rsidP="00154A3C">
            <w:pPr>
              <w:pStyle w:val="Tabletext1"/>
            </w:pPr>
            <w:r>
              <w:t>[D]</w:t>
            </w:r>
            <w:r w:rsidRPr="00A00B9F">
              <w:t xml:space="preserve"> 76% low, 21% int, 3% high</w:t>
            </w:r>
          </w:p>
        </w:tc>
        <w:tc>
          <w:tcPr>
            <w:tcW w:w="0" w:type="auto"/>
          </w:tcPr>
          <w:p w14:paraId="6D610D8C" w14:textId="77777777" w:rsidR="00615DB5" w:rsidRPr="00A00B9F" w:rsidRDefault="00615DB5" w:rsidP="00154A3C">
            <w:pPr>
              <w:pStyle w:val="Tabletext1"/>
            </w:pPr>
            <w:r w:rsidRPr="00A00B9F">
              <w:t>.</w:t>
            </w:r>
          </w:p>
        </w:tc>
        <w:tc>
          <w:tcPr>
            <w:tcW w:w="0" w:type="auto"/>
            <w:shd w:val="clear" w:color="auto" w:fill="auto"/>
            <w:hideMark/>
          </w:tcPr>
          <w:p w14:paraId="3F51A873" w14:textId="77777777" w:rsidR="00615DB5" w:rsidRPr="00A00B9F" w:rsidRDefault="00615DB5" w:rsidP="00154A3C">
            <w:pPr>
              <w:pStyle w:val="Tabletext1"/>
            </w:pPr>
            <w:r w:rsidRPr="00A00B9F">
              <w:t>.</w:t>
            </w:r>
          </w:p>
        </w:tc>
        <w:tc>
          <w:tcPr>
            <w:tcW w:w="0" w:type="auto"/>
            <w:shd w:val="clear" w:color="auto" w:fill="auto"/>
            <w:hideMark/>
          </w:tcPr>
          <w:p w14:paraId="3AB80F88" w14:textId="77777777" w:rsidR="00615DB5" w:rsidRPr="00A00B9F" w:rsidRDefault="00615DB5" w:rsidP="00154A3C">
            <w:pPr>
              <w:pStyle w:val="Tabletext1"/>
            </w:pPr>
            <w:r w:rsidRPr="00A00B9F">
              <w:t>.</w:t>
            </w:r>
          </w:p>
        </w:tc>
        <w:tc>
          <w:tcPr>
            <w:tcW w:w="0" w:type="auto"/>
            <w:shd w:val="clear" w:color="auto" w:fill="auto"/>
            <w:hideMark/>
          </w:tcPr>
          <w:p w14:paraId="4238A062" w14:textId="77777777" w:rsidR="00615DB5" w:rsidRPr="00A00B9F" w:rsidRDefault="00615DB5" w:rsidP="00154A3C">
            <w:pPr>
              <w:pStyle w:val="Tabletext1"/>
            </w:pPr>
            <w:r w:rsidRPr="00A00B9F">
              <w:t>NS</w:t>
            </w:r>
          </w:p>
        </w:tc>
        <w:tc>
          <w:tcPr>
            <w:tcW w:w="0" w:type="auto"/>
            <w:shd w:val="clear" w:color="auto" w:fill="auto"/>
            <w:hideMark/>
          </w:tcPr>
          <w:p w14:paraId="116DB07D" w14:textId="77777777" w:rsidR="00615DB5" w:rsidRPr="00A00B9F" w:rsidRDefault="00615DB5" w:rsidP="00154A3C">
            <w:pPr>
              <w:pStyle w:val="Tabletext1"/>
            </w:pPr>
            <w:r w:rsidRPr="00A00B9F">
              <w:t>.</w:t>
            </w:r>
          </w:p>
        </w:tc>
        <w:tc>
          <w:tcPr>
            <w:tcW w:w="0" w:type="auto"/>
            <w:shd w:val="clear" w:color="auto" w:fill="auto"/>
            <w:hideMark/>
          </w:tcPr>
          <w:p w14:paraId="38185991" w14:textId="77777777" w:rsidR="00615DB5" w:rsidRPr="00A00B9F" w:rsidRDefault="00615DB5" w:rsidP="00154A3C">
            <w:pPr>
              <w:pStyle w:val="Tabletext1"/>
            </w:pPr>
            <w:r w:rsidRPr="00A00B9F">
              <w:t>.</w:t>
            </w:r>
          </w:p>
        </w:tc>
        <w:tc>
          <w:tcPr>
            <w:tcW w:w="0" w:type="auto"/>
            <w:shd w:val="clear" w:color="auto" w:fill="auto"/>
            <w:hideMark/>
          </w:tcPr>
          <w:p w14:paraId="1930E552" w14:textId="77777777" w:rsidR="00615DB5" w:rsidRPr="00A00B9F" w:rsidRDefault="00615DB5" w:rsidP="00154A3C">
            <w:pPr>
              <w:pStyle w:val="Tabletext1"/>
            </w:pPr>
            <w:r w:rsidRPr="00A00B9F">
              <w:t>.</w:t>
            </w:r>
          </w:p>
        </w:tc>
        <w:tc>
          <w:tcPr>
            <w:tcW w:w="0" w:type="auto"/>
            <w:shd w:val="clear" w:color="auto" w:fill="auto"/>
            <w:hideMark/>
          </w:tcPr>
          <w:p w14:paraId="03DA45DF" w14:textId="77777777" w:rsidR="00615DB5" w:rsidRPr="00A00B9F" w:rsidRDefault="00615DB5" w:rsidP="00154A3C">
            <w:pPr>
              <w:pStyle w:val="Tabletext1"/>
            </w:pPr>
            <w:r w:rsidRPr="00A00B9F">
              <w:t>.</w:t>
            </w:r>
          </w:p>
        </w:tc>
      </w:tr>
      <w:tr w:rsidR="00615DB5" w:rsidRPr="00A00B9F" w14:paraId="177DFEAD" w14:textId="77777777" w:rsidTr="00154A3C">
        <w:trPr>
          <w:cantSplit/>
          <w:trHeight w:val="600"/>
        </w:trPr>
        <w:tc>
          <w:tcPr>
            <w:tcW w:w="0" w:type="auto"/>
            <w:shd w:val="clear" w:color="auto" w:fill="auto"/>
            <w:hideMark/>
          </w:tcPr>
          <w:p w14:paraId="79AB5FD2" w14:textId="77777777" w:rsidR="00615DB5" w:rsidRPr="00A00B9F" w:rsidRDefault="00615DB5" w:rsidP="00154A3C">
            <w:pPr>
              <w:pStyle w:val="Tabletext1"/>
            </w:pPr>
            <w:r w:rsidRPr="00A00B9F">
              <w:t>O'Kelly et al.</w:t>
            </w:r>
          </w:p>
        </w:tc>
        <w:tc>
          <w:tcPr>
            <w:tcW w:w="0" w:type="auto"/>
            <w:shd w:val="clear" w:color="auto" w:fill="auto"/>
            <w:hideMark/>
          </w:tcPr>
          <w:p w14:paraId="3E87F2CD" w14:textId="77777777" w:rsidR="00615DB5" w:rsidRDefault="00615DB5" w:rsidP="00154A3C">
            <w:pPr>
              <w:pStyle w:val="Tabletext1"/>
            </w:pPr>
            <w:r>
              <w:t xml:space="preserve">[I] </w:t>
            </w:r>
            <w:r w:rsidRPr="00A00B9F">
              <w:t xml:space="preserve">&lt;12 months, </w:t>
            </w:r>
          </w:p>
          <w:p w14:paraId="007A7187" w14:textId="77777777" w:rsidR="00615DB5" w:rsidRDefault="00615DB5" w:rsidP="00154A3C">
            <w:pPr>
              <w:pStyle w:val="Tabletext1"/>
            </w:pPr>
            <w:r>
              <w:t xml:space="preserve">[D1] </w:t>
            </w:r>
            <w:r w:rsidRPr="00A00B9F">
              <w:t xml:space="preserve">12-18 months, </w:t>
            </w:r>
          </w:p>
          <w:p w14:paraId="7461ED5B" w14:textId="77777777" w:rsidR="00615DB5" w:rsidRPr="00A00B9F" w:rsidRDefault="00615DB5" w:rsidP="00154A3C">
            <w:pPr>
              <w:pStyle w:val="Tabletext1"/>
            </w:pPr>
            <w:r>
              <w:t xml:space="preserve">[D2] </w:t>
            </w:r>
            <w:r w:rsidRPr="00A00B9F">
              <w:t>&gt;18 months</w:t>
            </w:r>
          </w:p>
        </w:tc>
        <w:tc>
          <w:tcPr>
            <w:tcW w:w="0" w:type="auto"/>
          </w:tcPr>
          <w:p w14:paraId="6BDBA76E" w14:textId="77777777" w:rsidR="00615DB5" w:rsidRPr="00A00B9F" w:rsidRDefault="00615DB5" w:rsidP="00154A3C">
            <w:pPr>
              <w:pStyle w:val="Tabletext1"/>
            </w:pPr>
            <w:r>
              <w:t>NR</w:t>
            </w:r>
          </w:p>
        </w:tc>
        <w:tc>
          <w:tcPr>
            <w:tcW w:w="0" w:type="auto"/>
            <w:shd w:val="clear" w:color="auto" w:fill="auto"/>
            <w:hideMark/>
          </w:tcPr>
          <w:p w14:paraId="64B3176D" w14:textId="77777777" w:rsidR="00615DB5" w:rsidRPr="00A00B9F" w:rsidRDefault="00615DB5" w:rsidP="00154A3C">
            <w:pPr>
              <w:pStyle w:val="Tabletext1"/>
            </w:pPr>
            <w:r w:rsidRPr="00A00B9F">
              <w:t>350</w:t>
            </w:r>
          </w:p>
        </w:tc>
        <w:tc>
          <w:tcPr>
            <w:tcW w:w="0" w:type="auto"/>
          </w:tcPr>
          <w:p w14:paraId="4596A32A" w14:textId="77777777" w:rsidR="00615DB5" w:rsidRDefault="00615DB5" w:rsidP="00154A3C">
            <w:pPr>
              <w:pStyle w:val="Tabletext1"/>
            </w:pPr>
            <w:r>
              <w:t>78.4% low</w:t>
            </w:r>
          </w:p>
          <w:p w14:paraId="3EFE51AF" w14:textId="77777777" w:rsidR="00615DB5" w:rsidRPr="00A00B9F" w:rsidRDefault="00615DB5" w:rsidP="00154A3C">
            <w:pPr>
              <w:pStyle w:val="Tabletext1"/>
            </w:pPr>
            <w:r>
              <w:t>21.6% int/high</w:t>
            </w:r>
          </w:p>
        </w:tc>
        <w:tc>
          <w:tcPr>
            <w:tcW w:w="0" w:type="auto"/>
          </w:tcPr>
          <w:p w14:paraId="3D906EBB" w14:textId="77777777" w:rsidR="00615DB5" w:rsidRPr="00A00B9F" w:rsidRDefault="00615DB5" w:rsidP="00154A3C">
            <w:pPr>
              <w:pStyle w:val="Tabletext1"/>
            </w:pPr>
            <w:r w:rsidRPr="00A00B9F">
              <w:t>.</w:t>
            </w:r>
          </w:p>
        </w:tc>
        <w:tc>
          <w:tcPr>
            <w:tcW w:w="0" w:type="auto"/>
            <w:shd w:val="clear" w:color="auto" w:fill="auto"/>
            <w:hideMark/>
          </w:tcPr>
          <w:p w14:paraId="68F4D2B3" w14:textId="77777777" w:rsidR="00615DB5" w:rsidRPr="00A00B9F" w:rsidRDefault="00615DB5" w:rsidP="00154A3C">
            <w:pPr>
              <w:pStyle w:val="Tabletext1"/>
            </w:pPr>
            <w:r w:rsidRPr="00A00B9F">
              <w:t>.</w:t>
            </w:r>
          </w:p>
        </w:tc>
        <w:tc>
          <w:tcPr>
            <w:tcW w:w="0" w:type="auto"/>
            <w:shd w:val="clear" w:color="auto" w:fill="auto"/>
            <w:hideMark/>
          </w:tcPr>
          <w:p w14:paraId="134403E8" w14:textId="77777777" w:rsidR="00615DB5" w:rsidRPr="00A00B9F" w:rsidRDefault="00615DB5" w:rsidP="00154A3C">
            <w:pPr>
              <w:pStyle w:val="Tabletext1"/>
            </w:pPr>
            <w:r w:rsidRPr="00A00B9F">
              <w:t>.</w:t>
            </w:r>
          </w:p>
        </w:tc>
        <w:tc>
          <w:tcPr>
            <w:tcW w:w="0" w:type="auto"/>
            <w:shd w:val="clear" w:color="auto" w:fill="auto"/>
            <w:hideMark/>
          </w:tcPr>
          <w:p w14:paraId="33569DD2" w14:textId="77777777" w:rsidR="00615DB5" w:rsidRPr="00A00B9F" w:rsidRDefault="00615DB5" w:rsidP="00154A3C">
            <w:pPr>
              <w:pStyle w:val="Tabletext1"/>
            </w:pPr>
            <w:r w:rsidRPr="00A00B9F">
              <w:t>.</w:t>
            </w:r>
          </w:p>
        </w:tc>
        <w:tc>
          <w:tcPr>
            <w:tcW w:w="0" w:type="auto"/>
            <w:shd w:val="clear" w:color="auto" w:fill="auto"/>
            <w:hideMark/>
          </w:tcPr>
          <w:p w14:paraId="1CF14028" w14:textId="77777777" w:rsidR="00615DB5" w:rsidRPr="00A00B9F" w:rsidRDefault="00615DB5" w:rsidP="00154A3C">
            <w:pPr>
              <w:pStyle w:val="Tabletext1"/>
            </w:pPr>
            <w:r w:rsidRPr="00A00B9F">
              <w:t>.</w:t>
            </w:r>
          </w:p>
        </w:tc>
        <w:tc>
          <w:tcPr>
            <w:tcW w:w="0" w:type="auto"/>
            <w:shd w:val="clear" w:color="auto" w:fill="auto"/>
            <w:hideMark/>
          </w:tcPr>
          <w:p w14:paraId="6E370137" w14:textId="77777777" w:rsidR="00615DB5" w:rsidRPr="00A00B9F" w:rsidRDefault="00615DB5" w:rsidP="00154A3C">
            <w:pPr>
              <w:pStyle w:val="Tabletext1"/>
            </w:pPr>
            <w:r w:rsidRPr="00A00B9F">
              <w:t>.</w:t>
            </w:r>
          </w:p>
        </w:tc>
        <w:tc>
          <w:tcPr>
            <w:tcW w:w="0" w:type="auto"/>
            <w:shd w:val="clear" w:color="auto" w:fill="auto"/>
            <w:hideMark/>
          </w:tcPr>
          <w:p w14:paraId="4F368E25" w14:textId="77777777" w:rsidR="00615DB5" w:rsidRPr="00A00B9F" w:rsidRDefault="00615DB5" w:rsidP="00154A3C">
            <w:pPr>
              <w:pStyle w:val="Tabletext1"/>
            </w:pPr>
            <w:r w:rsidRPr="00A00B9F">
              <w:t>.</w:t>
            </w:r>
          </w:p>
        </w:tc>
        <w:tc>
          <w:tcPr>
            <w:tcW w:w="0" w:type="auto"/>
            <w:shd w:val="clear" w:color="auto" w:fill="auto"/>
            <w:hideMark/>
          </w:tcPr>
          <w:p w14:paraId="7AF80252" w14:textId="4B6D7170" w:rsidR="00615DB5" w:rsidRPr="00A00B9F" w:rsidRDefault="00615DB5" w:rsidP="00154A3C">
            <w:pPr>
              <w:pStyle w:val="Tabletext1"/>
            </w:pPr>
            <w:r w:rsidRPr="00A00B9F">
              <w:t>Gleason &gt;= 7 17% vs</w:t>
            </w:r>
            <w:r w:rsidR="00F5175B">
              <w:t>.</w:t>
            </w:r>
            <w:r w:rsidRPr="00A00B9F">
              <w:t xml:space="preserve"> 35% vs</w:t>
            </w:r>
            <w:r w:rsidR="00F5175B">
              <w:t>.</w:t>
            </w:r>
            <w:r w:rsidRPr="00A00B9F">
              <w:t xml:space="preserve"> 82%, </w:t>
            </w:r>
            <w:r w:rsidRPr="00F5175B">
              <w:rPr>
                <w:i/>
              </w:rPr>
              <w:t>p</w:t>
            </w:r>
            <w:r w:rsidRPr="00A00B9F">
              <w:t>&lt;0.001</w:t>
            </w:r>
          </w:p>
        </w:tc>
      </w:tr>
      <w:tr w:rsidR="00615DB5" w:rsidRPr="00A00B9F" w14:paraId="76BC3D28" w14:textId="77777777" w:rsidTr="00154A3C">
        <w:trPr>
          <w:cantSplit/>
          <w:trHeight w:val="1800"/>
        </w:trPr>
        <w:tc>
          <w:tcPr>
            <w:tcW w:w="0" w:type="auto"/>
            <w:shd w:val="clear" w:color="auto" w:fill="auto"/>
            <w:hideMark/>
          </w:tcPr>
          <w:p w14:paraId="579FE220" w14:textId="77777777" w:rsidR="00615DB5" w:rsidRPr="00A00B9F" w:rsidRDefault="00615DB5" w:rsidP="00154A3C">
            <w:pPr>
              <w:pStyle w:val="Tabletext1"/>
            </w:pPr>
            <w:r w:rsidRPr="00A00B9F">
              <w:lastRenderedPageBreak/>
              <w:t xml:space="preserve">Loeb et al. </w:t>
            </w:r>
          </w:p>
        </w:tc>
        <w:tc>
          <w:tcPr>
            <w:tcW w:w="0" w:type="auto"/>
            <w:shd w:val="clear" w:color="auto" w:fill="auto"/>
            <w:hideMark/>
          </w:tcPr>
          <w:p w14:paraId="2BB2D711" w14:textId="77777777" w:rsidR="00615DB5" w:rsidRDefault="00615DB5" w:rsidP="00154A3C">
            <w:pPr>
              <w:pStyle w:val="Tabletext1"/>
            </w:pPr>
            <w:r>
              <w:t xml:space="preserve">[I] </w:t>
            </w:r>
            <w:r w:rsidRPr="00A00B9F">
              <w:t xml:space="preserve">&lt;12 months, </w:t>
            </w:r>
          </w:p>
          <w:p w14:paraId="06F1812B" w14:textId="77777777" w:rsidR="00615DB5" w:rsidRDefault="00615DB5" w:rsidP="00154A3C">
            <w:pPr>
              <w:pStyle w:val="Tabletext1"/>
            </w:pPr>
            <w:r>
              <w:t xml:space="preserve">[D1] </w:t>
            </w:r>
            <w:r w:rsidRPr="00A00B9F">
              <w:t xml:space="preserve">12-24 months, </w:t>
            </w:r>
          </w:p>
          <w:p w14:paraId="79F507DD" w14:textId="77777777" w:rsidR="00615DB5" w:rsidRPr="00A00B9F" w:rsidRDefault="00615DB5" w:rsidP="00154A3C">
            <w:pPr>
              <w:pStyle w:val="Tabletext1"/>
            </w:pPr>
            <w:r>
              <w:t xml:space="preserve">[D2] </w:t>
            </w:r>
            <w:r w:rsidRPr="00A00B9F">
              <w:t>&gt;24 months</w:t>
            </w:r>
          </w:p>
        </w:tc>
        <w:tc>
          <w:tcPr>
            <w:tcW w:w="0" w:type="auto"/>
          </w:tcPr>
          <w:p w14:paraId="483BA0CC" w14:textId="77777777" w:rsidR="00615DB5" w:rsidRPr="00A00B9F" w:rsidRDefault="00615DB5" w:rsidP="00154A3C">
            <w:pPr>
              <w:pStyle w:val="Tabletext1"/>
            </w:pPr>
            <w:r>
              <w:t>Median 8.1 years (IQR 6.6-10.1)</w:t>
            </w:r>
          </w:p>
        </w:tc>
        <w:tc>
          <w:tcPr>
            <w:tcW w:w="0" w:type="auto"/>
            <w:shd w:val="clear" w:color="auto" w:fill="auto"/>
            <w:hideMark/>
          </w:tcPr>
          <w:p w14:paraId="32948129" w14:textId="77777777" w:rsidR="00615DB5" w:rsidRDefault="00615DB5" w:rsidP="00154A3C">
            <w:pPr>
              <w:pStyle w:val="Tabletext1"/>
            </w:pPr>
            <w:r>
              <w:t>[I] 6864</w:t>
            </w:r>
          </w:p>
          <w:p w14:paraId="062BCD93" w14:textId="77777777" w:rsidR="00615DB5" w:rsidRDefault="00615DB5" w:rsidP="00154A3C">
            <w:pPr>
              <w:pStyle w:val="Tabletext1"/>
            </w:pPr>
            <w:r>
              <w:t>[D1] 387</w:t>
            </w:r>
            <w:r w:rsidRPr="00A00B9F">
              <w:t xml:space="preserve"> </w:t>
            </w:r>
          </w:p>
          <w:p w14:paraId="597A4569" w14:textId="77777777" w:rsidR="00615DB5" w:rsidRPr="00A00B9F" w:rsidRDefault="00615DB5" w:rsidP="00154A3C">
            <w:pPr>
              <w:pStyle w:val="Tabletext1"/>
            </w:pPr>
            <w:r>
              <w:t>[D2] 347</w:t>
            </w:r>
          </w:p>
        </w:tc>
        <w:tc>
          <w:tcPr>
            <w:tcW w:w="0" w:type="auto"/>
          </w:tcPr>
          <w:p w14:paraId="42C5B226" w14:textId="77777777" w:rsidR="00615DB5" w:rsidRDefault="00615DB5" w:rsidP="00154A3C">
            <w:pPr>
              <w:pStyle w:val="Tabletext1"/>
            </w:pPr>
            <w:r>
              <w:t xml:space="preserve">[I] </w:t>
            </w:r>
            <w:r w:rsidRPr="00A00B9F">
              <w:t>70% low, 26% int, 2% high, 3% NR</w:t>
            </w:r>
          </w:p>
          <w:p w14:paraId="35502FF3" w14:textId="77777777" w:rsidR="00615DB5" w:rsidRDefault="00615DB5" w:rsidP="00154A3C">
            <w:pPr>
              <w:pStyle w:val="Tabletext1"/>
            </w:pPr>
            <w:r>
              <w:t xml:space="preserve">[D1] </w:t>
            </w:r>
            <w:r w:rsidRPr="00A00B9F">
              <w:t>59% low, 34% int, 3% high, 4% NR</w:t>
            </w:r>
          </w:p>
          <w:p w14:paraId="604C5671" w14:textId="77777777" w:rsidR="00615DB5" w:rsidRPr="00A00B9F" w:rsidRDefault="00615DB5" w:rsidP="00154A3C">
            <w:pPr>
              <w:pStyle w:val="Tabletext1"/>
            </w:pPr>
            <w:r>
              <w:t xml:space="preserve">[D2] </w:t>
            </w:r>
            <w:r w:rsidRPr="00A00B9F">
              <w:t>47% low, 43% int, 5% high, 4% NR</w:t>
            </w:r>
          </w:p>
        </w:tc>
        <w:tc>
          <w:tcPr>
            <w:tcW w:w="0" w:type="auto"/>
          </w:tcPr>
          <w:p w14:paraId="6B9D0CBB" w14:textId="77777777" w:rsidR="00615DB5" w:rsidRPr="00A00B9F" w:rsidRDefault="00615DB5" w:rsidP="00154A3C">
            <w:pPr>
              <w:pStyle w:val="Tabletext1"/>
            </w:pPr>
            <w:r w:rsidRPr="00A00B9F">
              <w:t>.</w:t>
            </w:r>
          </w:p>
        </w:tc>
        <w:tc>
          <w:tcPr>
            <w:tcW w:w="0" w:type="auto"/>
            <w:shd w:val="clear" w:color="auto" w:fill="auto"/>
            <w:hideMark/>
          </w:tcPr>
          <w:p w14:paraId="02FE606B" w14:textId="77777777" w:rsidR="00615DB5" w:rsidRPr="00A00B9F" w:rsidRDefault="00615DB5" w:rsidP="00154A3C">
            <w:pPr>
              <w:pStyle w:val="Tabletext1"/>
            </w:pPr>
            <w:r w:rsidRPr="00A00B9F">
              <w:t>NS</w:t>
            </w:r>
          </w:p>
        </w:tc>
        <w:tc>
          <w:tcPr>
            <w:tcW w:w="0" w:type="auto"/>
            <w:shd w:val="clear" w:color="auto" w:fill="auto"/>
            <w:hideMark/>
          </w:tcPr>
          <w:p w14:paraId="73C58D5C" w14:textId="77777777" w:rsidR="00615DB5" w:rsidRPr="00A00B9F" w:rsidRDefault="00615DB5" w:rsidP="00154A3C">
            <w:pPr>
              <w:pStyle w:val="Tabletext1"/>
            </w:pPr>
            <w:r w:rsidRPr="00A00B9F">
              <w:t>.</w:t>
            </w:r>
          </w:p>
        </w:tc>
        <w:tc>
          <w:tcPr>
            <w:tcW w:w="0" w:type="auto"/>
            <w:shd w:val="clear" w:color="auto" w:fill="auto"/>
            <w:hideMark/>
          </w:tcPr>
          <w:p w14:paraId="7CCCEDDE" w14:textId="77777777" w:rsidR="00615DB5" w:rsidRPr="00A00B9F" w:rsidRDefault="00615DB5" w:rsidP="00154A3C">
            <w:pPr>
              <w:pStyle w:val="Tabletext1"/>
            </w:pPr>
            <w:r w:rsidRPr="00A00B9F">
              <w:t>.</w:t>
            </w:r>
          </w:p>
        </w:tc>
        <w:tc>
          <w:tcPr>
            <w:tcW w:w="0" w:type="auto"/>
            <w:shd w:val="clear" w:color="auto" w:fill="auto"/>
            <w:hideMark/>
          </w:tcPr>
          <w:p w14:paraId="5CCE608C" w14:textId="77777777" w:rsidR="00615DB5" w:rsidRPr="00A00B9F" w:rsidRDefault="00615DB5" w:rsidP="00154A3C">
            <w:pPr>
              <w:pStyle w:val="Tabletext1"/>
            </w:pPr>
            <w:r w:rsidRPr="00A00B9F">
              <w:t>NS</w:t>
            </w:r>
          </w:p>
        </w:tc>
        <w:tc>
          <w:tcPr>
            <w:tcW w:w="0" w:type="auto"/>
            <w:shd w:val="clear" w:color="auto" w:fill="auto"/>
            <w:hideMark/>
          </w:tcPr>
          <w:p w14:paraId="745AC149" w14:textId="77777777" w:rsidR="00615DB5" w:rsidRPr="00A00B9F" w:rsidRDefault="00615DB5" w:rsidP="00154A3C">
            <w:pPr>
              <w:pStyle w:val="Tabletext1"/>
            </w:pPr>
            <w:r w:rsidRPr="00A00B9F">
              <w:t>.</w:t>
            </w:r>
          </w:p>
        </w:tc>
        <w:tc>
          <w:tcPr>
            <w:tcW w:w="0" w:type="auto"/>
            <w:shd w:val="clear" w:color="auto" w:fill="auto"/>
            <w:hideMark/>
          </w:tcPr>
          <w:p w14:paraId="58B5F2F9" w14:textId="77777777" w:rsidR="00615DB5" w:rsidRPr="00A00B9F" w:rsidRDefault="00615DB5" w:rsidP="00154A3C">
            <w:pPr>
              <w:pStyle w:val="Tabletext1"/>
            </w:pPr>
            <w:r w:rsidRPr="00A00B9F">
              <w:t>NS</w:t>
            </w:r>
          </w:p>
        </w:tc>
        <w:tc>
          <w:tcPr>
            <w:tcW w:w="0" w:type="auto"/>
            <w:shd w:val="clear" w:color="auto" w:fill="auto"/>
            <w:hideMark/>
          </w:tcPr>
          <w:p w14:paraId="5737120C" w14:textId="77777777" w:rsidR="00615DB5" w:rsidRPr="00A00B9F" w:rsidRDefault="00615DB5" w:rsidP="00154A3C">
            <w:pPr>
              <w:pStyle w:val="Tabletext1"/>
            </w:pPr>
            <w:r w:rsidRPr="00A00B9F">
              <w:t>12-24 months OR 1.64 (95% CI 1.32, 2.03), &gt; 24 months OR 2.93 (95%CI 2.34, 3.68)</w:t>
            </w:r>
          </w:p>
        </w:tc>
      </w:tr>
    </w:tbl>
    <w:p w14:paraId="2E832FD4" w14:textId="5FB65464" w:rsidR="00615DB5" w:rsidRDefault="008A4C54" w:rsidP="008A4C54">
      <w:pPr>
        <w:pStyle w:val="TableNotes"/>
      </w:pPr>
      <w:r>
        <w:t>I = immediate treatment group, D = delayed treatment group</w:t>
      </w:r>
      <w:r w:rsidR="00EE416B">
        <w:t>, NS = not significant</w:t>
      </w:r>
      <w:r>
        <w:t>, L = low risk disease, In = intermediate risk dis</w:t>
      </w:r>
      <w:r w:rsidR="00EE416B">
        <w:t>ease, high = high risk disease.</w:t>
      </w:r>
    </w:p>
    <w:p w14:paraId="79CE9B13" w14:textId="77777777" w:rsidR="00615DB5" w:rsidRDefault="00615DB5" w:rsidP="00615DB5">
      <w:pPr>
        <w:spacing w:after="0" w:line="240" w:lineRule="auto"/>
        <w:rPr>
          <w:vanish/>
          <w:color w:val="C00000"/>
        </w:rPr>
      </w:pPr>
      <w:r>
        <w:rPr>
          <w:vanish/>
          <w:color w:val="C00000"/>
        </w:rPr>
        <w:br w:type="page"/>
      </w:r>
    </w:p>
    <w:p w14:paraId="0620178D" w14:textId="77777777" w:rsidR="00615DB5" w:rsidRDefault="00615DB5" w:rsidP="00615DB5">
      <w:pPr>
        <w:pStyle w:val="Heading2"/>
      </w:pPr>
      <w:bookmarkStart w:id="856" w:name="_Toc460514042"/>
      <w:r>
        <w:t>Results from the studies reporting harms associated with biopsy (section B7)</w:t>
      </w:r>
      <w:bookmarkEnd w:id="856"/>
    </w:p>
    <w:p w14:paraId="34A4DB9C" w14:textId="6A503598" w:rsidR="00912297" w:rsidRDefault="00912297" w:rsidP="00912297">
      <w:pPr>
        <w:pStyle w:val="Caption"/>
      </w:pPr>
      <w:bookmarkStart w:id="857" w:name="_Ref456628256"/>
      <w:bookmarkStart w:id="858" w:name="_Toc460514594"/>
      <w:r>
        <w:t xml:space="preserve">Table </w:t>
      </w:r>
      <w:fldSimple w:instr=" SEQ Table \* ARABIC ">
        <w:r w:rsidR="0029649D">
          <w:rPr>
            <w:noProof/>
          </w:rPr>
          <w:t>94</w:t>
        </w:r>
      </w:fldSimple>
      <w:bookmarkEnd w:id="857"/>
      <w:r w:rsidR="00E07DFD">
        <w:tab/>
        <w:t xml:space="preserve"> Safety of trans</w:t>
      </w:r>
      <w:r w:rsidR="006F3F56">
        <w:t>-</w:t>
      </w:r>
      <w:r>
        <w:t>rectal biopsy</w:t>
      </w:r>
      <w:bookmarkEnd w:id="858"/>
    </w:p>
    <w:tbl>
      <w:tblPr>
        <w:tblStyle w:val="TableGrid"/>
        <w:tblW w:w="5000" w:type="pct"/>
        <w:shd w:val="clear" w:color="auto" w:fill="FFFFFF" w:themeFill="background1"/>
        <w:tblLook w:val="04A0" w:firstRow="1" w:lastRow="0" w:firstColumn="1" w:lastColumn="0" w:noHBand="0" w:noVBand="1"/>
        <w:tblDescription w:val="Safety of trans-rectal biopsy"/>
      </w:tblPr>
      <w:tblGrid>
        <w:gridCol w:w="2663"/>
        <w:gridCol w:w="1251"/>
        <w:gridCol w:w="1274"/>
        <w:gridCol w:w="1274"/>
        <w:gridCol w:w="1274"/>
        <w:gridCol w:w="1486"/>
        <w:gridCol w:w="1698"/>
        <w:gridCol w:w="3254"/>
      </w:tblGrid>
      <w:tr w:rsidR="00912297" w:rsidRPr="00EE416B" w14:paraId="4C74F9FA" w14:textId="77777777" w:rsidTr="00154A3C">
        <w:trPr>
          <w:cantSplit/>
          <w:trHeight w:val="622"/>
          <w:tblHeader/>
        </w:trPr>
        <w:tc>
          <w:tcPr>
            <w:tcW w:w="939" w:type="pct"/>
            <w:shd w:val="clear" w:color="auto" w:fill="FFFFFF" w:themeFill="background1"/>
          </w:tcPr>
          <w:p w14:paraId="3389D19B" w14:textId="77777777" w:rsidR="00912297" w:rsidRPr="00EE416B" w:rsidRDefault="00912297" w:rsidP="00EE416B">
            <w:pPr>
              <w:pStyle w:val="TableHeading"/>
            </w:pPr>
            <w:r w:rsidRPr="00EE416B">
              <w:t>Study ID</w:t>
            </w:r>
          </w:p>
        </w:tc>
        <w:tc>
          <w:tcPr>
            <w:tcW w:w="441" w:type="pct"/>
            <w:shd w:val="clear" w:color="auto" w:fill="FFFFFF" w:themeFill="background1"/>
          </w:tcPr>
          <w:p w14:paraId="493AEA4B" w14:textId="77777777" w:rsidR="00912297" w:rsidRPr="00EE416B" w:rsidRDefault="00912297" w:rsidP="00EE416B">
            <w:pPr>
              <w:pStyle w:val="TableHeading"/>
            </w:pPr>
            <w:r w:rsidRPr="00EE416B">
              <w:t>Patients</w:t>
            </w:r>
          </w:p>
        </w:tc>
        <w:tc>
          <w:tcPr>
            <w:tcW w:w="449" w:type="pct"/>
            <w:shd w:val="clear" w:color="auto" w:fill="FFFFFF" w:themeFill="background1"/>
          </w:tcPr>
          <w:p w14:paraId="743B27EB" w14:textId="77777777" w:rsidR="00912297" w:rsidRPr="00EE416B" w:rsidRDefault="00912297" w:rsidP="00EE416B">
            <w:pPr>
              <w:pStyle w:val="TableHeading"/>
            </w:pPr>
            <w:r w:rsidRPr="00EE416B">
              <w:t xml:space="preserve">Minor infection </w:t>
            </w:r>
          </w:p>
        </w:tc>
        <w:tc>
          <w:tcPr>
            <w:tcW w:w="449" w:type="pct"/>
            <w:shd w:val="clear" w:color="auto" w:fill="FFFFFF" w:themeFill="background1"/>
          </w:tcPr>
          <w:p w14:paraId="1C77590F" w14:textId="77777777" w:rsidR="00912297" w:rsidRPr="00EE416B" w:rsidRDefault="00912297" w:rsidP="00EE416B">
            <w:pPr>
              <w:pStyle w:val="TableHeading"/>
            </w:pPr>
            <w:r w:rsidRPr="00EE416B">
              <w:t>Major infection</w:t>
            </w:r>
          </w:p>
        </w:tc>
        <w:tc>
          <w:tcPr>
            <w:tcW w:w="449" w:type="pct"/>
            <w:shd w:val="clear" w:color="auto" w:fill="FFFFFF" w:themeFill="background1"/>
          </w:tcPr>
          <w:p w14:paraId="29A06380" w14:textId="77777777" w:rsidR="00912297" w:rsidRPr="00EE416B" w:rsidRDefault="00912297" w:rsidP="00EE416B">
            <w:pPr>
              <w:pStyle w:val="TableHeading"/>
            </w:pPr>
            <w:r w:rsidRPr="00EE416B">
              <w:t>UTI</w:t>
            </w:r>
          </w:p>
        </w:tc>
        <w:tc>
          <w:tcPr>
            <w:tcW w:w="524" w:type="pct"/>
            <w:shd w:val="clear" w:color="auto" w:fill="FFFFFF" w:themeFill="background1"/>
          </w:tcPr>
          <w:p w14:paraId="0915F12E" w14:textId="77777777" w:rsidR="00912297" w:rsidRPr="00EE416B" w:rsidRDefault="00912297" w:rsidP="00EE416B">
            <w:pPr>
              <w:pStyle w:val="TableHeading"/>
            </w:pPr>
            <w:r w:rsidRPr="00EE416B">
              <w:t>Urinary obstruction</w:t>
            </w:r>
          </w:p>
        </w:tc>
        <w:tc>
          <w:tcPr>
            <w:tcW w:w="599" w:type="pct"/>
            <w:shd w:val="clear" w:color="auto" w:fill="FFFFFF" w:themeFill="background1"/>
          </w:tcPr>
          <w:p w14:paraId="29D236B9" w14:textId="77777777" w:rsidR="00912297" w:rsidRPr="00EE416B" w:rsidRDefault="00912297" w:rsidP="00EE416B">
            <w:pPr>
              <w:pStyle w:val="TableHeading"/>
            </w:pPr>
            <w:r w:rsidRPr="00EE416B">
              <w:t>Haematuria</w:t>
            </w:r>
          </w:p>
        </w:tc>
        <w:tc>
          <w:tcPr>
            <w:tcW w:w="1148" w:type="pct"/>
            <w:shd w:val="clear" w:color="auto" w:fill="FFFFFF" w:themeFill="background1"/>
          </w:tcPr>
          <w:p w14:paraId="008A15DA" w14:textId="77777777" w:rsidR="00912297" w:rsidRPr="00EE416B" w:rsidRDefault="00912297" w:rsidP="00EE416B">
            <w:pPr>
              <w:pStyle w:val="TableHeading"/>
            </w:pPr>
            <w:r w:rsidRPr="00EE416B">
              <w:t>Others</w:t>
            </w:r>
          </w:p>
        </w:tc>
      </w:tr>
      <w:tr w:rsidR="00912297" w:rsidRPr="001D0B66" w14:paraId="2D21C1DD" w14:textId="77777777" w:rsidTr="009A220C">
        <w:trPr>
          <w:cantSplit/>
          <w:trHeight w:val="540"/>
        </w:trPr>
        <w:tc>
          <w:tcPr>
            <w:tcW w:w="939" w:type="pct"/>
            <w:shd w:val="clear" w:color="auto" w:fill="FFFFFF" w:themeFill="background1"/>
          </w:tcPr>
          <w:p w14:paraId="3EA6C4FD" w14:textId="77777777" w:rsidR="00912297" w:rsidRPr="001D0B66" w:rsidRDefault="00912297" w:rsidP="00EE416B">
            <w:pPr>
              <w:pStyle w:val="Tabletext1"/>
            </w:pPr>
            <w:r w:rsidRPr="001D0B66">
              <w:t>Anastasiadis et al. (2015)</w:t>
            </w:r>
            <w:r>
              <w:br/>
            </w:r>
            <w:r w:rsidRPr="001D0B66">
              <w:t>UK</w:t>
            </w:r>
          </w:p>
        </w:tc>
        <w:tc>
          <w:tcPr>
            <w:tcW w:w="441" w:type="pct"/>
            <w:shd w:val="clear" w:color="auto" w:fill="FFFFFF" w:themeFill="background1"/>
          </w:tcPr>
          <w:p w14:paraId="1EDFE2B2" w14:textId="77777777" w:rsidR="00912297" w:rsidRPr="001D0B66" w:rsidRDefault="00912297" w:rsidP="00EE416B">
            <w:pPr>
              <w:pStyle w:val="Tabletext1"/>
            </w:pPr>
            <w:r w:rsidRPr="001D0B66">
              <w:t>198,361</w:t>
            </w:r>
          </w:p>
        </w:tc>
        <w:tc>
          <w:tcPr>
            <w:tcW w:w="449" w:type="pct"/>
            <w:shd w:val="clear" w:color="auto" w:fill="FFFFFF" w:themeFill="background1"/>
          </w:tcPr>
          <w:p w14:paraId="0E0896C4" w14:textId="65825803" w:rsidR="00912297" w:rsidRPr="001D0B66" w:rsidRDefault="00912297" w:rsidP="00EE416B">
            <w:pPr>
              <w:pStyle w:val="Tabletext1"/>
            </w:pPr>
            <w:r w:rsidRPr="001D0B66">
              <w:t xml:space="preserve"> </w:t>
            </w:r>
            <w:r w:rsidR="001D7B73">
              <w:t>.</w:t>
            </w:r>
          </w:p>
        </w:tc>
        <w:tc>
          <w:tcPr>
            <w:tcW w:w="449" w:type="pct"/>
            <w:shd w:val="clear" w:color="auto" w:fill="FFFFFF" w:themeFill="background1"/>
          </w:tcPr>
          <w:p w14:paraId="7A8C9758" w14:textId="77777777" w:rsidR="00912297" w:rsidRPr="001D0B66" w:rsidRDefault="00912297" w:rsidP="00EE416B">
            <w:pPr>
              <w:pStyle w:val="Tabletext1"/>
            </w:pPr>
          </w:p>
        </w:tc>
        <w:tc>
          <w:tcPr>
            <w:tcW w:w="449" w:type="pct"/>
            <w:shd w:val="clear" w:color="auto" w:fill="FFFFFF" w:themeFill="background1"/>
          </w:tcPr>
          <w:p w14:paraId="7E97095F" w14:textId="77777777" w:rsidR="00912297" w:rsidRPr="001D0B66" w:rsidRDefault="00912297" w:rsidP="00EE416B">
            <w:pPr>
              <w:pStyle w:val="Tabletext1"/>
            </w:pPr>
            <w:r w:rsidRPr="001D0B66">
              <w:t>1.1%</w:t>
            </w:r>
          </w:p>
        </w:tc>
        <w:tc>
          <w:tcPr>
            <w:tcW w:w="524" w:type="pct"/>
            <w:shd w:val="clear" w:color="auto" w:fill="FFFFFF" w:themeFill="background1"/>
          </w:tcPr>
          <w:p w14:paraId="034F6BD7" w14:textId="77777777" w:rsidR="00912297" w:rsidRPr="001D0B66" w:rsidRDefault="00912297" w:rsidP="00EE416B">
            <w:pPr>
              <w:pStyle w:val="Tabletext1"/>
            </w:pPr>
            <w:r w:rsidRPr="001D0B66">
              <w:t>1.3%</w:t>
            </w:r>
          </w:p>
        </w:tc>
        <w:tc>
          <w:tcPr>
            <w:tcW w:w="599" w:type="pct"/>
            <w:shd w:val="clear" w:color="auto" w:fill="FFFFFF" w:themeFill="background1"/>
          </w:tcPr>
          <w:p w14:paraId="18E8C0FE" w14:textId="77777777" w:rsidR="00912297" w:rsidRPr="001D0B66" w:rsidRDefault="00912297" w:rsidP="00EE416B">
            <w:pPr>
              <w:pStyle w:val="Tabletext1"/>
            </w:pPr>
            <w:r w:rsidRPr="001D0B66">
              <w:t>1.4%</w:t>
            </w:r>
          </w:p>
        </w:tc>
        <w:tc>
          <w:tcPr>
            <w:tcW w:w="1148" w:type="pct"/>
            <w:shd w:val="clear" w:color="auto" w:fill="FFFFFF" w:themeFill="background1"/>
          </w:tcPr>
          <w:p w14:paraId="3440985C" w14:textId="77777777" w:rsidR="00912297" w:rsidRPr="001D0B66" w:rsidRDefault="00912297" w:rsidP="00EE416B">
            <w:pPr>
              <w:pStyle w:val="Tabletext1"/>
            </w:pPr>
            <w:r>
              <w:t>Hospitalisation 3.7%</w:t>
            </w:r>
          </w:p>
        </w:tc>
      </w:tr>
      <w:tr w:rsidR="00912297" w:rsidRPr="001D0B66" w14:paraId="7189A393" w14:textId="77777777" w:rsidTr="009A220C">
        <w:trPr>
          <w:cantSplit/>
          <w:trHeight w:val="562"/>
        </w:trPr>
        <w:tc>
          <w:tcPr>
            <w:tcW w:w="939" w:type="pct"/>
            <w:shd w:val="clear" w:color="auto" w:fill="FFFFFF" w:themeFill="background1"/>
          </w:tcPr>
          <w:p w14:paraId="0316F6DB" w14:textId="77777777" w:rsidR="00912297" w:rsidRPr="001D0B66" w:rsidRDefault="00912297" w:rsidP="00EE416B">
            <w:pPr>
              <w:pStyle w:val="Tabletext1"/>
              <w:rPr>
                <w:color w:val="000000"/>
              </w:rPr>
            </w:pPr>
            <w:r w:rsidRPr="001D0B66">
              <w:rPr>
                <w:color w:val="000000"/>
              </w:rPr>
              <w:t>Carignan et al. (2012)</w:t>
            </w:r>
            <w:r>
              <w:rPr>
                <w:color w:val="000000"/>
              </w:rPr>
              <w:br/>
            </w:r>
            <w:r w:rsidRPr="001D0B66">
              <w:rPr>
                <w:color w:val="000000"/>
              </w:rPr>
              <w:t>Canada</w:t>
            </w:r>
          </w:p>
        </w:tc>
        <w:tc>
          <w:tcPr>
            <w:tcW w:w="441" w:type="pct"/>
            <w:shd w:val="clear" w:color="auto" w:fill="FFFFFF" w:themeFill="background1"/>
          </w:tcPr>
          <w:p w14:paraId="2308F28C" w14:textId="77777777" w:rsidR="00912297" w:rsidRPr="001D0B66" w:rsidRDefault="00912297" w:rsidP="00EE416B">
            <w:pPr>
              <w:pStyle w:val="Tabletext1"/>
              <w:rPr>
                <w:color w:val="000000"/>
              </w:rPr>
            </w:pPr>
            <w:r w:rsidRPr="001D0B66">
              <w:rPr>
                <w:color w:val="000000"/>
              </w:rPr>
              <w:t xml:space="preserve">5,798 </w:t>
            </w:r>
          </w:p>
        </w:tc>
        <w:tc>
          <w:tcPr>
            <w:tcW w:w="449" w:type="pct"/>
            <w:shd w:val="clear" w:color="auto" w:fill="FFFFFF" w:themeFill="background1"/>
          </w:tcPr>
          <w:p w14:paraId="294DA72D" w14:textId="547761C6" w:rsidR="00912297" w:rsidRPr="001D0B66" w:rsidRDefault="001D7B73" w:rsidP="00EE416B">
            <w:pPr>
              <w:pStyle w:val="Tabletext1"/>
            </w:pPr>
            <w:r>
              <w:t>.</w:t>
            </w:r>
          </w:p>
        </w:tc>
        <w:tc>
          <w:tcPr>
            <w:tcW w:w="449" w:type="pct"/>
            <w:shd w:val="clear" w:color="auto" w:fill="FFFFFF" w:themeFill="background1"/>
          </w:tcPr>
          <w:p w14:paraId="23132A50" w14:textId="77777777" w:rsidR="00912297" w:rsidRPr="001D0B66" w:rsidRDefault="00912297" w:rsidP="00EE416B">
            <w:pPr>
              <w:pStyle w:val="Tabletext1"/>
            </w:pPr>
            <w:r w:rsidRPr="001D0B66">
              <w:t>0.8%</w:t>
            </w:r>
          </w:p>
        </w:tc>
        <w:tc>
          <w:tcPr>
            <w:tcW w:w="449" w:type="pct"/>
            <w:shd w:val="clear" w:color="auto" w:fill="FFFFFF" w:themeFill="background1"/>
          </w:tcPr>
          <w:p w14:paraId="314B050C" w14:textId="77777777" w:rsidR="00912297" w:rsidRPr="001D0B66" w:rsidRDefault="00912297" w:rsidP="00EE416B">
            <w:pPr>
              <w:pStyle w:val="Tabletext1"/>
            </w:pPr>
            <w:r w:rsidRPr="001D0B66">
              <w:t>0.8%</w:t>
            </w:r>
          </w:p>
        </w:tc>
        <w:tc>
          <w:tcPr>
            <w:tcW w:w="524" w:type="pct"/>
            <w:shd w:val="clear" w:color="auto" w:fill="FFFFFF" w:themeFill="background1"/>
          </w:tcPr>
          <w:p w14:paraId="260D69DD" w14:textId="02EEDE59" w:rsidR="00912297" w:rsidRPr="001D0B66" w:rsidRDefault="001D7B73" w:rsidP="00EE416B">
            <w:pPr>
              <w:pStyle w:val="Tabletext1"/>
            </w:pPr>
            <w:r>
              <w:t>.</w:t>
            </w:r>
          </w:p>
        </w:tc>
        <w:tc>
          <w:tcPr>
            <w:tcW w:w="599" w:type="pct"/>
            <w:shd w:val="clear" w:color="auto" w:fill="FFFFFF" w:themeFill="background1"/>
          </w:tcPr>
          <w:p w14:paraId="6BA30838" w14:textId="20D4A1A6" w:rsidR="00912297" w:rsidRPr="001D0B66" w:rsidRDefault="001D7B73" w:rsidP="00EE416B">
            <w:pPr>
              <w:pStyle w:val="Tabletext1"/>
            </w:pPr>
            <w:r>
              <w:t>.</w:t>
            </w:r>
          </w:p>
        </w:tc>
        <w:tc>
          <w:tcPr>
            <w:tcW w:w="1148" w:type="pct"/>
            <w:shd w:val="clear" w:color="auto" w:fill="FFFFFF" w:themeFill="background1"/>
          </w:tcPr>
          <w:p w14:paraId="687F2A60" w14:textId="77777777" w:rsidR="00912297" w:rsidRPr="001D0B66" w:rsidRDefault="00912297" w:rsidP="00EE416B">
            <w:pPr>
              <w:pStyle w:val="Tabletext1"/>
            </w:pPr>
            <w:r w:rsidRPr="001D0B66">
              <w:t>Hospitalisation 0.5%</w:t>
            </w:r>
            <w:r>
              <w:br/>
              <w:t>Bacteraemia 0.3%</w:t>
            </w:r>
          </w:p>
        </w:tc>
      </w:tr>
      <w:tr w:rsidR="00912297" w:rsidRPr="001D0B66" w14:paraId="6607D5EE" w14:textId="77777777" w:rsidTr="009A220C">
        <w:trPr>
          <w:cantSplit/>
          <w:trHeight w:val="556"/>
        </w:trPr>
        <w:tc>
          <w:tcPr>
            <w:tcW w:w="939" w:type="pct"/>
            <w:shd w:val="clear" w:color="auto" w:fill="FFFFFF" w:themeFill="background1"/>
          </w:tcPr>
          <w:p w14:paraId="48554486" w14:textId="77777777" w:rsidR="00912297" w:rsidRPr="001D0B66" w:rsidRDefault="00912297" w:rsidP="00EE416B">
            <w:pPr>
              <w:pStyle w:val="Tabletext1"/>
              <w:rPr>
                <w:color w:val="000000"/>
              </w:rPr>
            </w:pPr>
            <w:r w:rsidRPr="001D0B66">
              <w:rPr>
                <w:color w:val="000000"/>
              </w:rPr>
              <w:lastRenderedPageBreak/>
              <w:t>Nam et al. (2013)</w:t>
            </w:r>
            <w:r>
              <w:rPr>
                <w:color w:val="000000"/>
              </w:rPr>
              <w:br/>
            </w:r>
            <w:r w:rsidRPr="001D0B66">
              <w:rPr>
                <w:color w:val="000000"/>
              </w:rPr>
              <w:t>Canada</w:t>
            </w:r>
          </w:p>
        </w:tc>
        <w:tc>
          <w:tcPr>
            <w:tcW w:w="441" w:type="pct"/>
            <w:shd w:val="clear" w:color="auto" w:fill="FFFFFF" w:themeFill="background1"/>
          </w:tcPr>
          <w:p w14:paraId="0A32A7C4" w14:textId="77777777" w:rsidR="00912297" w:rsidRPr="001D0B66" w:rsidRDefault="00912297" w:rsidP="00EE416B">
            <w:pPr>
              <w:pStyle w:val="Tabletext1"/>
              <w:rPr>
                <w:color w:val="000000"/>
              </w:rPr>
            </w:pPr>
            <w:r w:rsidRPr="001D0B66">
              <w:rPr>
                <w:color w:val="000000"/>
              </w:rPr>
              <w:t>75,190</w:t>
            </w:r>
          </w:p>
        </w:tc>
        <w:tc>
          <w:tcPr>
            <w:tcW w:w="449" w:type="pct"/>
            <w:shd w:val="clear" w:color="auto" w:fill="FFFFFF" w:themeFill="background1"/>
          </w:tcPr>
          <w:p w14:paraId="545AD0EF" w14:textId="77777777" w:rsidR="00912297" w:rsidRPr="001D0B66" w:rsidRDefault="00912297" w:rsidP="00EE416B">
            <w:pPr>
              <w:pStyle w:val="Tabletext1"/>
            </w:pPr>
            <w:r>
              <w:t>0.7%</w:t>
            </w:r>
          </w:p>
        </w:tc>
        <w:tc>
          <w:tcPr>
            <w:tcW w:w="449" w:type="pct"/>
            <w:shd w:val="clear" w:color="auto" w:fill="FFFFFF" w:themeFill="background1"/>
          </w:tcPr>
          <w:p w14:paraId="3B0E4CA6" w14:textId="184A2252" w:rsidR="00912297" w:rsidRPr="001D0B66" w:rsidRDefault="001D7B73" w:rsidP="00EE416B">
            <w:pPr>
              <w:pStyle w:val="Tabletext1"/>
            </w:pPr>
            <w:r>
              <w:t>.</w:t>
            </w:r>
          </w:p>
        </w:tc>
        <w:tc>
          <w:tcPr>
            <w:tcW w:w="449" w:type="pct"/>
            <w:shd w:val="clear" w:color="auto" w:fill="FFFFFF" w:themeFill="background1"/>
          </w:tcPr>
          <w:p w14:paraId="2E9F3E65" w14:textId="6F135311" w:rsidR="00912297" w:rsidRPr="001D0B66" w:rsidRDefault="001D7B73" w:rsidP="00EE416B">
            <w:pPr>
              <w:pStyle w:val="Tabletext1"/>
            </w:pPr>
            <w:r>
              <w:t>.</w:t>
            </w:r>
          </w:p>
        </w:tc>
        <w:tc>
          <w:tcPr>
            <w:tcW w:w="524" w:type="pct"/>
            <w:shd w:val="clear" w:color="auto" w:fill="FFFFFF" w:themeFill="background1"/>
          </w:tcPr>
          <w:p w14:paraId="2E29641C" w14:textId="77777777" w:rsidR="00912297" w:rsidRPr="001D0B66" w:rsidRDefault="00912297" w:rsidP="00EE416B">
            <w:pPr>
              <w:pStyle w:val="Tabletext1"/>
            </w:pPr>
            <w:r w:rsidRPr="001D0B66">
              <w:t>0.1%</w:t>
            </w:r>
          </w:p>
        </w:tc>
        <w:tc>
          <w:tcPr>
            <w:tcW w:w="599" w:type="pct"/>
            <w:shd w:val="clear" w:color="auto" w:fill="FFFFFF" w:themeFill="background1"/>
          </w:tcPr>
          <w:p w14:paraId="04F26197" w14:textId="5366A49E" w:rsidR="00912297" w:rsidRPr="001D0B66" w:rsidRDefault="001D7B73" w:rsidP="00EE416B">
            <w:pPr>
              <w:pStyle w:val="Tabletext1"/>
            </w:pPr>
            <w:r>
              <w:t>.</w:t>
            </w:r>
          </w:p>
        </w:tc>
        <w:tc>
          <w:tcPr>
            <w:tcW w:w="1148" w:type="pct"/>
            <w:shd w:val="clear" w:color="auto" w:fill="FFFFFF" w:themeFill="background1"/>
          </w:tcPr>
          <w:p w14:paraId="6196820B" w14:textId="77777777" w:rsidR="00912297" w:rsidRPr="001D0B66" w:rsidRDefault="00912297" w:rsidP="00EE416B">
            <w:pPr>
              <w:pStyle w:val="Tabletext1"/>
            </w:pPr>
            <w:r w:rsidRPr="001D0B66">
              <w:t>Hospitalisation 1.4%</w:t>
            </w:r>
            <w:r>
              <w:br/>
              <w:t>Bleeding 0.2%</w:t>
            </w:r>
          </w:p>
        </w:tc>
      </w:tr>
      <w:tr w:rsidR="00912297" w:rsidRPr="001D0B66" w14:paraId="2331F8A7" w14:textId="77777777" w:rsidTr="009A220C">
        <w:trPr>
          <w:cantSplit/>
          <w:trHeight w:val="550"/>
        </w:trPr>
        <w:tc>
          <w:tcPr>
            <w:tcW w:w="939" w:type="pct"/>
            <w:shd w:val="clear" w:color="auto" w:fill="FFFFFF" w:themeFill="background1"/>
          </w:tcPr>
          <w:p w14:paraId="55A707EA" w14:textId="77777777" w:rsidR="00912297" w:rsidRPr="001D0B66" w:rsidRDefault="00912297" w:rsidP="00EE416B">
            <w:pPr>
              <w:pStyle w:val="Tabletext1"/>
              <w:rPr>
                <w:color w:val="000000"/>
              </w:rPr>
            </w:pPr>
            <w:r w:rsidRPr="001D0B66">
              <w:rPr>
                <w:color w:val="000000"/>
              </w:rPr>
              <w:t>Roth et al. (2015)</w:t>
            </w:r>
            <w:r>
              <w:rPr>
                <w:color w:val="000000"/>
              </w:rPr>
              <w:br/>
            </w:r>
            <w:r w:rsidRPr="001D0B66">
              <w:rPr>
                <w:color w:val="000000"/>
              </w:rPr>
              <w:t>Australia</w:t>
            </w:r>
          </w:p>
        </w:tc>
        <w:tc>
          <w:tcPr>
            <w:tcW w:w="441" w:type="pct"/>
            <w:shd w:val="clear" w:color="auto" w:fill="FFFFFF" w:themeFill="background1"/>
          </w:tcPr>
          <w:p w14:paraId="03E790E6" w14:textId="77777777" w:rsidR="00912297" w:rsidRPr="001D0B66" w:rsidRDefault="00912297" w:rsidP="00EE416B">
            <w:pPr>
              <w:pStyle w:val="Tabletext1"/>
              <w:rPr>
                <w:color w:val="000000"/>
              </w:rPr>
            </w:pPr>
            <w:r w:rsidRPr="001D0B66">
              <w:rPr>
                <w:color w:val="000000"/>
              </w:rPr>
              <w:t>34,865</w:t>
            </w:r>
          </w:p>
        </w:tc>
        <w:tc>
          <w:tcPr>
            <w:tcW w:w="449" w:type="pct"/>
            <w:shd w:val="clear" w:color="auto" w:fill="FFFFFF" w:themeFill="background1"/>
          </w:tcPr>
          <w:p w14:paraId="65AE88D1" w14:textId="77777777" w:rsidR="00912297" w:rsidRPr="001D0B66" w:rsidRDefault="00912297" w:rsidP="00EE416B">
            <w:pPr>
              <w:pStyle w:val="Tabletext1"/>
            </w:pPr>
            <w:r>
              <w:t>0.8%</w:t>
            </w:r>
          </w:p>
        </w:tc>
        <w:tc>
          <w:tcPr>
            <w:tcW w:w="449" w:type="pct"/>
            <w:shd w:val="clear" w:color="auto" w:fill="FFFFFF" w:themeFill="background1"/>
          </w:tcPr>
          <w:p w14:paraId="73C39BC7" w14:textId="77777777" w:rsidR="00912297" w:rsidRPr="001D0B66" w:rsidRDefault="00912297" w:rsidP="00EE416B">
            <w:pPr>
              <w:pStyle w:val="Tabletext1"/>
            </w:pPr>
            <w:r w:rsidRPr="001D0B66">
              <w:t>0.09%</w:t>
            </w:r>
          </w:p>
        </w:tc>
        <w:tc>
          <w:tcPr>
            <w:tcW w:w="449" w:type="pct"/>
            <w:shd w:val="clear" w:color="auto" w:fill="FFFFFF" w:themeFill="background1"/>
          </w:tcPr>
          <w:p w14:paraId="323C2A0A" w14:textId="77777777" w:rsidR="00912297" w:rsidRPr="001D0B66" w:rsidRDefault="00912297" w:rsidP="00EE416B">
            <w:pPr>
              <w:pStyle w:val="Tabletext1"/>
            </w:pPr>
            <w:r w:rsidRPr="001D0B66">
              <w:t>0.8%</w:t>
            </w:r>
          </w:p>
        </w:tc>
        <w:tc>
          <w:tcPr>
            <w:tcW w:w="524" w:type="pct"/>
            <w:shd w:val="clear" w:color="auto" w:fill="FFFFFF" w:themeFill="background1"/>
          </w:tcPr>
          <w:p w14:paraId="49258824" w14:textId="77777777" w:rsidR="00912297" w:rsidRPr="001D0B66" w:rsidRDefault="00912297" w:rsidP="00EE416B">
            <w:pPr>
              <w:pStyle w:val="Tabletext1"/>
            </w:pPr>
            <w:r w:rsidRPr="001D0B66">
              <w:t>0.1%</w:t>
            </w:r>
          </w:p>
        </w:tc>
        <w:tc>
          <w:tcPr>
            <w:tcW w:w="599" w:type="pct"/>
            <w:shd w:val="clear" w:color="auto" w:fill="FFFFFF" w:themeFill="background1"/>
          </w:tcPr>
          <w:p w14:paraId="3FE4A3FF" w14:textId="77777777" w:rsidR="00912297" w:rsidRPr="001D0B66" w:rsidRDefault="00912297" w:rsidP="00EE416B">
            <w:pPr>
              <w:pStyle w:val="Tabletext1"/>
            </w:pPr>
            <w:r w:rsidRPr="001D0B66">
              <w:t>0.06%</w:t>
            </w:r>
          </w:p>
        </w:tc>
        <w:tc>
          <w:tcPr>
            <w:tcW w:w="1148" w:type="pct"/>
            <w:shd w:val="clear" w:color="auto" w:fill="FFFFFF" w:themeFill="background1"/>
          </w:tcPr>
          <w:p w14:paraId="41743C16" w14:textId="77777777" w:rsidR="00912297" w:rsidRPr="001D0B66" w:rsidRDefault="00912297" w:rsidP="00EE416B">
            <w:pPr>
              <w:pStyle w:val="Tabletext1"/>
            </w:pPr>
            <w:r w:rsidRPr="001D0B66">
              <w:t>Haematoma 0.1%</w:t>
            </w:r>
            <w:r>
              <w:br/>
            </w:r>
            <w:r w:rsidRPr="001D0B66">
              <w:t>Prostatitis 0.05%</w:t>
            </w:r>
            <w:r>
              <w:br/>
            </w:r>
            <w:r w:rsidRPr="001D0B66">
              <w:t>Fever 0.006%</w:t>
            </w:r>
          </w:p>
        </w:tc>
      </w:tr>
      <w:tr w:rsidR="00912297" w:rsidRPr="001D0B66" w14:paraId="786CE124" w14:textId="77777777" w:rsidTr="00154A3C">
        <w:trPr>
          <w:cantSplit/>
          <w:trHeight w:val="493"/>
        </w:trPr>
        <w:tc>
          <w:tcPr>
            <w:tcW w:w="939" w:type="pct"/>
            <w:shd w:val="clear" w:color="auto" w:fill="FFFFFF" w:themeFill="background1"/>
          </w:tcPr>
          <w:p w14:paraId="4F1CDE48" w14:textId="77777777" w:rsidR="00912297" w:rsidRPr="001D0B66" w:rsidRDefault="00912297" w:rsidP="00EE416B">
            <w:pPr>
              <w:pStyle w:val="Tabletext1"/>
              <w:rPr>
                <w:color w:val="000000"/>
              </w:rPr>
            </w:pPr>
            <w:r w:rsidRPr="001D0B66">
              <w:rPr>
                <w:color w:val="000000"/>
              </w:rPr>
              <w:t>Pinksy et al. (2014)</w:t>
            </w:r>
            <w:r>
              <w:rPr>
                <w:color w:val="000000"/>
              </w:rPr>
              <w:br/>
            </w:r>
            <w:r w:rsidRPr="001D0B66">
              <w:rPr>
                <w:color w:val="000000"/>
              </w:rPr>
              <w:t>USA</w:t>
            </w:r>
          </w:p>
        </w:tc>
        <w:tc>
          <w:tcPr>
            <w:tcW w:w="441" w:type="pct"/>
            <w:shd w:val="clear" w:color="auto" w:fill="FFFFFF" w:themeFill="background1"/>
          </w:tcPr>
          <w:p w14:paraId="2188522A" w14:textId="77777777" w:rsidR="00912297" w:rsidRPr="001D0B66" w:rsidRDefault="00912297" w:rsidP="00EE416B">
            <w:pPr>
              <w:pStyle w:val="Tabletext1"/>
              <w:rPr>
                <w:color w:val="000000"/>
              </w:rPr>
            </w:pPr>
            <w:r w:rsidRPr="001D0B66">
              <w:rPr>
                <w:color w:val="000000"/>
              </w:rPr>
              <w:t>4,836</w:t>
            </w:r>
          </w:p>
        </w:tc>
        <w:tc>
          <w:tcPr>
            <w:tcW w:w="449" w:type="pct"/>
            <w:shd w:val="clear" w:color="auto" w:fill="FFFFFF" w:themeFill="background1"/>
          </w:tcPr>
          <w:p w14:paraId="05C4DF37" w14:textId="77777777" w:rsidR="00912297" w:rsidRPr="001D0B66" w:rsidRDefault="00912297" w:rsidP="00EE416B">
            <w:pPr>
              <w:pStyle w:val="Tabletext1"/>
            </w:pPr>
            <w:r>
              <w:t>0.8%</w:t>
            </w:r>
          </w:p>
        </w:tc>
        <w:tc>
          <w:tcPr>
            <w:tcW w:w="449" w:type="pct"/>
            <w:shd w:val="clear" w:color="auto" w:fill="FFFFFF" w:themeFill="background1"/>
          </w:tcPr>
          <w:p w14:paraId="6CB3FF2B" w14:textId="23C61B64" w:rsidR="00912297" w:rsidRPr="001D0B66" w:rsidRDefault="001D7B73" w:rsidP="00EE416B">
            <w:pPr>
              <w:pStyle w:val="Tabletext1"/>
            </w:pPr>
            <w:r>
              <w:t>.</w:t>
            </w:r>
          </w:p>
        </w:tc>
        <w:tc>
          <w:tcPr>
            <w:tcW w:w="449" w:type="pct"/>
            <w:shd w:val="clear" w:color="auto" w:fill="FFFFFF" w:themeFill="background1"/>
          </w:tcPr>
          <w:p w14:paraId="50510BAE" w14:textId="77777777" w:rsidR="00912297" w:rsidRPr="001D0B66" w:rsidRDefault="00912297" w:rsidP="00EE416B">
            <w:pPr>
              <w:pStyle w:val="Tabletext1"/>
            </w:pPr>
          </w:p>
        </w:tc>
        <w:tc>
          <w:tcPr>
            <w:tcW w:w="524" w:type="pct"/>
            <w:shd w:val="clear" w:color="auto" w:fill="FFFFFF" w:themeFill="background1"/>
          </w:tcPr>
          <w:p w14:paraId="503A042D" w14:textId="77777777" w:rsidR="00912297" w:rsidRPr="001D0B66" w:rsidRDefault="00912297" w:rsidP="00EE416B">
            <w:pPr>
              <w:pStyle w:val="Tabletext1"/>
            </w:pPr>
            <w:r w:rsidRPr="001D0B66">
              <w:t>0.4%</w:t>
            </w:r>
          </w:p>
        </w:tc>
        <w:tc>
          <w:tcPr>
            <w:tcW w:w="599" w:type="pct"/>
            <w:shd w:val="clear" w:color="auto" w:fill="FFFFFF" w:themeFill="background1"/>
          </w:tcPr>
          <w:p w14:paraId="5CBF16C0" w14:textId="02158494" w:rsidR="00912297" w:rsidRPr="001D0B66" w:rsidRDefault="001D7B73" w:rsidP="00EE416B">
            <w:pPr>
              <w:pStyle w:val="Tabletext1"/>
            </w:pPr>
            <w:r>
              <w:t>.</w:t>
            </w:r>
          </w:p>
        </w:tc>
        <w:tc>
          <w:tcPr>
            <w:tcW w:w="1148" w:type="pct"/>
            <w:shd w:val="clear" w:color="auto" w:fill="FFFFFF" w:themeFill="background1"/>
          </w:tcPr>
          <w:p w14:paraId="29D8ACE0" w14:textId="77777777" w:rsidR="00912297" w:rsidRPr="001D0B66" w:rsidRDefault="00912297" w:rsidP="00EE416B">
            <w:pPr>
              <w:pStyle w:val="Tabletext1"/>
            </w:pPr>
            <w:r w:rsidRPr="001D0B66">
              <w:t>Death 0.4%</w:t>
            </w:r>
            <w:r>
              <w:br/>
            </w:r>
            <w:r w:rsidRPr="001D0B66">
              <w:t>Rectal bleeding 0.3%</w:t>
            </w:r>
          </w:p>
        </w:tc>
      </w:tr>
      <w:tr w:rsidR="00912297" w:rsidRPr="001D0B66" w14:paraId="2EB4DCF3" w14:textId="77777777" w:rsidTr="00154A3C">
        <w:trPr>
          <w:cantSplit/>
          <w:trHeight w:val="1082"/>
        </w:trPr>
        <w:tc>
          <w:tcPr>
            <w:tcW w:w="939" w:type="pct"/>
            <w:shd w:val="clear" w:color="auto" w:fill="FFFFFF" w:themeFill="background1"/>
          </w:tcPr>
          <w:p w14:paraId="04062522" w14:textId="77777777" w:rsidR="00912297" w:rsidRPr="001D0B66" w:rsidRDefault="00912297" w:rsidP="00EE416B">
            <w:pPr>
              <w:pStyle w:val="Tabletext1"/>
              <w:rPr>
                <w:color w:val="000000"/>
              </w:rPr>
            </w:pPr>
            <w:r w:rsidRPr="001D0B66">
              <w:rPr>
                <w:color w:val="000000"/>
              </w:rPr>
              <w:t>Roberts et al. (2002)</w:t>
            </w:r>
            <w:r>
              <w:rPr>
                <w:color w:val="000000"/>
              </w:rPr>
              <w:br/>
            </w:r>
            <w:r w:rsidRPr="001D0B66">
              <w:rPr>
                <w:color w:val="000000"/>
              </w:rPr>
              <w:t>USA</w:t>
            </w:r>
          </w:p>
        </w:tc>
        <w:tc>
          <w:tcPr>
            <w:tcW w:w="441" w:type="pct"/>
            <w:shd w:val="clear" w:color="auto" w:fill="FFFFFF" w:themeFill="background1"/>
          </w:tcPr>
          <w:p w14:paraId="7ACB30FC" w14:textId="77777777" w:rsidR="00912297" w:rsidRPr="001D0B66" w:rsidRDefault="00912297" w:rsidP="00EE416B">
            <w:pPr>
              <w:pStyle w:val="Tabletext1"/>
              <w:rPr>
                <w:color w:val="000000"/>
              </w:rPr>
            </w:pPr>
            <w:r w:rsidRPr="001D0B66">
              <w:rPr>
                <w:color w:val="000000"/>
              </w:rPr>
              <w:t>1,776</w:t>
            </w:r>
          </w:p>
        </w:tc>
        <w:tc>
          <w:tcPr>
            <w:tcW w:w="449" w:type="pct"/>
            <w:shd w:val="clear" w:color="auto" w:fill="FFFFFF" w:themeFill="background1"/>
          </w:tcPr>
          <w:p w14:paraId="6023371F" w14:textId="77777777" w:rsidR="00912297" w:rsidRPr="001D0B66" w:rsidRDefault="00912297" w:rsidP="00EE416B">
            <w:pPr>
              <w:pStyle w:val="Tabletext1"/>
            </w:pPr>
            <w:r>
              <w:t>2.7%</w:t>
            </w:r>
          </w:p>
        </w:tc>
        <w:tc>
          <w:tcPr>
            <w:tcW w:w="449" w:type="pct"/>
            <w:shd w:val="clear" w:color="auto" w:fill="FFFFFF" w:themeFill="background1"/>
          </w:tcPr>
          <w:p w14:paraId="4206789A" w14:textId="0E8BCC8E" w:rsidR="00912297" w:rsidRPr="001D0B66" w:rsidRDefault="001D7B73" w:rsidP="00EE416B">
            <w:pPr>
              <w:pStyle w:val="Tabletext1"/>
            </w:pPr>
            <w:r>
              <w:t>.</w:t>
            </w:r>
          </w:p>
        </w:tc>
        <w:tc>
          <w:tcPr>
            <w:tcW w:w="449" w:type="pct"/>
            <w:shd w:val="clear" w:color="auto" w:fill="FFFFFF" w:themeFill="background1"/>
          </w:tcPr>
          <w:p w14:paraId="0D4D8BB5" w14:textId="77777777" w:rsidR="00912297" w:rsidRPr="001D0B66" w:rsidRDefault="00912297" w:rsidP="00EE416B">
            <w:pPr>
              <w:pStyle w:val="Tabletext1"/>
            </w:pPr>
            <w:r w:rsidRPr="001D0B66">
              <w:t>1.3%</w:t>
            </w:r>
          </w:p>
        </w:tc>
        <w:tc>
          <w:tcPr>
            <w:tcW w:w="524" w:type="pct"/>
            <w:shd w:val="clear" w:color="auto" w:fill="FFFFFF" w:themeFill="background1"/>
          </w:tcPr>
          <w:p w14:paraId="72F55779" w14:textId="77777777" w:rsidR="00912297" w:rsidRPr="001D0B66" w:rsidRDefault="00912297" w:rsidP="00EE416B">
            <w:pPr>
              <w:pStyle w:val="Tabletext1"/>
            </w:pPr>
            <w:r w:rsidRPr="001D0B66">
              <w:t>1.9%</w:t>
            </w:r>
          </w:p>
        </w:tc>
        <w:tc>
          <w:tcPr>
            <w:tcW w:w="599" w:type="pct"/>
            <w:shd w:val="clear" w:color="auto" w:fill="FFFFFF" w:themeFill="background1"/>
          </w:tcPr>
          <w:p w14:paraId="4929AA0D" w14:textId="77777777" w:rsidR="00912297" w:rsidRPr="001D0B66" w:rsidRDefault="00912297" w:rsidP="00EE416B">
            <w:pPr>
              <w:pStyle w:val="Tabletext1"/>
            </w:pPr>
            <w:r w:rsidRPr="001D0B66">
              <w:t>12.1%</w:t>
            </w:r>
          </w:p>
        </w:tc>
        <w:tc>
          <w:tcPr>
            <w:tcW w:w="1148" w:type="pct"/>
            <w:shd w:val="clear" w:color="auto" w:fill="FFFFFF" w:themeFill="background1"/>
          </w:tcPr>
          <w:p w14:paraId="5E6DA08B" w14:textId="6E1C42E5" w:rsidR="00912297" w:rsidRPr="001D0B66" w:rsidRDefault="00912297" w:rsidP="00F5175B">
            <w:pPr>
              <w:pStyle w:val="Tabletext1"/>
            </w:pPr>
            <w:r w:rsidRPr="001D0B66">
              <w:t>Rectal bleeding 1.2%</w:t>
            </w:r>
            <w:r>
              <w:br/>
            </w:r>
            <w:r w:rsidR="00E8315C">
              <w:t xml:space="preserve">Haematospermia </w:t>
            </w:r>
            <w:r w:rsidRPr="001D0B66">
              <w:t xml:space="preserve"> 0.5%</w:t>
            </w:r>
            <w:r>
              <w:br/>
            </w:r>
            <w:r w:rsidRPr="001D0B66">
              <w:t>Pain 2.0%</w:t>
            </w:r>
            <w:r>
              <w:br/>
            </w:r>
            <w:r w:rsidRPr="001D0B66">
              <w:t>Bacteraemia 0.1%</w:t>
            </w:r>
            <w:r>
              <w:br/>
            </w:r>
            <w:r w:rsidRPr="003A33AA">
              <w:t>Hospitalisation 0.</w:t>
            </w:r>
            <w:r>
              <w:t>4</w:t>
            </w:r>
            <w:r w:rsidRPr="003A33AA">
              <w:t>%</w:t>
            </w:r>
          </w:p>
        </w:tc>
      </w:tr>
      <w:tr w:rsidR="00912297" w:rsidRPr="001D0B66" w14:paraId="6B88E55F" w14:textId="77777777" w:rsidTr="00154A3C">
        <w:trPr>
          <w:cantSplit/>
          <w:trHeight w:val="970"/>
        </w:trPr>
        <w:tc>
          <w:tcPr>
            <w:tcW w:w="939" w:type="pct"/>
            <w:shd w:val="clear" w:color="auto" w:fill="FFFFFF" w:themeFill="background1"/>
          </w:tcPr>
          <w:p w14:paraId="6B8D11B1" w14:textId="77777777" w:rsidR="00912297" w:rsidRPr="001D0B66" w:rsidRDefault="00912297" w:rsidP="00EE416B">
            <w:pPr>
              <w:pStyle w:val="Tabletext1"/>
              <w:rPr>
                <w:color w:val="000000"/>
              </w:rPr>
            </w:pPr>
            <w:r w:rsidRPr="001D0B66">
              <w:rPr>
                <w:color w:val="000000"/>
              </w:rPr>
              <w:t>Rosario et al. (2012)</w:t>
            </w:r>
            <w:r>
              <w:rPr>
                <w:color w:val="000000"/>
              </w:rPr>
              <w:br/>
            </w:r>
            <w:r w:rsidRPr="001D0B66">
              <w:rPr>
                <w:color w:val="000000"/>
              </w:rPr>
              <w:t>UK</w:t>
            </w:r>
          </w:p>
        </w:tc>
        <w:tc>
          <w:tcPr>
            <w:tcW w:w="441" w:type="pct"/>
            <w:shd w:val="clear" w:color="auto" w:fill="FFFFFF" w:themeFill="background1"/>
          </w:tcPr>
          <w:p w14:paraId="1DECB514" w14:textId="77777777" w:rsidR="00912297" w:rsidRPr="001D0B66" w:rsidRDefault="00912297" w:rsidP="00EE416B">
            <w:pPr>
              <w:pStyle w:val="Tabletext1"/>
              <w:rPr>
                <w:color w:val="000000"/>
              </w:rPr>
            </w:pPr>
            <w:r w:rsidRPr="001D0B66">
              <w:rPr>
                <w:color w:val="000000"/>
              </w:rPr>
              <w:t>1,147</w:t>
            </w:r>
          </w:p>
        </w:tc>
        <w:tc>
          <w:tcPr>
            <w:tcW w:w="449" w:type="pct"/>
            <w:shd w:val="clear" w:color="auto" w:fill="FFFFFF" w:themeFill="background1"/>
          </w:tcPr>
          <w:p w14:paraId="1CEB8AD2" w14:textId="24330C34" w:rsidR="00912297" w:rsidRPr="001D0B66" w:rsidRDefault="001D7B73" w:rsidP="00EE416B">
            <w:pPr>
              <w:pStyle w:val="Tabletext1"/>
            </w:pPr>
            <w:r>
              <w:t>.</w:t>
            </w:r>
          </w:p>
        </w:tc>
        <w:tc>
          <w:tcPr>
            <w:tcW w:w="449" w:type="pct"/>
            <w:shd w:val="clear" w:color="auto" w:fill="FFFFFF" w:themeFill="background1"/>
          </w:tcPr>
          <w:p w14:paraId="133969DE" w14:textId="5567DC3D" w:rsidR="00912297" w:rsidRPr="001D0B66" w:rsidRDefault="001D7B73" w:rsidP="00EE416B">
            <w:pPr>
              <w:pStyle w:val="Tabletext1"/>
            </w:pPr>
            <w:r>
              <w:t>.</w:t>
            </w:r>
          </w:p>
        </w:tc>
        <w:tc>
          <w:tcPr>
            <w:tcW w:w="449" w:type="pct"/>
            <w:shd w:val="clear" w:color="auto" w:fill="FFFFFF" w:themeFill="background1"/>
          </w:tcPr>
          <w:p w14:paraId="1C9F1961" w14:textId="0C78F697" w:rsidR="00912297" w:rsidRPr="001D0B66" w:rsidRDefault="001D7B73" w:rsidP="00EE416B">
            <w:pPr>
              <w:pStyle w:val="Tabletext1"/>
            </w:pPr>
            <w:r>
              <w:t>.</w:t>
            </w:r>
          </w:p>
        </w:tc>
        <w:tc>
          <w:tcPr>
            <w:tcW w:w="524" w:type="pct"/>
            <w:shd w:val="clear" w:color="auto" w:fill="FFFFFF" w:themeFill="background1"/>
          </w:tcPr>
          <w:p w14:paraId="1E9D6CC4" w14:textId="1798BDF3" w:rsidR="00912297" w:rsidRPr="001D0B66" w:rsidRDefault="001D7B73" w:rsidP="00EE416B">
            <w:pPr>
              <w:pStyle w:val="Tabletext1"/>
            </w:pPr>
            <w:r>
              <w:t>.</w:t>
            </w:r>
          </w:p>
        </w:tc>
        <w:tc>
          <w:tcPr>
            <w:tcW w:w="599" w:type="pct"/>
            <w:shd w:val="clear" w:color="auto" w:fill="FFFFFF" w:themeFill="background1"/>
          </w:tcPr>
          <w:p w14:paraId="18625C78" w14:textId="77777777" w:rsidR="00912297" w:rsidRPr="001D0B66" w:rsidRDefault="00912297" w:rsidP="00EE416B">
            <w:pPr>
              <w:pStyle w:val="Tabletext1"/>
            </w:pPr>
            <w:r w:rsidRPr="001D0B66">
              <w:t>66.0%</w:t>
            </w:r>
          </w:p>
        </w:tc>
        <w:tc>
          <w:tcPr>
            <w:tcW w:w="1148" w:type="pct"/>
            <w:shd w:val="clear" w:color="auto" w:fill="FFFFFF" w:themeFill="background1"/>
          </w:tcPr>
          <w:p w14:paraId="10822317" w14:textId="0F228B81" w:rsidR="00912297" w:rsidRPr="001D0B66" w:rsidRDefault="00912297" w:rsidP="00EE416B">
            <w:pPr>
              <w:pStyle w:val="Tabletext1"/>
            </w:pPr>
            <w:r w:rsidRPr="001D0B66">
              <w:t>Rectal bleeding 37.0%</w:t>
            </w:r>
            <w:r>
              <w:br/>
            </w:r>
            <w:r w:rsidR="00E8315C">
              <w:t xml:space="preserve">Haematospermia </w:t>
            </w:r>
            <w:r w:rsidR="00F5175B" w:rsidRPr="001D0B66">
              <w:t xml:space="preserve"> </w:t>
            </w:r>
            <w:r w:rsidRPr="001D0B66">
              <w:t>93.0%</w:t>
            </w:r>
            <w:r>
              <w:br/>
            </w:r>
            <w:r w:rsidRPr="001D0B66">
              <w:t>Pain 44.0%</w:t>
            </w:r>
            <w:r>
              <w:br/>
            </w:r>
            <w:r w:rsidRPr="001D0B66">
              <w:t>Fever 20.0%</w:t>
            </w:r>
          </w:p>
        </w:tc>
      </w:tr>
      <w:tr w:rsidR="00912297" w:rsidRPr="001D0B66" w14:paraId="7339BF3B" w14:textId="77777777" w:rsidTr="00154A3C">
        <w:trPr>
          <w:cantSplit/>
          <w:trHeight w:val="503"/>
        </w:trPr>
        <w:tc>
          <w:tcPr>
            <w:tcW w:w="939" w:type="pct"/>
            <w:shd w:val="clear" w:color="auto" w:fill="FFFFFF" w:themeFill="background1"/>
          </w:tcPr>
          <w:p w14:paraId="7DD45A4E" w14:textId="77777777" w:rsidR="00912297" w:rsidRPr="001D0B66" w:rsidRDefault="00912297" w:rsidP="00EE416B">
            <w:pPr>
              <w:pStyle w:val="Tabletext1"/>
              <w:rPr>
                <w:color w:val="000000"/>
              </w:rPr>
            </w:pPr>
            <w:r w:rsidRPr="001D0B66">
              <w:rPr>
                <w:color w:val="000000"/>
              </w:rPr>
              <w:t>Simsir et al. (2010)</w:t>
            </w:r>
            <w:r>
              <w:rPr>
                <w:color w:val="000000"/>
              </w:rPr>
              <w:br/>
            </w:r>
            <w:r w:rsidRPr="001D0B66">
              <w:rPr>
                <w:color w:val="000000"/>
              </w:rPr>
              <w:t>Turkey</w:t>
            </w:r>
          </w:p>
        </w:tc>
        <w:tc>
          <w:tcPr>
            <w:tcW w:w="441" w:type="pct"/>
            <w:shd w:val="clear" w:color="auto" w:fill="FFFFFF" w:themeFill="background1"/>
          </w:tcPr>
          <w:p w14:paraId="569958A6" w14:textId="77777777" w:rsidR="00912297" w:rsidRPr="001D0B66" w:rsidRDefault="00912297" w:rsidP="00EE416B">
            <w:pPr>
              <w:pStyle w:val="Tabletext1"/>
              <w:rPr>
                <w:color w:val="000000"/>
              </w:rPr>
            </w:pPr>
            <w:r w:rsidRPr="001D0B66">
              <w:rPr>
                <w:color w:val="000000"/>
              </w:rPr>
              <w:t>2,023</w:t>
            </w:r>
          </w:p>
        </w:tc>
        <w:tc>
          <w:tcPr>
            <w:tcW w:w="449" w:type="pct"/>
            <w:shd w:val="clear" w:color="auto" w:fill="FFFFFF" w:themeFill="background1"/>
          </w:tcPr>
          <w:p w14:paraId="53EAAAF3" w14:textId="59BBC481" w:rsidR="00912297" w:rsidRPr="001D0B66" w:rsidRDefault="001D7B73" w:rsidP="00EE416B">
            <w:pPr>
              <w:pStyle w:val="Tabletext1"/>
            </w:pPr>
            <w:r>
              <w:t>.</w:t>
            </w:r>
          </w:p>
        </w:tc>
        <w:tc>
          <w:tcPr>
            <w:tcW w:w="449" w:type="pct"/>
            <w:shd w:val="clear" w:color="auto" w:fill="FFFFFF" w:themeFill="background1"/>
          </w:tcPr>
          <w:p w14:paraId="6CAD1387" w14:textId="77777777" w:rsidR="00912297" w:rsidRPr="001D0B66" w:rsidRDefault="00912297" w:rsidP="00EE416B">
            <w:pPr>
              <w:pStyle w:val="Tabletext1"/>
            </w:pPr>
            <w:r w:rsidRPr="001D0B66">
              <w:t>3.0%</w:t>
            </w:r>
          </w:p>
        </w:tc>
        <w:tc>
          <w:tcPr>
            <w:tcW w:w="449" w:type="pct"/>
            <w:shd w:val="clear" w:color="auto" w:fill="FFFFFF" w:themeFill="background1"/>
          </w:tcPr>
          <w:p w14:paraId="46D3076C" w14:textId="136E6FAB" w:rsidR="00912297" w:rsidRPr="001D0B66" w:rsidRDefault="001D7B73" w:rsidP="00EE416B">
            <w:pPr>
              <w:pStyle w:val="Tabletext1"/>
            </w:pPr>
            <w:r>
              <w:t>.</w:t>
            </w:r>
          </w:p>
        </w:tc>
        <w:tc>
          <w:tcPr>
            <w:tcW w:w="524" w:type="pct"/>
            <w:shd w:val="clear" w:color="auto" w:fill="FFFFFF" w:themeFill="background1"/>
          </w:tcPr>
          <w:p w14:paraId="28D08AEF" w14:textId="0EBEAEB1" w:rsidR="00912297" w:rsidRPr="001D0B66" w:rsidRDefault="001D7B73" w:rsidP="00EE416B">
            <w:pPr>
              <w:pStyle w:val="Tabletext1"/>
            </w:pPr>
            <w:r>
              <w:t>.</w:t>
            </w:r>
          </w:p>
        </w:tc>
        <w:tc>
          <w:tcPr>
            <w:tcW w:w="599" w:type="pct"/>
            <w:shd w:val="clear" w:color="auto" w:fill="FFFFFF" w:themeFill="background1"/>
          </w:tcPr>
          <w:p w14:paraId="636EBE5A" w14:textId="44407F49" w:rsidR="00912297" w:rsidRPr="001D0B66" w:rsidRDefault="001D7B73" w:rsidP="00EE416B">
            <w:pPr>
              <w:pStyle w:val="Tabletext1"/>
            </w:pPr>
            <w:r>
              <w:t>.</w:t>
            </w:r>
          </w:p>
        </w:tc>
        <w:tc>
          <w:tcPr>
            <w:tcW w:w="1148" w:type="pct"/>
            <w:shd w:val="clear" w:color="auto" w:fill="FFFFFF" w:themeFill="background1"/>
          </w:tcPr>
          <w:p w14:paraId="2A896022" w14:textId="77777777" w:rsidR="00912297" w:rsidRPr="001D0B66" w:rsidRDefault="00912297" w:rsidP="00EE416B">
            <w:pPr>
              <w:pStyle w:val="Tabletext1"/>
            </w:pPr>
            <w:r>
              <w:t>Death 0.05%</w:t>
            </w:r>
          </w:p>
        </w:tc>
      </w:tr>
      <w:tr w:rsidR="00912297" w:rsidRPr="001D0B66" w14:paraId="36D8A73F" w14:textId="77777777" w:rsidTr="00154A3C">
        <w:trPr>
          <w:cantSplit/>
          <w:trHeight w:val="779"/>
        </w:trPr>
        <w:tc>
          <w:tcPr>
            <w:tcW w:w="939" w:type="pct"/>
            <w:shd w:val="clear" w:color="auto" w:fill="FFFFFF" w:themeFill="background1"/>
          </w:tcPr>
          <w:p w14:paraId="096A3432" w14:textId="77777777" w:rsidR="00912297" w:rsidRPr="001D0B66" w:rsidRDefault="00912297" w:rsidP="00B80655">
            <w:pPr>
              <w:pStyle w:val="Tabletext1"/>
              <w:rPr>
                <w:color w:val="000000"/>
              </w:rPr>
            </w:pPr>
            <w:r w:rsidRPr="001D0B66">
              <w:rPr>
                <w:color w:val="000000"/>
              </w:rPr>
              <w:t>Zaytoun et al. (2011)</w:t>
            </w:r>
            <w:r>
              <w:rPr>
                <w:color w:val="000000"/>
              </w:rPr>
              <w:br/>
            </w:r>
            <w:r w:rsidRPr="001D0B66">
              <w:rPr>
                <w:color w:val="000000"/>
              </w:rPr>
              <w:t>USA</w:t>
            </w:r>
          </w:p>
        </w:tc>
        <w:tc>
          <w:tcPr>
            <w:tcW w:w="441" w:type="pct"/>
            <w:shd w:val="clear" w:color="auto" w:fill="FFFFFF" w:themeFill="background1"/>
          </w:tcPr>
          <w:p w14:paraId="4A611C15" w14:textId="77777777" w:rsidR="00912297" w:rsidRPr="001D0B66" w:rsidRDefault="00912297" w:rsidP="00B80655">
            <w:pPr>
              <w:pStyle w:val="Tabletext1"/>
              <w:rPr>
                <w:color w:val="000000"/>
              </w:rPr>
            </w:pPr>
            <w:r w:rsidRPr="001D0B66">
              <w:rPr>
                <w:color w:val="000000"/>
              </w:rPr>
              <w:t>1,438</w:t>
            </w:r>
          </w:p>
        </w:tc>
        <w:tc>
          <w:tcPr>
            <w:tcW w:w="449" w:type="pct"/>
            <w:shd w:val="clear" w:color="auto" w:fill="FFFFFF" w:themeFill="background1"/>
          </w:tcPr>
          <w:p w14:paraId="0A7F3B22" w14:textId="77777777" w:rsidR="00912297" w:rsidRPr="001D0B66" w:rsidRDefault="00912297" w:rsidP="00B80655">
            <w:pPr>
              <w:pStyle w:val="Tabletext1"/>
            </w:pPr>
            <w:r w:rsidRPr="001D0B66">
              <w:t>2.2%</w:t>
            </w:r>
          </w:p>
        </w:tc>
        <w:tc>
          <w:tcPr>
            <w:tcW w:w="449" w:type="pct"/>
            <w:shd w:val="clear" w:color="auto" w:fill="FFFFFF" w:themeFill="background1"/>
          </w:tcPr>
          <w:p w14:paraId="4E0C313C" w14:textId="77777777" w:rsidR="00912297" w:rsidRPr="001D0B66" w:rsidRDefault="00912297" w:rsidP="00B80655">
            <w:pPr>
              <w:pStyle w:val="Tabletext1"/>
            </w:pPr>
            <w:r w:rsidRPr="001D0B66">
              <w:t>0.2%</w:t>
            </w:r>
          </w:p>
        </w:tc>
        <w:tc>
          <w:tcPr>
            <w:tcW w:w="449" w:type="pct"/>
            <w:shd w:val="clear" w:color="auto" w:fill="FFFFFF" w:themeFill="background1"/>
          </w:tcPr>
          <w:p w14:paraId="44C9B93E" w14:textId="795FFC31" w:rsidR="00912297" w:rsidRPr="001D0B66" w:rsidRDefault="001D7B73" w:rsidP="00B80655">
            <w:pPr>
              <w:pStyle w:val="Tabletext1"/>
            </w:pPr>
            <w:r>
              <w:t>.</w:t>
            </w:r>
          </w:p>
        </w:tc>
        <w:tc>
          <w:tcPr>
            <w:tcW w:w="524" w:type="pct"/>
            <w:shd w:val="clear" w:color="auto" w:fill="FFFFFF" w:themeFill="background1"/>
          </w:tcPr>
          <w:p w14:paraId="09D44F53" w14:textId="77777777" w:rsidR="00912297" w:rsidRPr="001D0B66" w:rsidRDefault="00912297" w:rsidP="00B80655">
            <w:pPr>
              <w:pStyle w:val="Tabletext1"/>
            </w:pPr>
            <w:r w:rsidRPr="001D0B66">
              <w:t>0.8%</w:t>
            </w:r>
          </w:p>
        </w:tc>
        <w:tc>
          <w:tcPr>
            <w:tcW w:w="599" w:type="pct"/>
            <w:shd w:val="clear" w:color="auto" w:fill="FFFFFF" w:themeFill="background1"/>
          </w:tcPr>
          <w:p w14:paraId="30F3E7CA" w14:textId="77777777" w:rsidR="00912297" w:rsidRPr="001D0B66" w:rsidRDefault="00912297" w:rsidP="00B80655">
            <w:pPr>
              <w:pStyle w:val="Tabletext1"/>
            </w:pPr>
            <w:r w:rsidRPr="001D0B66">
              <w:t>4.4%</w:t>
            </w:r>
          </w:p>
        </w:tc>
        <w:tc>
          <w:tcPr>
            <w:tcW w:w="1148" w:type="pct"/>
            <w:shd w:val="clear" w:color="auto" w:fill="FFFFFF" w:themeFill="background1"/>
          </w:tcPr>
          <w:p w14:paraId="180FF28C" w14:textId="506E31F9" w:rsidR="00912297" w:rsidRPr="001D0B66" w:rsidRDefault="00912297" w:rsidP="00B80655">
            <w:pPr>
              <w:pStyle w:val="Tabletext1"/>
            </w:pPr>
            <w:r w:rsidRPr="001D0B66">
              <w:t>Rectal bleeding 1.5%</w:t>
            </w:r>
            <w:r>
              <w:br/>
            </w:r>
            <w:r w:rsidR="00E8315C">
              <w:t xml:space="preserve">Haematospermia </w:t>
            </w:r>
            <w:r>
              <w:t xml:space="preserve"> 0.8%</w:t>
            </w:r>
          </w:p>
        </w:tc>
      </w:tr>
      <w:tr w:rsidR="00912297" w:rsidRPr="001D0B66" w14:paraId="65AE098D" w14:textId="77777777" w:rsidTr="00154A3C">
        <w:trPr>
          <w:cantSplit/>
          <w:trHeight w:val="496"/>
        </w:trPr>
        <w:tc>
          <w:tcPr>
            <w:tcW w:w="939" w:type="pct"/>
            <w:shd w:val="clear" w:color="auto" w:fill="FFFFFF" w:themeFill="background1"/>
          </w:tcPr>
          <w:p w14:paraId="3094F32E" w14:textId="77777777" w:rsidR="00912297" w:rsidRPr="001D0B66" w:rsidRDefault="00912297" w:rsidP="00B80655">
            <w:pPr>
              <w:pStyle w:val="Tabletext1"/>
              <w:rPr>
                <w:color w:val="000000"/>
              </w:rPr>
            </w:pPr>
            <w:r w:rsidRPr="001D0B66">
              <w:rPr>
                <w:color w:val="000000"/>
              </w:rPr>
              <w:t>Helfand et al. (2012)</w:t>
            </w:r>
            <w:r>
              <w:rPr>
                <w:color w:val="000000"/>
              </w:rPr>
              <w:br/>
            </w:r>
            <w:r w:rsidRPr="001D0B66">
              <w:rPr>
                <w:color w:val="000000"/>
              </w:rPr>
              <w:t>USA</w:t>
            </w:r>
          </w:p>
        </w:tc>
        <w:tc>
          <w:tcPr>
            <w:tcW w:w="441" w:type="pct"/>
            <w:shd w:val="clear" w:color="auto" w:fill="FFFFFF" w:themeFill="background1"/>
          </w:tcPr>
          <w:p w14:paraId="5D41F6A3" w14:textId="77777777" w:rsidR="00912297" w:rsidRPr="001D0B66" w:rsidRDefault="00912297" w:rsidP="00B80655">
            <w:pPr>
              <w:pStyle w:val="Tabletext1"/>
              <w:rPr>
                <w:color w:val="000000"/>
              </w:rPr>
            </w:pPr>
            <w:r w:rsidRPr="001D0B66">
              <w:rPr>
                <w:color w:val="000000"/>
              </w:rPr>
              <w:t>85</w:t>
            </w:r>
          </w:p>
        </w:tc>
        <w:tc>
          <w:tcPr>
            <w:tcW w:w="449" w:type="pct"/>
            <w:shd w:val="clear" w:color="auto" w:fill="FFFFFF" w:themeFill="background1"/>
          </w:tcPr>
          <w:p w14:paraId="469FBDA1" w14:textId="725ADA7C" w:rsidR="00912297" w:rsidRPr="001D0B66" w:rsidRDefault="001D7B73" w:rsidP="00B80655">
            <w:pPr>
              <w:pStyle w:val="Tabletext1"/>
            </w:pPr>
            <w:r>
              <w:t>.</w:t>
            </w:r>
          </w:p>
        </w:tc>
        <w:tc>
          <w:tcPr>
            <w:tcW w:w="449" w:type="pct"/>
            <w:shd w:val="clear" w:color="auto" w:fill="FFFFFF" w:themeFill="background1"/>
          </w:tcPr>
          <w:p w14:paraId="793AB156" w14:textId="227CBC76" w:rsidR="00912297" w:rsidRPr="001D0B66" w:rsidRDefault="001D7B73" w:rsidP="00B80655">
            <w:pPr>
              <w:pStyle w:val="Tabletext1"/>
            </w:pPr>
            <w:r>
              <w:t>.</w:t>
            </w:r>
          </w:p>
        </w:tc>
        <w:tc>
          <w:tcPr>
            <w:tcW w:w="449" w:type="pct"/>
            <w:shd w:val="clear" w:color="auto" w:fill="FFFFFF" w:themeFill="background1"/>
          </w:tcPr>
          <w:p w14:paraId="5BB22701" w14:textId="2656C69F" w:rsidR="00912297" w:rsidRPr="001D0B66" w:rsidRDefault="001D7B73" w:rsidP="00B80655">
            <w:pPr>
              <w:pStyle w:val="Tabletext1"/>
            </w:pPr>
            <w:r>
              <w:t>.</w:t>
            </w:r>
          </w:p>
        </w:tc>
        <w:tc>
          <w:tcPr>
            <w:tcW w:w="524" w:type="pct"/>
            <w:shd w:val="clear" w:color="auto" w:fill="FFFFFF" w:themeFill="background1"/>
          </w:tcPr>
          <w:p w14:paraId="5C8F2774" w14:textId="6A0E8DBD" w:rsidR="00912297" w:rsidRPr="001D0B66" w:rsidRDefault="001D7B73" w:rsidP="00B80655">
            <w:pPr>
              <w:pStyle w:val="Tabletext1"/>
            </w:pPr>
            <w:r>
              <w:t>.</w:t>
            </w:r>
          </w:p>
        </w:tc>
        <w:tc>
          <w:tcPr>
            <w:tcW w:w="599" w:type="pct"/>
            <w:shd w:val="clear" w:color="auto" w:fill="FFFFFF" w:themeFill="background1"/>
          </w:tcPr>
          <w:p w14:paraId="7AE98207" w14:textId="4B606C8B" w:rsidR="00912297" w:rsidRPr="001D0B66" w:rsidRDefault="001D7B73" w:rsidP="00B80655">
            <w:pPr>
              <w:pStyle w:val="Tabletext1"/>
            </w:pPr>
            <w:r>
              <w:t>.</w:t>
            </w:r>
          </w:p>
        </w:tc>
        <w:tc>
          <w:tcPr>
            <w:tcW w:w="1148" w:type="pct"/>
            <w:shd w:val="clear" w:color="auto" w:fill="FFFFFF" w:themeFill="background1"/>
          </w:tcPr>
          <w:p w14:paraId="6B2E2E2B" w14:textId="77777777" w:rsidR="00912297" w:rsidRPr="001D0B66" w:rsidRDefault="00912297" w:rsidP="00B80655">
            <w:pPr>
              <w:pStyle w:val="Tabletext1"/>
            </w:pPr>
            <w:r w:rsidRPr="001D0B66">
              <w:t>Erectile dysfunction 11.8%</w:t>
            </w:r>
          </w:p>
        </w:tc>
      </w:tr>
      <w:tr w:rsidR="00912297" w:rsidRPr="001D0B66" w14:paraId="4FE894A3" w14:textId="77777777" w:rsidTr="009A220C">
        <w:trPr>
          <w:cantSplit/>
          <w:trHeight w:val="637"/>
        </w:trPr>
        <w:tc>
          <w:tcPr>
            <w:tcW w:w="939" w:type="pct"/>
            <w:shd w:val="clear" w:color="auto" w:fill="FFFFFF" w:themeFill="background1"/>
          </w:tcPr>
          <w:p w14:paraId="60B14FA5" w14:textId="77777777" w:rsidR="00912297" w:rsidRPr="001D0B66" w:rsidRDefault="00912297" w:rsidP="00B80655">
            <w:pPr>
              <w:pStyle w:val="Tabletext1"/>
              <w:rPr>
                <w:color w:val="000000"/>
              </w:rPr>
            </w:pPr>
            <w:r w:rsidRPr="001D0B66">
              <w:rPr>
                <w:color w:val="000000"/>
              </w:rPr>
              <w:t>Kariotis et al. (2010)</w:t>
            </w:r>
            <w:r>
              <w:rPr>
                <w:color w:val="000000"/>
              </w:rPr>
              <w:br/>
            </w:r>
            <w:r w:rsidRPr="001D0B66">
              <w:rPr>
                <w:color w:val="000000"/>
              </w:rPr>
              <w:t>Greece</w:t>
            </w:r>
          </w:p>
        </w:tc>
        <w:tc>
          <w:tcPr>
            <w:tcW w:w="441" w:type="pct"/>
            <w:shd w:val="clear" w:color="auto" w:fill="FFFFFF" w:themeFill="background1"/>
          </w:tcPr>
          <w:p w14:paraId="0D495C97" w14:textId="77777777" w:rsidR="00912297" w:rsidRPr="001D0B66" w:rsidRDefault="00912297" w:rsidP="00B80655">
            <w:pPr>
              <w:pStyle w:val="Tabletext1"/>
              <w:rPr>
                <w:color w:val="000000"/>
              </w:rPr>
            </w:pPr>
            <w:r w:rsidRPr="001D0B66">
              <w:rPr>
                <w:color w:val="000000"/>
              </w:rPr>
              <w:t>434</w:t>
            </w:r>
          </w:p>
        </w:tc>
        <w:tc>
          <w:tcPr>
            <w:tcW w:w="449" w:type="pct"/>
            <w:shd w:val="clear" w:color="auto" w:fill="FFFFFF" w:themeFill="background1"/>
          </w:tcPr>
          <w:p w14:paraId="5271B2B2" w14:textId="4D30E504" w:rsidR="00912297" w:rsidRPr="001D0B66" w:rsidRDefault="001D7B73" w:rsidP="00B80655">
            <w:pPr>
              <w:pStyle w:val="Tabletext1"/>
            </w:pPr>
            <w:r>
              <w:t>.</w:t>
            </w:r>
          </w:p>
        </w:tc>
        <w:tc>
          <w:tcPr>
            <w:tcW w:w="449" w:type="pct"/>
            <w:shd w:val="clear" w:color="auto" w:fill="FFFFFF" w:themeFill="background1"/>
          </w:tcPr>
          <w:p w14:paraId="6EE12616" w14:textId="67CEA018" w:rsidR="00912297" w:rsidRPr="001D0B66" w:rsidRDefault="001D7B73" w:rsidP="00B80655">
            <w:pPr>
              <w:pStyle w:val="Tabletext1"/>
            </w:pPr>
            <w:r>
              <w:t>.</w:t>
            </w:r>
          </w:p>
        </w:tc>
        <w:tc>
          <w:tcPr>
            <w:tcW w:w="449" w:type="pct"/>
            <w:shd w:val="clear" w:color="auto" w:fill="FFFFFF" w:themeFill="background1"/>
          </w:tcPr>
          <w:p w14:paraId="4E7F0883" w14:textId="7CE0AA28" w:rsidR="00912297" w:rsidRPr="001D0B66" w:rsidRDefault="001D7B73" w:rsidP="00B80655">
            <w:pPr>
              <w:pStyle w:val="Tabletext1"/>
            </w:pPr>
            <w:r>
              <w:t>.</w:t>
            </w:r>
          </w:p>
        </w:tc>
        <w:tc>
          <w:tcPr>
            <w:tcW w:w="524" w:type="pct"/>
            <w:shd w:val="clear" w:color="auto" w:fill="FFFFFF" w:themeFill="background1"/>
          </w:tcPr>
          <w:p w14:paraId="7A76606E" w14:textId="51ECC0E2" w:rsidR="00912297" w:rsidRPr="001D0B66" w:rsidRDefault="001D7B73" w:rsidP="00B80655">
            <w:pPr>
              <w:pStyle w:val="Tabletext1"/>
            </w:pPr>
            <w:r>
              <w:t>.</w:t>
            </w:r>
          </w:p>
        </w:tc>
        <w:tc>
          <w:tcPr>
            <w:tcW w:w="599" w:type="pct"/>
            <w:shd w:val="clear" w:color="auto" w:fill="FFFFFF" w:themeFill="background1"/>
          </w:tcPr>
          <w:p w14:paraId="2A5E49CF" w14:textId="77777777" w:rsidR="00912297" w:rsidRPr="001D0B66" w:rsidRDefault="00912297" w:rsidP="00B80655">
            <w:pPr>
              <w:pStyle w:val="Tabletext1"/>
            </w:pPr>
            <w:r w:rsidRPr="001D0B66">
              <w:t>62%</w:t>
            </w:r>
          </w:p>
        </w:tc>
        <w:tc>
          <w:tcPr>
            <w:tcW w:w="1148" w:type="pct"/>
            <w:shd w:val="clear" w:color="auto" w:fill="FFFFFF" w:themeFill="background1"/>
          </w:tcPr>
          <w:p w14:paraId="7E42489C" w14:textId="7EF40821" w:rsidR="00912297" w:rsidRPr="001D0B66" w:rsidRDefault="00912297" w:rsidP="00B80655">
            <w:pPr>
              <w:pStyle w:val="Tabletext1"/>
            </w:pPr>
            <w:r w:rsidRPr="001D0B66">
              <w:t>Rectal bleeding 51%</w:t>
            </w:r>
            <w:r>
              <w:br/>
            </w:r>
            <w:r w:rsidR="00E8315C">
              <w:t xml:space="preserve">Haematospermia </w:t>
            </w:r>
            <w:r w:rsidR="00F5175B" w:rsidRPr="001D0B66">
              <w:t xml:space="preserve"> </w:t>
            </w:r>
            <w:r>
              <w:t>88%</w:t>
            </w:r>
          </w:p>
        </w:tc>
      </w:tr>
      <w:tr w:rsidR="00912297" w:rsidRPr="001D0B66" w14:paraId="2B5A9C31" w14:textId="77777777" w:rsidTr="00154A3C">
        <w:trPr>
          <w:cantSplit/>
          <w:trHeight w:val="545"/>
        </w:trPr>
        <w:tc>
          <w:tcPr>
            <w:tcW w:w="939" w:type="pct"/>
            <w:shd w:val="clear" w:color="auto" w:fill="FFFFFF" w:themeFill="background1"/>
          </w:tcPr>
          <w:p w14:paraId="289B16BF" w14:textId="07E8E640" w:rsidR="00912297" w:rsidRPr="001D0B66" w:rsidRDefault="00912297" w:rsidP="00B80655">
            <w:pPr>
              <w:pStyle w:val="Tabletext1"/>
              <w:rPr>
                <w:color w:val="000000"/>
              </w:rPr>
            </w:pPr>
            <w:r w:rsidRPr="001D0B66">
              <w:rPr>
                <w:color w:val="000000"/>
              </w:rPr>
              <w:t>Marino et al. (2015)</w:t>
            </w:r>
            <w:r w:rsidR="00263ED4">
              <w:rPr>
                <w:color w:val="000000"/>
              </w:rPr>
              <w:br/>
            </w:r>
            <w:r w:rsidRPr="001D0B66">
              <w:rPr>
                <w:color w:val="000000"/>
              </w:rPr>
              <w:t>USA</w:t>
            </w:r>
          </w:p>
        </w:tc>
        <w:tc>
          <w:tcPr>
            <w:tcW w:w="441" w:type="pct"/>
            <w:shd w:val="clear" w:color="auto" w:fill="FFFFFF" w:themeFill="background1"/>
          </w:tcPr>
          <w:p w14:paraId="60C45595" w14:textId="77777777" w:rsidR="00912297" w:rsidRPr="001D0B66" w:rsidRDefault="00912297" w:rsidP="00B80655">
            <w:pPr>
              <w:pStyle w:val="Tabletext1"/>
              <w:rPr>
                <w:color w:val="000000"/>
              </w:rPr>
            </w:pPr>
            <w:r w:rsidRPr="001D0B66">
              <w:rPr>
                <w:color w:val="000000"/>
              </w:rPr>
              <w:t>455</w:t>
            </w:r>
          </w:p>
        </w:tc>
        <w:tc>
          <w:tcPr>
            <w:tcW w:w="449" w:type="pct"/>
            <w:shd w:val="clear" w:color="auto" w:fill="FFFFFF" w:themeFill="background1"/>
          </w:tcPr>
          <w:p w14:paraId="671417CF" w14:textId="02B07DCA" w:rsidR="00912297" w:rsidRPr="001D0B66" w:rsidRDefault="001D7B73" w:rsidP="00B80655">
            <w:pPr>
              <w:pStyle w:val="Tabletext1"/>
            </w:pPr>
            <w:r>
              <w:t>.</w:t>
            </w:r>
          </w:p>
        </w:tc>
        <w:tc>
          <w:tcPr>
            <w:tcW w:w="449" w:type="pct"/>
            <w:shd w:val="clear" w:color="auto" w:fill="FFFFFF" w:themeFill="background1"/>
          </w:tcPr>
          <w:p w14:paraId="08E24282" w14:textId="77777777" w:rsidR="00912297" w:rsidRPr="001D0B66" w:rsidRDefault="00912297" w:rsidP="00B80655">
            <w:pPr>
              <w:pStyle w:val="Tabletext1"/>
            </w:pPr>
            <w:r w:rsidRPr="001D0B66">
              <w:t>2.4%</w:t>
            </w:r>
          </w:p>
        </w:tc>
        <w:tc>
          <w:tcPr>
            <w:tcW w:w="449" w:type="pct"/>
            <w:shd w:val="clear" w:color="auto" w:fill="FFFFFF" w:themeFill="background1"/>
          </w:tcPr>
          <w:p w14:paraId="6B1E34B0" w14:textId="77777777" w:rsidR="00912297" w:rsidRPr="001D0B66" w:rsidRDefault="00912297" w:rsidP="00B80655">
            <w:pPr>
              <w:pStyle w:val="Tabletext1"/>
            </w:pPr>
            <w:r w:rsidRPr="001D0B66">
              <w:t>1.5%</w:t>
            </w:r>
          </w:p>
        </w:tc>
        <w:tc>
          <w:tcPr>
            <w:tcW w:w="524" w:type="pct"/>
            <w:shd w:val="clear" w:color="auto" w:fill="FFFFFF" w:themeFill="background1"/>
          </w:tcPr>
          <w:p w14:paraId="00D83E60" w14:textId="47D66023" w:rsidR="00912297" w:rsidRPr="001D0B66" w:rsidRDefault="001D7B73" w:rsidP="00B80655">
            <w:pPr>
              <w:pStyle w:val="Tabletext1"/>
            </w:pPr>
            <w:r>
              <w:t>.</w:t>
            </w:r>
          </w:p>
        </w:tc>
        <w:tc>
          <w:tcPr>
            <w:tcW w:w="599" w:type="pct"/>
            <w:shd w:val="clear" w:color="auto" w:fill="FFFFFF" w:themeFill="background1"/>
          </w:tcPr>
          <w:p w14:paraId="02DD94B6" w14:textId="0632E993" w:rsidR="00912297" w:rsidRPr="001D0B66" w:rsidRDefault="001D7B73" w:rsidP="00B80655">
            <w:pPr>
              <w:pStyle w:val="Tabletext1"/>
            </w:pPr>
            <w:r>
              <w:t>.</w:t>
            </w:r>
          </w:p>
        </w:tc>
        <w:tc>
          <w:tcPr>
            <w:tcW w:w="1148" w:type="pct"/>
            <w:shd w:val="clear" w:color="auto" w:fill="FFFFFF" w:themeFill="background1"/>
          </w:tcPr>
          <w:p w14:paraId="099EC790" w14:textId="77777777" w:rsidR="00912297" w:rsidRPr="001D0B66" w:rsidRDefault="00912297" w:rsidP="00B80655">
            <w:pPr>
              <w:pStyle w:val="Tabletext1"/>
            </w:pPr>
            <w:r>
              <w:t>Bacteraemia 0.4%</w:t>
            </w:r>
            <w:r>
              <w:br/>
            </w:r>
            <w:r w:rsidRPr="003A33AA">
              <w:t xml:space="preserve">Hospitalisation </w:t>
            </w:r>
            <w:r>
              <w:t>5.5</w:t>
            </w:r>
            <w:r w:rsidRPr="003A33AA">
              <w:t>%</w:t>
            </w:r>
          </w:p>
        </w:tc>
      </w:tr>
      <w:tr w:rsidR="00912297" w:rsidRPr="001D0B66" w14:paraId="4730C226" w14:textId="77777777" w:rsidTr="009A220C">
        <w:trPr>
          <w:cantSplit/>
          <w:trHeight w:val="568"/>
        </w:trPr>
        <w:tc>
          <w:tcPr>
            <w:tcW w:w="939" w:type="pct"/>
            <w:shd w:val="clear" w:color="auto" w:fill="FFFFFF" w:themeFill="background1"/>
          </w:tcPr>
          <w:p w14:paraId="4E26C9D5" w14:textId="77777777" w:rsidR="00912297" w:rsidRPr="001D0B66" w:rsidRDefault="00912297" w:rsidP="00B80655">
            <w:pPr>
              <w:pStyle w:val="Tabletext1"/>
              <w:rPr>
                <w:color w:val="000000"/>
              </w:rPr>
            </w:pPr>
            <w:r w:rsidRPr="001D0B66">
              <w:rPr>
                <w:color w:val="000000"/>
              </w:rPr>
              <w:t>Mohammed et al. (2016)</w:t>
            </w:r>
            <w:r>
              <w:rPr>
                <w:color w:val="000000"/>
              </w:rPr>
              <w:br/>
            </w:r>
            <w:r w:rsidRPr="001D0B66">
              <w:rPr>
                <w:color w:val="000000"/>
              </w:rPr>
              <w:t>Ireland</w:t>
            </w:r>
          </w:p>
        </w:tc>
        <w:tc>
          <w:tcPr>
            <w:tcW w:w="441" w:type="pct"/>
            <w:shd w:val="clear" w:color="auto" w:fill="FFFFFF" w:themeFill="background1"/>
          </w:tcPr>
          <w:p w14:paraId="4119BC6E" w14:textId="77777777" w:rsidR="00912297" w:rsidRPr="001D0B66" w:rsidRDefault="00912297" w:rsidP="00B80655">
            <w:pPr>
              <w:pStyle w:val="Tabletext1"/>
              <w:rPr>
                <w:color w:val="000000"/>
              </w:rPr>
            </w:pPr>
            <w:r w:rsidRPr="001D0B66">
              <w:rPr>
                <w:color w:val="000000"/>
              </w:rPr>
              <w:t>286</w:t>
            </w:r>
          </w:p>
        </w:tc>
        <w:tc>
          <w:tcPr>
            <w:tcW w:w="449" w:type="pct"/>
            <w:shd w:val="clear" w:color="auto" w:fill="FFFFFF" w:themeFill="background1"/>
          </w:tcPr>
          <w:p w14:paraId="135EAFD1" w14:textId="6A376220" w:rsidR="00912297" w:rsidRPr="001D0B66" w:rsidRDefault="001D7B73" w:rsidP="00B80655">
            <w:pPr>
              <w:pStyle w:val="Tabletext1"/>
            </w:pPr>
            <w:r>
              <w:t>.</w:t>
            </w:r>
          </w:p>
        </w:tc>
        <w:tc>
          <w:tcPr>
            <w:tcW w:w="449" w:type="pct"/>
            <w:shd w:val="clear" w:color="auto" w:fill="FFFFFF" w:themeFill="background1"/>
          </w:tcPr>
          <w:p w14:paraId="328B8EF6" w14:textId="77777777" w:rsidR="00912297" w:rsidRPr="001D0B66" w:rsidRDefault="00912297" w:rsidP="00B80655">
            <w:pPr>
              <w:pStyle w:val="Tabletext1"/>
            </w:pPr>
            <w:r w:rsidRPr="001D0B66">
              <w:t>0.4%</w:t>
            </w:r>
          </w:p>
        </w:tc>
        <w:tc>
          <w:tcPr>
            <w:tcW w:w="449" w:type="pct"/>
            <w:shd w:val="clear" w:color="auto" w:fill="FFFFFF" w:themeFill="background1"/>
          </w:tcPr>
          <w:p w14:paraId="2EF84963" w14:textId="69BC4887" w:rsidR="00912297" w:rsidRPr="001D0B66" w:rsidRDefault="001D7B73" w:rsidP="00B80655">
            <w:pPr>
              <w:pStyle w:val="Tabletext1"/>
            </w:pPr>
            <w:r>
              <w:t>.</w:t>
            </w:r>
          </w:p>
        </w:tc>
        <w:tc>
          <w:tcPr>
            <w:tcW w:w="524" w:type="pct"/>
            <w:shd w:val="clear" w:color="auto" w:fill="FFFFFF" w:themeFill="background1"/>
          </w:tcPr>
          <w:p w14:paraId="06242286" w14:textId="77375A40" w:rsidR="00912297" w:rsidRPr="001D0B66" w:rsidRDefault="001D7B73" w:rsidP="00B80655">
            <w:pPr>
              <w:pStyle w:val="Tabletext1"/>
            </w:pPr>
            <w:r>
              <w:t>.</w:t>
            </w:r>
          </w:p>
        </w:tc>
        <w:tc>
          <w:tcPr>
            <w:tcW w:w="599" w:type="pct"/>
            <w:shd w:val="clear" w:color="auto" w:fill="FFFFFF" w:themeFill="background1"/>
          </w:tcPr>
          <w:p w14:paraId="334D3410" w14:textId="218E4914" w:rsidR="00912297" w:rsidRPr="001D0B66" w:rsidRDefault="001D7B73" w:rsidP="00B80655">
            <w:pPr>
              <w:pStyle w:val="Tabletext1"/>
            </w:pPr>
            <w:r>
              <w:t>.</w:t>
            </w:r>
          </w:p>
        </w:tc>
        <w:tc>
          <w:tcPr>
            <w:tcW w:w="1148" w:type="pct"/>
            <w:shd w:val="clear" w:color="auto" w:fill="FFFFFF" w:themeFill="background1"/>
          </w:tcPr>
          <w:p w14:paraId="33D32B4C" w14:textId="77777777" w:rsidR="00912297" w:rsidRPr="001D0B66" w:rsidRDefault="00912297" w:rsidP="00B80655">
            <w:pPr>
              <w:pStyle w:val="Tabletext1"/>
            </w:pPr>
          </w:p>
        </w:tc>
      </w:tr>
      <w:tr w:rsidR="00912297" w:rsidRPr="001D0B66" w14:paraId="33B1E5F6" w14:textId="77777777" w:rsidTr="00154A3C">
        <w:trPr>
          <w:cantSplit/>
          <w:trHeight w:val="549"/>
        </w:trPr>
        <w:tc>
          <w:tcPr>
            <w:tcW w:w="939" w:type="pct"/>
            <w:shd w:val="clear" w:color="auto" w:fill="FFFFFF" w:themeFill="background1"/>
          </w:tcPr>
          <w:p w14:paraId="349506D8" w14:textId="77777777" w:rsidR="00912297" w:rsidRPr="001D0B66" w:rsidRDefault="00912297" w:rsidP="00B80655">
            <w:pPr>
              <w:pStyle w:val="Tabletext1"/>
              <w:rPr>
                <w:color w:val="000000"/>
              </w:rPr>
            </w:pPr>
            <w:r w:rsidRPr="001D0B66">
              <w:rPr>
                <w:color w:val="000000"/>
              </w:rPr>
              <w:t>Petteffi et al. (2002)</w:t>
            </w:r>
            <w:r>
              <w:rPr>
                <w:color w:val="000000"/>
              </w:rPr>
              <w:br/>
            </w:r>
            <w:r w:rsidRPr="001D0B66">
              <w:rPr>
                <w:color w:val="000000"/>
              </w:rPr>
              <w:t>Brazil</w:t>
            </w:r>
          </w:p>
        </w:tc>
        <w:tc>
          <w:tcPr>
            <w:tcW w:w="441" w:type="pct"/>
            <w:shd w:val="clear" w:color="auto" w:fill="FFFFFF" w:themeFill="background1"/>
          </w:tcPr>
          <w:p w14:paraId="54345A8B" w14:textId="77777777" w:rsidR="00912297" w:rsidRPr="001D0B66" w:rsidRDefault="00912297" w:rsidP="00B80655">
            <w:pPr>
              <w:pStyle w:val="Tabletext1"/>
              <w:rPr>
                <w:color w:val="000000"/>
              </w:rPr>
            </w:pPr>
            <w:r w:rsidRPr="001D0B66">
              <w:rPr>
                <w:color w:val="000000"/>
              </w:rPr>
              <w:t>105</w:t>
            </w:r>
          </w:p>
        </w:tc>
        <w:tc>
          <w:tcPr>
            <w:tcW w:w="449" w:type="pct"/>
            <w:shd w:val="clear" w:color="auto" w:fill="FFFFFF" w:themeFill="background1"/>
          </w:tcPr>
          <w:p w14:paraId="77826AAC" w14:textId="6A965975" w:rsidR="00912297" w:rsidRPr="001D0B66" w:rsidRDefault="001D7B73" w:rsidP="00B80655">
            <w:pPr>
              <w:pStyle w:val="Tabletext1"/>
            </w:pPr>
            <w:r>
              <w:t>.</w:t>
            </w:r>
          </w:p>
        </w:tc>
        <w:tc>
          <w:tcPr>
            <w:tcW w:w="449" w:type="pct"/>
            <w:shd w:val="clear" w:color="auto" w:fill="FFFFFF" w:themeFill="background1"/>
          </w:tcPr>
          <w:p w14:paraId="61434311" w14:textId="24F2CB80" w:rsidR="00912297" w:rsidRPr="001D0B66" w:rsidRDefault="001D7B73" w:rsidP="00B80655">
            <w:pPr>
              <w:pStyle w:val="Tabletext1"/>
            </w:pPr>
            <w:r>
              <w:t>.</w:t>
            </w:r>
          </w:p>
        </w:tc>
        <w:tc>
          <w:tcPr>
            <w:tcW w:w="449" w:type="pct"/>
            <w:shd w:val="clear" w:color="auto" w:fill="FFFFFF" w:themeFill="background1"/>
          </w:tcPr>
          <w:p w14:paraId="6C70C34E" w14:textId="77777777" w:rsidR="00912297" w:rsidRPr="001D0B66" w:rsidRDefault="00912297" w:rsidP="00B80655">
            <w:pPr>
              <w:pStyle w:val="Tabletext1"/>
            </w:pPr>
            <w:r w:rsidRPr="001D0B66">
              <w:t>30%, 7%</w:t>
            </w:r>
          </w:p>
        </w:tc>
        <w:tc>
          <w:tcPr>
            <w:tcW w:w="524" w:type="pct"/>
            <w:shd w:val="clear" w:color="auto" w:fill="FFFFFF" w:themeFill="background1"/>
          </w:tcPr>
          <w:p w14:paraId="3D018943" w14:textId="1175B9DB" w:rsidR="00912297" w:rsidRPr="001D0B66" w:rsidRDefault="001D7B73" w:rsidP="00B80655">
            <w:pPr>
              <w:pStyle w:val="Tabletext1"/>
            </w:pPr>
            <w:r>
              <w:t>.</w:t>
            </w:r>
          </w:p>
        </w:tc>
        <w:tc>
          <w:tcPr>
            <w:tcW w:w="599" w:type="pct"/>
            <w:shd w:val="clear" w:color="auto" w:fill="FFFFFF" w:themeFill="background1"/>
          </w:tcPr>
          <w:p w14:paraId="7EFBA7D4" w14:textId="6C67BD8E" w:rsidR="00912297" w:rsidRPr="001D0B66" w:rsidRDefault="001D7B73" w:rsidP="00B80655">
            <w:pPr>
              <w:pStyle w:val="Tabletext1"/>
            </w:pPr>
            <w:r>
              <w:t>.</w:t>
            </w:r>
          </w:p>
        </w:tc>
        <w:tc>
          <w:tcPr>
            <w:tcW w:w="1148" w:type="pct"/>
            <w:shd w:val="clear" w:color="auto" w:fill="FFFFFF" w:themeFill="background1"/>
          </w:tcPr>
          <w:p w14:paraId="17625DB7" w14:textId="77777777" w:rsidR="00912297" w:rsidRPr="001D0B66" w:rsidRDefault="00912297" w:rsidP="00B80655">
            <w:pPr>
              <w:pStyle w:val="Tabletext1"/>
            </w:pPr>
            <w:r w:rsidRPr="001D0B66">
              <w:t>Fever 15%, 1%</w:t>
            </w:r>
            <w:r>
              <w:br/>
            </w:r>
            <w:r w:rsidRPr="003A33AA">
              <w:t xml:space="preserve">Hospitalisation </w:t>
            </w:r>
            <w:r>
              <w:t>3.0</w:t>
            </w:r>
            <w:r w:rsidRPr="003A33AA">
              <w:t>%</w:t>
            </w:r>
          </w:p>
        </w:tc>
      </w:tr>
      <w:tr w:rsidR="00912297" w:rsidRPr="001D0B66" w14:paraId="3B3D995D" w14:textId="77777777" w:rsidTr="00154A3C">
        <w:trPr>
          <w:cantSplit/>
          <w:trHeight w:val="416"/>
        </w:trPr>
        <w:tc>
          <w:tcPr>
            <w:tcW w:w="939" w:type="pct"/>
            <w:shd w:val="clear" w:color="auto" w:fill="FFFFFF" w:themeFill="background1"/>
          </w:tcPr>
          <w:p w14:paraId="4ACFD5D9" w14:textId="77777777" w:rsidR="00912297" w:rsidRPr="001D0B66" w:rsidRDefault="00912297" w:rsidP="00B80655">
            <w:pPr>
              <w:pStyle w:val="Tabletext1"/>
              <w:rPr>
                <w:color w:val="000000"/>
              </w:rPr>
            </w:pPr>
            <w:r w:rsidRPr="001D0B66">
              <w:rPr>
                <w:color w:val="000000"/>
              </w:rPr>
              <w:lastRenderedPageBreak/>
              <w:t>Sahin et al. (2015)</w:t>
            </w:r>
            <w:r>
              <w:rPr>
                <w:color w:val="000000"/>
              </w:rPr>
              <w:br/>
            </w:r>
            <w:r w:rsidRPr="001D0B66">
              <w:rPr>
                <w:color w:val="000000"/>
              </w:rPr>
              <w:t>Turkey</w:t>
            </w:r>
          </w:p>
        </w:tc>
        <w:tc>
          <w:tcPr>
            <w:tcW w:w="441" w:type="pct"/>
            <w:shd w:val="clear" w:color="auto" w:fill="FFFFFF" w:themeFill="background1"/>
          </w:tcPr>
          <w:p w14:paraId="224BCA9D" w14:textId="77777777" w:rsidR="00912297" w:rsidRPr="001D0B66" w:rsidRDefault="00912297" w:rsidP="00B80655">
            <w:pPr>
              <w:pStyle w:val="Tabletext1"/>
              <w:rPr>
                <w:color w:val="000000"/>
              </w:rPr>
            </w:pPr>
            <w:r w:rsidRPr="001D0B66">
              <w:rPr>
                <w:color w:val="000000"/>
              </w:rPr>
              <w:t>480</w:t>
            </w:r>
          </w:p>
        </w:tc>
        <w:tc>
          <w:tcPr>
            <w:tcW w:w="449" w:type="pct"/>
            <w:shd w:val="clear" w:color="auto" w:fill="FFFFFF" w:themeFill="background1"/>
          </w:tcPr>
          <w:p w14:paraId="50A8A846" w14:textId="77777777" w:rsidR="00912297" w:rsidRPr="001D0B66" w:rsidRDefault="00912297" w:rsidP="00B80655">
            <w:pPr>
              <w:pStyle w:val="Tabletext1"/>
            </w:pPr>
            <w:r w:rsidRPr="001D0B66">
              <w:t>6.9%</w:t>
            </w:r>
          </w:p>
        </w:tc>
        <w:tc>
          <w:tcPr>
            <w:tcW w:w="449" w:type="pct"/>
            <w:shd w:val="clear" w:color="auto" w:fill="FFFFFF" w:themeFill="background1"/>
          </w:tcPr>
          <w:p w14:paraId="714C6AF4" w14:textId="77777777" w:rsidR="00912297" w:rsidRPr="001D0B66" w:rsidRDefault="00912297" w:rsidP="00B80655">
            <w:pPr>
              <w:pStyle w:val="Tabletext1"/>
            </w:pPr>
            <w:r w:rsidRPr="001D0B66">
              <w:t>0.6%</w:t>
            </w:r>
          </w:p>
        </w:tc>
        <w:tc>
          <w:tcPr>
            <w:tcW w:w="449" w:type="pct"/>
            <w:shd w:val="clear" w:color="auto" w:fill="FFFFFF" w:themeFill="background1"/>
          </w:tcPr>
          <w:p w14:paraId="1BB01791" w14:textId="77777777" w:rsidR="00912297" w:rsidRPr="001D0B66" w:rsidRDefault="00912297" w:rsidP="00B80655">
            <w:pPr>
              <w:pStyle w:val="Tabletext1"/>
            </w:pPr>
            <w:r w:rsidRPr="001D0B66">
              <w:t>6.2%</w:t>
            </w:r>
          </w:p>
        </w:tc>
        <w:tc>
          <w:tcPr>
            <w:tcW w:w="524" w:type="pct"/>
            <w:shd w:val="clear" w:color="auto" w:fill="FFFFFF" w:themeFill="background1"/>
          </w:tcPr>
          <w:p w14:paraId="4D84D1FE" w14:textId="62DFD6DC" w:rsidR="00912297" w:rsidRPr="001D0B66" w:rsidRDefault="001D7B73" w:rsidP="00B80655">
            <w:pPr>
              <w:pStyle w:val="Tabletext1"/>
            </w:pPr>
            <w:r>
              <w:t>.</w:t>
            </w:r>
          </w:p>
        </w:tc>
        <w:tc>
          <w:tcPr>
            <w:tcW w:w="599" w:type="pct"/>
            <w:shd w:val="clear" w:color="auto" w:fill="FFFFFF" w:themeFill="background1"/>
          </w:tcPr>
          <w:p w14:paraId="7B78DF93" w14:textId="4042B3E0" w:rsidR="00912297" w:rsidRPr="001D0B66" w:rsidRDefault="001D7B73" w:rsidP="00B80655">
            <w:pPr>
              <w:pStyle w:val="Tabletext1"/>
            </w:pPr>
            <w:r>
              <w:t>.</w:t>
            </w:r>
          </w:p>
        </w:tc>
        <w:tc>
          <w:tcPr>
            <w:tcW w:w="1148" w:type="pct"/>
            <w:shd w:val="clear" w:color="auto" w:fill="FFFFFF" w:themeFill="background1"/>
          </w:tcPr>
          <w:p w14:paraId="67261697" w14:textId="77777777" w:rsidR="00912297" w:rsidRPr="001D0B66" w:rsidRDefault="00912297" w:rsidP="00B80655">
            <w:pPr>
              <w:pStyle w:val="Tabletext1"/>
            </w:pPr>
          </w:p>
        </w:tc>
      </w:tr>
      <w:tr w:rsidR="00912297" w:rsidRPr="001D0B66" w14:paraId="0AEB0A3E" w14:textId="77777777" w:rsidTr="00154A3C">
        <w:trPr>
          <w:cantSplit/>
          <w:trHeight w:val="508"/>
        </w:trPr>
        <w:tc>
          <w:tcPr>
            <w:tcW w:w="939" w:type="pct"/>
            <w:shd w:val="clear" w:color="auto" w:fill="FFFFFF" w:themeFill="background1"/>
          </w:tcPr>
          <w:p w14:paraId="45315DF3" w14:textId="77777777" w:rsidR="00912297" w:rsidRPr="001D0B66" w:rsidRDefault="00912297" w:rsidP="00B80655">
            <w:pPr>
              <w:pStyle w:val="Tabletext1"/>
              <w:rPr>
                <w:color w:val="000000"/>
              </w:rPr>
            </w:pPr>
            <w:r w:rsidRPr="001D0B66">
              <w:rPr>
                <w:color w:val="000000"/>
              </w:rPr>
              <w:t>Solberg et al. (2011)</w:t>
            </w:r>
            <w:r>
              <w:rPr>
                <w:color w:val="000000"/>
              </w:rPr>
              <w:br/>
            </w:r>
            <w:r w:rsidRPr="001D0B66">
              <w:rPr>
                <w:color w:val="000000"/>
              </w:rPr>
              <w:t>Norway, Sweden</w:t>
            </w:r>
          </w:p>
        </w:tc>
        <w:tc>
          <w:tcPr>
            <w:tcW w:w="441" w:type="pct"/>
            <w:shd w:val="clear" w:color="auto" w:fill="FFFFFF" w:themeFill="background1"/>
          </w:tcPr>
          <w:p w14:paraId="11EE12F7" w14:textId="77777777" w:rsidR="00912297" w:rsidRPr="001D0B66" w:rsidRDefault="00912297" w:rsidP="00B80655">
            <w:pPr>
              <w:pStyle w:val="Tabletext1"/>
              <w:rPr>
                <w:color w:val="000000"/>
              </w:rPr>
            </w:pPr>
            <w:r w:rsidRPr="001D0B66">
              <w:rPr>
                <w:color w:val="000000"/>
              </w:rPr>
              <w:t>875</w:t>
            </w:r>
          </w:p>
        </w:tc>
        <w:tc>
          <w:tcPr>
            <w:tcW w:w="449" w:type="pct"/>
            <w:shd w:val="clear" w:color="auto" w:fill="FFFFFF" w:themeFill="background1"/>
          </w:tcPr>
          <w:p w14:paraId="755A3F7B" w14:textId="59FB7F2D" w:rsidR="00912297" w:rsidRPr="001D0B66" w:rsidRDefault="001D7B73" w:rsidP="00B80655">
            <w:pPr>
              <w:pStyle w:val="Tabletext1"/>
            </w:pPr>
            <w:r>
              <w:t>.</w:t>
            </w:r>
          </w:p>
        </w:tc>
        <w:tc>
          <w:tcPr>
            <w:tcW w:w="449" w:type="pct"/>
            <w:shd w:val="clear" w:color="auto" w:fill="FFFFFF" w:themeFill="background1"/>
          </w:tcPr>
          <w:p w14:paraId="224242E7" w14:textId="204AC348" w:rsidR="00912297" w:rsidRPr="001D0B66" w:rsidRDefault="001D7B73" w:rsidP="00B80655">
            <w:pPr>
              <w:pStyle w:val="Tabletext1"/>
            </w:pPr>
            <w:r>
              <w:t>.</w:t>
            </w:r>
          </w:p>
        </w:tc>
        <w:tc>
          <w:tcPr>
            <w:tcW w:w="449" w:type="pct"/>
            <w:shd w:val="clear" w:color="auto" w:fill="FFFFFF" w:themeFill="background1"/>
          </w:tcPr>
          <w:p w14:paraId="630D5D13" w14:textId="6F326424" w:rsidR="00912297" w:rsidRPr="001D0B66" w:rsidRDefault="001D7B73" w:rsidP="00B80655">
            <w:pPr>
              <w:pStyle w:val="Tabletext1"/>
            </w:pPr>
            <w:r>
              <w:t>.</w:t>
            </w:r>
          </w:p>
        </w:tc>
        <w:tc>
          <w:tcPr>
            <w:tcW w:w="524" w:type="pct"/>
            <w:shd w:val="clear" w:color="auto" w:fill="FFFFFF" w:themeFill="background1"/>
          </w:tcPr>
          <w:p w14:paraId="12B894D8" w14:textId="77777777" w:rsidR="00912297" w:rsidRPr="001D0B66" w:rsidRDefault="00912297" w:rsidP="00B80655">
            <w:pPr>
              <w:pStyle w:val="Tabletext1"/>
            </w:pPr>
            <w:r w:rsidRPr="001D0B66">
              <w:t>21%</w:t>
            </w:r>
          </w:p>
        </w:tc>
        <w:tc>
          <w:tcPr>
            <w:tcW w:w="599" w:type="pct"/>
            <w:shd w:val="clear" w:color="auto" w:fill="FFFFFF" w:themeFill="background1"/>
          </w:tcPr>
          <w:p w14:paraId="4E32EE5F" w14:textId="7B38A1C0" w:rsidR="00912297" w:rsidRPr="001D0B66" w:rsidRDefault="001D7B73" w:rsidP="00B80655">
            <w:pPr>
              <w:pStyle w:val="Tabletext1"/>
            </w:pPr>
            <w:r>
              <w:t>.</w:t>
            </w:r>
          </w:p>
        </w:tc>
        <w:tc>
          <w:tcPr>
            <w:tcW w:w="1148" w:type="pct"/>
            <w:shd w:val="clear" w:color="auto" w:fill="FFFFFF" w:themeFill="background1"/>
          </w:tcPr>
          <w:p w14:paraId="12EF8C6E" w14:textId="77777777" w:rsidR="00912297" w:rsidRPr="001D0B66" w:rsidRDefault="00912297" w:rsidP="00B80655">
            <w:pPr>
              <w:pStyle w:val="Tabletext1"/>
            </w:pPr>
            <w:r>
              <w:t>Pain 64%</w:t>
            </w:r>
          </w:p>
        </w:tc>
      </w:tr>
      <w:tr w:rsidR="00912297" w:rsidRPr="001D0B66" w14:paraId="50D562E9" w14:textId="77777777" w:rsidTr="00154A3C">
        <w:trPr>
          <w:cantSplit/>
          <w:trHeight w:val="1078"/>
        </w:trPr>
        <w:tc>
          <w:tcPr>
            <w:tcW w:w="939" w:type="pct"/>
            <w:shd w:val="clear" w:color="auto" w:fill="FFFFFF" w:themeFill="background1"/>
          </w:tcPr>
          <w:p w14:paraId="75F49B6D" w14:textId="77777777" w:rsidR="00912297" w:rsidRPr="001D0B66" w:rsidRDefault="00912297" w:rsidP="00B80655">
            <w:pPr>
              <w:pStyle w:val="Tabletext1"/>
              <w:rPr>
                <w:color w:val="000000"/>
              </w:rPr>
            </w:pPr>
            <w:r w:rsidRPr="001D0B66">
              <w:rPr>
                <w:color w:val="000000"/>
              </w:rPr>
              <w:t>Utrera et al. (2011a)</w:t>
            </w:r>
            <w:r>
              <w:rPr>
                <w:color w:val="000000"/>
              </w:rPr>
              <w:br/>
            </w:r>
            <w:r w:rsidRPr="001D0B66">
              <w:rPr>
                <w:color w:val="000000"/>
              </w:rPr>
              <w:t>Spain</w:t>
            </w:r>
          </w:p>
        </w:tc>
        <w:tc>
          <w:tcPr>
            <w:tcW w:w="441" w:type="pct"/>
            <w:shd w:val="clear" w:color="auto" w:fill="FFFFFF" w:themeFill="background1"/>
          </w:tcPr>
          <w:p w14:paraId="43FB9990" w14:textId="77777777" w:rsidR="00912297" w:rsidRPr="001D0B66" w:rsidRDefault="00912297" w:rsidP="00B80655">
            <w:pPr>
              <w:pStyle w:val="Tabletext1"/>
              <w:rPr>
                <w:color w:val="000000"/>
              </w:rPr>
            </w:pPr>
            <w:r w:rsidRPr="001D0B66">
              <w:rPr>
                <w:color w:val="000000"/>
              </w:rPr>
              <w:t>220</w:t>
            </w:r>
          </w:p>
        </w:tc>
        <w:tc>
          <w:tcPr>
            <w:tcW w:w="449" w:type="pct"/>
            <w:shd w:val="clear" w:color="auto" w:fill="FFFFFF" w:themeFill="background1"/>
          </w:tcPr>
          <w:p w14:paraId="263EF19F" w14:textId="46A23983" w:rsidR="00912297" w:rsidRPr="001D0B66" w:rsidRDefault="001D7B73" w:rsidP="00B80655">
            <w:pPr>
              <w:pStyle w:val="Tabletext1"/>
            </w:pPr>
            <w:r>
              <w:t>.</w:t>
            </w:r>
          </w:p>
        </w:tc>
        <w:tc>
          <w:tcPr>
            <w:tcW w:w="449" w:type="pct"/>
            <w:shd w:val="clear" w:color="auto" w:fill="FFFFFF" w:themeFill="background1"/>
          </w:tcPr>
          <w:p w14:paraId="57C81F1A" w14:textId="58852CAE" w:rsidR="00912297" w:rsidRPr="001D0B66" w:rsidRDefault="001D7B73" w:rsidP="00B80655">
            <w:pPr>
              <w:pStyle w:val="Tabletext1"/>
            </w:pPr>
            <w:r>
              <w:t>.</w:t>
            </w:r>
          </w:p>
        </w:tc>
        <w:tc>
          <w:tcPr>
            <w:tcW w:w="449" w:type="pct"/>
            <w:shd w:val="clear" w:color="auto" w:fill="FFFFFF" w:themeFill="background1"/>
          </w:tcPr>
          <w:p w14:paraId="335E0715" w14:textId="0810041A" w:rsidR="00912297" w:rsidRPr="001D0B66" w:rsidRDefault="001D7B73" w:rsidP="00B80655">
            <w:pPr>
              <w:pStyle w:val="Tabletext1"/>
            </w:pPr>
            <w:r>
              <w:t>.</w:t>
            </w:r>
          </w:p>
        </w:tc>
        <w:tc>
          <w:tcPr>
            <w:tcW w:w="524" w:type="pct"/>
            <w:shd w:val="clear" w:color="auto" w:fill="FFFFFF" w:themeFill="background1"/>
          </w:tcPr>
          <w:p w14:paraId="394273EA" w14:textId="2E4BC97D" w:rsidR="00912297" w:rsidRPr="001D0B66" w:rsidRDefault="000120CF" w:rsidP="00B80655">
            <w:pPr>
              <w:pStyle w:val="Tabletext1"/>
            </w:pPr>
            <w:r>
              <w:t>Mild 24.1 %, I</w:t>
            </w:r>
            <w:r w:rsidR="00912297" w:rsidRPr="001D0B66">
              <w:t>ntense 0.9%</w:t>
            </w:r>
          </w:p>
        </w:tc>
        <w:tc>
          <w:tcPr>
            <w:tcW w:w="599" w:type="pct"/>
            <w:shd w:val="clear" w:color="auto" w:fill="FFFFFF" w:themeFill="background1"/>
          </w:tcPr>
          <w:p w14:paraId="4565B631" w14:textId="697A1AB5" w:rsidR="00912297" w:rsidRPr="001D0B66" w:rsidRDefault="001D7B73" w:rsidP="00B80655">
            <w:pPr>
              <w:pStyle w:val="Tabletext1"/>
            </w:pPr>
            <w:r>
              <w:t>.</w:t>
            </w:r>
          </w:p>
        </w:tc>
        <w:tc>
          <w:tcPr>
            <w:tcW w:w="1148" w:type="pct"/>
            <w:shd w:val="clear" w:color="auto" w:fill="FFFFFF" w:themeFill="background1"/>
          </w:tcPr>
          <w:p w14:paraId="6A0B5C00" w14:textId="77777777" w:rsidR="00912297" w:rsidRPr="001D0B66" w:rsidRDefault="00912297" w:rsidP="00B80655">
            <w:pPr>
              <w:pStyle w:val="Tabletext1"/>
            </w:pPr>
            <w:r w:rsidRPr="001D0B66">
              <w:t>Bacteraemia 4.5%</w:t>
            </w:r>
            <w:r>
              <w:br/>
            </w:r>
            <w:r w:rsidRPr="001D0B66">
              <w:t>Bacteriuria 4.5%</w:t>
            </w:r>
            <w:r>
              <w:br/>
              <w:t>Fever 3.2%</w:t>
            </w:r>
            <w:r>
              <w:br/>
            </w:r>
            <w:r w:rsidRPr="003A33AA">
              <w:t>Hospitalisation 0.</w:t>
            </w:r>
            <w:r>
              <w:t>5</w:t>
            </w:r>
            <w:r w:rsidRPr="003A33AA">
              <w:t>%</w:t>
            </w:r>
          </w:p>
        </w:tc>
      </w:tr>
      <w:tr w:rsidR="00912297" w:rsidRPr="001D0B66" w14:paraId="61580A94" w14:textId="77777777" w:rsidTr="00154A3C">
        <w:trPr>
          <w:cantSplit/>
          <w:trHeight w:val="714"/>
        </w:trPr>
        <w:tc>
          <w:tcPr>
            <w:tcW w:w="939" w:type="pct"/>
            <w:shd w:val="clear" w:color="auto" w:fill="FFFFFF" w:themeFill="background1"/>
          </w:tcPr>
          <w:p w14:paraId="2540689A" w14:textId="77777777" w:rsidR="00912297" w:rsidRPr="001D0B66" w:rsidRDefault="00912297" w:rsidP="00B80655">
            <w:pPr>
              <w:pStyle w:val="Tabletext1"/>
              <w:rPr>
                <w:color w:val="000000"/>
              </w:rPr>
            </w:pPr>
            <w:r w:rsidRPr="001D0B66">
              <w:rPr>
                <w:color w:val="000000"/>
              </w:rPr>
              <w:t>Utrera et al. (2011b)</w:t>
            </w:r>
            <w:r>
              <w:rPr>
                <w:color w:val="000000"/>
              </w:rPr>
              <w:br/>
            </w:r>
            <w:r w:rsidRPr="001D0B66">
              <w:rPr>
                <w:color w:val="000000"/>
              </w:rPr>
              <w:t>Spain</w:t>
            </w:r>
          </w:p>
        </w:tc>
        <w:tc>
          <w:tcPr>
            <w:tcW w:w="441" w:type="pct"/>
            <w:shd w:val="clear" w:color="auto" w:fill="FFFFFF" w:themeFill="background1"/>
          </w:tcPr>
          <w:p w14:paraId="32F99B43" w14:textId="77777777" w:rsidR="00912297" w:rsidRPr="001D0B66" w:rsidRDefault="00912297" w:rsidP="00B80655">
            <w:pPr>
              <w:pStyle w:val="Tabletext1"/>
              <w:rPr>
                <w:color w:val="000000"/>
              </w:rPr>
            </w:pPr>
            <w:r w:rsidRPr="001D0B66">
              <w:rPr>
                <w:color w:val="000000"/>
              </w:rPr>
              <w:t>144</w:t>
            </w:r>
          </w:p>
        </w:tc>
        <w:tc>
          <w:tcPr>
            <w:tcW w:w="449" w:type="pct"/>
            <w:shd w:val="clear" w:color="auto" w:fill="FFFFFF" w:themeFill="background1"/>
          </w:tcPr>
          <w:p w14:paraId="2CC61F79" w14:textId="0C5F739D" w:rsidR="00912297" w:rsidRPr="001D0B66" w:rsidRDefault="001D7B73" w:rsidP="00B80655">
            <w:pPr>
              <w:pStyle w:val="Tabletext1"/>
            </w:pPr>
            <w:r>
              <w:t>.</w:t>
            </w:r>
          </w:p>
        </w:tc>
        <w:tc>
          <w:tcPr>
            <w:tcW w:w="449" w:type="pct"/>
            <w:shd w:val="clear" w:color="auto" w:fill="FFFFFF" w:themeFill="background1"/>
          </w:tcPr>
          <w:p w14:paraId="47B23F65" w14:textId="77777777" w:rsidR="00912297" w:rsidRPr="001D0B66" w:rsidRDefault="00912297" w:rsidP="00B80655">
            <w:pPr>
              <w:pStyle w:val="Tabletext1"/>
            </w:pPr>
            <w:r w:rsidRPr="001D0B66">
              <w:t>0.7%</w:t>
            </w:r>
          </w:p>
        </w:tc>
        <w:tc>
          <w:tcPr>
            <w:tcW w:w="449" w:type="pct"/>
            <w:shd w:val="clear" w:color="auto" w:fill="FFFFFF" w:themeFill="background1"/>
          </w:tcPr>
          <w:p w14:paraId="1C36E8C0" w14:textId="44E30A0E" w:rsidR="00912297" w:rsidRPr="001D0B66" w:rsidRDefault="001D7B73" w:rsidP="00B80655">
            <w:pPr>
              <w:pStyle w:val="Tabletext1"/>
            </w:pPr>
            <w:r>
              <w:t>.</w:t>
            </w:r>
          </w:p>
        </w:tc>
        <w:tc>
          <w:tcPr>
            <w:tcW w:w="524" w:type="pct"/>
            <w:shd w:val="clear" w:color="auto" w:fill="FFFFFF" w:themeFill="background1"/>
          </w:tcPr>
          <w:p w14:paraId="018BC62D" w14:textId="77777777" w:rsidR="00912297" w:rsidRPr="001D0B66" w:rsidRDefault="00912297" w:rsidP="00B80655">
            <w:pPr>
              <w:pStyle w:val="Tabletext1"/>
            </w:pPr>
            <w:r w:rsidRPr="001D0B66">
              <w:t>5.6%</w:t>
            </w:r>
          </w:p>
        </w:tc>
        <w:tc>
          <w:tcPr>
            <w:tcW w:w="599" w:type="pct"/>
            <w:shd w:val="clear" w:color="auto" w:fill="FFFFFF" w:themeFill="background1"/>
          </w:tcPr>
          <w:p w14:paraId="6A3E5734" w14:textId="77777777" w:rsidR="00912297" w:rsidRPr="001D0B66" w:rsidRDefault="00912297" w:rsidP="00B80655">
            <w:pPr>
              <w:pStyle w:val="Tabletext1"/>
            </w:pPr>
            <w:r w:rsidRPr="001D0B66">
              <w:t>0.7%</w:t>
            </w:r>
          </w:p>
        </w:tc>
        <w:tc>
          <w:tcPr>
            <w:tcW w:w="1148" w:type="pct"/>
            <w:shd w:val="clear" w:color="auto" w:fill="FFFFFF" w:themeFill="background1"/>
          </w:tcPr>
          <w:p w14:paraId="74A46232" w14:textId="77777777" w:rsidR="00912297" w:rsidRPr="001D0B66" w:rsidRDefault="00912297" w:rsidP="00B80655">
            <w:pPr>
              <w:pStyle w:val="Tabletext1"/>
            </w:pPr>
            <w:r w:rsidRPr="001D0B66">
              <w:t>Prostatitis 1.4%</w:t>
            </w:r>
            <w:r>
              <w:br/>
              <w:t>Rectal bleeding 0.7%</w:t>
            </w:r>
          </w:p>
        </w:tc>
      </w:tr>
      <w:tr w:rsidR="00912297" w:rsidRPr="001D0B66" w14:paraId="1785F8E6" w14:textId="77777777" w:rsidTr="009A220C">
        <w:trPr>
          <w:cantSplit/>
          <w:trHeight w:val="768"/>
        </w:trPr>
        <w:tc>
          <w:tcPr>
            <w:tcW w:w="939" w:type="pct"/>
            <w:shd w:val="clear" w:color="auto" w:fill="FFFFFF" w:themeFill="background1"/>
          </w:tcPr>
          <w:p w14:paraId="099AB7B2" w14:textId="048056E2" w:rsidR="00912297" w:rsidRPr="001D0B66" w:rsidRDefault="00912297" w:rsidP="00B80655">
            <w:pPr>
              <w:pStyle w:val="Tabletext1"/>
              <w:rPr>
                <w:color w:val="000000"/>
              </w:rPr>
            </w:pPr>
            <w:r w:rsidRPr="001D0B66">
              <w:rPr>
                <w:color w:val="000000" w:themeColor="text1"/>
              </w:rPr>
              <w:t>Loeb et al. (2013)</w:t>
            </w:r>
            <w:r>
              <w:rPr>
                <w:color w:val="000000" w:themeColor="text1"/>
              </w:rPr>
              <w:br/>
            </w:r>
            <w:r w:rsidR="00263ED4">
              <w:rPr>
                <w:color w:val="000000" w:themeColor="text1"/>
              </w:rPr>
              <w:t>(</w:t>
            </w:r>
            <w:r w:rsidRPr="001D0B66">
              <w:rPr>
                <w:color w:val="000000" w:themeColor="text1"/>
              </w:rPr>
              <w:t>Systematic review</w:t>
            </w:r>
            <w:r w:rsidR="00263ED4">
              <w:rPr>
                <w:color w:val="000000" w:themeColor="text1"/>
              </w:rPr>
              <w:t>)</w:t>
            </w:r>
          </w:p>
        </w:tc>
        <w:tc>
          <w:tcPr>
            <w:tcW w:w="441" w:type="pct"/>
            <w:shd w:val="clear" w:color="auto" w:fill="FFFFFF" w:themeFill="background1"/>
          </w:tcPr>
          <w:p w14:paraId="1F9745CA" w14:textId="77777777" w:rsidR="00F5175B" w:rsidRDefault="00912297" w:rsidP="00B80655">
            <w:pPr>
              <w:pStyle w:val="Tabletext1"/>
              <w:rPr>
                <w:color w:val="000000" w:themeColor="text1"/>
              </w:rPr>
            </w:pPr>
            <w:r w:rsidRPr="001D0B66">
              <w:rPr>
                <w:color w:val="000000" w:themeColor="text1"/>
              </w:rPr>
              <w:t>2,243 patients</w:t>
            </w:r>
            <w:r w:rsidR="00F5175B">
              <w:rPr>
                <w:color w:val="000000" w:themeColor="text1"/>
              </w:rPr>
              <w:t xml:space="preserve"> </w:t>
            </w:r>
          </w:p>
          <w:p w14:paraId="0F85D8AC" w14:textId="2C2A5277" w:rsidR="00912297" w:rsidRPr="001D0B66" w:rsidRDefault="00F5175B" w:rsidP="00B80655">
            <w:pPr>
              <w:pStyle w:val="Tabletext1"/>
              <w:rPr>
                <w:color w:val="000000"/>
              </w:rPr>
            </w:pPr>
            <w:r>
              <w:rPr>
                <w:color w:val="000000" w:themeColor="text1"/>
              </w:rPr>
              <w:t>(</w:t>
            </w:r>
            <w:r w:rsidRPr="001D0B66">
              <w:rPr>
                <w:color w:val="000000" w:themeColor="text1"/>
              </w:rPr>
              <w:t>11 studies</w:t>
            </w:r>
            <w:r>
              <w:rPr>
                <w:color w:val="000000" w:themeColor="text1"/>
              </w:rPr>
              <w:t>)</w:t>
            </w:r>
          </w:p>
        </w:tc>
        <w:tc>
          <w:tcPr>
            <w:tcW w:w="449" w:type="pct"/>
            <w:shd w:val="clear" w:color="auto" w:fill="FFFFFF" w:themeFill="background1"/>
          </w:tcPr>
          <w:p w14:paraId="1CD5EA05" w14:textId="55058184" w:rsidR="00912297" w:rsidRPr="001D0B66" w:rsidRDefault="001D7B73" w:rsidP="00B80655">
            <w:pPr>
              <w:pStyle w:val="Tabletext1"/>
            </w:pPr>
            <w:r>
              <w:t>.</w:t>
            </w:r>
          </w:p>
        </w:tc>
        <w:tc>
          <w:tcPr>
            <w:tcW w:w="449" w:type="pct"/>
            <w:shd w:val="clear" w:color="auto" w:fill="FFFFFF" w:themeFill="background1"/>
          </w:tcPr>
          <w:p w14:paraId="557F89BF" w14:textId="4F469B44" w:rsidR="00912297" w:rsidRPr="001D0B66" w:rsidRDefault="001D7B73" w:rsidP="00B80655">
            <w:pPr>
              <w:pStyle w:val="Tabletext1"/>
            </w:pPr>
            <w:r>
              <w:t>.</w:t>
            </w:r>
          </w:p>
        </w:tc>
        <w:tc>
          <w:tcPr>
            <w:tcW w:w="449" w:type="pct"/>
            <w:shd w:val="clear" w:color="auto" w:fill="FFFFFF" w:themeFill="background1"/>
          </w:tcPr>
          <w:p w14:paraId="18D44C9D" w14:textId="62BF5246" w:rsidR="00912297" w:rsidRPr="001D0B66" w:rsidRDefault="001D7B73" w:rsidP="00B80655">
            <w:pPr>
              <w:pStyle w:val="Tabletext1"/>
            </w:pPr>
            <w:r>
              <w:t>.</w:t>
            </w:r>
          </w:p>
        </w:tc>
        <w:tc>
          <w:tcPr>
            <w:tcW w:w="524" w:type="pct"/>
            <w:shd w:val="clear" w:color="auto" w:fill="FFFFFF" w:themeFill="background1"/>
          </w:tcPr>
          <w:p w14:paraId="238BEFEA" w14:textId="60C427B6" w:rsidR="00912297" w:rsidRPr="001D0B66" w:rsidRDefault="001D7B73" w:rsidP="00B80655">
            <w:pPr>
              <w:pStyle w:val="Tabletext1"/>
            </w:pPr>
            <w:r>
              <w:t>.</w:t>
            </w:r>
          </w:p>
        </w:tc>
        <w:tc>
          <w:tcPr>
            <w:tcW w:w="599" w:type="pct"/>
            <w:shd w:val="clear" w:color="auto" w:fill="FFFFFF" w:themeFill="background1"/>
          </w:tcPr>
          <w:p w14:paraId="4A7FA56B" w14:textId="77777777" w:rsidR="00912297" w:rsidRPr="001D0B66" w:rsidRDefault="00912297" w:rsidP="00B80655">
            <w:pPr>
              <w:pStyle w:val="Tabletext1"/>
            </w:pPr>
            <w:r w:rsidRPr="001D0B66">
              <w:t>27.9-63.0%</w:t>
            </w:r>
            <w:r w:rsidRPr="001D0B66">
              <w:br/>
            </w:r>
          </w:p>
        </w:tc>
        <w:tc>
          <w:tcPr>
            <w:tcW w:w="1148" w:type="pct"/>
            <w:shd w:val="clear" w:color="auto" w:fill="FFFFFF" w:themeFill="background1"/>
          </w:tcPr>
          <w:p w14:paraId="1DF9E9AB" w14:textId="6B4C2CDB" w:rsidR="00912297" w:rsidRPr="001D0B66" w:rsidRDefault="00E8315C" w:rsidP="00B80655">
            <w:pPr>
              <w:pStyle w:val="Tabletext1"/>
            </w:pPr>
            <w:r>
              <w:t xml:space="preserve">Haematospermia </w:t>
            </w:r>
            <w:r w:rsidR="00F5175B" w:rsidRPr="001D0B66">
              <w:t xml:space="preserve"> </w:t>
            </w:r>
            <w:r w:rsidR="00912297" w:rsidRPr="001D0B66">
              <w:t>6.0-13.8%</w:t>
            </w:r>
            <w:r w:rsidR="00912297" w:rsidRPr="001D0B66">
              <w:br/>
              <w:t>Rectal bleeding 11.5-39.0%</w:t>
            </w:r>
            <w:r w:rsidR="00912297">
              <w:br/>
            </w:r>
            <w:r w:rsidR="00912297" w:rsidRPr="001D0B66">
              <w:t>Erectile dysfunction 2.2-91.3%</w:t>
            </w:r>
          </w:p>
        </w:tc>
      </w:tr>
    </w:tbl>
    <w:p w14:paraId="66CE5990" w14:textId="095D1FE4" w:rsidR="00912297" w:rsidRDefault="00EE416B" w:rsidP="00EE416B">
      <w:pPr>
        <w:pStyle w:val="TableNotes"/>
      </w:pPr>
      <w:r>
        <w:t>UTI = urinary tract infection, . = not reported.</w:t>
      </w:r>
      <w:r w:rsidR="00912297">
        <w:br w:type="page"/>
      </w:r>
    </w:p>
    <w:p w14:paraId="154EDF67" w14:textId="068CB817" w:rsidR="00912297" w:rsidRDefault="00912297" w:rsidP="00912297">
      <w:pPr>
        <w:pStyle w:val="Caption"/>
      </w:pPr>
      <w:bookmarkStart w:id="859" w:name="_Ref456628198"/>
      <w:bookmarkStart w:id="860" w:name="_Toc460514595"/>
      <w:r>
        <w:lastRenderedPageBreak/>
        <w:t xml:space="preserve">Table </w:t>
      </w:r>
      <w:fldSimple w:instr=" SEQ Table \* ARABIC ">
        <w:r w:rsidR="0029649D">
          <w:rPr>
            <w:noProof/>
          </w:rPr>
          <w:t>95</w:t>
        </w:r>
      </w:fldSimple>
      <w:bookmarkEnd w:id="859"/>
      <w:r w:rsidR="00E07DFD">
        <w:tab/>
        <w:t>Safety of trans</w:t>
      </w:r>
      <w:r w:rsidR="007935C0">
        <w:t>-</w:t>
      </w:r>
      <w:r>
        <w:t>perineal biopsy</w:t>
      </w:r>
      <w:bookmarkEnd w:id="860"/>
    </w:p>
    <w:tbl>
      <w:tblPr>
        <w:tblStyle w:val="TableGrid"/>
        <w:tblW w:w="5000" w:type="pct"/>
        <w:shd w:val="clear" w:color="auto" w:fill="FFFFFF" w:themeFill="background1"/>
        <w:tblLook w:val="04A0" w:firstRow="1" w:lastRow="0" w:firstColumn="1" w:lastColumn="0" w:noHBand="0" w:noVBand="1"/>
        <w:tblDescription w:val="Safety of trans-perineal biopsy"/>
      </w:tblPr>
      <w:tblGrid>
        <w:gridCol w:w="2256"/>
        <w:gridCol w:w="1547"/>
        <w:gridCol w:w="1303"/>
        <w:gridCol w:w="1467"/>
        <w:gridCol w:w="1636"/>
        <w:gridCol w:w="1449"/>
        <w:gridCol w:w="1559"/>
        <w:gridCol w:w="2957"/>
      </w:tblGrid>
      <w:tr w:rsidR="00912297" w:rsidRPr="004A5AB2" w14:paraId="5F7628DA" w14:textId="77777777" w:rsidTr="00154A3C">
        <w:trPr>
          <w:cantSplit/>
          <w:trHeight w:val="480"/>
          <w:tblHeader/>
        </w:trPr>
        <w:tc>
          <w:tcPr>
            <w:tcW w:w="802" w:type="pct"/>
            <w:shd w:val="clear" w:color="auto" w:fill="FFFFFF" w:themeFill="background1"/>
          </w:tcPr>
          <w:p w14:paraId="0DDD3016" w14:textId="77777777" w:rsidR="00912297" w:rsidRPr="004A5AB2" w:rsidRDefault="00912297" w:rsidP="001B5D55">
            <w:pPr>
              <w:pStyle w:val="TableHeading"/>
            </w:pPr>
            <w:r w:rsidRPr="004A5AB2">
              <w:t>Study ID</w:t>
            </w:r>
          </w:p>
        </w:tc>
        <w:tc>
          <w:tcPr>
            <w:tcW w:w="552" w:type="pct"/>
            <w:shd w:val="clear" w:color="auto" w:fill="FFFFFF" w:themeFill="background1"/>
          </w:tcPr>
          <w:p w14:paraId="798A8246" w14:textId="77777777" w:rsidR="00912297" w:rsidRPr="004A5AB2" w:rsidRDefault="00912297" w:rsidP="001B5D55">
            <w:pPr>
              <w:pStyle w:val="TableHeading"/>
            </w:pPr>
            <w:r w:rsidRPr="004A5AB2">
              <w:t>Patients</w:t>
            </w:r>
          </w:p>
        </w:tc>
        <w:tc>
          <w:tcPr>
            <w:tcW w:w="466" w:type="pct"/>
            <w:shd w:val="clear" w:color="auto" w:fill="FFFFFF" w:themeFill="background1"/>
          </w:tcPr>
          <w:p w14:paraId="51B49FCE" w14:textId="77777777" w:rsidR="00912297" w:rsidRPr="004A5AB2" w:rsidRDefault="00912297" w:rsidP="001B5D55">
            <w:pPr>
              <w:pStyle w:val="TableHeading"/>
            </w:pPr>
            <w:r w:rsidRPr="004A5AB2">
              <w:t>Infection</w:t>
            </w:r>
          </w:p>
        </w:tc>
        <w:tc>
          <w:tcPr>
            <w:tcW w:w="524" w:type="pct"/>
            <w:shd w:val="clear" w:color="auto" w:fill="FFFFFF" w:themeFill="background1"/>
          </w:tcPr>
          <w:p w14:paraId="19637CBA" w14:textId="77777777" w:rsidR="00912297" w:rsidRPr="004A5AB2" w:rsidRDefault="00912297" w:rsidP="001B5D55">
            <w:pPr>
              <w:pStyle w:val="TableHeading"/>
            </w:pPr>
            <w:r w:rsidRPr="004A5AB2">
              <w:t>Urinary obstruction</w:t>
            </w:r>
          </w:p>
        </w:tc>
        <w:tc>
          <w:tcPr>
            <w:tcW w:w="583" w:type="pct"/>
            <w:shd w:val="clear" w:color="auto" w:fill="FFFFFF" w:themeFill="background1"/>
          </w:tcPr>
          <w:p w14:paraId="18B4ABB6" w14:textId="77777777" w:rsidR="00912297" w:rsidRPr="004A5AB2" w:rsidRDefault="00912297" w:rsidP="001B5D55">
            <w:pPr>
              <w:pStyle w:val="TableHeading"/>
            </w:pPr>
            <w:r w:rsidRPr="004A5AB2">
              <w:t>Haematuria</w:t>
            </w:r>
          </w:p>
        </w:tc>
        <w:tc>
          <w:tcPr>
            <w:tcW w:w="466" w:type="pct"/>
            <w:shd w:val="clear" w:color="auto" w:fill="FFFFFF" w:themeFill="background1"/>
          </w:tcPr>
          <w:p w14:paraId="662C2B2C" w14:textId="77777777" w:rsidR="00912297" w:rsidRPr="004A5AB2" w:rsidRDefault="00912297" w:rsidP="001B5D55">
            <w:pPr>
              <w:pStyle w:val="TableHeading"/>
            </w:pPr>
            <w:r w:rsidRPr="004A5AB2">
              <w:t>Hospitalisation</w:t>
            </w:r>
          </w:p>
        </w:tc>
        <w:tc>
          <w:tcPr>
            <w:tcW w:w="556" w:type="pct"/>
            <w:shd w:val="clear" w:color="auto" w:fill="FFFFFF" w:themeFill="background1"/>
          </w:tcPr>
          <w:p w14:paraId="478130D1" w14:textId="77777777" w:rsidR="00912297" w:rsidRPr="004A5AB2" w:rsidRDefault="00912297" w:rsidP="001B5D55">
            <w:pPr>
              <w:pStyle w:val="TableHeading"/>
            </w:pPr>
            <w:r w:rsidRPr="004A5AB2">
              <w:t>Mild haematuria</w:t>
            </w:r>
          </w:p>
        </w:tc>
        <w:tc>
          <w:tcPr>
            <w:tcW w:w="1049" w:type="pct"/>
            <w:shd w:val="clear" w:color="auto" w:fill="FFFFFF" w:themeFill="background1"/>
          </w:tcPr>
          <w:p w14:paraId="423AA91A" w14:textId="77777777" w:rsidR="00912297" w:rsidRPr="004A5AB2" w:rsidRDefault="00912297" w:rsidP="001B5D55">
            <w:pPr>
              <w:pStyle w:val="TableHeading"/>
            </w:pPr>
            <w:r w:rsidRPr="004A5AB2">
              <w:t>Others</w:t>
            </w:r>
          </w:p>
        </w:tc>
      </w:tr>
      <w:tr w:rsidR="00912297" w:rsidRPr="007C2F5C" w14:paraId="029C1D53" w14:textId="77777777" w:rsidTr="00154A3C">
        <w:trPr>
          <w:cantSplit/>
          <w:trHeight w:val="560"/>
        </w:trPr>
        <w:tc>
          <w:tcPr>
            <w:tcW w:w="802" w:type="pct"/>
            <w:shd w:val="clear" w:color="auto" w:fill="FFFFFF" w:themeFill="background1"/>
          </w:tcPr>
          <w:p w14:paraId="530A2E4D" w14:textId="77777777" w:rsidR="00912297" w:rsidRPr="007C2F5C" w:rsidRDefault="00912297" w:rsidP="007C2F5C">
            <w:pPr>
              <w:pStyle w:val="Tabletext1"/>
            </w:pPr>
            <w:r w:rsidRPr="007C2F5C">
              <w:t>Mai et al. (2016)</w:t>
            </w:r>
            <w:r w:rsidRPr="007C2F5C">
              <w:br/>
              <w:t>China</w:t>
            </w:r>
          </w:p>
        </w:tc>
        <w:tc>
          <w:tcPr>
            <w:tcW w:w="552" w:type="pct"/>
            <w:shd w:val="clear" w:color="auto" w:fill="FFFFFF" w:themeFill="background1"/>
          </w:tcPr>
          <w:p w14:paraId="489F2A85" w14:textId="77777777" w:rsidR="00912297" w:rsidRPr="007C2F5C" w:rsidRDefault="00912297" w:rsidP="007C2F5C">
            <w:pPr>
              <w:pStyle w:val="Tabletext1"/>
            </w:pPr>
            <w:r w:rsidRPr="007C2F5C">
              <w:t>3,007</w:t>
            </w:r>
          </w:p>
        </w:tc>
        <w:tc>
          <w:tcPr>
            <w:tcW w:w="466" w:type="pct"/>
            <w:shd w:val="clear" w:color="auto" w:fill="FFFFFF" w:themeFill="background1"/>
          </w:tcPr>
          <w:p w14:paraId="1D2F1566" w14:textId="77777777" w:rsidR="00912297" w:rsidRPr="007C2F5C" w:rsidRDefault="00912297" w:rsidP="007C2F5C">
            <w:pPr>
              <w:pStyle w:val="Tabletext1"/>
            </w:pPr>
            <w:r w:rsidRPr="007C2F5C">
              <w:t>0.03%</w:t>
            </w:r>
          </w:p>
        </w:tc>
        <w:tc>
          <w:tcPr>
            <w:tcW w:w="524" w:type="pct"/>
            <w:shd w:val="clear" w:color="auto" w:fill="FFFFFF" w:themeFill="background1"/>
          </w:tcPr>
          <w:p w14:paraId="32549ECE" w14:textId="77777777" w:rsidR="00912297" w:rsidRPr="007C2F5C" w:rsidRDefault="00912297" w:rsidP="007C2F5C">
            <w:pPr>
              <w:pStyle w:val="Tabletext1"/>
            </w:pPr>
            <w:r w:rsidRPr="007C2F5C">
              <w:t>1.9%</w:t>
            </w:r>
          </w:p>
        </w:tc>
        <w:tc>
          <w:tcPr>
            <w:tcW w:w="583" w:type="pct"/>
            <w:shd w:val="clear" w:color="auto" w:fill="FFFFFF" w:themeFill="background1"/>
          </w:tcPr>
          <w:p w14:paraId="735D19E0" w14:textId="77777777" w:rsidR="00912297" w:rsidRPr="007C2F5C" w:rsidRDefault="00912297" w:rsidP="007C2F5C">
            <w:pPr>
              <w:pStyle w:val="Tabletext1"/>
            </w:pPr>
            <w:r w:rsidRPr="007C2F5C">
              <w:t>47%</w:t>
            </w:r>
          </w:p>
        </w:tc>
        <w:tc>
          <w:tcPr>
            <w:tcW w:w="466" w:type="pct"/>
            <w:shd w:val="clear" w:color="auto" w:fill="FFFFFF" w:themeFill="background1"/>
          </w:tcPr>
          <w:p w14:paraId="55B6ACCC" w14:textId="77777777" w:rsidR="00912297" w:rsidRPr="007C2F5C" w:rsidRDefault="00912297" w:rsidP="007C2F5C">
            <w:pPr>
              <w:pStyle w:val="Tabletext1"/>
            </w:pPr>
            <w:r w:rsidRPr="007C2F5C">
              <w:t>2.1%</w:t>
            </w:r>
          </w:p>
        </w:tc>
        <w:tc>
          <w:tcPr>
            <w:tcW w:w="556" w:type="pct"/>
            <w:shd w:val="clear" w:color="auto" w:fill="FFFFFF" w:themeFill="background1"/>
          </w:tcPr>
          <w:p w14:paraId="5C0FE2B4" w14:textId="77777777" w:rsidR="00912297" w:rsidRPr="007C2F5C" w:rsidRDefault="00912297" w:rsidP="007C2F5C">
            <w:pPr>
              <w:pStyle w:val="Tabletext1"/>
            </w:pPr>
            <w:r w:rsidRPr="007C2F5C">
              <w:t>0.1%</w:t>
            </w:r>
          </w:p>
        </w:tc>
        <w:tc>
          <w:tcPr>
            <w:tcW w:w="1049" w:type="pct"/>
            <w:shd w:val="clear" w:color="auto" w:fill="FFFFFF" w:themeFill="background1"/>
          </w:tcPr>
          <w:p w14:paraId="6878F000" w14:textId="16450D6B" w:rsidR="00912297" w:rsidRPr="007C2F5C" w:rsidRDefault="00E8315C" w:rsidP="007C2F5C">
            <w:pPr>
              <w:pStyle w:val="Tabletext1"/>
            </w:pPr>
            <w:r>
              <w:t xml:space="preserve">Haematospermia </w:t>
            </w:r>
            <w:r w:rsidR="00F5175B" w:rsidRPr="001D0B66">
              <w:t xml:space="preserve"> </w:t>
            </w:r>
            <w:r w:rsidR="00912297" w:rsidRPr="007C2F5C">
              <w:t>6.1%</w:t>
            </w:r>
            <w:r w:rsidR="00912297" w:rsidRPr="007C2F5C">
              <w:br/>
              <w:t>Perineal haematoma 0.5%</w:t>
            </w:r>
            <w:r w:rsidR="00912297" w:rsidRPr="007C2F5C">
              <w:br/>
              <w:t>Rectal bleeding 0%</w:t>
            </w:r>
          </w:p>
        </w:tc>
      </w:tr>
      <w:tr w:rsidR="00912297" w:rsidRPr="007C2F5C" w14:paraId="68952E02" w14:textId="77777777" w:rsidTr="00154A3C">
        <w:trPr>
          <w:cantSplit/>
          <w:trHeight w:val="752"/>
        </w:trPr>
        <w:tc>
          <w:tcPr>
            <w:tcW w:w="802" w:type="pct"/>
            <w:shd w:val="clear" w:color="auto" w:fill="FFFFFF" w:themeFill="background1"/>
          </w:tcPr>
          <w:p w14:paraId="3A1DAD27" w14:textId="77777777" w:rsidR="00912297" w:rsidRPr="007C2F5C" w:rsidRDefault="00912297" w:rsidP="007C2F5C">
            <w:pPr>
              <w:pStyle w:val="Tabletext1"/>
            </w:pPr>
            <w:r w:rsidRPr="007C2F5C">
              <w:t>Chang et al. (2013)</w:t>
            </w:r>
            <w:r w:rsidRPr="007C2F5C">
              <w:br/>
              <w:t>Systematic review</w:t>
            </w:r>
          </w:p>
        </w:tc>
        <w:tc>
          <w:tcPr>
            <w:tcW w:w="552" w:type="pct"/>
            <w:shd w:val="clear" w:color="auto" w:fill="FFFFFF" w:themeFill="background1"/>
          </w:tcPr>
          <w:p w14:paraId="1F888D42" w14:textId="55402706" w:rsidR="00912297" w:rsidRPr="007C2F5C" w:rsidRDefault="00912297" w:rsidP="007C2F5C">
            <w:pPr>
              <w:pStyle w:val="Tabletext1"/>
            </w:pPr>
            <w:r w:rsidRPr="007C2F5C">
              <w:t>8,044 patients</w:t>
            </w:r>
            <w:r w:rsidR="00F5175B">
              <w:t xml:space="preserve"> (</w:t>
            </w:r>
            <w:r w:rsidR="00F5175B" w:rsidRPr="007C2F5C">
              <w:t>34 studies</w:t>
            </w:r>
            <w:r w:rsidR="00F5175B">
              <w:t>)</w:t>
            </w:r>
          </w:p>
        </w:tc>
        <w:tc>
          <w:tcPr>
            <w:tcW w:w="466" w:type="pct"/>
            <w:shd w:val="clear" w:color="auto" w:fill="FFFFFF" w:themeFill="background1"/>
          </w:tcPr>
          <w:p w14:paraId="549FF085" w14:textId="77777777" w:rsidR="00912297" w:rsidRPr="007C2F5C" w:rsidRDefault="00912297" w:rsidP="007C2F5C">
            <w:pPr>
              <w:pStyle w:val="Tabletext1"/>
            </w:pPr>
            <w:r w:rsidRPr="007C2F5C">
              <w:t>0.0%</w:t>
            </w:r>
          </w:p>
          <w:p w14:paraId="16DB0C77" w14:textId="77777777" w:rsidR="00912297" w:rsidRPr="007C2F5C" w:rsidRDefault="00912297" w:rsidP="007C2F5C">
            <w:pPr>
              <w:pStyle w:val="Tabletext1"/>
            </w:pPr>
          </w:p>
        </w:tc>
        <w:tc>
          <w:tcPr>
            <w:tcW w:w="524" w:type="pct"/>
            <w:shd w:val="clear" w:color="auto" w:fill="FFFFFF" w:themeFill="background1"/>
          </w:tcPr>
          <w:p w14:paraId="6C79E527" w14:textId="77777777" w:rsidR="00912297" w:rsidRPr="007C2F5C" w:rsidRDefault="00912297" w:rsidP="007C2F5C">
            <w:pPr>
              <w:pStyle w:val="Tabletext1"/>
            </w:pPr>
            <w:r w:rsidRPr="007C2F5C">
              <w:t>0.4-38.0%</w:t>
            </w:r>
            <w:r w:rsidRPr="007C2F5C">
              <w:br/>
            </w:r>
          </w:p>
        </w:tc>
        <w:tc>
          <w:tcPr>
            <w:tcW w:w="583" w:type="pct"/>
            <w:shd w:val="clear" w:color="auto" w:fill="FFFFFF" w:themeFill="background1"/>
          </w:tcPr>
          <w:p w14:paraId="1B5904A7" w14:textId="77777777" w:rsidR="00912297" w:rsidRPr="007C2F5C" w:rsidRDefault="00912297" w:rsidP="007C2F5C">
            <w:pPr>
              <w:pStyle w:val="Tabletext1"/>
            </w:pPr>
            <w:r w:rsidRPr="007C2F5C">
              <w:t>0.2-57.0%</w:t>
            </w:r>
          </w:p>
        </w:tc>
        <w:tc>
          <w:tcPr>
            <w:tcW w:w="466" w:type="pct"/>
            <w:shd w:val="clear" w:color="auto" w:fill="FFFFFF" w:themeFill="background1"/>
          </w:tcPr>
          <w:p w14:paraId="41143B55" w14:textId="77777777" w:rsidR="00912297" w:rsidRPr="007C2F5C" w:rsidRDefault="00912297" w:rsidP="007C2F5C">
            <w:pPr>
              <w:pStyle w:val="Tabletext1"/>
            </w:pPr>
            <w:r w:rsidRPr="007C2F5C">
              <w:t>0.7-1.4%</w:t>
            </w:r>
          </w:p>
        </w:tc>
        <w:tc>
          <w:tcPr>
            <w:tcW w:w="556" w:type="pct"/>
            <w:shd w:val="clear" w:color="auto" w:fill="FFFFFF" w:themeFill="background1"/>
          </w:tcPr>
          <w:p w14:paraId="4034FC5A" w14:textId="53852FA5" w:rsidR="00912297" w:rsidRPr="007C2F5C" w:rsidRDefault="001D7B73" w:rsidP="007C2F5C">
            <w:pPr>
              <w:pStyle w:val="Tabletext1"/>
            </w:pPr>
            <w:r>
              <w:t>.</w:t>
            </w:r>
          </w:p>
        </w:tc>
        <w:tc>
          <w:tcPr>
            <w:tcW w:w="1049" w:type="pct"/>
            <w:shd w:val="clear" w:color="auto" w:fill="FFFFFF" w:themeFill="background1"/>
          </w:tcPr>
          <w:p w14:paraId="4BC1E5AE" w14:textId="77777777" w:rsidR="00912297" w:rsidRPr="007C2F5C" w:rsidRDefault="00912297" w:rsidP="007C2F5C">
            <w:pPr>
              <w:pStyle w:val="Tabletext1"/>
            </w:pPr>
            <w:r w:rsidRPr="007C2F5C">
              <w:t>UTI 1.1-8.0%</w:t>
            </w:r>
            <w:r w:rsidRPr="007C2F5C">
              <w:br/>
              <w:t>Fever 1.0-5.3%</w:t>
            </w:r>
          </w:p>
        </w:tc>
      </w:tr>
      <w:tr w:rsidR="00912297" w:rsidRPr="004A5AB2" w14:paraId="26FCF490" w14:textId="77777777" w:rsidTr="00154A3C">
        <w:trPr>
          <w:cantSplit/>
          <w:trHeight w:val="768"/>
        </w:trPr>
        <w:tc>
          <w:tcPr>
            <w:tcW w:w="802" w:type="pct"/>
            <w:shd w:val="clear" w:color="auto" w:fill="FFFFFF" w:themeFill="background1"/>
          </w:tcPr>
          <w:p w14:paraId="3E12EED9" w14:textId="77777777" w:rsidR="00912297" w:rsidRPr="004A5AB2" w:rsidRDefault="00912297" w:rsidP="001B5D55">
            <w:pPr>
              <w:pStyle w:val="Tabletext1"/>
              <w:rPr>
                <w:color w:val="000000"/>
              </w:rPr>
            </w:pPr>
            <w:r w:rsidRPr="004A5AB2">
              <w:rPr>
                <w:color w:val="000000" w:themeColor="text1"/>
              </w:rPr>
              <w:t>Loeb et al. (2013)</w:t>
            </w:r>
            <w:r>
              <w:rPr>
                <w:color w:val="000000" w:themeColor="text1"/>
              </w:rPr>
              <w:br/>
            </w:r>
            <w:r w:rsidRPr="004A5AB2">
              <w:rPr>
                <w:color w:val="000000" w:themeColor="text1"/>
              </w:rPr>
              <w:t>Systematic review</w:t>
            </w:r>
          </w:p>
        </w:tc>
        <w:tc>
          <w:tcPr>
            <w:tcW w:w="552" w:type="pct"/>
            <w:shd w:val="clear" w:color="auto" w:fill="FFFFFF" w:themeFill="background1"/>
          </w:tcPr>
          <w:p w14:paraId="7761D8CA" w14:textId="74CB987A" w:rsidR="00912297" w:rsidRPr="004A5AB2" w:rsidRDefault="00F5175B" w:rsidP="00F5175B">
            <w:pPr>
              <w:pStyle w:val="Tabletext1"/>
              <w:rPr>
                <w:color w:val="000000"/>
              </w:rPr>
            </w:pPr>
            <w:r w:rsidRPr="004A5AB2">
              <w:rPr>
                <w:color w:val="000000" w:themeColor="text1"/>
              </w:rPr>
              <w:t>3,203 patients</w:t>
            </w:r>
            <w:r>
              <w:rPr>
                <w:color w:val="000000" w:themeColor="text1"/>
              </w:rPr>
              <w:t xml:space="preserve"> (17 studies)</w:t>
            </w:r>
          </w:p>
        </w:tc>
        <w:tc>
          <w:tcPr>
            <w:tcW w:w="466" w:type="pct"/>
            <w:shd w:val="clear" w:color="auto" w:fill="FFFFFF" w:themeFill="background1"/>
          </w:tcPr>
          <w:p w14:paraId="7FC6B50A" w14:textId="77777777" w:rsidR="00912297" w:rsidRPr="004A5AB2" w:rsidRDefault="00912297" w:rsidP="001B5D55">
            <w:pPr>
              <w:pStyle w:val="Tabletext1"/>
            </w:pPr>
            <w:r w:rsidRPr="004A5AB2">
              <w:t>0.0%</w:t>
            </w:r>
          </w:p>
        </w:tc>
        <w:tc>
          <w:tcPr>
            <w:tcW w:w="524" w:type="pct"/>
            <w:shd w:val="clear" w:color="auto" w:fill="FFFFFF" w:themeFill="background1"/>
          </w:tcPr>
          <w:p w14:paraId="051C43FC" w14:textId="77777777" w:rsidR="00912297" w:rsidRPr="004A5AB2" w:rsidRDefault="00912297" w:rsidP="001B5D55">
            <w:pPr>
              <w:pStyle w:val="Tabletext1"/>
            </w:pPr>
            <w:r w:rsidRPr="004A5AB2">
              <w:t>1.6-20.6%</w:t>
            </w:r>
          </w:p>
        </w:tc>
        <w:tc>
          <w:tcPr>
            <w:tcW w:w="583" w:type="pct"/>
            <w:shd w:val="clear" w:color="auto" w:fill="FFFFFF" w:themeFill="background1"/>
          </w:tcPr>
          <w:p w14:paraId="2868DE0F" w14:textId="77777777" w:rsidR="00912297" w:rsidRPr="004A5AB2" w:rsidRDefault="00912297" w:rsidP="001B5D55">
            <w:pPr>
              <w:pStyle w:val="Tabletext1"/>
            </w:pPr>
            <w:r w:rsidRPr="004A5AB2">
              <w:t>0.3-5.2%</w:t>
            </w:r>
          </w:p>
        </w:tc>
        <w:tc>
          <w:tcPr>
            <w:tcW w:w="466" w:type="pct"/>
            <w:shd w:val="clear" w:color="auto" w:fill="FFFFFF" w:themeFill="background1"/>
          </w:tcPr>
          <w:p w14:paraId="5A1BB22D" w14:textId="60345A9D" w:rsidR="00912297" w:rsidRPr="004A5AB2" w:rsidRDefault="001D7B73" w:rsidP="001B5D55">
            <w:pPr>
              <w:pStyle w:val="Tabletext1"/>
            </w:pPr>
            <w:r>
              <w:t>.</w:t>
            </w:r>
          </w:p>
        </w:tc>
        <w:tc>
          <w:tcPr>
            <w:tcW w:w="556" w:type="pct"/>
            <w:shd w:val="clear" w:color="auto" w:fill="FFFFFF" w:themeFill="background1"/>
          </w:tcPr>
          <w:p w14:paraId="738F422F" w14:textId="77777777" w:rsidR="00912297" w:rsidRPr="004A5AB2" w:rsidRDefault="00912297" w:rsidP="001B5D55">
            <w:pPr>
              <w:pStyle w:val="Tabletext1"/>
            </w:pPr>
            <w:r w:rsidRPr="004A5AB2">
              <w:t>3.7-45.3%</w:t>
            </w:r>
          </w:p>
        </w:tc>
        <w:tc>
          <w:tcPr>
            <w:tcW w:w="1049" w:type="pct"/>
            <w:shd w:val="clear" w:color="auto" w:fill="FFFFFF" w:themeFill="background1"/>
          </w:tcPr>
          <w:p w14:paraId="59EAFD1C" w14:textId="3781BB63" w:rsidR="00912297" w:rsidRPr="004A5AB2" w:rsidRDefault="001D7B73" w:rsidP="001B5D55">
            <w:pPr>
              <w:pStyle w:val="Tabletext1"/>
            </w:pPr>
            <w:r>
              <w:t>.</w:t>
            </w:r>
          </w:p>
        </w:tc>
      </w:tr>
    </w:tbl>
    <w:p w14:paraId="43A727AD" w14:textId="06F556CE" w:rsidR="00615DB5" w:rsidRPr="00615DB5" w:rsidRDefault="000B7E34" w:rsidP="00EE416B">
      <w:pPr>
        <w:pStyle w:val="TableNotes"/>
      </w:pPr>
      <w:r>
        <w:t>UTI = urinary tract infection</w:t>
      </w:r>
      <w:r w:rsidR="00263ED4">
        <w:t xml:space="preserve">, </w:t>
      </w:r>
      <w:r w:rsidR="003B2B7D">
        <w:t>NR</w:t>
      </w:r>
      <w:r w:rsidR="00263ED4">
        <w:t>. = not reported</w:t>
      </w:r>
    </w:p>
    <w:p w14:paraId="0D82DF52" w14:textId="77777777" w:rsidR="00615DB5" w:rsidRDefault="00615DB5" w:rsidP="00615DB5">
      <w:pPr>
        <w:sectPr w:rsidR="00615DB5" w:rsidSect="00615DB5">
          <w:pgSz w:w="16838" w:h="11906" w:orient="landscape"/>
          <w:pgMar w:top="1440" w:right="1440" w:bottom="1440" w:left="1440" w:header="720" w:footer="720" w:gutter="0"/>
          <w:paperSrc w:first="7" w:other="7"/>
          <w:cols w:space="720"/>
          <w:docGrid w:linePitch="360"/>
        </w:sectPr>
      </w:pPr>
    </w:p>
    <w:p w14:paraId="4FE35CCF" w14:textId="77777777" w:rsidR="00770531" w:rsidRDefault="004B32E9" w:rsidP="00770531">
      <w:pPr>
        <w:pStyle w:val="Heading1"/>
        <w:pBdr>
          <w:bottom w:val="single" w:sz="4" w:space="0" w:color="auto"/>
        </w:pBdr>
      </w:pPr>
      <w:bookmarkStart w:id="861" w:name="_Toc460514043"/>
      <w:r>
        <w:lastRenderedPageBreak/>
        <w:t>Appendix I</w:t>
      </w:r>
      <w:r>
        <w:tab/>
      </w:r>
      <w:bookmarkStart w:id="862" w:name="_Toc418182346"/>
      <w:r w:rsidR="00770531" w:rsidRPr="00770531">
        <w:t>Ongoing clinical trials</w:t>
      </w:r>
      <w:bookmarkEnd w:id="862"/>
      <w:bookmarkEnd w:id="861"/>
    </w:p>
    <w:p w14:paraId="233EF556" w14:textId="1A77A625" w:rsidR="00770531" w:rsidRDefault="00770531" w:rsidP="00E41782">
      <w:r w:rsidRPr="00B66166">
        <w:t xml:space="preserve">A search for relevant clinical trials was conducted </w:t>
      </w:r>
      <w:r w:rsidR="00E41782">
        <w:t xml:space="preserve">using </w:t>
      </w:r>
      <w:r w:rsidR="00E41782" w:rsidRPr="006C503D">
        <w:t>ClinicalTrials.gov</w:t>
      </w:r>
      <w:r w:rsidR="00E41782">
        <w:t xml:space="preserve"> and </w:t>
      </w:r>
      <w:r w:rsidR="001D7B73">
        <w:t xml:space="preserve">the </w:t>
      </w:r>
      <w:r w:rsidR="00E41782" w:rsidRPr="00183E4D">
        <w:t xml:space="preserve">Australian </w:t>
      </w:r>
      <w:r w:rsidR="00E41782">
        <w:t xml:space="preserve">New Zealand </w:t>
      </w:r>
      <w:r w:rsidR="00E41782" w:rsidRPr="00183E4D">
        <w:t>Clinical Trials Registry</w:t>
      </w:r>
      <w:r w:rsidR="00E41782">
        <w:t xml:space="preserve">. The </w:t>
      </w:r>
      <w:r w:rsidRPr="00B66166">
        <w:t xml:space="preserve">identified trials </w:t>
      </w:r>
      <w:r w:rsidR="00E41782">
        <w:t>are</w:t>
      </w:r>
      <w:r w:rsidRPr="00B66166">
        <w:t xml:space="preserve"> tabulated in</w:t>
      </w:r>
      <w:r>
        <w:t xml:space="preserve"> </w:t>
      </w:r>
      <w:r w:rsidR="007B72A2">
        <w:fldChar w:fldCharType="begin"/>
      </w:r>
      <w:r w:rsidR="007B72A2">
        <w:instrText xml:space="preserve"> REF _Ref456945546 \h </w:instrText>
      </w:r>
      <w:r w:rsidR="007B72A2">
        <w:fldChar w:fldCharType="separate"/>
      </w:r>
      <w:r w:rsidR="0029649D">
        <w:t xml:space="preserve">Table </w:t>
      </w:r>
      <w:r w:rsidR="0029649D">
        <w:rPr>
          <w:noProof/>
        </w:rPr>
        <w:t>96</w:t>
      </w:r>
      <w:r w:rsidR="007B72A2">
        <w:fldChar w:fldCharType="end"/>
      </w:r>
      <w:r>
        <w:t xml:space="preserve">. </w:t>
      </w:r>
      <w:r w:rsidR="001D7B73">
        <w:t>Sixty three trails</w:t>
      </w:r>
      <w:r>
        <w:t xml:space="preserve"> </w:t>
      </w:r>
      <w:r w:rsidR="001D7B73">
        <w:t xml:space="preserve">were </w:t>
      </w:r>
      <w:r>
        <w:t>identified, of which 17</w:t>
      </w:r>
      <w:r w:rsidRPr="00B66166">
        <w:t xml:space="preserve"> may </w:t>
      </w:r>
      <w:r>
        <w:t xml:space="preserve">provide evidence relevant to this </w:t>
      </w:r>
      <w:r w:rsidRPr="00B66166">
        <w:t>assessment</w:t>
      </w:r>
      <w:r>
        <w:t>:</w:t>
      </w:r>
    </w:p>
    <w:p w14:paraId="4156A402" w14:textId="09E65C40" w:rsidR="00770531" w:rsidRPr="00B66166" w:rsidRDefault="00770531" w:rsidP="00A3402C">
      <w:pPr>
        <w:pStyle w:val="ListParagraph"/>
        <w:numPr>
          <w:ilvl w:val="0"/>
          <w:numId w:val="27"/>
        </w:numPr>
      </w:pPr>
      <w:r>
        <w:t xml:space="preserve">Eleven included </w:t>
      </w:r>
      <w:r w:rsidR="00CE60C4">
        <w:t>patients</w:t>
      </w:r>
      <w:r>
        <w:t xml:space="preserve"> from Population 1, pre-biopsy patients with suspicion of </w:t>
      </w:r>
      <w:r w:rsidR="006818E1">
        <w:t>PCa</w:t>
      </w:r>
      <w:r>
        <w:t xml:space="preserve">. These are mostly </w:t>
      </w:r>
      <w:r w:rsidRPr="005F5453">
        <w:t>diagnostic case-control studies</w:t>
      </w:r>
      <w:r>
        <w:t xml:space="preserve"> and two are randomised comparative studies with non-double blind assessors</w:t>
      </w:r>
      <w:r w:rsidRPr="005F5453">
        <w:t>.</w:t>
      </w:r>
    </w:p>
    <w:p w14:paraId="33DEAA4F" w14:textId="7BAE86C1" w:rsidR="00770531" w:rsidRPr="00B66166" w:rsidRDefault="00770531" w:rsidP="00A3402C">
      <w:pPr>
        <w:pStyle w:val="ListParagraph"/>
        <w:numPr>
          <w:ilvl w:val="0"/>
          <w:numId w:val="27"/>
        </w:numPr>
      </w:pPr>
      <w:r>
        <w:t>F</w:t>
      </w:r>
      <w:r w:rsidR="007B72A2">
        <w:t>our</w:t>
      </w:r>
      <w:r>
        <w:t xml:space="preserve"> included </w:t>
      </w:r>
      <w:r w:rsidR="00CE60C4">
        <w:t>patients</w:t>
      </w:r>
      <w:r>
        <w:t xml:space="preserve"> from Population 2, patients on </w:t>
      </w:r>
      <w:r w:rsidR="004E17B9">
        <w:t>AS</w:t>
      </w:r>
      <w:r>
        <w:t xml:space="preserve"> using mpMRI for upgrading of the cancer.</w:t>
      </w:r>
    </w:p>
    <w:p w14:paraId="00385A6A" w14:textId="2DF70ABD" w:rsidR="00770531" w:rsidRDefault="00770531" w:rsidP="00A3402C">
      <w:pPr>
        <w:pStyle w:val="ListParagraph"/>
        <w:numPr>
          <w:ilvl w:val="0"/>
          <w:numId w:val="27"/>
        </w:numPr>
      </w:pPr>
      <w:r w:rsidRPr="00B66166">
        <w:t xml:space="preserve">Two trials </w:t>
      </w:r>
      <w:r>
        <w:t xml:space="preserve">are investigating other specific populations. All males aged ≥50 years for a screening study </w:t>
      </w:r>
      <w:r w:rsidRPr="003947BD">
        <w:t>(NCT02799303</w:t>
      </w:r>
      <w:r>
        <w:t xml:space="preserve">); and patients with negative prior biopsy in a </w:t>
      </w:r>
      <w:r w:rsidR="00F1549F">
        <w:t>study comparing mpMRI with TRUS</w:t>
      </w:r>
      <w:r>
        <w:t>GB (</w:t>
      </w:r>
      <w:r w:rsidRPr="003947BD">
        <w:t>NCT02678481</w:t>
      </w:r>
      <w:r>
        <w:t>).</w:t>
      </w:r>
    </w:p>
    <w:p w14:paraId="0CF15373" w14:textId="69D27CAE" w:rsidR="00770531" w:rsidRDefault="00770531" w:rsidP="00A3402C">
      <w:pPr>
        <w:pStyle w:val="ListParagraph"/>
        <w:numPr>
          <w:ilvl w:val="0"/>
          <w:numId w:val="27"/>
        </w:numPr>
      </w:pPr>
      <w:r>
        <w:t>The majority of trials are being conducted in the Uni</w:t>
      </w:r>
      <w:r w:rsidR="001D7B73">
        <w:t>ted States, Canada and the UK. There is o</w:t>
      </w:r>
      <w:r>
        <w:t xml:space="preserve">ne study relevant to this </w:t>
      </w:r>
      <w:r w:rsidRPr="00B66166">
        <w:t>assessment</w:t>
      </w:r>
      <w:r>
        <w:t xml:space="preserve"> </w:t>
      </w:r>
      <w:r w:rsidR="001D7B73">
        <w:t xml:space="preserve">that </w:t>
      </w:r>
      <w:r>
        <w:t>is being conducted in Australia</w:t>
      </w:r>
      <w:r w:rsidR="00957D0E">
        <w:t>, its</w:t>
      </w:r>
      <w:r>
        <w:t xml:space="preserve"> time frame and finish date </w:t>
      </w:r>
      <w:r w:rsidR="00957D0E">
        <w:t>have</w:t>
      </w:r>
      <w:r>
        <w:t xml:space="preserve"> not been reported.</w:t>
      </w:r>
    </w:p>
    <w:p w14:paraId="1A97E3F7" w14:textId="164C2EB7" w:rsidR="00770531" w:rsidRDefault="00770531" w:rsidP="00770531">
      <w:pPr>
        <w:spacing w:after="120"/>
        <w:sectPr w:rsidR="00770531" w:rsidSect="00770531">
          <w:pgSz w:w="11906" w:h="16838"/>
          <w:pgMar w:top="1440" w:right="1440" w:bottom="1440" w:left="1440" w:header="708" w:footer="708" w:gutter="0"/>
          <w:cols w:space="708"/>
          <w:docGrid w:linePitch="360"/>
        </w:sectPr>
      </w:pPr>
      <w:r>
        <w:t xml:space="preserve">It appears there is considerable ongoing research for </w:t>
      </w:r>
      <w:r w:rsidR="00957D0E">
        <w:t xml:space="preserve">the use of mpMRI of the prostate in </w:t>
      </w:r>
      <w:r>
        <w:t>both populations.</w:t>
      </w:r>
    </w:p>
    <w:p w14:paraId="2A847562" w14:textId="14E46F8B" w:rsidR="00770531" w:rsidRDefault="00770531" w:rsidP="00770531">
      <w:pPr>
        <w:spacing w:after="120"/>
        <w:sectPr w:rsidR="00770531" w:rsidSect="00770531">
          <w:type w:val="continuous"/>
          <w:pgSz w:w="11906" w:h="16838"/>
          <w:pgMar w:top="1440" w:right="1440" w:bottom="1440" w:left="1440" w:header="708" w:footer="708" w:gutter="0"/>
          <w:cols w:space="708"/>
          <w:docGrid w:linePitch="360"/>
        </w:sectPr>
      </w:pPr>
    </w:p>
    <w:p w14:paraId="3697FDBE" w14:textId="5E43A4B6" w:rsidR="00770531" w:rsidRPr="007B72A2" w:rsidRDefault="007B72A2" w:rsidP="007B72A2">
      <w:pPr>
        <w:pStyle w:val="Caption"/>
        <w:rPr>
          <w:bCs w:val="0"/>
          <w:snapToGrid w:val="0"/>
          <w:lang w:eastAsia="en-US"/>
        </w:rPr>
      </w:pPr>
      <w:bookmarkStart w:id="863" w:name="_Ref456945546"/>
      <w:bookmarkStart w:id="864" w:name="_Ref456945540"/>
      <w:bookmarkStart w:id="865" w:name="_Toc460514596"/>
      <w:r>
        <w:lastRenderedPageBreak/>
        <w:t xml:space="preserve">Table </w:t>
      </w:r>
      <w:fldSimple w:instr=" SEQ Table \* ARABIC ">
        <w:r w:rsidR="0029649D">
          <w:rPr>
            <w:noProof/>
          </w:rPr>
          <w:t>96</w:t>
        </w:r>
      </w:fldSimple>
      <w:bookmarkEnd w:id="863"/>
      <w:r w:rsidR="00E946A0">
        <w:rPr>
          <w:bCs w:val="0"/>
          <w:snapToGrid w:val="0"/>
          <w:lang w:eastAsia="en-US"/>
        </w:rPr>
        <w:tab/>
      </w:r>
      <w:r w:rsidR="00770531" w:rsidRPr="007B72A2">
        <w:rPr>
          <w:bCs w:val="0"/>
          <w:snapToGrid w:val="0"/>
          <w:lang w:eastAsia="en-US"/>
        </w:rPr>
        <w:t>Ongoing clinical trials</w:t>
      </w:r>
      <w:bookmarkEnd w:id="864"/>
      <w:bookmarkEnd w:id="865"/>
    </w:p>
    <w:tbl>
      <w:tblPr>
        <w:tblStyle w:val="TableGrid"/>
        <w:tblW w:w="4739" w:type="pct"/>
        <w:tblLayout w:type="fixed"/>
        <w:tblLook w:val="04A0" w:firstRow="1" w:lastRow="0" w:firstColumn="1" w:lastColumn="0" w:noHBand="0" w:noVBand="1"/>
        <w:tblDescription w:val="Ongoing clinical trials"/>
      </w:tblPr>
      <w:tblGrid>
        <w:gridCol w:w="1527"/>
        <w:gridCol w:w="2269"/>
        <w:gridCol w:w="2268"/>
        <w:gridCol w:w="1558"/>
        <w:gridCol w:w="991"/>
        <w:gridCol w:w="1134"/>
        <w:gridCol w:w="1134"/>
        <w:gridCol w:w="1134"/>
        <w:gridCol w:w="1419"/>
      </w:tblGrid>
      <w:tr w:rsidR="007B72A2" w:rsidRPr="002E288D" w14:paraId="546F8491" w14:textId="77777777" w:rsidTr="00F5175B">
        <w:trPr>
          <w:trHeight w:val="217"/>
          <w:tblHeader/>
        </w:trPr>
        <w:tc>
          <w:tcPr>
            <w:tcW w:w="568" w:type="pct"/>
            <w:shd w:val="clear" w:color="auto" w:fill="auto"/>
            <w:hideMark/>
          </w:tcPr>
          <w:p w14:paraId="7FEE28A4" w14:textId="77777777" w:rsidR="007B72A2" w:rsidRPr="00D200FB" w:rsidRDefault="007B72A2" w:rsidP="00D200FB">
            <w:pPr>
              <w:pStyle w:val="TableHeading"/>
            </w:pPr>
            <w:r w:rsidRPr="00D200FB">
              <w:t>Study identifier, population, country</w:t>
            </w:r>
          </w:p>
        </w:tc>
        <w:tc>
          <w:tcPr>
            <w:tcW w:w="844" w:type="pct"/>
            <w:shd w:val="clear" w:color="auto" w:fill="auto"/>
            <w:hideMark/>
          </w:tcPr>
          <w:p w14:paraId="6E9A102A" w14:textId="77777777" w:rsidR="007B72A2" w:rsidRPr="00D200FB" w:rsidRDefault="007B72A2" w:rsidP="00D200FB">
            <w:pPr>
              <w:pStyle w:val="TableHeading"/>
            </w:pPr>
            <w:r w:rsidRPr="00D200FB">
              <w:t>Title</w:t>
            </w:r>
          </w:p>
        </w:tc>
        <w:tc>
          <w:tcPr>
            <w:tcW w:w="844" w:type="pct"/>
            <w:shd w:val="clear" w:color="auto" w:fill="auto"/>
          </w:tcPr>
          <w:p w14:paraId="276B0D60" w14:textId="77777777" w:rsidR="007B72A2" w:rsidRPr="00D200FB" w:rsidRDefault="007B72A2" w:rsidP="00D200FB">
            <w:pPr>
              <w:pStyle w:val="TableHeading"/>
            </w:pPr>
            <w:r w:rsidRPr="00D200FB">
              <w:t>Inclusion</w:t>
            </w:r>
          </w:p>
        </w:tc>
        <w:tc>
          <w:tcPr>
            <w:tcW w:w="580" w:type="pct"/>
            <w:shd w:val="clear" w:color="auto" w:fill="auto"/>
            <w:hideMark/>
          </w:tcPr>
          <w:p w14:paraId="50ECE7ED" w14:textId="77777777" w:rsidR="007B72A2" w:rsidRPr="00D200FB" w:rsidRDefault="007B72A2" w:rsidP="00D200FB">
            <w:pPr>
              <w:pStyle w:val="TableHeading"/>
            </w:pPr>
            <w:r w:rsidRPr="00D200FB">
              <w:t>Sponsor</w:t>
            </w:r>
          </w:p>
        </w:tc>
        <w:tc>
          <w:tcPr>
            <w:tcW w:w="369" w:type="pct"/>
            <w:shd w:val="clear" w:color="auto" w:fill="auto"/>
            <w:hideMark/>
          </w:tcPr>
          <w:p w14:paraId="753678AC" w14:textId="77777777" w:rsidR="007B72A2" w:rsidRPr="00D200FB" w:rsidRDefault="007B72A2" w:rsidP="00D200FB">
            <w:pPr>
              <w:pStyle w:val="TableHeading"/>
            </w:pPr>
            <w:r w:rsidRPr="00D200FB">
              <w:t>Target sample size</w:t>
            </w:r>
          </w:p>
        </w:tc>
        <w:tc>
          <w:tcPr>
            <w:tcW w:w="422" w:type="pct"/>
            <w:shd w:val="clear" w:color="auto" w:fill="auto"/>
          </w:tcPr>
          <w:p w14:paraId="45C05ADE" w14:textId="77777777" w:rsidR="007B72A2" w:rsidRPr="00D200FB" w:rsidRDefault="007B72A2" w:rsidP="00D200FB">
            <w:pPr>
              <w:pStyle w:val="TableHeading"/>
            </w:pPr>
            <w:r w:rsidRPr="00D200FB">
              <w:t>Time frame</w:t>
            </w:r>
          </w:p>
        </w:tc>
        <w:tc>
          <w:tcPr>
            <w:tcW w:w="422" w:type="pct"/>
            <w:shd w:val="clear" w:color="auto" w:fill="auto"/>
            <w:hideMark/>
          </w:tcPr>
          <w:p w14:paraId="7F6ABE34" w14:textId="77777777" w:rsidR="007B72A2" w:rsidRPr="00D200FB" w:rsidRDefault="007B72A2" w:rsidP="00D200FB">
            <w:pPr>
              <w:pStyle w:val="TableHeading"/>
            </w:pPr>
            <w:r w:rsidRPr="00D200FB">
              <w:t>Status</w:t>
            </w:r>
          </w:p>
        </w:tc>
        <w:tc>
          <w:tcPr>
            <w:tcW w:w="422" w:type="pct"/>
            <w:shd w:val="clear" w:color="auto" w:fill="auto"/>
          </w:tcPr>
          <w:p w14:paraId="3D0FBCA3" w14:textId="77777777" w:rsidR="007B72A2" w:rsidRPr="00D200FB" w:rsidRDefault="007B72A2" w:rsidP="00D200FB">
            <w:pPr>
              <w:pStyle w:val="TableHeading"/>
            </w:pPr>
            <w:r w:rsidRPr="00D200FB">
              <w:t>Finish date</w:t>
            </w:r>
          </w:p>
        </w:tc>
        <w:tc>
          <w:tcPr>
            <w:tcW w:w="528" w:type="pct"/>
            <w:shd w:val="clear" w:color="auto" w:fill="auto"/>
          </w:tcPr>
          <w:p w14:paraId="1FC49AB3" w14:textId="340D561F" w:rsidR="007B72A2" w:rsidRPr="00D200FB" w:rsidRDefault="007B72A2" w:rsidP="00D200FB">
            <w:pPr>
              <w:pStyle w:val="TableHeading"/>
            </w:pPr>
            <w:r w:rsidRPr="00D200FB">
              <w:t>Study type</w:t>
            </w:r>
          </w:p>
        </w:tc>
      </w:tr>
      <w:tr w:rsidR="007B72A2" w:rsidRPr="00657984" w14:paraId="7E736434" w14:textId="77777777" w:rsidTr="00F5175B">
        <w:tc>
          <w:tcPr>
            <w:tcW w:w="568" w:type="pct"/>
          </w:tcPr>
          <w:p w14:paraId="553D89B6" w14:textId="77777777" w:rsidR="007B72A2" w:rsidRPr="007B72A2" w:rsidRDefault="007B72A2" w:rsidP="00D200FB">
            <w:pPr>
              <w:pStyle w:val="Tabletext1"/>
              <w:rPr>
                <w:lang w:eastAsia="en-US"/>
              </w:rPr>
            </w:pPr>
            <w:r w:rsidRPr="007B72A2">
              <w:rPr>
                <w:lang w:eastAsia="en-US"/>
              </w:rPr>
              <w:t>ACTRN12612001137886</w:t>
            </w:r>
          </w:p>
          <w:p w14:paraId="34D8FF8F" w14:textId="77777777" w:rsidR="007B72A2" w:rsidRPr="007B72A2" w:rsidRDefault="007B72A2" w:rsidP="00D200FB">
            <w:pPr>
              <w:pStyle w:val="Tabletext1"/>
              <w:rPr>
                <w:lang w:eastAsia="en-US"/>
              </w:rPr>
            </w:pPr>
            <w:r w:rsidRPr="007B72A2">
              <w:rPr>
                <w:lang w:eastAsia="en-US"/>
              </w:rPr>
              <w:t>Population 1</w:t>
            </w:r>
          </w:p>
          <w:p w14:paraId="03D0CEC5" w14:textId="77777777" w:rsidR="007B72A2" w:rsidRPr="007B72A2" w:rsidRDefault="007B72A2" w:rsidP="00D200FB">
            <w:pPr>
              <w:pStyle w:val="Tabletext1"/>
              <w:rPr>
                <w:lang w:eastAsia="en-US"/>
              </w:rPr>
            </w:pPr>
            <w:r w:rsidRPr="007B72A2">
              <w:rPr>
                <w:lang w:eastAsia="en-US"/>
              </w:rPr>
              <w:t>Australia</w:t>
            </w:r>
          </w:p>
        </w:tc>
        <w:tc>
          <w:tcPr>
            <w:tcW w:w="844" w:type="pct"/>
          </w:tcPr>
          <w:p w14:paraId="7C99096B" w14:textId="77777777" w:rsidR="007B72A2" w:rsidRPr="007B72A2" w:rsidRDefault="007B72A2" w:rsidP="00D200FB">
            <w:pPr>
              <w:pStyle w:val="Tabletext1"/>
              <w:rPr>
                <w:lang w:eastAsia="en-US"/>
              </w:rPr>
            </w:pPr>
            <w:r w:rsidRPr="007B72A2">
              <w:rPr>
                <w:lang w:eastAsia="en-US"/>
              </w:rPr>
              <w:t xml:space="preserve">Can 3-Tesla Magnetic Resonance imaging of the prostate be useful in making the decision to perform prostate biopsy in men with a high or concerning PSA? </w:t>
            </w:r>
          </w:p>
        </w:tc>
        <w:tc>
          <w:tcPr>
            <w:tcW w:w="844" w:type="pct"/>
          </w:tcPr>
          <w:p w14:paraId="160B545F" w14:textId="77777777" w:rsidR="007B72A2" w:rsidRPr="007B72A2" w:rsidRDefault="007B72A2" w:rsidP="00D200FB">
            <w:pPr>
              <w:pStyle w:val="Tabletext1"/>
              <w:rPr>
                <w:lang w:eastAsia="en-US"/>
              </w:rPr>
            </w:pPr>
            <w:r w:rsidRPr="007B72A2">
              <w:rPr>
                <w:lang w:eastAsia="en-US"/>
              </w:rPr>
              <w:t>Men with a high or concerning PSA, or abnormal prostatic rectal examination</w:t>
            </w:r>
          </w:p>
        </w:tc>
        <w:tc>
          <w:tcPr>
            <w:tcW w:w="580" w:type="pct"/>
          </w:tcPr>
          <w:p w14:paraId="4BB075C9" w14:textId="77777777" w:rsidR="007B72A2" w:rsidRPr="007B72A2" w:rsidRDefault="007B72A2" w:rsidP="00D200FB">
            <w:pPr>
              <w:pStyle w:val="Tabletext1"/>
              <w:rPr>
                <w:lang w:eastAsia="en-US"/>
              </w:rPr>
            </w:pPr>
            <w:r w:rsidRPr="007B72A2">
              <w:rPr>
                <w:lang w:eastAsia="en-US"/>
              </w:rPr>
              <w:t>The Wesley Hospital</w:t>
            </w:r>
          </w:p>
        </w:tc>
        <w:tc>
          <w:tcPr>
            <w:tcW w:w="369" w:type="pct"/>
          </w:tcPr>
          <w:p w14:paraId="5A5E54E5" w14:textId="77777777" w:rsidR="007B72A2" w:rsidRPr="007B72A2" w:rsidRDefault="007B72A2" w:rsidP="00D200FB">
            <w:pPr>
              <w:pStyle w:val="Tabletext1"/>
              <w:rPr>
                <w:lang w:eastAsia="en-US"/>
              </w:rPr>
            </w:pPr>
            <w:r w:rsidRPr="007B72A2">
              <w:rPr>
                <w:lang w:eastAsia="en-US"/>
              </w:rPr>
              <w:t>225</w:t>
            </w:r>
          </w:p>
        </w:tc>
        <w:tc>
          <w:tcPr>
            <w:tcW w:w="422" w:type="pct"/>
          </w:tcPr>
          <w:p w14:paraId="6FEBAC68" w14:textId="77777777" w:rsidR="007B72A2" w:rsidRPr="007B72A2" w:rsidRDefault="007B72A2" w:rsidP="00D200FB">
            <w:pPr>
              <w:pStyle w:val="Tabletext1"/>
              <w:rPr>
                <w:lang w:eastAsia="en-US"/>
              </w:rPr>
            </w:pPr>
            <w:r w:rsidRPr="007B72A2">
              <w:rPr>
                <w:lang w:eastAsia="en-US"/>
              </w:rPr>
              <w:t>NR</w:t>
            </w:r>
          </w:p>
        </w:tc>
        <w:tc>
          <w:tcPr>
            <w:tcW w:w="422" w:type="pct"/>
          </w:tcPr>
          <w:p w14:paraId="3F41FC1B" w14:textId="77777777" w:rsidR="007B72A2" w:rsidRPr="007B72A2" w:rsidRDefault="007B72A2" w:rsidP="00D200FB">
            <w:pPr>
              <w:pStyle w:val="Tabletext1"/>
              <w:rPr>
                <w:lang w:eastAsia="en-US"/>
              </w:rPr>
            </w:pPr>
            <w:r w:rsidRPr="007B72A2">
              <w:rPr>
                <w:lang w:eastAsia="en-US"/>
              </w:rPr>
              <w:t>Recruiting</w:t>
            </w:r>
          </w:p>
        </w:tc>
        <w:tc>
          <w:tcPr>
            <w:tcW w:w="422" w:type="pct"/>
          </w:tcPr>
          <w:p w14:paraId="6171680E" w14:textId="77777777" w:rsidR="007B72A2" w:rsidRPr="007B72A2" w:rsidRDefault="007B72A2" w:rsidP="00D200FB">
            <w:pPr>
              <w:pStyle w:val="Tabletext1"/>
              <w:rPr>
                <w:lang w:eastAsia="en-US"/>
              </w:rPr>
            </w:pPr>
            <w:r w:rsidRPr="007B72A2">
              <w:rPr>
                <w:lang w:eastAsia="en-US"/>
              </w:rPr>
              <w:t>NR</w:t>
            </w:r>
          </w:p>
        </w:tc>
        <w:tc>
          <w:tcPr>
            <w:tcW w:w="528" w:type="pct"/>
          </w:tcPr>
          <w:p w14:paraId="56B1CF87"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6CEFF53C" w14:textId="77777777" w:rsidTr="00F5175B">
        <w:tc>
          <w:tcPr>
            <w:tcW w:w="568" w:type="pct"/>
          </w:tcPr>
          <w:p w14:paraId="2BD809E4" w14:textId="77777777" w:rsidR="007B72A2" w:rsidRPr="007B72A2" w:rsidRDefault="007B72A2" w:rsidP="00D200FB">
            <w:pPr>
              <w:pStyle w:val="Tabletext1"/>
              <w:rPr>
                <w:lang w:eastAsia="en-US"/>
              </w:rPr>
            </w:pPr>
            <w:r w:rsidRPr="007B72A2">
              <w:rPr>
                <w:lang w:eastAsia="en-US"/>
              </w:rPr>
              <w:t xml:space="preserve">NCT01492270 </w:t>
            </w:r>
          </w:p>
          <w:p w14:paraId="1A0031FE" w14:textId="77777777" w:rsidR="007B72A2" w:rsidRPr="007B72A2" w:rsidRDefault="007B72A2" w:rsidP="00D200FB">
            <w:pPr>
              <w:pStyle w:val="Tabletext1"/>
              <w:rPr>
                <w:lang w:eastAsia="en-US"/>
              </w:rPr>
            </w:pPr>
            <w:r w:rsidRPr="007B72A2">
              <w:rPr>
                <w:lang w:eastAsia="en-US"/>
              </w:rPr>
              <w:t>Population 1</w:t>
            </w:r>
          </w:p>
          <w:p w14:paraId="148A9FAA" w14:textId="77777777" w:rsidR="007B72A2" w:rsidRPr="007B72A2" w:rsidRDefault="007B72A2" w:rsidP="00D200FB">
            <w:pPr>
              <w:pStyle w:val="Tabletext1"/>
              <w:rPr>
                <w:lang w:eastAsia="en-US"/>
              </w:rPr>
            </w:pPr>
            <w:r w:rsidRPr="007B72A2">
              <w:rPr>
                <w:lang w:eastAsia="en-US"/>
              </w:rPr>
              <w:t>UK</w:t>
            </w:r>
          </w:p>
        </w:tc>
        <w:tc>
          <w:tcPr>
            <w:tcW w:w="844" w:type="pct"/>
          </w:tcPr>
          <w:p w14:paraId="251BEDB0" w14:textId="01FD4632" w:rsidR="007B72A2" w:rsidRPr="007B72A2" w:rsidRDefault="007B72A2" w:rsidP="00D200FB">
            <w:pPr>
              <w:pStyle w:val="Tabletext1"/>
              <w:rPr>
                <w:lang w:eastAsia="en-US"/>
              </w:rPr>
            </w:pPr>
            <w:r w:rsidRPr="007B72A2">
              <w:rPr>
                <w:lang w:eastAsia="en-US"/>
              </w:rPr>
              <w:t>PICTURE - Prostate Imaging (Multi-parametric MRI and Prostate HistoScanning™) Compared to Trans</w:t>
            </w:r>
            <w:r w:rsidR="006F3F56">
              <w:rPr>
                <w:lang w:eastAsia="en-US"/>
              </w:rPr>
              <w:t>-</w:t>
            </w:r>
            <w:r w:rsidRPr="007B72A2">
              <w:rPr>
                <w:lang w:eastAsia="en-US"/>
              </w:rPr>
              <w:t>perineal Ultrasound Guided Biopsy for Significant Prostate Cancer Risk Evaluation.</w:t>
            </w:r>
          </w:p>
        </w:tc>
        <w:tc>
          <w:tcPr>
            <w:tcW w:w="844" w:type="pct"/>
          </w:tcPr>
          <w:p w14:paraId="3B7A43DE" w14:textId="222509FF" w:rsidR="007B72A2" w:rsidRPr="007B72A2" w:rsidRDefault="007B72A2" w:rsidP="00D200FB">
            <w:pPr>
              <w:pStyle w:val="Tabletext1"/>
              <w:rPr>
                <w:lang w:eastAsia="en-US"/>
              </w:rPr>
            </w:pPr>
            <w:r w:rsidRPr="007B72A2">
              <w:rPr>
                <w:lang w:eastAsia="en-US"/>
              </w:rPr>
              <w:t>Men</w:t>
            </w:r>
            <w:r w:rsidR="0029690D">
              <w:rPr>
                <w:lang w:eastAsia="en-US"/>
              </w:rPr>
              <w:t xml:space="preserve"> who have undergone prior trans</w:t>
            </w:r>
            <w:r w:rsidR="006F3F56">
              <w:rPr>
                <w:lang w:eastAsia="en-US"/>
              </w:rPr>
              <w:t>-</w:t>
            </w:r>
            <w:r w:rsidRPr="007B72A2">
              <w:rPr>
                <w:lang w:eastAsia="en-US"/>
              </w:rPr>
              <w:t>rectal biopsies and are undergoing further evaluation for characterisation.</w:t>
            </w:r>
          </w:p>
        </w:tc>
        <w:tc>
          <w:tcPr>
            <w:tcW w:w="580" w:type="pct"/>
          </w:tcPr>
          <w:p w14:paraId="5C8A67B3" w14:textId="77777777" w:rsidR="007B72A2" w:rsidRPr="007B72A2" w:rsidRDefault="007B72A2" w:rsidP="00D200FB">
            <w:pPr>
              <w:pStyle w:val="Tabletext1"/>
              <w:rPr>
                <w:lang w:eastAsia="en-US"/>
              </w:rPr>
            </w:pPr>
            <w:r w:rsidRPr="007B72A2">
              <w:rPr>
                <w:lang w:eastAsia="en-US"/>
              </w:rPr>
              <w:t>University College London Hospitals</w:t>
            </w:r>
          </w:p>
        </w:tc>
        <w:tc>
          <w:tcPr>
            <w:tcW w:w="369" w:type="pct"/>
          </w:tcPr>
          <w:p w14:paraId="0DEEF924" w14:textId="77777777" w:rsidR="007B72A2" w:rsidRPr="007B72A2" w:rsidRDefault="007B72A2" w:rsidP="00D200FB">
            <w:pPr>
              <w:pStyle w:val="Tabletext1"/>
              <w:rPr>
                <w:lang w:eastAsia="en-US"/>
              </w:rPr>
            </w:pPr>
            <w:r w:rsidRPr="007B72A2">
              <w:rPr>
                <w:lang w:eastAsia="en-US"/>
              </w:rPr>
              <w:t>NR</w:t>
            </w:r>
          </w:p>
          <w:p w14:paraId="23D889BC" w14:textId="77777777" w:rsidR="007B72A2" w:rsidRPr="007B72A2" w:rsidRDefault="007B72A2" w:rsidP="00D200FB">
            <w:pPr>
              <w:pStyle w:val="Tabletext1"/>
              <w:rPr>
                <w:lang w:eastAsia="en-US"/>
              </w:rPr>
            </w:pPr>
          </w:p>
        </w:tc>
        <w:tc>
          <w:tcPr>
            <w:tcW w:w="422" w:type="pct"/>
          </w:tcPr>
          <w:p w14:paraId="4528B8DA" w14:textId="77777777" w:rsidR="007B72A2" w:rsidRPr="007B72A2" w:rsidRDefault="007B72A2" w:rsidP="00D200FB">
            <w:pPr>
              <w:pStyle w:val="Tabletext1"/>
              <w:rPr>
                <w:lang w:eastAsia="en-US"/>
              </w:rPr>
            </w:pPr>
            <w:r w:rsidRPr="007B72A2">
              <w:rPr>
                <w:lang w:eastAsia="en-US"/>
              </w:rPr>
              <w:t>1.5 years</w:t>
            </w:r>
          </w:p>
        </w:tc>
        <w:tc>
          <w:tcPr>
            <w:tcW w:w="422" w:type="pct"/>
          </w:tcPr>
          <w:p w14:paraId="46486EF1" w14:textId="77777777" w:rsidR="007B72A2" w:rsidRPr="007B72A2" w:rsidRDefault="007B72A2" w:rsidP="00D200FB">
            <w:pPr>
              <w:pStyle w:val="Tabletext1"/>
              <w:rPr>
                <w:lang w:eastAsia="en-US"/>
              </w:rPr>
            </w:pPr>
            <w:r w:rsidRPr="007B72A2">
              <w:rPr>
                <w:lang w:eastAsia="en-US"/>
              </w:rPr>
              <w:t>Unknown – status has not been verified in more than two years</w:t>
            </w:r>
          </w:p>
        </w:tc>
        <w:tc>
          <w:tcPr>
            <w:tcW w:w="422" w:type="pct"/>
          </w:tcPr>
          <w:p w14:paraId="63D4F508" w14:textId="77777777" w:rsidR="007B72A2" w:rsidRPr="007B72A2" w:rsidRDefault="007B72A2" w:rsidP="00D200FB">
            <w:pPr>
              <w:pStyle w:val="Tabletext1"/>
              <w:rPr>
                <w:lang w:eastAsia="en-US"/>
              </w:rPr>
            </w:pPr>
            <w:r w:rsidRPr="007B72A2">
              <w:rPr>
                <w:lang w:eastAsia="en-US"/>
              </w:rPr>
              <w:t>NR</w:t>
            </w:r>
          </w:p>
        </w:tc>
        <w:tc>
          <w:tcPr>
            <w:tcW w:w="528" w:type="pct"/>
          </w:tcPr>
          <w:p w14:paraId="7BC919CE"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693DE9E6" w14:textId="77777777" w:rsidTr="00F5175B">
        <w:tc>
          <w:tcPr>
            <w:tcW w:w="568" w:type="pct"/>
          </w:tcPr>
          <w:p w14:paraId="4C9FF34F" w14:textId="77777777" w:rsidR="007B72A2" w:rsidRPr="007B72A2" w:rsidRDefault="007B72A2" w:rsidP="00D200FB">
            <w:pPr>
              <w:pStyle w:val="Tabletext1"/>
              <w:rPr>
                <w:lang w:eastAsia="en-US"/>
              </w:rPr>
            </w:pPr>
            <w:r w:rsidRPr="007B72A2">
              <w:rPr>
                <w:lang w:eastAsia="en-US"/>
              </w:rPr>
              <w:t>NCT02526797</w:t>
            </w:r>
          </w:p>
          <w:p w14:paraId="2F4608EC" w14:textId="77777777" w:rsidR="007B72A2" w:rsidRPr="007B72A2" w:rsidRDefault="007B72A2" w:rsidP="00D200FB">
            <w:pPr>
              <w:pStyle w:val="Tabletext1"/>
              <w:rPr>
                <w:lang w:eastAsia="en-US"/>
              </w:rPr>
            </w:pPr>
            <w:r w:rsidRPr="007B72A2">
              <w:rPr>
                <w:lang w:eastAsia="en-US"/>
              </w:rPr>
              <w:t>Population 2</w:t>
            </w:r>
          </w:p>
          <w:p w14:paraId="2CD11CCD" w14:textId="77777777" w:rsidR="007B72A2" w:rsidRPr="007B72A2" w:rsidRDefault="007B72A2" w:rsidP="00D200FB">
            <w:pPr>
              <w:pStyle w:val="Tabletext1"/>
              <w:rPr>
                <w:lang w:eastAsia="en-US"/>
              </w:rPr>
            </w:pPr>
            <w:r w:rsidRPr="007B72A2">
              <w:rPr>
                <w:lang w:eastAsia="en-US"/>
              </w:rPr>
              <w:t>Denmark</w:t>
            </w:r>
          </w:p>
        </w:tc>
        <w:tc>
          <w:tcPr>
            <w:tcW w:w="844" w:type="pct"/>
          </w:tcPr>
          <w:p w14:paraId="6D4AC0DB" w14:textId="77777777" w:rsidR="007B72A2" w:rsidRPr="007B72A2" w:rsidRDefault="007B72A2" w:rsidP="00D200FB">
            <w:pPr>
              <w:pStyle w:val="Tabletext1"/>
              <w:rPr>
                <w:lang w:eastAsia="en-US"/>
              </w:rPr>
            </w:pPr>
            <w:r w:rsidRPr="007B72A2">
              <w:rPr>
                <w:lang w:eastAsia="en-US"/>
              </w:rPr>
              <w:t>Multiparametric MRI in Men With Prostate Cancer Undergoing Active Surveillance</w:t>
            </w:r>
          </w:p>
        </w:tc>
        <w:tc>
          <w:tcPr>
            <w:tcW w:w="844" w:type="pct"/>
          </w:tcPr>
          <w:p w14:paraId="67D59056" w14:textId="119E8F19" w:rsidR="007B72A2" w:rsidRPr="007B72A2" w:rsidRDefault="007B72A2" w:rsidP="00D200FB">
            <w:pPr>
              <w:pStyle w:val="Tabletext1"/>
              <w:rPr>
                <w:lang w:eastAsia="en-US"/>
              </w:rPr>
            </w:pPr>
            <w:r w:rsidRPr="007B72A2">
              <w:rPr>
                <w:lang w:eastAsia="en-US"/>
              </w:rPr>
              <w:t xml:space="preserve">Men with low risk localized </w:t>
            </w:r>
            <w:r w:rsidR="006818E1" w:rsidRPr="006818E1">
              <w:rPr>
                <w:lang w:eastAsia="en-US"/>
              </w:rPr>
              <w:t>PCa</w:t>
            </w:r>
            <w:r w:rsidRPr="007B72A2">
              <w:rPr>
                <w:lang w:eastAsia="en-US"/>
              </w:rPr>
              <w:t xml:space="preserve"> enrolled in active surveillance</w:t>
            </w:r>
          </w:p>
        </w:tc>
        <w:tc>
          <w:tcPr>
            <w:tcW w:w="580" w:type="pct"/>
          </w:tcPr>
          <w:p w14:paraId="070F19F9" w14:textId="77777777" w:rsidR="007B72A2" w:rsidRPr="007B72A2" w:rsidRDefault="007B72A2" w:rsidP="00D200FB">
            <w:pPr>
              <w:pStyle w:val="Tabletext1"/>
              <w:rPr>
                <w:lang w:eastAsia="en-US"/>
              </w:rPr>
            </w:pPr>
            <w:r w:rsidRPr="007B72A2">
              <w:rPr>
                <w:lang w:eastAsia="en-US"/>
              </w:rPr>
              <w:t>Herlev Hospital</w:t>
            </w:r>
          </w:p>
        </w:tc>
        <w:tc>
          <w:tcPr>
            <w:tcW w:w="369" w:type="pct"/>
          </w:tcPr>
          <w:p w14:paraId="4048788E" w14:textId="77777777" w:rsidR="007B72A2" w:rsidRPr="007B72A2" w:rsidRDefault="007B72A2" w:rsidP="00D200FB">
            <w:pPr>
              <w:pStyle w:val="Tabletext1"/>
              <w:rPr>
                <w:lang w:eastAsia="en-US"/>
              </w:rPr>
            </w:pPr>
            <w:r w:rsidRPr="007B72A2">
              <w:rPr>
                <w:lang w:eastAsia="en-US"/>
              </w:rPr>
              <w:t>150</w:t>
            </w:r>
          </w:p>
        </w:tc>
        <w:tc>
          <w:tcPr>
            <w:tcW w:w="422" w:type="pct"/>
          </w:tcPr>
          <w:p w14:paraId="3745C7E3" w14:textId="77777777" w:rsidR="007B72A2" w:rsidRPr="007B72A2" w:rsidRDefault="007B72A2" w:rsidP="00D200FB">
            <w:pPr>
              <w:pStyle w:val="Tabletext1"/>
              <w:rPr>
                <w:lang w:eastAsia="en-US"/>
              </w:rPr>
            </w:pPr>
            <w:r w:rsidRPr="007B72A2">
              <w:rPr>
                <w:lang w:eastAsia="en-US"/>
              </w:rPr>
              <w:t>3 months</w:t>
            </w:r>
          </w:p>
        </w:tc>
        <w:tc>
          <w:tcPr>
            <w:tcW w:w="422" w:type="pct"/>
          </w:tcPr>
          <w:p w14:paraId="0B122350" w14:textId="77777777" w:rsidR="007B72A2" w:rsidRPr="007B72A2" w:rsidRDefault="007B72A2" w:rsidP="00D200FB">
            <w:pPr>
              <w:pStyle w:val="Tabletext1"/>
              <w:rPr>
                <w:lang w:eastAsia="en-US"/>
              </w:rPr>
            </w:pPr>
            <w:r w:rsidRPr="007B72A2">
              <w:rPr>
                <w:lang w:eastAsia="en-US"/>
              </w:rPr>
              <w:t>Enrolling by invitation</w:t>
            </w:r>
          </w:p>
        </w:tc>
        <w:tc>
          <w:tcPr>
            <w:tcW w:w="422" w:type="pct"/>
          </w:tcPr>
          <w:p w14:paraId="51E1715A" w14:textId="77777777" w:rsidR="007B72A2" w:rsidRPr="007B72A2" w:rsidRDefault="007B72A2" w:rsidP="00D200FB">
            <w:pPr>
              <w:pStyle w:val="Tabletext1"/>
              <w:rPr>
                <w:lang w:eastAsia="en-US"/>
              </w:rPr>
            </w:pPr>
            <w:r w:rsidRPr="007B72A2">
              <w:rPr>
                <w:lang w:eastAsia="en-US"/>
              </w:rPr>
              <w:t>June 2015</w:t>
            </w:r>
          </w:p>
        </w:tc>
        <w:tc>
          <w:tcPr>
            <w:tcW w:w="528" w:type="pct"/>
          </w:tcPr>
          <w:p w14:paraId="50C679DD"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59E33FC3" w14:textId="77777777" w:rsidTr="00F5175B">
        <w:tc>
          <w:tcPr>
            <w:tcW w:w="568" w:type="pct"/>
          </w:tcPr>
          <w:p w14:paraId="07431BDD" w14:textId="77777777" w:rsidR="007B72A2" w:rsidRPr="007B72A2" w:rsidRDefault="007B72A2" w:rsidP="00D200FB">
            <w:pPr>
              <w:pStyle w:val="Tabletext1"/>
              <w:rPr>
                <w:lang w:eastAsia="en-US"/>
              </w:rPr>
            </w:pPr>
            <w:r w:rsidRPr="007B72A2">
              <w:rPr>
                <w:lang w:eastAsia="en-US"/>
              </w:rPr>
              <w:t>NCT02485379</w:t>
            </w:r>
          </w:p>
          <w:p w14:paraId="349091B4" w14:textId="77777777" w:rsidR="007B72A2" w:rsidRPr="007B72A2" w:rsidRDefault="007B72A2" w:rsidP="00D200FB">
            <w:pPr>
              <w:pStyle w:val="Tabletext1"/>
              <w:rPr>
                <w:lang w:eastAsia="en-US"/>
              </w:rPr>
            </w:pPr>
            <w:r w:rsidRPr="007B72A2">
              <w:rPr>
                <w:lang w:eastAsia="en-US"/>
              </w:rPr>
              <w:t>Population 1</w:t>
            </w:r>
          </w:p>
          <w:p w14:paraId="29326482" w14:textId="77777777" w:rsidR="007B72A2" w:rsidRPr="007B72A2" w:rsidRDefault="007B72A2" w:rsidP="00D200FB">
            <w:pPr>
              <w:pStyle w:val="Tabletext1"/>
              <w:rPr>
                <w:lang w:eastAsia="en-US"/>
              </w:rPr>
            </w:pPr>
            <w:r w:rsidRPr="007B72A2">
              <w:rPr>
                <w:lang w:eastAsia="en-US"/>
              </w:rPr>
              <w:t>France</w:t>
            </w:r>
          </w:p>
        </w:tc>
        <w:tc>
          <w:tcPr>
            <w:tcW w:w="844" w:type="pct"/>
          </w:tcPr>
          <w:p w14:paraId="0D4698F6" w14:textId="77777777" w:rsidR="007B72A2" w:rsidRPr="007B72A2" w:rsidRDefault="007B72A2" w:rsidP="00D200FB">
            <w:pPr>
              <w:pStyle w:val="Tabletext1"/>
              <w:rPr>
                <w:lang w:eastAsia="en-US"/>
              </w:rPr>
            </w:pPr>
            <w:r w:rsidRPr="007B72A2">
              <w:rPr>
                <w:lang w:eastAsia="en-US"/>
              </w:rPr>
              <w:t>Improvement in the Detection of Aggressive Prostate Cancer by Targeted Biopsies Using Multiparametric MRI Findings</w:t>
            </w:r>
          </w:p>
        </w:tc>
        <w:tc>
          <w:tcPr>
            <w:tcW w:w="844" w:type="pct"/>
          </w:tcPr>
          <w:p w14:paraId="6866BEA7" w14:textId="77777777" w:rsidR="007B72A2" w:rsidRPr="007B72A2" w:rsidRDefault="007B72A2" w:rsidP="00D200FB">
            <w:pPr>
              <w:pStyle w:val="Tabletext1"/>
              <w:rPr>
                <w:lang w:eastAsia="en-US"/>
              </w:rPr>
            </w:pPr>
            <w:r w:rsidRPr="007B72A2">
              <w:rPr>
                <w:lang w:eastAsia="en-US"/>
              </w:rPr>
              <w:t>Men referred for prostate mpMRI before a first set of prostate biopsies, with a planned time interval of less than 3 months</w:t>
            </w:r>
          </w:p>
        </w:tc>
        <w:tc>
          <w:tcPr>
            <w:tcW w:w="580" w:type="pct"/>
          </w:tcPr>
          <w:p w14:paraId="48ACE9BB" w14:textId="77777777" w:rsidR="007B72A2" w:rsidRPr="007B72A2" w:rsidRDefault="007B72A2" w:rsidP="00D200FB">
            <w:pPr>
              <w:pStyle w:val="Tabletext1"/>
              <w:rPr>
                <w:lang w:eastAsia="en-US"/>
              </w:rPr>
            </w:pPr>
            <w:r w:rsidRPr="007B72A2">
              <w:rPr>
                <w:lang w:eastAsia="en-US"/>
              </w:rPr>
              <w:t>Hospices Civils de Lyon</w:t>
            </w:r>
          </w:p>
        </w:tc>
        <w:tc>
          <w:tcPr>
            <w:tcW w:w="369" w:type="pct"/>
          </w:tcPr>
          <w:p w14:paraId="16954C3F" w14:textId="77777777" w:rsidR="007B72A2" w:rsidRPr="007B72A2" w:rsidRDefault="007B72A2" w:rsidP="00D200FB">
            <w:pPr>
              <w:pStyle w:val="Tabletext1"/>
              <w:rPr>
                <w:lang w:eastAsia="en-US"/>
              </w:rPr>
            </w:pPr>
            <w:r w:rsidRPr="007B72A2">
              <w:rPr>
                <w:lang w:eastAsia="en-US"/>
              </w:rPr>
              <w:t>250</w:t>
            </w:r>
          </w:p>
        </w:tc>
        <w:tc>
          <w:tcPr>
            <w:tcW w:w="422" w:type="pct"/>
          </w:tcPr>
          <w:p w14:paraId="789AC4DB" w14:textId="77777777" w:rsidR="007B72A2" w:rsidRPr="007B72A2" w:rsidRDefault="007B72A2" w:rsidP="00D200FB">
            <w:pPr>
              <w:pStyle w:val="Tabletext1"/>
              <w:rPr>
                <w:lang w:eastAsia="en-US"/>
              </w:rPr>
            </w:pPr>
            <w:r w:rsidRPr="007B72A2">
              <w:rPr>
                <w:lang w:eastAsia="en-US"/>
              </w:rPr>
              <w:t>1 – 4 months</w:t>
            </w:r>
          </w:p>
        </w:tc>
        <w:tc>
          <w:tcPr>
            <w:tcW w:w="422" w:type="pct"/>
          </w:tcPr>
          <w:p w14:paraId="647EF9B2" w14:textId="77777777" w:rsidR="007B72A2" w:rsidRPr="007B72A2" w:rsidRDefault="007B72A2" w:rsidP="00D200FB">
            <w:pPr>
              <w:pStyle w:val="Tabletext1"/>
              <w:rPr>
                <w:lang w:eastAsia="en-US"/>
              </w:rPr>
            </w:pPr>
            <w:r w:rsidRPr="007B72A2">
              <w:rPr>
                <w:lang w:eastAsia="en-US"/>
              </w:rPr>
              <w:t>Recruiting</w:t>
            </w:r>
          </w:p>
        </w:tc>
        <w:tc>
          <w:tcPr>
            <w:tcW w:w="422" w:type="pct"/>
          </w:tcPr>
          <w:p w14:paraId="763E1055" w14:textId="77777777" w:rsidR="007B72A2" w:rsidRPr="007B72A2" w:rsidRDefault="007B72A2" w:rsidP="00D200FB">
            <w:pPr>
              <w:pStyle w:val="Tabletext1"/>
              <w:rPr>
                <w:lang w:eastAsia="en-US"/>
              </w:rPr>
            </w:pPr>
            <w:r w:rsidRPr="007B72A2">
              <w:rPr>
                <w:lang w:eastAsia="en-US"/>
              </w:rPr>
              <w:t>October 2916</w:t>
            </w:r>
          </w:p>
        </w:tc>
        <w:tc>
          <w:tcPr>
            <w:tcW w:w="528" w:type="pct"/>
          </w:tcPr>
          <w:p w14:paraId="46057195"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678990A5" w14:textId="77777777" w:rsidTr="00F5175B">
        <w:tc>
          <w:tcPr>
            <w:tcW w:w="568" w:type="pct"/>
          </w:tcPr>
          <w:p w14:paraId="7E12057C" w14:textId="77777777" w:rsidR="007B72A2" w:rsidRPr="007B72A2" w:rsidRDefault="007B72A2" w:rsidP="00D200FB">
            <w:pPr>
              <w:pStyle w:val="Tabletext1"/>
              <w:rPr>
                <w:lang w:eastAsia="en-US"/>
              </w:rPr>
            </w:pPr>
            <w:r w:rsidRPr="007B72A2">
              <w:rPr>
                <w:lang w:eastAsia="en-US"/>
              </w:rPr>
              <w:t>NCT02564549</w:t>
            </w:r>
          </w:p>
          <w:p w14:paraId="14696A99" w14:textId="77777777" w:rsidR="007B72A2" w:rsidRPr="007B72A2" w:rsidRDefault="007B72A2" w:rsidP="00D200FB">
            <w:pPr>
              <w:pStyle w:val="Tabletext1"/>
              <w:rPr>
                <w:lang w:eastAsia="en-US"/>
              </w:rPr>
            </w:pPr>
            <w:r w:rsidRPr="007B72A2">
              <w:rPr>
                <w:lang w:eastAsia="en-US"/>
              </w:rPr>
              <w:t>Population 2</w:t>
            </w:r>
          </w:p>
          <w:p w14:paraId="2B2B2F7F" w14:textId="77777777" w:rsidR="007B72A2" w:rsidRPr="007B72A2" w:rsidRDefault="007B72A2" w:rsidP="00D200FB">
            <w:pPr>
              <w:pStyle w:val="Tabletext1"/>
              <w:rPr>
                <w:lang w:eastAsia="en-US"/>
              </w:rPr>
            </w:pPr>
            <w:r w:rsidRPr="007B72A2">
              <w:rPr>
                <w:lang w:eastAsia="en-US"/>
              </w:rPr>
              <w:t>USA</w:t>
            </w:r>
          </w:p>
        </w:tc>
        <w:tc>
          <w:tcPr>
            <w:tcW w:w="844" w:type="pct"/>
          </w:tcPr>
          <w:p w14:paraId="32C9F2A7" w14:textId="77777777" w:rsidR="007B72A2" w:rsidRPr="007B72A2" w:rsidRDefault="007B72A2" w:rsidP="00D200FB">
            <w:pPr>
              <w:pStyle w:val="Tabletext1"/>
              <w:rPr>
                <w:lang w:eastAsia="en-US"/>
              </w:rPr>
            </w:pPr>
            <w:r w:rsidRPr="007B72A2">
              <w:rPr>
                <w:lang w:eastAsia="en-US"/>
              </w:rPr>
              <w:t xml:space="preserve">Multiparametric MRI-Based Active Surveillance to Avoid the Risks of Serial Biopsies in Men With Low-Risk Prostate </w:t>
            </w:r>
            <w:r w:rsidRPr="007B72A2">
              <w:rPr>
                <w:lang w:eastAsia="en-US"/>
              </w:rPr>
              <w:lastRenderedPageBreak/>
              <w:t>Cancer (MAVERICK)</w:t>
            </w:r>
          </w:p>
        </w:tc>
        <w:tc>
          <w:tcPr>
            <w:tcW w:w="844" w:type="pct"/>
          </w:tcPr>
          <w:p w14:paraId="086ED081" w14:textId="77777777" w:rsidR="007B72A2" w:rsidRPr="007B72A2" w:rsidRDefault="007B72A2" w:rsidP="00D200FB">
            <w:pPr>
              <w:pStyle w:val="Tabletext1"/>
              <w:rPr>
                <w:lang w:eastAsia="en-US"/>
              </w:rPr>
            </w:pPr>
            <w:r w:rsidRPr="007B72A2">
              <w:rPr>
                <w:lang w:eastAsia="en-US"/>
              </w:rPr>
              <w:lastRenderedPageBreak/>
              <w:t>Gleason score ≤ 6</w:t>
            </w:r>
          </w:p>
        </w:tc>
        <w:tc>
          <w:tcPr>
            <w:tcW w:w="580" w:type="pct"/>
          </w:tcPr>
          <w:p w14:paraId="178BD05D" w14:textId="06815EA8" w:rsidR="007B72A2" w:rsidRPr="007B72A2" w:rsidRDefault="007B72A2" w:rsidP="00D200FB">
            <w:pPr>
              <w:pStyle w:val="Tabletext1"/>
              <w:rPr>
                <w:lang w:eastAsia="en-US"/>
              </w:rPr>
            </w:pPr>
            <w:r w:rsidRPr="007B72A2">
              <w:rPr>
                <w:lang w:eastAsia="en-US"/>
              </w:rPr>
              <w:t>Virginia Commonwealth University</w:t>
            </w:r>
            <w:r w:rsidR="00E41782">
              <w:rPr>
                <w:lang w:eastAsia="en-US"/>
              </w:rPr>
              <w:t xml:space="preserve">, </w:t>
            </w:r>
            <w:r w:rsidRPr="007B72A2">
              <w:rPr>
                <w:lang w:eastAsia="en-US"/>
              </w:rPr>
              <w:t>Massey Cancer Center</w:t>
            </w:r>
            <w:r w:rsidR="00E41782">
              <w:rPr>
                <w:lang w:eastAsia="en-US"/>
              </w:rPr>
              <w:t xml:space="preserve">, </w:t>
            </w:r>
            <w:r w:rsidRPr="007B72A2">
              <w:rPr>
                <w:lang w:eastAsia="en-US"/>
              </w:rPr>
              <w:t xml:space="preserve">Hunter </w:t>
            </w:r>
            <w:r w:rsidRPr="007B72A2">
              <w:rPr>
                <w:lang w:eastAsia="en-US"/>
              </w:rPr>
              <w:lastRenderedPageBreak/>
              <w:t>Holmes Mcguire Veteran Affairs Medical Center</w:t>
            </w:r>
          </w:p>
        </w:tc>
        <w:tc>
          <w:tcPr>
            <w:tcW w:w="369" w:type="pct"/>
          </w:tcPr>
          <w:p w14:paraId="4EF5CFDF" w14:textId="77777777" w:rsidR="007B72A2" w:rsidRPr="007B72A2" w:rsidRDefault="007B72A2" w:rsidP="00D200FB">
            <w:pPr>
              <w:pStyle w:val="Tabletext1"/>
              <w:rPr>
                <w:lang w:eastAsia="en-US"/>
              </w:rPr>
            </w:pPr>
            <w:r w:rsidRPr="007B72A2">
              <w:rPr>
                <w:lang w:eastAsia="en-US"/>
              </w:rPr>
              <w:lastRenderedPageBreak/>
              <w:t>192</w:t>
            </w:r>
          </w:p>
        </w:tc>
        <w:tc>
          <w:tcPr>
            <w:tcW w:w="422" w:type="pct"/>
          </w:tcPr>
          <w:p w14:paraId="47347B4C" w14:textId="77777777" w:rsidR="007B72A2" w:rsidRPr="007B72A2" w:rsidRDefault="007B72A2" w:rsidP="00D200FB">
            <w:pPr>
              <w:pStyle w:val="Tabletext1"/>
              <w:rPr>
                <w:lang w:eastAsia="en-US"/>
              </w:rPr>
            </w:pPr>
            <w:r w:rsidRPr="007B72A2">
              <w:rPr>
                <w:lang w:eastAsia="en-US"/>
              </w:rPr>
              <w:t>3 years</w:t>
            </w:r>
          </w:p>
        </w:tc>
        <w:tc>
          <w:tcPr>
            <w:tcW w:w="422" w:type="pct"/>
          </w:tcPr>
          <w:p w14:paraId="436AF1EB" w14:textId="77777777" w:rsidR="007B72A2" w:rsidRPr="007B72A2" w:rsidRDefault="007B72A2" w:rsidP="00D200FB">
            <w:pPr>
              <w:pStyle w:val="Tabletext1"/>
              <w:rPr>
                <w:lang w:eastAsia="en-US"/>
              </w:rPr>
            </w:pPr>
            <w:r w:rsidRPr="007B72A2">
              <w:rPr>
                <w:lang w:eastAsia="en-US"/>
              </w:rPr>
              <w:t>Recruiting</w:t>
            </w:r>
          </w:p>
        </w:tc>
        <w:tc>
          <w:tcPr>
            <w:tcW w:w="422" w:type="pct"/>
          </w:tcPr>
          <w:p w14:paraId="78CFA001" w14:textId="77777777" w:rsidR="007B72A2" w:rsidRPr="007B72A2" w:rsidRDefault="007B72A2" w:rsidP="00D200FB">
            <w:pPr>
              <w:pStyle w:val="Tabletext1"/>
              <w:rPr>
                <w:lang w:eastAsia="en-US"/>
              </w:rPr>
            </w:pPr>
            <w:r w:rsidRPr="007B72A2">
              <w:rPr>
                <w:lang w:eastAsia="en-US"/>
              </w:rPr>
              <w:t>October 2017</w:t>
            </w:r>
          </w:p>
        </w:tc>
        <w:tc>
          <w:tcPr>
            <w:tcW w:w="528" w:type="pct"/>
          </w:tcPr>
          <w:p w14:paraId="503A4C2F" w14:textId="77777777" w:rsidR="007B72A2" w:rsidRPr="007B72A2" w:rsidRDefault="007B72A2" w:rsidP="00D200FB">
            <w:pPr>
              <w:pStyle w:val="Tabletext1"/>
              <w:rPr>
                <w:lang w:eastAsia="en-US"/>
              </w:rPr>
            </w:pPr>
            <w:r w:rsidRPr="007B72A2">
              <w:rPr>
                <w:lang w:eastAsia="en-US"/>
              </w:rPr>
              <w:t>III-2</w:t>
            </w:r>
          </w:p>
        </w:tc>
      </w:tr>
      <w:tr w:rsidR="007B72A2" w:rsidRPr="00657984" w14:paraId="334931EF" w14:textId="77777777" w:rsidTr="00F5175B">
        <w:tc>
          <w:tcPr>
            <w:tcW w:w="568" w:type="pct"/>
          </w:tcPr>
          <w:p w14:paraId="237F0786" w14:textId="77777777" w:rsidR="007B72A2" w:rsidRPr="007B72A2" w:rsidRDefault="007B72A2" w:rsidP="00D200FB">
            <w:pPr>
              <w:pStyle w:val="Tabletext1"/>
              <w:rPr>
                <w:lang w:eastAsia="en-US"/>
              </w:rPr>
            </w:pPr>
            <w:r w:rsidRPr="007B72A2">
              <w:rPr>
                <w:lang w:eastAsia="en-US"/>
              </w:rPr>
              <w:lastRenderedPageBreak/>
              <w:t>NCT01292291</w:t>
            </w:r>
          </w:p>
          <w:p w14:paraId="5B5063A3" w14:textId="77777777" w:rsidR="007B72A2" w:rsidRPr="007B72A2" w:rsidRDefault="007B72A2" w:rsidP="00D200FB">
            <w:pPr>
              <w:pStyle w:val="Tabletext1"/>
              <w:rPr>
                <w:lang w:eastAsia="en-US"/>
              </w:rPr>
            </w:pPr>
            <w:r w:rsidRPr="007B72A2">
              <w:rPr>
                <w:lang w:eastAsia="en-US"/>
              </w:rPr>
              <w:t>Population 1</w:t>
            </w:r>
          </w:p>
          <w:p w14:paraId="360B5AC1" w14:textId="77777777" w:rsidR="007B72A2" w:rsidRPr="007B72A2" w:rsidRDefault="007B72A2" w:rsidP="00D200FB">
            <w:pPr>
              <w:pStyle w:val="Tabletext1"/>
              <w:rPr>
                <w:lang w:eastAsia="en-US"/>
              </w:rPr>
            </w:pPr>
            <w:r w:rsidRPr="007B72A2">
              <w:rPr>
                <w:lang w:eastAsia="en-US"/>
              </w:rPr>
              <w:t>UK</w:t>
            </w:r>
          </w:p>
        </w:tc>
        <w:tc>
          <w:tcPr>
            <w:tcW w:w="844" w:type="pct"/>
          </w:tcPr>
          <w:p w14:paraId="6CA55F39" w14:textId="77777777" w:rsidR="007B72A2" w:rsidRPr="007B72A2" w:rsidRDefault="007B72A2" w:rsidP="00D200FB">
            <w:pPr>
              <w:pStyle w:val="Tabletext1"/>
              <w:rPr>
                <w:lang w:eastAsia="en-US"/>
              </w:rPr>
            </w:pPr>
            <w:r w:rsidRPr="007B72A2">
              <w:rPr>
                <w:lang w:eastAsia="en-US"/>
              </w:rPr>
              <w:t>PROMIS - Prostate MRI Imaging Study - Evaluation of Multi-Parametric Magnetic Resonance Imaging in the Diagnosis and Characterization of Prostate Cancer</w:t>
            </w:r>
          </w:p>
        </w:tc>
        <w:tc>
          <w:tcPr>
            <w:tcW w:w="844" w:type="pct"/>
          </w:tcPr>
          <w:p w14:paraId="1F4307FE" w14:textId="5AA689FE" w:rsidR="007B72A2" w:rsidRPr="007B72A2" w:rsidRDefault="007B72A2" w:rsidP="00D200FB">
            <w:pPr>
              <w:pStyle w:val="Tabletext1"/>
              <w:rPr>
                <w:lang w:eastAsia="en-US"/>
              </w:rPr>
            </w:pPr>
            <w:r w:rsidRPr="007B72A2">
              <w:rPr>
                <w:lang w:eastAsia="en-US"/>
              </w:rPr>
              <w:t xml:space="preserve">Men at risk of </w:t>
            </w:r>
            <w:r w:rsidR="006818E1" w:rsidRPr="006818E1">
              <w:rPr>
                <w:lang w:eastAsia="en-US"/>
              </w:rPr>
              <w:t>PCa</w:t>
            </w:r>
            <w:r w:rsidRPr="007B72A2">
              <w:rPr>
                <w:lang w:eastAsia="en-US"/>
              </w:rPr>
              <w:t xml:space="preserve"> who have been advised to have a prostate biopsy</w:t>
            </w:r>
          </w:p>
        </w:tc>
        <w:tc>
          <w:tcPr>
            <w:tcW w:w="580" w:type="pct"/>
          </w:tcPr>
          <w:p w14:paraId="69965F88" w14:textId="77777777" w:rsidR="007B72A2" w:rsidRPr="007B72A2" w:rsidRDefault="007B72A2" w:rsidP="00D200FB">
            <w:pPr>
              <w:pStyle w:val="Tabletext1"/>
              <w:rPr>
                <w:lang w:eastAsia="en-US"/>
              </w:rPr>
            </w:pPr>
            <w:r w:rsidRPr="007B72A2">
              <w:rPr>
                <w:lang w:eastAsia="en-US"/>
              </w:rPr>
              <w:t>University College London Hospitals</w:t>
            </w:r>
          </w:p>
        </w:tc>
        <w:tc>
          <w:tcPr>
            <w:tcW w:w="369" w:type="pct"/>
          </w:tcPr>
          <w:p w14:paraId="33D8C922" w14:textId="77777777" w:rsidR="007B72A2" w:rsidRPr="007B72A2" w:rsidRDefault="007B72A2" w:rsidP="00D200FB">
            <w:pPr>
              <w:pStyle w:val="Tabletext1"/>
              <w:rPr>
                <w:lang w:eastAsia="en-US"/>
              </w:rPr>
            </w:pPr>
            <w:r w:rsidRPr="007B72A2">
              <w:rPr>
                <w:lang w:eastAsia="en-US"/>
              </w:rPr>
              <w:t>714</w:t>
            </w:r>
          </w:p>
        </w:tc>
        <w:tc>
          <w:tcPr>
            <w:tcW w:w="422" w:type="pct"/>
          </w:tcPr>
          <w:p w14:paraId="1EA8F2C6" w14:textId="77777777" w:rsidR="007B72A2" w:rsidRPr="007B72A2" w:rsidRDefault="007B72A2" w:rsidP="00D200FB">
            <w:pPr>
              <w:pStyle w:val="Tabletext1"/>
              <w:rPr>
                <w:lang w:eastAsia="en-US"/>
              </w:rPr>
            </w:pPr>
            <w:r w:rsidRPr="007B72A2">
              <w:rPr>
                <w:lang w:eastAsia="en-US"/>
              </w:rPr>
              <w:t>NR</w:t>
            </w:r>
          </w:p>
        </w:tc>
        <w:tc>
          <w:tcPr>
            <w:tcW w:w="422" w:type="pct"/>
          </w:tcPr>
          <w:p w14:paraId="52764C1A" w14:textId="6C72A2D7" w:rsidR="007B72A2" w:rsidRPr="007B72A2" w:rsidRDefault="00E41782" w:rsidP="00D200FB">
            <w:pPr>
              <w:pStyle w:val="Tabletext1"/>
              <w:rPr>
                <w:lang w:eastAsia="en-US"/>
              </w:rPr>
            </w:pPr>
            <w:r>
              <w:rPr>
                <w:lang w:eastAsia="en-US"/>
              </w:rPr>
              <w:t>Not yet recruiting</w:t>
            </w:r>
          </w:p>
        </w:tc>
        <w:tc>
          <w:tcPr>
            <w:tcW w:w="422" w:type="pct"/>
          </w:tcPr>
          <w:p w14:paraId="1F5267CD" w14:textId="77777777" w:rsidR="007B72A2" w:rsidRPr="007B72A2" w:rsidRDefault="007B72A2" w:rsidP="00D200FB">
            <w:pPr>
              <w:pStyle w:val="Tabletext1"/>
              <w:rPr>
                <w:lang w:eastAsia="en-US"/>
              </w:rPr>
            </w:pPr>
            <w:r w:rsidRPr="007B72A2">
              <w:rPr>
                <w:lang w:eastAsia="en-US"/>
              </w:rPr>
              <w:t>April 2013</w:t>
            </w:r>
          </w:p>
        </w:tc>
        <w:tc>
          <w:tcPr>
            <w:tcW w:w="528" w:type="pct"/>
          </w:tcPr>
          <w:p w14:paraId="3764DB98"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2901C7AC" w14:textId="77777777" w:rsidTr="00F5175B">
        <w:tc>
          <w:tcPr>
            <w:tcW w:w="568" w:type="pct"/>
          </w:tcPr>
          <w:p w14:paraId="1A0D5DE4" w14:textId="77777777" w:rsidR="007B72A2" w:rsidRPr="007B72A2" w:rsidRDefault="007B72A2" w:rsidP="00D200FB">
            <w:pPr>
              <w:pStyle w:val="Tabletext1"/>
              <w:rPr>
                <w:lang w:eastAsia="en-US"/>
              </w:rPr>
            </w:pPr>
            <w:r w:rsidRPr="007B72A2">
              <w:rPr>
                <w:lang w:eastAsia="en-US"/>
              </w:rPr>
              <w:t>NCT01858688</w:t>
            </w:r>
          </w:p>
          <w:p w14:paraId="0DD7B2EC" w14:textId="77777777" w:rsidR="007B72A2" w:rsidRPr="007B72A2" w:rsidRDefault="007B72A2" w:rsidP="00D200FB">
            <w:pPr>
              <w:pStyle w:val="Tabletext1"/>
              <w:rPr>
                <w:lang w:eastAsia="en-US"/>
              </w:rPr>
            </w:pPr>
            <w:r w:rsidRPr="007B72A2">
              <w:rPr>
                <w:lang w:eastAsia="en-US"/>
              </w:rPr>
              <w:t>Population 1</w:t>
            </w:r>
          </w:p>
          <w:p w14:paraId="26F7B8F7" w14:textId="77777777" w:rsidR="007B72A2" w:rsidRPr="007B72A2" w:rsidRDefault="007B72A2" w:rsidP="00D200FB">
            <w:pPr>
              <w:pStyle w:val="Tabletext1"/>
              <w:rPr>
                <w:lang w:eastAsia="en-US"/>
              </w:rPr>
            </w:pPr>
            <w:r w:rsidRPr="007B72A2">
              <w:rPr>
                <w:lang w:eastAsia="en-US"/>
              </w:rPr>
              <w:t>USA</w:t>
            </w:r>
          </w:p>
        </w:tc>
        <w:tc>
          <w:tcPr>
            <w:tcW w:w="844" w:type="pct"/>
          </w:tcPr>
          <w:p w14:paraId="087F9C2C" w14:textId="77777777" w:rsidR="007B72A2" w:rsidRPr="007B72A2" w:rsidRDefault="007B72A2" w:rsidP="00D200FB">
            <w:pPr>
              <w:pStyle w:val="Tabletext1"/>
              <w:rPr>
                <w:lang w:eastAsia="en-US"/>
              </w:rPr>
            </w:pPr>
            <w:r w:rsidRPr="007B72A2">
              <w:rPr>
                <w:lang w:eastAsia="en-US"/>
              </w:rPr>
              <w:t>A Phase II, Prospective Study of MRI in the Reclassification of Men Considering Active Surveillance in Prostate Cancer</w:t>
            </w:r>
          </w:p>
        </w:tc>
        <w:tc>
          <w:tcPr>
            <w:tcW w:w="844" w:type="pct"/>
          </w:tcPr>
          <w:p w14:paraId="2296FF8E" w14:textId="3723835D" w:rsidR="007B72A2" w:rsidRPr="007B72A2" w:rsidRDefault="007B72A2" w:rsidP="00D200FB">
            <w:pPr>
              <w:pStyle w:val="Tabletext1"/>
              <w:rPr>
                <w:lang w:eastAsia="en-US"/>
              </w:rPr>
            </w:pPr>
            <w:r w:rsidRPr="007B72A2">
              <w:rPr>
                <w:lang w:eastAsia="en-US"/>
              </w:rPr>
              <w:t xml:space="preserve">Men with histologically confirmed </w:t>
            </w:r>
            <w:r w:rsidR="006818E1" w:rsidRPr="006818E1">
              <w:rPr>
                <w:lang w:eastAsia="en-US"/>
              </w:rPr>
              <w:t>PCa</w:t>
            </w:r>
            <w:r w:rsidRPr="007B72A2">
              <w:rPr>
                <w:lang w:eastAsia="en-US"/>
              </w:rPr>
              <w:t xml:space="preserve"> with all of the following features: Min. 10 core prostate biopsy showing histologically-confirmed </w:t>
            </w:r>
            <w:r w:rsidR="006818E1" w:rsidRPr="006818E1">
              <w:rPr>
                <w:lang w:eastAsia="en-US"/>
              </w:rPr>
              <w:t>PCa</w:t>
            </w:r>
            <w:r w:rsidRPr="007B72A2">
              <w:rPr>
                <w:lang w:eastAsia="en-US"/>
              </w:rPr>
              <w:t xml:space="preserve"> within 12 months of </w:t>
            </w:r>
            <w:r w:rsidR="000C0CCE" w:rsidRPr="007B72A2">
              <w:rPr>
                <w:lang w:eastAsia="en-US"/>
              </w:rPr>
              <w:t>enrolment</w:t>
            </w:r>
            <w:r w:rsidRPr="007B72A2">
              <w:rPr>
                <w:lang w:eastAsia="en-US"/>
              </w:rPr>
              <w:t xml:space="preserve">; Gleason ≤3+3; No tertiary Gleason grade ≥4; ≤3 total cores positive; ≤50% of any given core involved with cancer; No evidence on biopsy of extracapsular extension; PSA within one month of </w:t>
            </w:r>
            <w:r w:rsidR="000C0CCE" w:rsidRPr="007B72A2">
              <w:rPr>
                <w:lang w:eastAsia="en-US"/>
              </w:rPr>
              <w:t>enrolment</w:t>
            </w:r>
            <w:r w:rsidRPr="007B72A2">
              <w:rPr>
                <w:lang w:eastAsia="en-US"/>
              </w:rPr>
              <w:t>: &lt;10 ng/mL; Clinical stage: ≤T2a &amp; N0 or NX &amp; M0</w:t>
            </w:r>
          </w:p>
        </w:tc>
        <w:tc>
          <w:tcPr>
            <w:tcW w:w="580" w:type="pct"/>
          </w:tcPr>
          <w:p w14:paraId="15D6AD93" w14:textId="77777777" w:rsidR="007B72A2" w:rsidRPr="007B72A2" w:rsidRDefault="007B72A2" w:rsidP="00D200FB">
            <w:pPr>
              <w:pStyle w:val="Tabletext1"/>
              <w:rPr>
                <w:lang w:eastAsia="en-US"/>
              </w:rPr>
            </w:pPr>
            <w:r w:rsidRPr="007B72A2">
              <w:rPr>
                <w:lang w:eastAsia="en-US"/>
              </w:rPr>
              <w:t>Dana-Farber Cancer Institute</w:t>
            </w:r>
          </w:p>
        </w:tc>
        <w:tc>
          <w:tcPr>
            <w:tcW w:w="369" w:type="pct"/>
          </w:tcPr>
          <w:p w14:paraId="56E816CD" w14:textId="77777777" w:rsidR="007B72A2" w:rsidRPr="007B72A2" w:rsidRDefault="007B72A2" w:rsidP="00D200FB">
            <w:pPr>
              <w:pStyle w:val="Tabletext1"/>
              <w:rPr>
                <w:lang w:eastAsia="en-US"/>
              </w:rPr>
            </w:pPr>
            <w:r w:rsidRPr="007B72A2">
              <w:rPr>
                <w:lang w:eastAsia="en-US"/>
              </w:rPr>
              <w:t>130</w:t>
            </w:r>
          </w:p>
        </w:tc>
        <w:tc>
          <w:tcPr>
            <w:tcW w:w="422" w:type="pct"/>
          </w:tcPr>
          <w:p w14:paraId="20BFABE3" w14:textId="77777777" w:rsidR="007B72A2" w:rsidRPr="007B72A2" w:rsidRDefault="007B72A2" w:rsidP="00D200FB">
            <w:pPr>
              <w:pStyle w:val="Tabletext1"/>
              <w:rPr>
                <w:lang w:eastAsia="en-US"/>
              </w:rPr>
            </w:pPr>
            <w:r w:rsidRPr="007B72A2">
              <w:rPr>
                <w:lang w:eastAsia="en-US"/>
              </w:rPr>
              <w:t>2 years</w:t>
            </w:r>
          </w:p>
        </w:tc>
        <w:tc>
          <w:tcPr>
            <w:tcW w:w="422" w:type="pct"/>
          </w:tcPr>
          <w:p w14:paraId="7431EF24" w14:textId="77777777" w:rsidR="007B72A2" w:rsidRPr="007B72A2" w:rsidRDefault="007B72A2" w:rsidP="00D200FB">
            <w:pPr>
              <w:pStyle w:val="Tabletext1"/>
              <w:rPr>
                <w:lang w:eastAsia="en-US"/>
              </w:rPr>
            </w:pPr>
            <w:r w:rsidRPr="007B72A2">
              <w:rPr>
                <w:lang w:eastAsia="en-US"/>
              </w:rPr>
              <w:t>Recruiting</w:t>
            </w:r>
          </w:p>
        </w:tc>
        <w:tc>
          <w:tcPr>
            <w:tcW w:w="422" w:type="pct"/>
          </w:tcPr>
          <w:p w14:paraId="3AB02373" w14:textId="77777777" w:rsidR="007B72A2" w:rsidRPr="007B72A2" w:rsidRDefault="007B72A2" w:rsidP="00D200FB">
            <w:pPr>
              <w:pStyle w:val="Tabletext1"/>
              <w:rPr>
                <w:lang w:eastAsia="en-US"/>
              </w:rPr>
            </w:pPr>
            <w:r w:rsidRPr="007B72A2">
              <w:rPr>
                <w:lang w:eastAsia="en-US"/>
              </w:rPr>
              <w:t>July 2018</w:t>
            </w:r>
          </w:p>
        </w:tc>
        <w:tc>
          <w:tcPr>
            <w:tcW w:w="528" w:type="pct"/>
          </w:tcPr>
          <w:p w14:paraId="124CD7DC"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0CF2215A" w14:textId="77777777" w:rsidTr="00F5175B">
        <w:tc>
          <w:tcPr>
            <w:tcW w:w="568" w:type="pct"/>
          </w:tcPr>
          <w:p w14:paraId="4455E687" w14:textId="77777777" w:rsidR="007B72A2" w:rsidRPr="007B72A2" w:rsidRDefault="007B72A2" w:rsidP="00D200FB">
            <w:pPr>
              <w:pStyle w:val="Tabletext1"/>
              <w:rPr>
                <w:lang w:eastAsia="en-US"/>
              </w:rPr>
            </w:pPr>
            <w:r w:rsidRPr="007B72A2">
              <w:rPr>
                <w:lang w:eastAsia="en-US"/>
              </w:rPr>
              <w:t>NCT02388126</w:t>
            </w:r>
          </w:p>
          <w:p w14:paraId="2E79A91A" w14:textId="77777777" w:rsidR="007B72A2" w:rsidRPr="007B72A2" w:rsidRDefault="007B72A2" w:rsidP="00D200FB">
            <w:pPr>
              <w:pStyle w:val="Tabletext1"/>
              <w:rPr>
                <w:lang w:eastAsia="en-US"/>
              </w:rPr>
            </w:pPr>
            <w:r w:rsidRPr="007B72A2">
              <w:rPr>
                <w:lang w:eastAsia="en-US"/>
              </w:rPr>
              <w:t>Population 1/Other</w:t>
            </w:r>
          </w:p>
          <w:p w14:paraId="0C591F0B" w14:textId="77777777" w:rsidR="007B72A2" w:rsidRPr="007B72A2" w:rsidRDefault="007B72A2" w:rsidP="00D200FB">
            <w:pPr>
              <w:pStyle w:val="Tabletext1"/>
              <w:rPr>
                <w:lang w:eastAsia="en-US"/>
              </w:rPr>
            </w:pPr>
            <w:r w:rsidRPr="007B72A2">
              <w:rPr>
                <w:lang w:eastAsia="en-US"/>
              </w:rPr>
              <w:t>Finland</w:t>
            </w:r>
          </w:p>
        </w:tc>
        <w:tc>
          <w:tcPr>
            <w:tcW w:w="844" w:type="pct"/>
          </w:tcPr>
          <w:p w14:paraId="52089F3E" w14:textId="77777777" w:rsidR="007B72A2" w:rsidRPr="007B72A2" w:rsidRDefault="007B72A2" w:rsidP="00D200FB">
            <w:pPr>
              <w:pStyle w:val="Tabletext1"/>
              <w:rPr>
                <w:lang w:eastAsia="en-US"/>
              </w:rPr>
            </w:pPr>
            <w:r w:rsidRPr="007B72A2">
              <w:rPr>
                <w:lang w:eastAsia="en-US"/>
              </w:rPr>
              <w:t>Prostate Magnetic Resonance Imaging in Patient With Previous Negative Biopsies (PROMANEG)</w:t>
            </w:r>
          </w:p>
        </w:tc>
        <w:tc>
          <w:tcPr>
            <w:tcW w:w="844" w:type="pct"/>
          </w:tcPr>
          <w:p w14:paraId="2FD1FAD8" w14:textId="74460646" w:rsidR="007B72A2" w:rsidRPr="007B72A2" w:rsidRDefault="007B72A2" w:rsidP="00D200FB">
            <w:pPr>
              <w:pStyle w:val="Tabletext1"/>
              <w:rPr>
                <w:lang w:eastAsia="en-US"/>
              </w:rPr>
            </w:pPr>
            <w:r w:rsidRPr="007B72A2">
              <w:rPr>
                <w:lang w:eastAsia="en-US"/>
              </w:rPr>
              <w:t xml:space="preserve">Men with clinical suspicion of </w:t>
            </w:r>
            <w:r w:rsidR="006818E1" w:rsidRPr="006818E1">
              <w:rPr>
                <w:lang w:eastAsia="en-US"/>
              </w:rPr>
              <w:t>PCa</w:t>
            </w:r>
            <w:r w:rsidRPr="007B72A2">
              <w:rPr>
                <w:lang w:eastAsia="en-US"/>
              </w:rPr>
              <w:t xml:space="preserve"> and/or previous negative prostate biopsies</w:t>
            </w:r>
          </w:p>
        </w:tc>
        <w:tc>
          <w:tcPr>
            <w:tcW w:w="580" w:type="pct"/>
          </w:tcPr>
          <w:p w14:paraId="25910AD6" w14:textId="77777777" w:rsidR="007B72A2" w:rsidRPr="007B72A2" w:rsidRDefault="007B72A2" w:rsidP="00D200FB">
            <w:pPr>
              <w:pStyle w:val="Tabletext1"/>
              <w:rPr>
                <w:lang w:eastAsia="en-US"/>
              </w:rPr>
            </w:pPr>
            <w:r w:rsidRPr="007B72A2">
              <w:rPr>
                <w:lang w:eastAsia="en-US"/>
              </w:rPr>
              <w:t>Turku University Hospital</w:t>
            </w:r>
          </w:p>
        </w:tc>
        <w:tc>
          <w:tcPr>
            <w:tcW w:w="369" w:type="pct"/>
          </w:tcPr>
          <w:p w14:paraId="292FDD23" w14:textId="77777777" w:rsidR="007B72A2" w:rsidRPr="007B72A2" w:rsidRDefault="007B72A2" w:rsidP="00D200FB">
            <w:pPr>
              <w:pStyle w:val="Tabletext1"/>
              <w:rPr>
                <w:lang w:eastAsia="en-US"/>
              </w:rPr>
            </w:pPr>
            <w:r w:rsidRPr="007B72A2">
              <w:rPr>
                <w:lang w:eastAsia="en-US"/>
              </w:rPr>
              <w:t>150</w:t>
            </w:r>
          </w:p>
        </w:tc>
        <w:tc>
          <w:tcPr>
            <w:tcW w:w="422" w:type="pct"/>
          </w:tcPr>
          <w:p w14:paraId="2C435890" w14:textId="77777777" w:rsidR="007B72A2" w:rsidRPr="007B72A2" w:rsidRDefault="007B72A2" w:rsidP="00D200FB">
            <w:pPr>
              <w:pStyle w:val="Tabletext1"/>
              <w:rPr>
                <w:lang w:eastAsia="en-US"/>
              </w:rPr>
            </w:pPr>
            <w:r w:rsidRPr="007B72A2">
              <w:rPr>
                <w:lang w:eastAsia="en-US"/>
              </w:rPr>
              <w:t>3 months</w:t>
            </w:r>
          </w:p>
        </w:tc>
        <w:tc>
          <w:tcPr>
            <w:tcW w:w="422" w:type="pct"/>
          </w:tcPr>
          <w:p w14:paraId="2EA965C7" w14:textId="77777777" w:rsidR="007B72A2" w:rsidRPr="007B72A2" w:rsidRDefault="007B72A2" w:rsidP="00D200FB">
            <w:pPr>
              <w:pStyle w:val="Tabletext1"/>
              <w:rPr>
                <w:lang w:eastAsia="en-US"/>
              </w:rPr>
            </w:pPr>
            <w:r w:rsidRPr="007B72A2">
              <w:rPr>
                <w:lang w:eastAsia="en-US"/>
              </w:rPr>
              <w:t>Recruiting</w:t>
            </w:r>
          </w:p>
        </w:tc>
        <w:tc>
          <w:tcPr>
            <w:tcW w:w="422" w:type="pct"/>
          </w:tcPr>
          <w:p w14:paraId="33B2587D" w14:textId="77777777" w:rsidR="007B72A2" w:rsidRPr="007B72A2" w:rsidRDefault="007B72A2" w:rsidP="00D200FB">
            <w:pPr>
              <w:pStyle w:val="Tabletext1"/>
              <w:rPr>
                <w:lang w:eastAsia="en-US"/>
              </w:rPr>
            </w:pPr>
            <w:r w:rsidRPr="007B72A2">
              <w:rPr>
                <w:lang w:eastAsia="en-US"/>
              </w:rPr>
              <w:t>February 2016</w:t>
            </w:r>
          </w:p>
        </w:tc>
        <w:tc>
          <w:tcPr>
            <w:tcW w:w="528" w:type="pct"/>
          </w:tcPr>
          <w:p w14:paraId="5BF97B0A"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2F6C9F94" w14:textId="77777777" w:rsidTr="00F5175B">
        <w:tc>
          <w:tcPr>
            <w:tcW w:w="568" w:type="pct"/>
          </w:tcPr>
          <w:p w14:paraId="3FF630B1" w14:textId="77777777" w:rsidR="007B72A2" w:rsidRPr="007B72A2" w:rsidRDefault="007B72A2" w:rsidP="00D200FB">
            <w:pPr>
              <w:pStyle w:val="Tabletext1"/>
              <w:rPr>
                <w:lang w:eastAsia="en-US"/>
              </w:rPr>
            </w:pPr>
            <w:r w:rsidRPr="007B72A2">
              <w:rPr>
                <w:lang w:eastAsia="en-US"/>
              </w:rPr>
              <w:lastRenderedPageBreak/>
              <w:t>NCT02799303</w:t>
            </w:r>
          </w:p>
          <w:p w14:paraId="62B6DC93" w14:textId="77777777" w:rsidR="007B72A2" w:rsidRPr="007B72A2" w:rsidRDefault="007B72A2" w:rsidP="00D200FB">
            <w:pPr>
              <w:pStyle w:val="Tabletext1"/>
              <w:rPr>
                <w:lang w:eastAsia="en-US"/>
              </w:rPr>
            </w:pPr>
            <w:r w:rsidRPr="007B72A2">
              <w:rPr>
                <w:lang w:eastAsia="en-US"/>
              </w:rPr>
              <w:t>Other</w:t>
            </w:r>
          </w:p>
          <w:p w14:paraId="1C38F149" w14:textId="77777777" w:rsidR="007B72A2" w:rsidRPr="007B72A2" w:rsidRDefault="007B72A2" w:rsidP="00D200FB">
            <w:pPr>
              <w:pStyle w:val="Tabletext1"/>
              <w:rPr>
                <w:lang w:eastAsia="en-US"/>
              </w:rPr>
            </w:pPr>
            <w:r w:rsidRPr="007B72A2">
              <w:rPr>
                <w:lang w:eastAsia="en-US"/>
              </w:rPr>
              <w:t>Canada</w:t>
            </w:r>
          </w:p>
        </w:tc>
        <w:tc>
          <w:tcPr>
            <w:tcW w:w="844" w:type="pct"/>
          </w:tcPr>
          <w:p w14:paraId="4F8D36FD" w14:textId="77777777" w:rsidR="007B72A2" w:rsidRPr="007B72A2" w:rsidRDefault="007B72A2" w:rsidP="00D200FB">
            <w:pPr>
              <w:pStyle w:val="Tabletext1"/>
              <w:rPr>
                <w:lang w:eastAsia="en-US"/>
              </w:rPr>
            </w:pPr>
            <w:r w:rsidRPr="007B72A2">
              <w:rPr>
                <w:lang w:eastAsia="en-US"/>
              </w:rPr>
              <w:t>A Randomized Clinical Trial Comparing the Efficacy of MRI Versus PSA for Prostate Cancer Screening: The MVP Study (MRI vs PSA)</w:t>
            </w:r>
          </w:p>
        </w:tc>
        <w:tc>
          <w:tcPr>
            <w:tcW w:w="844" w:type="pct"/>
          </w:tcPr>
          <w:p w14:paraId="77836DF6" w14:textId="77777777" w:rsidR="007B72A2" w:rsidRPr="007B72A2" w:rsidRDefault="007B72A2" w:rsidP="00D200FB">
            <w:pPr>
              <w:pStyle w:val="Tabletext1"/>
              <w:rPr>
                <w:lang w:eastAsia="en-US"/>
              </w:rPr>
            </w:pPr>
            <w:r w:rsidRPr="007B72A2">
              <w:rPr>
                <w:lang w:eastAsia="en-US"/>
              </w:rPr>
              <w:t>≤ 50 years of age</w:t>
            </w:r>
          </w:p>
        </w:tc>
        <w:tc>
          <w:tcPr>
            <w:tcW w:w="580" w:type="pct"/>
          </w:tcPr>
          <w:p w14:paraId="081E5F58" w14:textId="77777777" w:rsidR="007B72A2" w:rsidRPr="007B72A2" w:rsidRDefault="007B72A2" w:rsidP="00D200FB">
            <w:pPr>
              <w:pStyle w:val="Tabletext1"/>
              <w:rPr>
                <w:lang w:eastAsia="en-US"/>
              </w:rPr>
            </w:pPr>
            <w:r w:rsidRPr="007B72A2">
              <w:rPr>
                <w:lang w:eastAsia="en-US"/>
              </w:rPr>
              <w:t>Sunnybrook Health Sciences Centre</w:t>
            </w:r>
          </w:p>
        </w:tc>
        <w:tc>
          <w:tcPr>
            <w:tcW w:w="369" w:type="pct"/>
          </w:tcPr>
          <w:p w14:paraId="7AF61545" w14:textId="77777777" w:rsidR="007B72A2" w:rsidRPr="007B72A2" w:rsidRDefault="007B72A2" w:rsidP="00D200FB">
            <w:pPr>
              <w:pStyle w:val="Tabletext1"/>
              <w:rPr>
                <w:lang w:eastAsia="en-US"/>
              </w:rPr>
            </w:pPr>
            <w:r w:rsidRPr="007B72A2">
              <w:rPr>
                <w:lang w:eastAsia="en-US"/>
              </w:rPr>
              <w:t>NR</w:t>
            </w:r>
          </w:p>
        </w:tc>
        <w:tc>
          <w:tcPr>
            <w:tcW w:w="422" w:type="pct"/>
          </w:tcPr>
          <w:p w14:paraId="4D9AE77C" w14:textId="77777777" w:rsidR="007B72A2" w:rsidRPr="007B72A2" w:rsidRDefault="007B72A2" w:rsidP="00D200FB">
            <w:pPr>
              <w:pStyle w:val="Tabletext1"/>
              <w:rPr>
                <w:lang w:eastAsia="en-US"/>
              </w:rPr>
            </w:pPr>
            <w:r w:rsidRPr="007B72A2">
              <w:rPr>
                <w:lang w:eastAsia="en-US"/>
              </w:rPr>
              <w:t>3 years</w:t>
            </w:r>
          </w:p>
        </w:tc>
        <w:tc>
          <w:tcPr>
            <w:tcW w:w="422" w:type="pct"/>
          </w:tcPr>
          <w:p w14:paraId="4AAF5DC8" w14:textId="77777777" w:rsidR="007B72A2" w:rsidRPr="007B72A2" w:rsidRDefault="007B72A2" w:rsidP="00D200FB">
            <w:pPr>
              <w:pStyle w:val="Tabletext1"/>
              <w:rPr>
                <w:lang w:eastAsia="en-US"/>
              </w:rPr>
            </w:pPr>
            <w:r w:rsidRPr="007B72A2">
              <w:rPr>
                <w:lang w:eastAsia="en-US"/>
              </w:rPr>
              <w:t>Not yet open for recruitment</w:t>
            </w:r>
          </w:p>
        </w:tc>
        <w:tc>
          <w:tcPr>
            <w:tcW w:w="422" w:type="pct"/>
          </w:tcPr>
          <w:p w14:paraId="44ADA469" w14:textId="77777777" w:rsidR="007B72A2" w:rsidRPr="007B72A2" w:rsidRDefault="007B72A2" w:rsidP="00D200FB">
            <w:pPr>
              <w:pStyle w:val="Tabletext1"/>
              <w:rPr>
                <w:lang w:eastAsia="en-US"/>
              </w:rPr>
            </w:pPr>
            <w:r w:rsidRPr="007B72A2">
              <w:rPr>
                <w:lang w:eastAsia="en-US"/>
              </w:rPr>
              <w:t>June 2020</w:t>
            </w:r>
          </w:p>
        </w:tc>
        <w:tc>
          <w:tcPr>
            <w:tcW w:w="528" w:type="pct"/>
          </w:tcPr>
          <w:p w14:paraId="5489396B" w14:textId="77777777" w:rsidR="007B72A2" w:rsidRPr="007B72A2" w:rsidRDefault="007B72A2" w:rsidP="00D200FB">
            <w:pPr>
              <w:pStyle w:val="Tabletext1"/>
              <w:rPr>
                <w:lang w:eastAsia="en-US"/>
              </w:rPr>
            </w:pPr>
            <w:r w:rsidRPr="007B72A2">
              <w:rPr>
                <w:lang w:eastAsia="en-US"/>
              </w:rPr>
              <w:t>III-2</w:t>
            </w:r>
          </w:p>
        </w:tc>
      </w:tr>
      <w:tr w:rsidR="007B72A2" w:rsidRPr="00657984" w14:paraId="3FA7577B" w14:textId="77777777" w:rsidTr="00F5175B">
        <w:tc>
          <w:tcPr>
            <w:tcW w:w="568" w:type="pct"/>
          </w:tcPr>
          <w:p w14:paraId="7532C535" w14:textId="77777777" w:rsidR="007B72A2" w:rsidRPr="007B72A2" w:rsidRDefault="007B72A2" w:rsidP="00D200FB">
            <w:pPr>
              <w:pStyle w:val="Tabletext1"/>
              <w:rPr>
                <w:lang w:eastAsia="en-US"/>
              </w:rPr>
            </w:pPr>
            <w:r w:rsidRPr="007B72A2">
              <w:rPr>
                <w:lang w:eastAsia="en-US"/>
              </w:rPr>
              <w:t>NCT02721784</w:t>
            </w:r>
          </w:p>
          <w:p w14:paraId="37C4774B" w14:textId="77777777" w:rsidR="007B72A2" w:rsidRPr="007B72A2" w:rsidRDefault="007B72A2" w:rsidP="00D200FB">
            <w:pPr>
              <w:pStyle w:val="Tabletext1"/>
              <w:rPr>
                <w:lang w:eastAsia="en-US"/>
              </w:rPr>
            </w:pPr>
            <w:r w:rsidRPr="007B72A2">
              <w:rPr>
                <w:lang w:eastAsia="en-US"/>
              </w:rPr>
              <w:t>Population 2</w:t>
            </w:r>
          </w:p>
          <w:p w14:paraId="07214773" w14:textId="77777777" w:rsidR="007B72A2" w:rsidRPr="007B72A2" w:rsidRDefault="007B72A2" w:rsidP="00D200FB">
            <w:pPr>
              <w:pStyle w:val="Tabletext1"/>
              <w:rPr>
                <w:lang w:eastAsia="en-US"/>
              </w:rPr>
            </w:pPr>
            <w:r w:rsidRPr="007B72A2">
              <w:rPr>
                <w:lang w:eastAsia="en-US"/>
              </w:rPr>
              <w:t>UK</w:t>
            </w:r>
          </w:p>
          <w:p w14:paraId="22BEBA08" w14:textId="77777777" w:rsidR="007B72A2" w:rsidRPr="007B72A2" w:rsidRDefault="007B72A2" w:rsidP="00D200FB">
            <w:pPr>
              <w:pStyle w:val="Tabletext1"/>
              <w:rPr>
                <w:lang w:eastAsia="en-US"/>
              </w:rPr>
            </w:pPr>
          </w:p>
        </w:tc>
        <w:tc>
          <w:tcPr>
            <w:tcW w:w="844" w:type="pct"/>
          </w:tcPr>
          <w:p w14:paraId="09F381AD" w14:textId="77777777" w:rsidR="007B72A2" w:rsidRPr="007B72A2" w:rsidRDefault="007B72A2" w:rsidP="00D200FB">
            <w:pPr>
              <w:pStyle w:val="Tabletext1"/>
              <w:rPr>
                <w:lang w:eastAsia="en-US"/>
              </w:rPr>
            </w:pPr>
            <w:r w:rsidRPr="007B72A2">
              <w:rPr>
                <w:lang w:eastAsia="en-US"/>
              </w:rPr>
              <w:t>Serial mpMRI Scanning in Prostate Cancer After Androgen Deprivation Therapy and RadioTherapy (SMART)</w:t>
            </w:r>
          </w:p>
        </w:tc>
        <w:tc>
          <w:tcPr>
            <w:tcW w:w="844" w:type="pct"/>
          </w:tcPr>
          <w:p w14:paraId="5DC2893C" w14:textId="4BBBE578" w:rsidR="007B72A2" w:rsidRPr="007B72A2" w:rsidRDefault="007B72A2" w:rsidP="00D200FB">
            <w:pPr>
              <w:pStyle w:val="Tabletext1"/>
              <w:rPr>
                <w:lang w:eastAsia="en-US"/>
              </w:rPr>
            </w:pPr>
            <w:r w:rsidRPr="007B72A2">
              <w:rPr>
                <w:lang w:eastAsia="en-US"/>
              </w:rPr>
              <w:t xml:space="preserve">Men with biopsy confirmed </w:t>
            </w:r>
            <w:r w:rsidR="006818E1" w:rsidRPr="006818E1">
              <w:rPr>
                <w:lang w:eastAsia="en-US"/>
              </w:rPr>
              <w:t>PCa</w:t>
            </w:r>
            <w:r w:rsidRPr="007B72A2">
              <w:rPr>
                <w:lang w:eastAsia="en-US"/>
              </w:rPr>
              <w:t xml:space="preserve"> who had mpMRI scan of the prostate pre-biopsy</w:t>
            </w:r>
          </w:p>
        </w:tc>
        <w:tc>
          <w:tcPr>
            <w:tcW w:w="580" w:type="pct"/>
          </w:tcPr>
          <w:p w14:paraId="0B17B644" w14:textId="77777777" w:rsidR="007B72A2" w:rsidRPr="007B72A2" w:rsidRDefault="007B72A2" w:rsidP="00D200FB">
            <w:pPr>
              <w:pStyle w:val="Tabletext1"/>
              <w:rPr>
                <w:lang w:eastAsia="en-US"/>
              </w:rPr>
            </w:pPr>
            <w:r w:rsidRPr="007B72A2">
              <w:rPr>
                <w:lang w:eastAsia="en-US"/>
              </w:rPr>
              <w:t>University College, London</w:t>
            </w:r>
          </w:p>
        </w:tc>
        <w:tc>
          <w:tcPr>
            <w:tcW w:w="369" w:type="pct"/>
          </w:tcPr>
          <w:p w14:paraId="58B15676" w14:textId="77777777" w:rsidR="007B72A2" w:rsidRPr="007B72A2" w:rsidRDefault="007B72A2" w:rsidP="00D200FB">
            <w:pPr>
              <w:pStyle w:val="Tabletext1"/>
              <w:rPr>
                <w:lang w:eastAsia="en-US"/>
              </w:rPr>
            </w:pPr>
            <w:r w:rsidRPr="007B72A2">
              <w:rPr>
                <w:lang w:eastAsia="en-US"/>
              </w:rPr>
              <w:t>10</w:t>
            </w:r>
          </w:p>
        </w:tc>
        <w:tc>
          <w:tcPr>
            <w:tcW w:w="422" w:type="pct"/>
          </w:tcPr>
          <w:p w14:paraId="264EC822" w14:textId="77777777" w:rsidR="007B72A2" w:rsidRPr="007B72A2" w:rsidRDefault="007B72A2" w:rsidP="00D200FB">
            <w:pPr>
              <w:pStyle w:val="Tabletext1"/>
              <w:rPr>
                <w:lang w:eastAsia="en-US"/>
              </w:rPr>
            </w:pPr>
            <w:r w:rsidRPr="007B72A2">
              <w:rPr>
                <w:lang w:eastAsia="en-US"/>
              </w:rPr>
              <w:t>6 months</w:t>
            </w:r>
          </w:p>
        </w:tc>
        <w:tc>
          <w:tcPr>
            <w:tcW w:w="422" w:type="pct"/>
          </w:tcPr>
          <w:p w14:paraId="37607CF8" w14:textId="77777777" w:rsidR="007B72A2" w:rsidRPr="007B72A2" w:rsidRDefault="007B72A2" w:rsidP="00D200FB">
            <w:pPr>
              <w:pStyle w:val="Tabletext1"/>
              <w:rPr>
                <w:lang w:eastAsia="en-US"/>
              </w:rPr>
            </w:pPr>
            <w:r w:rsidRPr="007B72A2">
              <w:rPr>
                <w:lang w:eastAsia="en-US"/>
              </w:rPr>
              <w:t>Not yet open for recruitment</w:t>
            </w:r>
          </w:p>
        </w:tc>
        <w:tc>
          <w:tcPr>
            <w:tcW w:w="422" w:type="pct"/>
          </w:tcPr>
          <w:p w14:paraId="0BA70DEA" w14:textId="77777777" w:rsidR="007B72A2" w:rsidRPr="007B72A2" w:rsidRDefault="007B72A2" w:rsidP="00D200FB">
            <w:pPr>
              <w:pStyle w:val="Tabletext1"/>
              <w:rPr>
                <w:lang w:eastAsia="en-US"/>
              </w:rPr>
            </w:pPr>
            <w:r w:rsidRPr="007B72A2">
              <w:rPr>
                <w:lang w:eastAsia="en-US"/>
              </w:rPr>
              <w:t>January 2018</w:t>
            </w:r>
          </w:p>
        </w:tc>
        <w:tc>
          <w:tcPr>
            <w:tcW w:w="528" w:type="pct"/>
          </w:tcPr>
          <w:p w14:paraId="22CD78FD"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62657C1D" w14:textId="77777777" w:rsidTr="00F5175B">
        <w:tc>
          <w:tcPr>
            <w:tcW w:w="568" w:type="pct"/>
          </w:tcPr>
          <w:p w14:paraId="11D3CDCC" w14:textId="77777777" w:rsidR="007B72A2" w:rsidRPr="007B72A2" w:rsidRDefault="007B72A2" w:rsidP="00D200FB">
            <w:pPr>
              <w:pStyle w:val="Tabletext1"/>
              <w:rPr>
                <w:lang w:eastAsia="en-US"/>
              </w:rPr>
            </w:pPr>
            <w:r w:rsidRPr="007B72A2">
              <w:rPr>
                <w:lang w:eastAsia="en-US"/>
              </w:rPr>
              <w:t>NCT02524860</w:t>
            </w:r>
          </w:p>
          <w:p w14:paraId="058AC2DC" w14:textId="77777777" w:rsidR="007B72A2" w:rsidRPr="007B72A2" w:rsidRDefault="007B72A2" w:rsidP="00D200FB">
            <w:pPr>
              <w:pStyle w:val="Tabletext1"/>
              <w:rPr>
                <w:lang w:eastAsia="en-US"/>
              </w:rPr>
            </w:pPr>
            <w:r w:rsidRPr="007B72A2">
              <w:rPr>
                <w:lang w:eastAsia="en-US"/>
              </w:rPr>
              <w:t>Population 1</w:t>
            </w:r>
          </w:p>
          <w:p w14:paraId="37622ACB" w14:textId="77777777" w:rsidR="007B72A2" w:rsidRPr="007B72A2" w:rsidRDefault="007B72A2" w:rsidP="00D200FB">
            <w:pPr>
              <w:pStyle w:val="Tabletext1"/>
              <w:rPr>
                <w:lang w:eastAsia="en-US"/>
              </w:rPr>
            </w:pPr>
            <w:r w:rsidRPr="007B72A2">
              <w:rPr>
                <w:lang w:eastAsia="en-US"/>
              </w:rPr>
              <w:t>Canada</w:t>
            </w:r>
          </w:p>
        </w:tc>
        <w:tc>
          <w:tcPr>
            <w:tcW w:w="844" w:type="pct"/>
          </w:tcPr>
          <w:p w14:paraId="4C10826A" w14:textId="77777777" w:rsidR="007B72A2" w:rsidRPr="007B72A2" w:rsidRDefault="007B72A2" w:rsidP="00D200FB">
            <w:pPr>
              <w:pStyle w:val="Tabletext1"/>
              <w:rPr>
                <w:lang w:eastAsia="en-US"/>
              </w:rPr>
            </w:pPr>
            <w:r w:rsidRPr="007B72A2">
              <w:rPr>
                <w:lang w:eastAsia="en-US"/>
              </w:rPr>
              <w:t>Targeted Prostate Biopsy Using a Novel MRI-Ultrasound Fusion Device in Patients With an Elevated PSA and a Positive Multiparametric MRI</w:t>
            </w:r>
          </w:p>
        </w:tc>
        <w:tc>
          <w:tcPr>
            <w:tcW w:w="844" w:type="pct"/>
          </w:tcPr>
          <w:p w14:paraId="30680017" w14:textId="60028F5A" w:rsidR="007B72A2" w:rsidRPr="007B72A2" w:rsidRDefault="007B72A2" w:rsidP="00D200FB">
            <w:pPr>
              <w:pStyle w:val="Tabletext1"/>
              <w:rPr>
                <w:lang w:eastAsia="en-US"/>
              </w:rPr>
            </w:pPr>
            <w:r w:rsidRPr="007B72A2">
              <w:rPr>
                <w:lang w:eastAsia="en-US"/>
              </w:rPr>
              <w:t xml:space="preserve">Candidates for fusion </w:t>
            </w:r>
            <w:r w:rsidR="0066172B">
              <w:rPr>
                <w:lang w:eastAsia="en-US"/>
              </w:rPr>
              <w:t>biopsy; Elevated PSA levels; mp</w:t>
            </w:r>
            <w:r w:rsidRPr="007B72A2">
              <w:rPr>
                <w:lang w:eastAsia="en-US"/>
              </w:rPr>
              <w:t>MRI with lesions having a Prostate Imaging Reporting and Data System (PI-RADS) score greater than or equal to 3</w:t>
            </w:r>
          </w:p>
        </w:tc>
        <w:tc>
          <w:tcPr>
            <w:tcW w:w="580" w:type="pct"/>
          </w:tcPr>
          <w:p w14:paraId="20D83532" w14:textId="77777777" w:rsidR="007B72A2" w:rsidRPr="007B72A2" w:rsidRDefault="007B72A2" w:rsidP="00D200FB">
            <w:pPr>
              <w:pStyle w:val="Tabletext1"/>
              <w:rPr>
                <w:lang w:eastAsia="en-US"/>
              </w:rPr>
            </w:pPr>
            <w:r w:rsidRPr="007B72A2">
              <w:rPr>
                <w:lang w:eastAsia="en-US"/>
              </w:rPr>
              <w:t>Focal Healthcare Inc.</w:t>
            </w:r>
          </w:p>
        </w:tc>
        <w:tc>
          <w:tcPr>
            <w:tcW w:w="369" w:type="pct"/>
          </w:tcPr>
          <w:p w14:paraId="64C64DB2" w14:textId="77777777" w:rsidR="007B72A2" w:rsidRPr="007B72A2" w:rsidRDefault="007B72A2" w:rsidP="00D200FB">
            <w:pPr>
              <w:pStyle w:val="Tabletext1"/>
              <w:rPr>
                <w:lang w:eastAsia="en-US"/>
              </w:rPr>
            </w:pPr>
            <w:r w:rsidRPr="007B72A2">
              <w:rPr>
                <w:lang w:eastAsia="en-US"/>
              </w:rPr>
              <w:t>NR</w:t>
            </w:r>
          </w:p>
        </w:tc>
        <w:tc>
          <w:tcPr>
            <w:tcW w:w="422" w:type="pct"/>
          </w:tcPr>
          <w:p w14:paraId="269F9A54" w14:textId="77777777" w:rsidR="007B72A2" w:rsidRPr="007B72A2" w:rsidRDefault="007B72A2" w:rsidP="00D200FB">
            <w:pPr>
              <w:pStyle w:val="Tabletext1"/>
              <w:rPr>
                <w:lang w:eastAsia="en-US"/>
              </w:rPr>
            </w:pPr>
            <w:r w:rsidRPr="007B72A2">
              <w:rPr>
                <w:lang w:eastAsia="en-US"/>
              </w:rPr>
              <w:t>1 year</w:t>
            </w:r>
          </w:p>
        </w:tc>
        <w:tc>
          <w:tcPr>
            <w:tcW w:w="422" w:type="pct"/>
          </w:tcPr>
          <w:p w14:paraId="53F05B3C" w14:textId="77777777" w:rsidR="007B72A2" w:rsidRPr="007B72A2" w:rsidRDefault="007B72A2" w:rsidP="00D200FB">
            <w:pPr>
              <w:pStyle w:val="Tabletext1"/>
              <w:rPr>
                <w:lang w:eastAsia="en-US"/>
              </w:rPr>
            </w:pPr>
            <w:r w:rsidRPr="007B72A2">
              <w:rPr>
                <w:lang w:eastAsia="en-US"/>
              </w:rPr>
              <w:t>Not yet open for recruitment</w:t>
            </w:r>
          </w:p>
        </w:tc>
        <w:tc>
          <w:tcPr>
            <w:tcW w:w="422" w:type="pct"/>
          </w:tcPr>
          <w:p w14:paraId="46E8FB04" w14:textId="77777777" w:rsidR="007B72A2" w:rsidRPr="007B72A2" w:rsidRDefault="007B72A2" w:rsidP="00D200FB">
            <w:pPr>
              <w:pStyle w:val="Tabletext1"/>
              <w:rPr>
                <w:lang w:eastAsia="en-US"/>
              </w:rPr>
            </w:pPr>
            <w:r w:rsidRPr="007B72A2">
              <w:rPr>
                <w:lang w:eastAsia="en-US"/>
              </w:rPr>
              <w:t>July 2016</w:t>
            </w:r>
          </w:p>
        </w:tc>
        <w:tc>
          <w:tcPr>
            <w:tcW w:w="528" w:type="pct"/>
          </w:tcPr>
          <w:p w14:paraId="72F2A9B5" w14:textId="77777777" w:rsidR="007B72A2" w:rsidRPr="007B72A2" w:rsidRDefault="007B72A2" w:rsidP="00D200FB">
            <w:pPr>
              <w:pStyle w:val="Tabletext1"/>
              <w:rPr>
                <w:lang w:eastAsia="en-US"/>
              </w:rPr>
            </w:pPr>
            <w:r w:rsidRPr="007B72A2">
              <w:rPr>
                <w:lang w:eastAsia="en-US"/>
              </w:rPr>
              <w:t>III-3, diagnostic case-control study</w:t>
            </w:r>
          </w:p>
        </w:tc>
      </w:tr>
      <w:tr w:rsidR="007B72A2" w:rsidRPr="00657984" w14:paraId="0356BFE4" w14:textId="77777777" w:rsidTr="00F5175B">
        <w:tc>
          <w:tcPr>
            <w:tcW w:w="568" w:type="pct"/>
          </w:tcPr>
          <w:p w14:paraId="6A574C02" w14:textId="77777777" w:rsidR="007B72A2" w:rsidRPr="007B72A2" w:rsidRDefault="007B72A2" w:rsidP="00D200FB">
            <w:pPr>
              <w:pStyle w:val="Tabletext1"/>
              <w:rPr>
                <w:lang w:eastAsia="en-US"/>
              </w:rPr>
            </w:pPr>
            <w:r w:rsidRPr="007B72A2">
              <w:rPr>
                <w:lang w:eastAsia="en-US"/>
              </w:rPr>
              <w:t>NCT02380027</w:t>
            </w:r>
          </w:p>
          <w:p w14:paraId="320BE303" w14:textId="77777777" w:rsidR="007B72A2" w:rsidRPr="007B72A2" w:rsidRDefault="007B72A2" w:rsidP="00D200FB">
            <w:pPr>
              <w:pStyle w:val="Tabletext1"/>
              <w:rPr>
                <w:lang w:eastAsia="en-US"/>
              </w:rPr>
            </w:pPr>
            <w:r w:rsidRPr="007B72A2">
              <w:rPr>
                <w:lang w:eastAsia="en-US"/>
              </w:rPr>
              <w:t>Population 1</w:t>
            </w:r>
          </w:p>
          <w:p w14:paraId="0D10AE5A" w14:textId="77777777" w:rsidR="007B72A2" w:rsidRPr="007B72A2" w:rsidRDefault="007B72A2" w:rsidP="00D200FB">
            <w:pPr>
              <w:pStyle w:val="Tabletext1"/>
              <w:rPr>
                <w:lang w:eastAsia="en-US"/>
              </w:rPr>
            </w:pPr>
            <w:r w:rsidRPr="007B72A2">
              <w:rPr>
                <w:lang w:eastAsia="en-US"/>
              </w:rPr>
              <w:t>UK</w:t>
            </w:r>
          </w:p>
        </w:tc>
        <w:tc>
          <w:tcPr>
            <w:tcW w:w="844" w:type="pct"/>
          </w:tcPr>
          <w:p w14:paraId="53FD7861" w14:textId="77777777" w:rsidR="007B72A2" w:rsidRPr="007B72A2" w:rsidRDefault="007B72A2" w:rsidP="00D200FB">
            <w:pPr>
              <w:pStyle w:val="Tabletext1"/>
              <w:rPr>
                <w:lang w:eastAsia="en-US"/>
              </w:rPr>
            </w:pPr>
            <w:r w:rsidRPr="007B72A2">
              <w:rPr>
                <w:lang w:eastAsia="en-US"/>
              </w:rPr>
              <w:t>PRostate Evaluation for Clinically Important Disease: Sampling Using Image-guidance Or Not? (PRECISION)</w:t>
            </w:r>
          </w:p>
        </w:tc>
        <w:tc>
          <w:tcPr>
            <w:tcW w:w="844" w:type="pct"/>
          </w:tcPr>
          <w:p w14:paraId="3DFFF83B" w14:textId="77777777" w:rsidR="007B72A2" w:rsidRPr="007B72A2" w:rsidRDefault="007B72A2" w:rsidP="00D200FB">
            <w:pPr>
              <w:pStyle w:val="Tabletext1"/>
              <w:rPr>
                <w:lang w:eastAsia="en-US"/>
              </w:rPr>
            </w:pPr>
            <w:r w:rsidRPr="007B72A2">
              <w:rPr>
                <w:lang w:eastAsia="en-US"/>
              </w:rPr>
              <w:t>Suspicious PSA and DRE</w:t>
            </w:r>
          </w:p>
        </w:tc>
        <w:tc>
          <w:tcPr>
            <w:tcW w:w="580" w:type="pct"/>
          </w:tcPr>
          <w:p w14:paraId="1FE2C4DB" w14:textId="77777777" w:rsidR="007B72A2" w:rsidRPr="007B72A2" w:rsidRDefault="007B72A2" w:rsidP="00D200FB">
            <w:pPr>
              <w:pStyle w:val="Tabletext1"/>
              <w:rPr>
                <w:lang w:eastAsia="en-US"/>
              </w:rPr>
            </w:pPr>
            <w:r w:rsidRPr="007B72A2">
              <w:rPr>
                <w:lang w:eastAsia="en-US"/>
              </w:rPr>
              <w:t>University College, London</w:t>
            </w:r>
          </w:p>
        </w:tc>
        <w:tc>
          <w:tcPr>
            <w:tcW w:w="369" w:type="pct"/>
          </w:tcPr>
          <w:p w14:paraId="6C7CDB49" w14:textId="77777777" w:rsidR="007B72A2" w:rsidRPr="007B72A2" w:rsidRDefault="007B72A2" w:rsidP="00D200FB">
            <w:pPr>
              <w:pStyle w:val="Tabletext1"/>
              <w:rPr>
                <w:lang w:eastAsia="en-US"/>
              </w:rPr>
            </w:pPr>
            <w:r w:rsidRPr="007B72A2">
              <w:rPr>
                <w:lang w:eastAsia="en-US"/>
              </w:rPr>
              <w:t>470</w:t>
            </w:r>
          </w:p>
        </w:tc>
        <w:tc>
          <w:tcPr>
            <w:tcW w:w="422" w:type="pct"/>
          </w:tcPr>
          <w:p w14:paraId="0CF55E02" w14:textId="77777777" w:rsidR="007B72A2" w:rsidRPr="007B72A2" w:rsidRDefault="007B72A2" w:rsidP="00D200FB">
            <w:pPr>
              <w:pStyle w:val="Tabletext1"/>
              <w:rPr>
                <w:lang w:eastAsia="en-US"/>
              </w:rPr>
            </w:pPr>
            <w:r w:rsidRPr="007B72A2">
              <w:rPr>
                <w:lang w:eastAsia="en-US"/>
              </w:rPr>
              <w:t>1 month</w:t>
            </w:r>
          </w:p>
        </w:tc>
        <w:tc>
          <w:tcPr>
            <w:tcW w:w="422" w:type="pct"/>
          </w:tcPr>
          <w:p w14:paraId="3C242827" w14:textId="77777777" w:rsidR="007B72A2" w:rsidRPr="007B72A2" w:rsidRDefault="007B72A2" w:rsidP="00D200FB">
            <w:pPr>
              <w:pStyle w:val="Tabletext1"/>
              <w:rPr>
                <w:lang w:eastAsia="en-US"/>
              </w:rPr>
            </w:pPr>
            <w:r w:rsidRPr="007B72A2">
              <w:rPr>
                <w:lang w:eastAsia="en-US"/>
              </w:rPr>
              <w:t>Recruiting</w:t>
            </w:r>
          </w:p>
        </w:tc>
        <w:tc>
          <w:tcPr>
            <w:tcW w:w="422" w:type="pct"/>
          </w:tcPr>
          <w:p w14:paraId="52252733" w14:textId="77777777" w:rsidR="007B72A2" w:rsidRPr="007B72A2" w:rsidRDefault="007B72A2" w:rsidP="00D200FB">
            <w:pPr>
              <w:pStyle w:val="Tabletext1"/>
              <w:rPr>
                <w:lang w:eastAsia="en-US"/>
              </w:rPr>
            </w:pPr>
            <w:r w:rsidRPr="007B72A2">
              <w:rPr>
                <w:lang w:eastAsia="en-US"/>
              </w:rPr>
              <w:t>September 2017</w:t>
            </w:r>
          </w:p>
        </w:tc>
        <w:tc>
          <w:tcPr>
            <w:tcW w:w="528" w:type="pct"/>
          </w:tcPr>
          <w:p w14:paraId="765DB0DB" w14:textId="77777777" w:rsidR="007B72A2" w:rsidRPr="007B72A2" w:rsidRDefault="007B72A2" w:rsidP="00D200FB">
            <w:pPr>
              <w:pStyle w:val="Tabletext1"/>
              <w:rPr>
                <w:lang w:eastAsia="en-US"/>
              </w:rPr>
            </w:pPr>
            <w:r w:rsidRPr="007B72A2">
              <w:rPr>
                <w:lang w:eastAsia="en-US"/>
              </w:rPr>
              <w:t>III-2, single blind RCT</w:t>
            </w:r>
          </w:p>
        </w:tc>
      </w:tr>
      <w:tr w:rsidR="007B72A2" w:rsidRPr="00657984" w14:paraId="37FF91AC" w14:textId="77777777" w:rsidTr="00F5175B">
        <w:tc>
          <w:tcPr>
            <w:tcW w:w="568" w:type="pct"/>
          </w:tcPr>
          <w:p w14:paraId="320C4ABF" w14:textId="77777777" w:rsidR="007B72A2" w:rsidRPr="007B72A2" w:rsidRDefault="007B72A2" w:rsidP="00D200FB">
            <w:pPr>
              <w:pStyle w:val="Tabletext1"/>
              <w:rPr>
                <w:lang w:eastAsia="en-US"/>
              </w:rPr>
            </w:pPr>
            <w:r w:rsidRPr="007B72A2">
              <w:rPr>
                <w:lang w:eastAsia="en-US"/>
              </w:rPr>
              <w:t>NCT02745496</w:t>
            </w:r>
          </w:p>
          <w:p w14:paraId="1C9C4EB7" w14:textId="77777777" w:rsidR="007B72A2" w:rsidRPr="007B72A2" w:rsidRDefault="007B72A2" w:rsidP="00D200FB">
            <w:pPr>
              <w:pStyle w:val="Tabletext1"/>
              <w:rPr>
                <w:lang w:eastAsia="en-US"/>
              </w:rPr>
            </w:pPr>
            <w:r w:rsidRPr="007B72A2">
              <w:rPr>
                <w:lang w:eastAsia="en-US"/>
              </w:rPr>
              <w:t>Population 1</w:t>
            </w:r>
          </w:p>
          <w:p w14:paraId="33848757" w14:textId="77777777" w:rsidR="007B72A2" w:rsidRPr="007B72A2" w:rsidRDefault="007B72A2" w:rsidP="00D200FB">
            <w:pPr>
              <w:pStyle w:val="Tabletext1"/>
              <w:rPr>
                <w:lang w:eastAsia="en-US"/>
              </w:rPr>
            </w:pPr>
            <w:r w:rsidRPr="007B72A2">
              <w:rPr>
                <w:lang w:eastAsia="en-US"/>
              </w:rPr>
              <w:t>UK</w:t>
            </w:r>
          </w:p>
        </w:tc>
        <w:tc>
          <w:tcPr>
            <w:tcW w:w="844" w:type="pct"/>
          </w:tcPr>
          <w:p w14:paraId="7E48EBAB" w14:textId="77777777" w:rsidR="007B72A2" w:rsidRPr="007B72A2" w:rsidRDefault="007B72A2" w:rsidP="00D200FB">
            <w:pPr>
              <w:pStyle w:val="Tabletext1"/>
              <w:rPr>
                <w:lang w:eastAsia="en-US"/>
              </w:rPr>
            </w:pPr>
            <w:r w:rsidRPr="007B72A2">
              <w:rPr>
                <w:lang w:eastAsia="en-US"/>
              </w:rPr>
              <w:t>Multiparametric Magnetic Resonance Imaging Characterization and Guided Biopsy of the Prostate in Men Suspected of Having Prostate Cancer</w:t>
            </w:r>
          </w:p>
        </w:tc>
        <w:tc>
          <w:tcPr>
            <w:tcW w:w="844" w:type="pct"/>
          </w:tcPr>
          <w:p w14:paraId="4E8601DF" w14:textId="77777777" w:rsidR="007B72A2" w:rsidRPr="007B72A2" w:rsidRDefault="007B72A2" w:rsidP="00D200FB">
            <w:pPr>
              <w:pStyle w:val="Tabletext1"/>
              <w:rPr>
                <w:lang w:eastAsia="en-US"/>
              </w:rPr>
            </w:pPr>
            <w:r w:rsidRPr="007B72A2">
              <w:rPr>
                <w:lang w:eastAsia="en-US"/>
              </w:rPr>
              <w:t>Men aged 40-75 years, with suspicious PSA and/or DRE</w:t>
            </w:r>
          </w:p>
        </w:tc>
        <w:tc>
          <w:tcPr>
            <w:tcW w:w="580" w:type="pct"/>
          </w:tcPr>
          <w:p w14:paraId="0602A082" w14:textId="77777777" w:rsidR="007B72A2" w:rsidRPr="007B72A2" w:rsidRDefault="007B72A2" w:rsidP="00D200FB">
            <w:pPr>
              <w:pStyle w:val="Tabletext1"/>
              <w:rPr>
                <w:lang w:eastAsia="en-US"/>
              </w:rPr>
            </w:pPr>
            <w:r w:rsidRPr="007B72A2">
              <w:rPr>
                <w:lang w:eastAsia="en-US"/>
              </w:rPr>
              <w:t>University of Dundee</w:t>
            </w:r>
          </w:p>
        </w:tc>
        <w:tc>
          <w:tcPr>
            <w:tcW w:w="369" w:type="pct"/>
          </w:tcPr>
          <w:p w14:paraId="42162102" w14:textId="77777777" w:rsidR="007B72A2" w:rsidRPr="007B72A2" w:rsidRDefault="007B72A2" w:rsidP="00D200FB">
            <w:pPr>
              <w:pStyle w:val="Tabletext1"/>
              <w:rPr>
                <w:lang w:eastAsia="en-US"/>
              </w:rPr>
            </w:pPr>
            <w:r w:rsidRPr="007B72A2">
              <w:rPr>
                <w:lang w:eastAsia="en-US"/>
              </w:rPr>
              <w:t>600</w:t>
            </w:r>
          </w:p>
        </w:tc>
        <w:tc>
          <w:tcPr>
            <w:tcW w:w="422" w:type="pct"/>
          </w:tcPr>
          <w:p w14:paraId="65FD1135" w14:textId="77777777" w:rsidR="007B72A2" w:rsidRPr="007B72A2" w:rsidRDefault="007B72A2" w:rsidP="00D200FB">
            <w:pPr>
              <w:pStyle w:val="Tabletext1"/>
              <w:rPr>
                <w:lang w:eastAsia="en-US"/>
              </w:rPr>
            </w:pPr>
            <w:r w:rsidRPr="007B72A2">
              <w:rPr>
                <w:lang w:eastAsia="en-US"/>
              </w:rPr>
              <w:t>4 years</w:t>
            </w:r>
          </w:p>
        </w:tc>
        <w:tc>
          <w:tcPr>
            <w:tcW w:w="422" w:type="pct"/>
          </w:tcPr>
          <w:p w14:paraId="388A0309" w14:textId="77777777" w:rsidR="007B72A2" w:rsidRPr="007B72A2" w:rsidRDefault="007B72A2" w:rsidP="00D200FB">
            <w:pPr>
              <w:pStyle w:val="Tabletext1"/>
              <w:rPr>
                <w:lang w:eastAsia="en-US"/>
              </w:rPr>
            </w:pPr>
            <w:r w:rsidRPr="007B72A2">
              <w:rPr>
                <w:lang w:eastAsia="en-US"/>
              </w:rPr>
              <w:t>Recruiting</w:t>
            </w:r>
          </w:p>
        </w:tc>
        <w:tc>
          <w:tcPr>
            <w:tcW w:w="422" w:type="pct"/>
          </w:tcPr>
          <w:p w14:paraId="21A32F83" w14:textId="77777777" w:rsidR="007B72A2" w:rsidRPr="007B72A2" w:rsidRDefault="007B72A2" w:rsidP="00D200FB">
            <w:pPr>
              <w:pStyle w:val="Tabletext1"/>
              <w:rPr>
                <w:lang w:eastAsia="en-US"/>
              </w:rPr>
            </w:pPr>
            <w:r w:rsidRPr="007B72A2">
              <w:rPr>
                <w:lang w:eastAsia="en-US"/>
              </w:rPr>
              <w:t>January 2019</w:t>
            </w:r>
          </w:p>
        </w:tc>
        <w:tc>
          <w:tcPr>
            <w:tcW w:w="528" w:type="pct"/>
          </w:tcPr>
          <w:p w14:paraId="0C6273C2" w14:textId="77777777" w:rsidR="007B72A2" w:rsidRPr="007B72A2" w:rsidRDefault="007B72A2" w:rsidP="00D200FB">
            <w:pPr>
              <w:pStyle w:val="Tabletext1"/>
              <w:rPr>
                <w:lang w:eastAsia="en-US"/>
              </w:rPr>
            </w:pPr>
            <w:r w:rsidRPr="007B72A2">
              <w:rPr>
                <w:lang w:eastAsia="en-US"/>
              </w:rPr>
              <w:t>III-2</w:t>
            </w:r>
          </w:p>
        </w:tc>
      </w:tr>
      <w:tr w:rsidR="007B72A2" w:rsidRPr="00657984" w14:paraId="6026AF34" w14:textId="77777777" w:rsidTr="00F5175B">
        <w:tc>
          <w:tcPr>
            <w:tcW w:w="568" w:type="pct"/>
          </w:tcPr>
          <w:p w14:paraId="6284562A" w14:textId="77777777" w:rsidR="007B72A2" w:rsidRPr="007B72A2" w:rsidRDefault="007B72A2" w:rsidP="00D200FB">
            <w:pPr>
              <w:pStyle w:val="Tabletext1"/>
              <w:rPr>
                <w:lang w:eastAsia="en-US"/>
              </w:rPr>
            </w:pPr>
            <w:r w:rsidRPr="007B72A2">
              <w:rPr>
                <w:lang w:eastAsia="en-US"/>
              </w:rPr>
              <w:t>NCT02678481</w:t>
            </w:r>
          </w:p>
          <w:p w14:paraId="09EA6B91" w14:textId="77777777" w:rsidR="007B72A2" w:rsidRPr="007B72A2" w:rsidRDefault="007B72A2" w:rsidP="00D200FB">
            <w:pPr>
              <w:pStyle w:val="Tabletext1"/>
              <w:rPr>
                <w:lang w:eastAsia="en-US"/>
              </w:rPr>
            </w:pPr>
            <w:r w:rsidRPr="007B72A2">
              <w:rPr>
                <w:lang w:eastAsia="en-US"/>
              </w:rPr>
              <w:t>Other</w:t>
            </w:r>
          </w:p>
          <w:p w14:paraId="012D5925" w14:textId="77777777" w:rsidR="007B72A2" w:rsidRPr="007B72A2" w:rsidRDefault="007B72A2" w:rsidP="00D200FB">
            <w:pPr>
              <w:pStyle w:val="Tabletext1"/>
              <w:rPr>
                <w:lang w:eastAsia="en-US"/>
              </w:rPr>
            </w:pPr>
            <w:r w:rsidRPr="007B72A2">
              <w:rPr>
                <w:lang w:eastAsia="en-US"/>
              </w:rPr>
              <w:t>Italy</w:t>
            </w:r>
          </w:p>
        </w:tc>
        <w:tc>
          <w:tcPr>
            <w:tcW w:w="844" w:type="pct"/>
          </w:tcPr>
          <w:p w14:paraId="43C18E26" w14:textId="77777777" w:rsidR="007B72A2" w:rsidRPr="007B72A2" w:rsidRDefault="007B72A2" w:rsidP="00D200FB">
            <w:pPr>
              <w:pStyle w:val="Tabletext1"/>
              <w:rPr>
                <w:lang w:eastAsia="en-US"/>
              </w:rPr>
            </w:pPr>
            <w:r w:rsidRPr="007B72A2">
              <w:rPr>
                <w:lang w:eastAsia="en-US"/>
              </w:rPr>
              <w:t xml:space="preserve">MR-targeted vs. Random TRUS-guided Prostate Biopsy in Patients With </w:t>
            </w:r>
            <w:r w:rsidRPr="007B72A2">
              <w:rPr>
                <w:lang w:eastAsia="en-US"/>
              </w:rPr>
              <w:lastRenderedPageBreak/>
              <w:t>High PSA Values and Previous Negative Biopsy Results: A Randomized Controlled Trial</w:t>
            </w:r>
          </w:p>
        </w:tc>
        <w:tc>
          <w:tcPr>
            <w:tcW w:w="844" w:type="pct"/>
          </w:tcPr>
          <w:p w14:paraId="73771A00" w14:textId="77777777" w:rsidR="007B72A2" w:rsidRPr="007B72A2" w:rsidRDefault="007B72A2" w:rsidP="00D200FB">
            <w:pPr>
              <w:pStyle w:val="Tabletext1"/>
              <w:rPr>
                <w:lang w:eastAsia="en-US"/>
              </w:rPr>
            </w:pPr>
            <w:r w:rsidRPr="007B72A2">
              <w:rPr>
                <w:lang w:eastAsia="en-US"/>
              </w:rPr>
              <w:lastRenderedPageBreak/>
              <w:t>Patients with negative biopsy</w:t>
            </w:r>
          </w:p>
        </w:tc>
        <w:tc>
          <w:tcPr>
            <w:tcW w:w="580" w:type="pct"/>
          </w:tcPr>
          <w:p w14:paraId="3B2D6145" w14:textId="77777777" w:rsidR="007B72A2" w:rsidRPr="007B72A2" w:rsidRDefault="007B72A2" w:rsidP="00D200FB">
            <w:pPr>
              <w:pStyle w:val="Tabletext1"/>
              <w:rPr>
                <w:lang w:eastAsia="en-US"/>
              </w:rPr>
            </w:pPr>
            <w:r w:rsidRPr="007B72A2">
              <w:rPr>
                <w:lang w:eastAsia="en-US"/>
              </w:rPr>
              <w:t>Fondazione del Piemonte per l'Oncologia</w:t>
            </w:r>
          </w:p>
        </w:tc>
        <w:tc>
          <w:tcPr>
            <w:tcW w:w="369" w:type="pct"/>
          </w:tcPr>
          <w:p w14:paraId="38790049" w14:textId="77777777" w:rsidR="007B72A2" w:rsidRPr="007B72A2" w:rsidRDefault="007B72A2" w:rsidP="00D200FB">
            <w:pPr>
              <w:pStyle w:val="Tabletext1"/>
              <w:rPr>
                <w:lang w:eastAsia="en-US"/>
              </w:rPr>
            </w:pPr>
            <w:r w:rsidRPr="007B72A2">
              <w:rPr>
                <w:lang w:eastAsia="en-US"/>
              </w:rPr>
              <w:t>90</w:t>
            </w:r>
          </w:p>
        </w:tc>
        <w:tc>
          <w:tcPr>
            <w:tcW w:w="422" w:type="pct"/>
          </w:tcPr>
          <w:p w14:paraId="150CB2AF" w14:textId="77777777" w:rsidR="007B72A2" w:rsidRPr="007B72A2" w:rsidRDefault="007B72A2" w:rsidP="00D200FB">
            <w:pPr>
              <w:pStyle w:val="Tabletext1"/>
              <w:rPr>
                <w:lang w:eastAsia="en-US"/>
              </w:rPr>
            </w:pPr>
            <w:r w:rsidRPr="007B72A2">
              <w:rPr>
                <w:lang w:eastAsia="en-US"/>
              </w:rPr>
              <w:t>3 months</w:t>
            </w:r>
          </w:p>
        </w:tc>
        <w:tc>
          <w:tcPr>
            <w:tcW w:w="422" w:type="pct"/>
          </w:tcPr>
          <w:p w14:paraId="232FA5F6" w14:textId="77777777" w:rsidR="007B72A2" w:rsidRPr="007B72A2" w:rsidRDefault="007B72A2" w:rsidP="00D200FB">
            <w:pPr>
              <w:pStyle w:val="Tabletext1"/>
              <w:rPr>
                <w:lang w:eastAsia="en-US"/>
              </w:rPr>
            </w:pPr>
            <w:r w:rsidRPr="007B72A2">
              <w:rPr>
                <w:lang w:eastAsia="en-US"/>
              </w:rPr>
              <w:t>Recruiting</w:t>
            </w:r>
          </w:p>
        </w:tc>
        <w:tc>
          <w:tcPr>
            <w:tcW w:w="422" w:type="pct"/>
          </w:tcPr>
          <w:p w14:paraId="75FEA5A8" w14:textId="77777777" w:rsidR="007B72A2" w:rsidRPr="007B72A2" w:rsidRDefault="007B72A2" w:rsidP="00D200FB">
            <w:pPr>
              <w:pStyle w:val="Tabletext1"/>
              <w:rPr>
                <w:lang w:eastAsia="en-US"/>
              </w:rPr>
            </w:pPr>
            <w:r w:rsidRPr="007B72A2">
              <w:rPr>
                <w:lang w:eastAsia="en-US"/>
              </w:rPr>
              <w:t>August 2016</w:t>
            </w:r>
          </w:p>
        </w:tc>
        <w:tc>
          <w:tcPr>
            <w:tcW w:w="528" w:type="pct"/>
          </w:tcPr>
          <w:p w14:paraId="45260F53" w14:textId="77777777" w:rsidR="007B72A2" w:rsidRPr="007B72A2" w:rsidRDefault="007B72A2" w:rsidP="00D200FB">
            <w:pPr>
              <w:pStyle w:val="Tabletext1"/>
              <w:rPr>
                <w:lang w:eastAsia="en-US"/>
              </w:rPr>
            </w:pPr>
            <w:r w:rsidRPr="007B72A2">
              <w:rPr>
                <w:lang w:eastAsia="en-US"/>
              </w:rPr>
              <w:t>III-2</w:t>
            </w:r>
          </w:p>
        </w:tc>
      </w:tr>
      <w:tr w:rsidR="007B72A2" w:rsidRPr="00657984" w14:paraId="56CE2AAF" w14:textId="77777777" w:rsidTr="00F5175B">
        <w:trPr>
          <w:trHeight w:val="1737"/>
        </w:trPr>
        <w:tc>
          <w:tcPr>
            <w:tcW w:w="568" w:type="pct"/>
          </w:tcPr>
          <w:p w14:paraId="471C45BE" w14:textId="77777777" w:rsidR="007B72A2" w:rsidRPr="007B72A2" w:rsidRDefault="007B72A2" w:rsidP="00D200FB">
            <w:pPr>
              <w:pStyle w:val="Tabletext1"/>
              <w:rPr>
                <w:lang w:eastAsia="en-US"/>
              </w:rPr>
            </w:pPr>
            <w:r w:rsidRPr="007B72A2">
              <w:rPr>
                <w:lang w:eastAsia="en-US"/>
              </w:rPr>
              <w:lastRenderedPageBreak/>
              <w:t>NCT01354171</w:t>
            </w:r>
          </w:p>
          <w:p w14:paraId="22AC5A6C" w14:textId="77777777" w:rsidR="007B72A2" w:rsidRPr="007B72A2" w:rsidRDefault="007B72A2" w:rsidP="00D200FB">
            <w:pPr>
              <w:pStyle w:val="Tabletext1"/>
              <w:rPr>
                <w:lang w:eastAsia="en-US"/>
              </w:rPr>
            </w:pPr>
            <w:r w:rsidRPr="007B72A2">
              <w:rPr>
                <w:lang w:eastAsia="en-US"/>
              </w:rPr>
              <w:t>Population 2</w:t>
            </w:r>
          </w:p>
          <w:p w14:paraId="4915B740" w14:textId="77777777" w:rsidR="007B72A2" w:rsidRPr="007B72A2" w:rsidRDefault="007B72A2" w:rsidP="00D200FB">
            <w:pPr>
              <w:pStyle w:val="Tabletext1"/>
              <w:rPr>
                <w:lang w:eastAsia="en-US"/>
              </w:rPr>
            </w:pPr>
            <w:r w:rsidRPr="007B72A2">
              <w:rPr>
                <w:lang w:eastAsia="en-US"/>
              </w:rPr>
              <w:t>Canada</w:t>
            </w:r>
          </w:p>
        </w:tc>
        <w:tc>
          <w:tcPr>
            <w:tcW w:w="844" w:type="pct"/>
          </w:tcPr>
          <w:p w14:paraId="6124002B" w14:textId="77777777" w:rsidR="007B72A2" w:rsidRPr="007B72A2" w:rsidRDefault="007B72A2" w:rsidP="00D200FB">
            <w:pPr>
              <w:pStyle w:val="Tabletext1"/>
              <w:rPr>
                <w:lang w:eastAsia="en-US"/>
              </w:rPr>
            </w:pPr>
            <w:r w:rsidRPr="007B72A2">
              <w:rPr>
                <w:lang w:eastAsia="en-US"/>
              </w:rPr>
              <w:t>Active Surveillance Magnetic Resonance Imaging Study (ASIST)</w:t>
            </w:r>
          </w:p>
        </w:tc>
        <w:tc>
          <w:tcPr>
            <w:tcW w:w="844" w:type="pct"/>
          </w:tcPr>
          <w:p w14:paraId="3D275D5E" w14:textId="77777777" w:rsidR="007B72A2" w:rsidRPr="007B72A2" w:rsidRDefault="007B72A2" w:rsidP="00D200FB">
            <w:pPr>
              <w:pStyle w:val="Tabletext1"/>
              <w:rPr>
                <w:lang w:eastAsia="en-US"/>
              </w:rPr>
            </w:pPr>
            <w:r w:rsidRPr="007B72A2">
              <w:rPr>
                <w:lang w:eastAsia="en-US"/>
              </w:rPr>
              <w:t>Candidate for active surveillance</w:t>
            </w:r>
          </w:p>
        </w:tc>
        <w:tc>
          <w:tcPr>
            <w:tcW w:w="580" w:type="pct"/>
          </w:tcPr>
          <w:p w14:paraId="2A35C0A2" w14:textId="77777777" w:rsidR="007B72A2" w:rsidRPr="007B72A2" w:rsidRDefault="007B72A2" w:rsidP="00D200FB">
            <w:pPr>
              <w:pStyle w:val="Tabletext1"/>
              <w:rPr>
                <w:lang w:eastAsia="en-US"/>
              </w:rPr>
            </w:pPr>
            <w:r w:rsidRPr="007B72A2">
              <w:rPr>
                <w:lang w:eastAsia="en-US"/>
              </w:rPr>
              <w:t>Canadian Urology Research Consortium</w:t>
            </w:r>
          </w:p>
        </w:tc>
        <w:tc>
          <w:tcPr>
            <w:tcW w:w="369" w:type="pct"/>
          </w:tcPr>
          <w:p w14:paraId="0966C55F" w14:textId="77777777" w:rsidR="007B72A2" w:rsidRPr="007B72A2" w:rsidRDefault="007B72A2" w:rsidP="00D200FB">
            <w:pPr>
              <w:pStyle w:val="Tabletext1"/>
              <w:rPr>
                <w:lang w:eastAsia="en-US"/>
              </w:rPr>
            </w:pPr>
            <w:r w:rsidRPr="007B72A2">
              <w:rPr>
                <w:lang w:eastAsia="en-US"/>
              </w:rPr>
              <w:t>250</w:t>
            </w:r>
          </w:p>
        </w:tc>
        <w:tc>
          <w:tcPr>
            <w:tcW w:w="422" w:type="pct"/>
          </w:tcPr>
          <w:p w14:paraId="46AE754C" w14:textId="77777777" w:rsidR="007B72A2" w:rsidRPr="007B72A2" w:rsidRDefault="007B72A2" w:rsidP="00D200FB">
            <w:pPr>
              <w:pStyle w:val="Tabletext1"/>
              <w:rPr>
                <w:lang w:eastAsia="en-US"/>
              </w:rPr>
            </w:pPr>
            <w:r w:rsidRPr="007B72A2">
              <w:rPr>
                <w:lang w:eastAsia="en-US"/>
              </w:rPr>
              <w:t>1 year</w:t>
            </w:r>
          </w:p>
        </w:tc>
        <w:tc>
          <w:tcPr>
            <w:tcW w:w="422" w:type="pct"/>
          </w:tcPr>
          <w:p w14:paraId="2DD6CFC2" w14:textId="77777777" w:rsidR="007B72A2" w:rsidRPr="007B72A2" w:rsidRDefault="007B72A2" w:rsidP="00D200FB">
            <w:pPr>
              <w:pStyle w:val="Tabletext1"/>
              <w:rPr>
                <w:lang w:eastAsia="en-US"/>
              </w:rPr>
            </w:pPr>
            <w:r w:rsidRPr="007B72A2">
              <w:rPr>
                <w:lang w:eastAsia="en-US"/>
              </w:rPr>
              <w:t>Unknown – status has not been verified in more than two years</w:t>
            </w:r>
          </w:p>
        </w:tc>
        <w:tc>
          <w:tcPr>
            <w:tcW w:w="422" w:type="pct"/>
          </w:tcPr>
          <w:p w14:paraId="24ED1594" w14:textId="77777777" w:rsidR="007B72A2" w:rsidRPr="007B72A2" w:rsidRDefault="007B72A2" w:rsidP="00D200FB">
            <w:pPr>
              <w:pStyle w:val="Tabletext1"/>
              <w:rPr>
                <w:lang w:eastAsia="en-US"/>
              </w:rPr>
            </w:pPr>
            <w:r w:rsidRPr="007B72A2">
              <w:rPr>
                <w:lang w:eastAsia="en-US"/>
              </w:rPr>
              <w:t>September 2014</w:t>
            </w:r>
          </w:p>
        </w:tc>
        <w:tc>
          <w:tcPr>
            <w:tcW w:w="528" w:type="pct"/>
          </w:tcPr>
          <w:p w14:paraId="366188E9" w14:textId="77777777" w:rsidR="007B72A2" w:rsidRPr="007B72A2" w:rsidRDefault="007B72A2" w:rsidP="00D200FB">
            <w:pPr>
              <w:pStyle w:val="Tabletext1"/>
              <w:rPr>
                <w:lang w:eastAsia="en-US"/>
              </w:rPr>
            </w:pPr>
            <w:r w:rsidRPr="007B72A2">
              <w:rPr>
                <w:lang w:eastAsia="en-US"/>
              </w:rPr>
              <w:t>III-2</w:t>
            </w:r>
          </w:p>
        </w:tc>
      </w:tr>
      <w:tr w:rsidR="007B72A2" w:rsidRPr="00657984" w14:paraId="1F618447" w14:textId="77777777" w:rsidTr="00F5175B">
        <w:tc>
          <w:tcPr>
            <w:tcW w:w="568" w:type="pct"/>
          </w:tcPr>
          <w:p w14:paraId="3E4865D3" w14:textId="77777777" w:rsidR="007B72A2" w:rsidRPr="007B72A2" w:rsidRDefault="007B72A2" w:rsidP="00D200FB">
            <w:pPr>
              <w:pStyle w:val="Tabletext1"/>
              <w:rPr>
                <w:lang w:eastAsia="en-US"/>
              </w:rPr>
            </w:pPr>
            <w:r w:rsidRPr="007B72A2">
              <w:rPr>
                <w:lang w:eastAsia="en-US"/>
              </w:rPr>
              <w:t>NCT02053805</w:t>
            </w:r>
          </w:p>
          <w:p w14:paraId="7A7718DB" w14:textId="77777777" w:rsidR="007B72A2" w:rsidRPr="007B72A2" w:rsidRDefault="007B72A2" w:rsidP="00D200FB">
            <w:pPr>
              <w:pStyle w:val="Tabletext1"/>
              <w:rPr>
                <w:lang w:eastAsia="en-US"/>
              </w:rPr>
            </w:pPr>
            <w:r w:rsidRPr="007B72A2">
              <w:rPr>
                <w:lang w:eastAsia="en-US"/>
              </w:rPr>
              <w:t>Population 1</w:t>
            </w:r>
          </w:p>
          <w:p w14:paraId="46017528" w14:textId="77777777" w:rsidR="007B72A2" w:rsidRPr="007B72A2" w:rsidRDefault="007B72A2" w:rsidP="00D200FB">
            <w:pPr>
              <w:pStyle w:val="Tabletext1"/>
              <w:rPr>
                <w:lang w:eastAsia="en-US"/>
              </w:rPr>
            </w:pPr>
            <w:r w:rsidRPr="007B72A2">
              <w:rPr>
                <w:lang w:eastAsia="en-US"/>
              </w:rPr>
              <w:t>Israel</w:t>
            </w:r>
          </w:p>
        </w:tc>
        <w:tc>
          <w:tcPr>
            <w:tcW w:w="844" w:type="pct"/>
          </w:tcPr>
          <w:p w14:paraId="40F85314" w14:textId="77777777" w:rsidR="007B72A2" w:rsidRPr="007B72A2" w:rsidRDefault="007B72A2" w:rsidP="00D200FB">
            <w:pPr>
              <w:pStyle w:val="Tabletext1"/>
              <w:rPr>
                <w:lang w:eastAsia="en-US"/>
              </w:rPr>
            </w:pPr>
            <w:r w:rsidRPr="007B72A2">
              <w:rPr>
                <w:lang w:eastAsia="en-US"/>
              </w:rPr>
              <w:t>Personalized Prostate Cancer Screening Among Men With High Risk Genetic Predisposition- a Prospective Cohort Study</w:t>
            </w:r>
          </w:p>
        </w:tc>
        <w:tc>
          <w:tcPr>
            <w:tcW w:w="844" w:type="pct"/>
          </w:tcPr>
          <w:p w14:paraId="1197EE0D" w14:textId="77777777" w:rsidR="007B72A2" w:rsidRPr="007B72A2" w:rsidRDefault="007B72A2" w:rsidP="00D200FB">
            <w:pPr>
              <w:pStyle w:val="Tabletext1"/>
              <w:rPr>
                <w:lang w:eastAsia="en-US"/>
              </w:rPr>
            </w:pPr>
            <w:r w:rsidRPr="007B72A2">
              <w:rPr>
                <w:lang w:eastAsia="en-US"/>
              </w:rPr>
              <w:t>Male carrier of mutation in BRCA 1\2 or germ-line mutations in the MMR genes (MLH1, MSH2 , MSH6 or PMS2)</w:t>
            </w:r>
          </w:p>
        </w:tc>
        <w:tc>
          <w:tcPr>
            <w:tcW w:w="580" w:type="pct"/>
          </w:tcPr>
          <w:p w14:paraId="0C941CA7" w14:textId="77777777" w:rsidR="007B72A2" w:rsidRPr="007B72A2" w:rsidRDefault="007B72A2" w:rsidP="00D200FB">
            <w:pPr>
              <w:pStyle w:val="Tabletext1"/>
              <w:rPr>
                <w:lang w:eastAsia="en-US"/>
              </w:rPr>
            </w:pPr>
            <w:r w:rsidRPr="007B72A2">
              <w:rPr>
                <w:lang w:eastAsia="en-US"/>
              </w:rPr>
              <w:t>Rabin Medical Center</w:t>
            </w:r>
          </w:p>
        </w:tc>
        <w:tc>
          <w:tcPr>
            <w:tcW w:w="369" w:type="pct"/>
          </w:tcPr>
          <w:p w14:paraId="2DA3D343" w14:textId="77777777" w:rsidR="007B72A2" w:rsidRPr="007B72A2" w:rsidRDefault="007B72A2" w:rsidP="00D200FB">
            <w:pPr>
              <w:pStyle w:val="Tabletext1"/>
              <w:rPr>
                <w:lang w:eastAsia="en-US"/>
              </w:rPr>
            </w:pPr>
            <w:r w:rsidRPr="007B72A2">
              <w:rPr>
                <w:lang w:eastAsia="en-US"/>
              </w:rPr>
              <w:t>200</w:t>
            </w:r>
          </w:p>
        </w:tc>
        <w:tc>
          <w:tcPr>
            <w:tcW w:w="422" w:type="pct"/>
          </w:tcPr>
          <w:p w14:paraId="00EC81D1" w14:textId="77777777" w:rsidR="007B72A2" w:rsidRPr="007B72A2" w:rsidRDefault="007B72A2" w:rsidP="00D200FB">
            <w:pPr>
              <w:pStyle w:val="Tabletext1"/>
              <w:rPr>
                <w:lang w:eastAsia="en-US"/>
              </w:rPr>
            </w:pPr>
            <w:r w:rsidRPr="007B72A2">
              <w:rPr>
                <w:lang w:eastAsia="en-US"/>
              </w:rPr>
              <w:t>2 years</w:t>
            </w:r>
          </w:p>
        </w:tc>
        <w:tc>
          <w:tcPr>
            <w:tcW w:w="422" w:type="pct"/>
          </w:tcPr>
          <w:p w14:paraId="0C3CE58D" w14:textId="77777777" w:rsidR="007B72A2" w:rsidRPr="007B72A2" w:rsidRDefault="007B72A2" w:rsidP="00D200FB">
            <w:pPr>
              <w:pStyle w:val="Tabletext1"/>
              <w:rPr>
                <w:lang w:eastAsia="en-US"/>
              </w:rPr>
            </w:pPr>
            <w:r w:rsidRPr="007B72A2">
              <w:rPr>
                <w:lang w:eastAsia="en-US"/>
              </w:rPr>
              <w:t>Recruiting</w:t>
            </w:r>
          </w:p>
        </w:tc>
        <w:tc>
          <w:tcPr>
            <w:tcW w:w="422" w:type="pct"/>
          </w:tcPr>
          <w:p w14:paraId="173F15A9" w14:textId="77777777" w:rsidR="007B72A2" w:rsidRPr="007B72A2" w:rsidRDefault="007B72A2" w:rsidP="00D200FB">
            <w:pPr>
              <w:pStyle w:val="Tabletext1"/>
              <w:rPr>
                <w:lang w:eastAsia="en-US"/>
              </w:rPr>
            </w:pPr>
            <w:r w:rsidRPr="007B72A2">
              <w:rPr>
                <w:lang w:eastAsia="en-US"/>
              </w:rPr>
              <w:t>June 2018</w:t>
            </w:r>
          </w:p>
        </w:tc>
        <w:tc>
          <w:tcPr>
            <w:tcW w:w="528" w:type="pct"/>
          </w:tcPr>
          <w:p w14:paraId="6A2EC5A7" w14:textId="77777777" w:rsidR="007B72A2" w:rsidRPr="007B72A2" w:rsidRDefault="007B72A2" w:rsidP="00D200FB">
            <w:pPr>
              <w:pStyle w:val="Tabletext1"/>
              <w:rPr>
                <w:lang w:eastAsia="en-US"/>
              </w:rPr>
            </w:pPr>
            <w:r w:rsidRPr="007B72A2">
              <w:rPr>
                <w:lang w:eastAsia="en-US"/>
              </w:rPr>
              <w:t>III-3, diagnostic case-control study, screening population</w:t>
            </w:r>
          </w:p>
        </w:tc>
      </w:tr>
      <w:tr w:rsidR="007B72A2" w:rsidRPr="00657984" w14:paraId="58DA4F30" w14:textId="77777777" w:rsidTr="00F5175B">
        <w:tc>
          <w:tcPr>
            <w:tcW w:w="568" w:type="pct"/>
          </w:tcPr>
          <w:p w14:paraId="7B1C6989" w14:textId="77777777" w:rsidR="007B72A2" w:rsidRPr="007B72A2" w:rsidRDefault="007B72A2" w:rsidP="00D200FB">
            <w:pPr>
              <w:pStyle w:val="Tabletext1"/>
              <w:rPr>
                <w:lang w:eastAsia="en-US"/>
              </w:rPr>
            </w:pPr>
            <w:r w:rsidRPr="007B72A2">
              <w:rPr>
                <w:lang w:eastAsia="en-US"/>
              </w:rPr>
              <w:t>NCT02326246</w:t>
            </w:r>
          </w:p>
          <w:p w14:paraId="0C920096" w14:textId="77777777" w:rsidR="007B72A2" w:rsidRDefault="007B72A2" w:rsidP="00D200FB">
            <w:pPr>
              <w:pStyle w:val="Tabletext1"/>
              <w:rPr>
                <w:lang w:eastAsia="en-US"/>
              </w:rPr>
            </w:pPr>
            <w:r w:rsidRPr="007B72A2">
              <w:rPr>
                <w:lang w:eastAsia="en-US"/>
              </w:rPr>
              <w:t>Population 2</w:t>
            </w:r>
          </w:p>
          <w:p w14:paraId="6B37B2E0" w14:textId="582D4412" w:rsidR="007B72A2" w:rsidRPr="007B72A2" w:rsidRDefault="007B72A2" w:rsidP="00D200FB">
            <w:pPr>
              <w:pStyle w:val="Tabletext1"/>
              <w:rPr>
                <w:lang w:eastAsia="en-US"/>
              </w:rPr>
            </w:pPr>
            <w:r w:rsidRPr="007B72A2">
              <w:rPr>
                <w:lang w:eastAsia="en-US"/>
              </w:rPr>
              <w:t>Denmark</w:t>
            </w:r>
          </w:p>
        </w:tc>
        <w:tc>
          <w:tcPr>
            <w:tcW w:w="844" w:type="pct"/>
          </w:tcPr>
          <w:p w14:paraId="52D62DDD" w14:textId="77777777" w:rsidR="007B72A2" w:rsidRPr="007B72A2" w:rsidRDefault="007B72A2" w:rsidP="00D200FB">
            <w:pPr>
              <w:pStyle w:val="Tabletext1"/>
              <w:rPr>
                <w:lang w:eastAsia="en-US"/>
              </w:rPr>
            </w:pPr>
            <w:r w:rsidRPr="007B72A2">
              <w:rPr>
                <w:lang w:eastAsia="en-US"/>
              </w:rPr>
              <w:t>Multi-parametric MRI in the Diagnosis and Surveillance of Low-risk Prostate Cancer</w:t>
            </w:r>
          </w:p>
        </w:tc>
        <w:tc>
          <w:tcPr>
            <w:tcW w:w="844" w:type="pct"/>
          </w:tcPr>
          <w:p w14:paraId="7DAA661A" w14:textId="3F85C5CD" w:rsidR="007B72A2" w:rsidRPr="007B72A2" w:rsidRDefault="007B72A2" w:rsidP="00D200FB">
            <w:pPr>
              <w:pStyle w:val="Tabletext1"/>
              <w:rPr>
                <w:lang w:eastAsia="en-US"/>
              </w:rPr>
            </w:pPr>
            <w:r w:rsidRPr="007B72A2">
              <w:rPr>
                <w:lang w:eastAsia="en-US"/>
              </w:rPr>
              <w:t xml:space="preserve">Men with low-risk </w:t>
            </w:r>
            <w:r w:rsidR="006818E1" w:rsidRPr="006818E1">
              <w:rPr>
                <w:lang w:eastAsia="en-US"/>
              </w:rPr>
              <w:t>PCa</w:t>
            </w:r>
          </w:p>
        </w:tc>
        <w:tc>
          <w:tcPr>
            <w:tcW w:w="580" w:type="pct"/>
          </w:tcPr>
          <w:p w14:paraId="0D1BE617" w14:textId="77777777" w:rsidR="007B72A2" w:rsidRPr="007B72A2" w:rsidRDefault="007B72A2" w:rsidP="00D200FB">
            <w:pPr>
              <w:pStyle w:val="Tabletext1"/>
              <w:rPr>
                <w:lang w:eastAsia="en-US"/>
              </w:rPr>
            </w:pPr>
            <w:r w:rsidRPr="007B72A2">
              <w:rPr>
                <w:lang w:eastAsia="en-US"/>
              </w:rPr>
              <w:t>Aarhus University Hospital Skejby</w:t>
            </w:r>
          </w:p>
        </w:tc>
        <w:tc>
          <w:tcPr>
            <w:tcW w:w="369" w:type="pct"/>
          </w:tcPr>
          <w:p w14:paraId="52B98A00" w14:textId="77777777" w:rsidR="007B72A2" w:rsidRPr="007B72A2" w:rsidRDefault="007B72A2" w:rsidP="00D200FB">
            <w:pPr>
              <w:pStyle w:val="Tabletext1"/>
              <w:rPr>
                <w:lang w:eastAsia="en-US"/>
              </w:rPr>
            </w:pPr>
            <w:r w:rsidRPr="007B72A2">
              <w:rPr>
                <w:lang w:eastAsia="en-US"/>
              </w:rPr>
              <w:t>60</w:t>
            </w:r>
          </w:p>
        </w:tc>
        <w:tc>
          <w:tcPr>
            <w:tcW w:w="422" w:type="pct"/>
          </w:tcPr>
          <w:p w14:paraId="32EFF925" w14:textId="77777777" w:rsidR="007B72A2" w:rsidRPr="007B72A2" w:rsidRDefault="007B72A2" w:rsidP="00D200FB">
            <w:pPr>
              <w:pStyle w:val="Tabletext1"/>
              <w:rPr>
                <w:lang w:eastAsia="en-US"/>
              </w:rPr>
            </w:pPr>
            <w:r w:rsidRPr="007B72A2">
              <w:rPr>
                <w:lang w:eastAsia="en-US"/>
              </w:rPr>
              <w:t>1 year</w:t>
            </w:r>
          </w:p>
        </w:tc>
        <w:tc>
          <w:tcPr>
            <w:tcW w:w="422" w:type="pct"/>
          </w:tcPr>
          <w:p w14:paraId="3B35D470" w14:textId="77777777" w:rsidR="007B72A2" w:rsidRPr="007B72A2" w:rsidRDefault="007B72A2" w:rsidP="00D200FB">
            <w:pPr>
              <w:pStyle w:val="Tabletext1"/>
              <w:rPr>
                <w:lang w:eastAsia="en-US"/>
              </w:rPr>
            </w:pPr>
            <w:r w:rsidRPr="007B72A2">
              <w:rPr>
                <w:lang w:eastAsia="en-US"/>
              </w:rPr>
              <w:t>Recruiting</w:t>
            </w:r>
          </w:p>
        </w:tc>
        <w:tc>
          <w:tcPr>
            <w:tcW w:w="422" w:type="pct"/>
          </w:tcPr>
          <w:p w14:paraId="1B2397EB" w14:textId="77777777" w:rsidR="007B72A2" w:rsidRPr="007B72A2" w:rsidRDefault="007B72A2" w:rsidP="00D200FB">
            <w:pPr>
              <w:pStyle w:val="Tabletext1"/>
              <w:rPr>
                <w:lang w:eastAsia="en-US"/>
              </w:rPr>
            </w:pPr>
            <w:r w:rsidRPr="007B72A2">
              <w:rPr>
                <w:lang w:eastAsia="en-US"/>
              </w:rPr>
              <w:t>February 2017</w:t>
            </w:r>
          </w:p>
        </w:tc>
        <w:tc>
          <w:tcPr>
            <w:tcW w:w="528" w:type="pct"/>
          </w:tcPr>
          <w:p w14:paraId="3F87D3EF" w14:textId="77777777" w:rsidR="007B72A2" w:rsidRPr="007B72A2" w:rsidRDefault="007B72A2" w:rsidP="00D200FB">
            <w:pPr>
              <w:pStyle w:val="Tabletext1"/>
              <w:rPr>
                <w:lang w:eastAsia="en-US"/>
              </w:rPr>
            </w:pPr>
            <w:r w:rsidRPr="007B72A2">
              <w:rPr>
                <w:lang w:eastAsia="en-US"/>
              </w:rPr>
              <w:t>III-3, diagnostic case-control study</w:t>
            </w:r>
          </w:p>
        </w:tc>
      </w:tr>
    </w:tbl>
    <w:p w14:paraId="4A1CDCB2" w14:textId="41A56792" w:rsidR="00770531" w:rsidRDefault="00263ED4" w:rsidP="009A220C">
      <w:pPr>
        <w:pStyle w:val="TableNotes"/>
      </w:pPr>
      <w:r>
        <w:t>NR = not reported, PCa = prostate cancer, MRI =</w:t>
      </w:r>
      <w:r w:rsidR="005F6152">
        <w:t xml:space="preserve"> magnetic resonance imaging, RCT</w:t>
      </w:r>
      <w:r>
        <w:t xml:space="preserve"> = randomised controlled trial,</w:t>
      </w:r>
      <w:r w:rsidR="00F5175B">
        <w:t xml:space="preserve"> </w:t>
      </w:r>
      <w:r>
        <w:t xml:space="preserve">mpMRI = </w:t>
      </w:r>
      <w:r w:rsidRPr="007B72A2">
        <w:rPr>
          <w:lang w:eastAsia="en-US"/>
        </w:rPr>
        <w:t>Multiparametric MRI</w:t>
      </w:r>
      <w:r>
        <w:rPr>
          <w:lang w:eastAsia="en-US"/>
        </w:rPr>
        <w:t>.</w:t>
      </w:r>
    </w:p>
    <w:p w14:paraId="4181F242" w14:textId="77777777" w:rsidR="00770531" w:rsidRDefault="00770531" w:rsidP="00770531"/>
    <w:p w14:paraId="42F0E858" w14:textId="77777777" w:rsidR="00263ED4" w:rsidRDefault="00263ED4" w:rsidP="00770531">
      <w:pPr>
        <w:sectPr w:rsidR="00263ED4" w:rsidSect="00770531">
          <w:pgSz w:w="16838" w:h="11906" w:orient="landscape"/>
          <w:pgMar w:top="1440" w:right="1440" w:bottom="1440" w:left="1440" w:header="720" w:footer="720" w:gutter="0"/>
          <w:paperSrc w:first="7" w:other="7"/>
          <w:cols w:space="720"/>
          <w:docGrid w:linePitch="360"/>
        </w:sectPr>
      </w:pPr>
    </w:p>
    <w:p w14:paraId="02BF1D80" w14:textId="2D0EA8DD" w:rsidR="004B32E9" w:rsidRPr="00CC202F" w:rsidRDefault="004B32E9" w:rsidP="004B32E9">
      <w:pPr>
        <w:pStyle w:val="Heading1"/>
      </w:pPr>
      <w:bookmarkStart w:id="866" w:name="_Toc408827541"/>
      <w:bookmarkStart w:id="867" w:name="_Toc460514044"/>
      <w:r w:rsidRPr="00CC202F">
        <w:lastRenderedPageBreak/>
        <w:t xml:space="preserve">Appendix </w:t>
      </w:r>
      <w:r>
        <w:t>J</w:t>
      </w:r>
      <w:r w:rsidRPr="00CC202F">
        <w:tab/>
        <w:t>Clinical practice guideline</w:t>
      </w:r>
      <w:bookmarkEnd w:id="866"/>
      <w:r w:rsidR="006E7A8D">
        <w:t>s</w:t>
      </w:r>
      <w:bookmarkEnd w:id="867"/>
    </w:p>
    <w:p w14:paraId="78DB674D" w14:textId="7DAC7FA3" w:rsidR="004B32E9" w:rsidRPr="00CC202F" w:rsidRDefault="004B32E9" w:rsidP="004B32E9">
      <w:pPr>
        <w:rPr>
          <w:szCs w:val="24"/>
        </w:rPr>
      </w:pPr>
      <w:r w:rsidRPr="00D5140A">
        <w:rPr>
          <w:szCs w:val="24"/>
        </w:rPr>
        <w:t xml:space="preserve">A search for relevant clinical practice guidelines was conducted using major depositories of clinical guidelines, including Agency for Healthcare Research and Quality (AHRQ), Clinical Practice Guidelines Portal by National Health and Medical Research Council (NHMRC), National Institute for Health and Care Excellence (NICE), Scottish Intercollegiate Guidelines Network (SIGN), EuroScan International Network, York Centre for Reviews and Dissemination, and Trip database. Manual searches using the Google search engine were also performed. Search strategies were designed around the keyword terms including “prostate cancer”, “cancer detection”, and “mpMRI”. The identified guidelines are listed in </w:t>
      </w:r>
      <w:r w:rsidR="00E41782">
        <w:rPr>
          <w:szCs w:val="24"/>
        </w:rPr>
        <w:fldChar w:fldCharType="begin"/>
      </w:r>
      <w:r w:rsidR="00E41782">
        <w:rPr>
          <w:szCs w:val="24"/>
        </w:rPr>
        <w:instrText xml:space="preserve"> REF _Ref406682560 \h </w:instrText>
      </w:r>
      <w:r w:rsidR="00E41782">
        <w:rPr>
          <w:szCs w:val="24"/>
        </w:rPr>
      </w:r>
      <w:r w:rsidR="00E41782">
        <w:rPr>
          <w:szCs w:val="24"/>
        </w:rPr>
        <w:fldChar w:fldCharType="separate"/>
      </w:r>
      <w:r w:rsidR="0029649D">
        <w:t xml:space="preserve">Table </w:t>
      </w:r>
      <w:r w:rsidR="0029649D">
        <w:rPr>
          <w:noProof/>
        </w:rPr>
        <w:t>97</w:t>
      </w:r>
      <w:r w:rsidR="00E41782">
        <w:rPr>
          <w:szCs w:val="24"/>
        </w:rPr>
        <w:fldChar w:fldCharType="end"/>
      </w:r>
      <w:r w:rsidRPr="00D5140A">
        <w:rPr>
          <w:szCs w:val="24"/>
        </w:rPr>
        <w:t>.</w:t>
      </w:r>
    </w:p>
    <w:p w14:paraId="1416F0D6" w14:textId="77777777" w:rsidR="004B32E9" w:rsidRDefault="004B32E9" w:rsidP="004B32E9">
      <w:pPr>
        <w:rPr>
          <w:szCs w:val="24"/>
        </w:rPr>
      </w:pPr>
      <w:r>
        <w:rPr>
          <w:szCs w:val="24"/>
        </w:rPr>
        <w:t>The search identified four guidelines relevant to the detection and characterisation of prostate lesions using mpMRI.</w:t>
      </w:r>
    </w:p>
    <w:p w14:paraId="4F21EF86" w14:textId="75AD6878" w:rsidR="004B32E9" w:rsidRPr="00AF1B77" w:rsidRDefault="004B32E9" w:rsidP="004B32E9">
      <w:pPr>
        <w:rPr>
          <w:szCs w:val="24"/>
        </w:rPr>
      </w:pPr>
      <w:r w:rsidRPr="0021216A">
        <w:rPr>
          <w:szCs w:val="24"/>
        </w:rPr>
        <w:t>Cancer Council Australia</w:t>
      </w:r>
      <w:r>
        <w:rPr>
          <w:szCs w:val="24"/>
        </w:rPr>
        <w:t xml:space="preserve"> offers a guideline, update</w:t>
      </w:r>
      <w:r w:rsidR="002E288D">
        <w:rPr>
          <w:szCs w:val="24"/>
        </w:rPr>
        <w:t>d</w:t>
      </w:r>
      <w:r>
        <w:rPr>
          <w:szCs w:val="24"/>
        </w:rPr>
        <w:t xml:space="preserve"> this year, on testing and early management of test-detected </w:t>
      </w:r>
      <w:r w:rsidR="006818E1">
        <w:t>PCa</w:t>
      </w:r>
      <w:r>
        <w:rPr>
          <w:szCs w:val="24"/>
        </w:rPr>
        <w:t xml:space="preserve">. It suggests mpMRI be considered </w:t>
      </w:r>
      <w:r w:rsidR="00A80E8E">
        <w:t>for men with a negative TRUS</w:t>
      </w:r>
      <w:r w:rsidRPr="004B32E9">
        <w:t xml:space="preserve">GB to determine whether another biopsy is needed. Another biopsy should not be offered if mpMRI is negative, unless any of the following risk factors are present: </w:t>
      </w:r>
    </w:p>
    <w:p w14:paraId="63EEC0D8" w14:textId="3952F7D7" w:rsidR="004B32E9" w:rsidRPr="001A02FD" w:rsidRDefault="004B32E9" w:rsidP="001A02FD">
      <w:pPr>
        <w:pStyle w:val="ListParagraph"/>
        <w:numPr>
          <w:ilvl w:val="0"/>
          <w:numId w:val="30"/>
        </w:numPr>
        <w:rPr>
          <w:szCs w:val="24"/>
        </w:rPr>
      </w:pPr>
      <w:r w:rsidRPr="004B32E9">
        <w:t xml:space="preserve">atypical small acinar proliferation on initial biopsy </w:t>
      </w:r>
    </w:p>
    <w:p w14:paraId="5968FE27" w14:textId="29714B74" w:rsidR="004B32E9" w:rsidRPr="001A02FD" w:rsidRDefault="004B32E9" w:rsidP="001A02FD">
      <w:pPr>
        <w:pStyle w:val="ListParagraph"/>
        <w:numPr>
          <w:ilvl w:val="0"/>
          <w:numId w:val="30"/>
        </w:numPr>
        <w:rPr>
          <w:szCs w:val="24"/>
        </w:rPr>
      </w:pPr>
      <w:r w:rsidRPr="004B32E9">
        <w:t xml:space="preserve">abnormal digital rectal examination before the initial biopsy </w:t>
      </w:r>
    </w:p>
    <w:p w14:paraId="2BEAF649" w14:textId="1C0B3AF0" w:rsidR="004B32E9" w:rsidRPr="004B32E9" w:rsidRDefault="004B32E9" w:rsidP="001A02FD">
      <w:pPr>
        <w:pStyle w:val="ListParagraph"/>
        <w:numPr>
          <w:ilvl w:val="0"/>
          <w:numId w:val="30"/>
        </w:numPr>
      </w:pPr>
      <w:r w:rsidRPr="004B32E9">
        <w:t xml:space="preserve">high-grade prostatic intraepithelial neoplasia on initial biopsy. </w:t>
      </w:r>
    </w:p>
    <w:p w14:paraId="6FF7195F" w14:textId="7D403EBF" w:rsidR="004B32E9" w:rsidRPr="004B32E9" w:rsidRDefault="002E288D" w:rsidP="004B32E9">
      <w:r>
        <w:t>mp</w:t>
      </w:r>
      <w:r w:rsidR="004B32E9" w:rsidRPr="004B32E9">
        <w:t>MRI should be used only in centres with experienced radiologists appropriately trained in the use of multiparametric MRI to aid urologists in the management of individual patients.</w:t>
      </w:r>
    </w:p>
    <w:p w14:paraId="75953CF5" w14:textId="1EC47B63" w:rsidR="004B32E9" w:rsidRDefault="004B32E9" w:rsidP="004B32E9">
      <w:pPr>
        <w:rPr>
          <w:szCs w:val="24"/>
        </w:rPr>
      </w:pPr>
      <w:r>
        <w:rPr>
          <w:szCs w:val="24"/>
        </w:rPr>
        <w:t xml:space="preserve">For patients under </w:t>
      </w:r>
      <w:r w:rsidR="004E17B9">
        <w:rPr>
          <w:szCs w:val="24"/>
        </w:rPr>
        <w:t>AS</w:t>
      </w:r>
      <w:r>
        <w:rPr>
          <w:szCs w:val="24"/>
        </w:rPr>
        <w:t xml:space="preserve"> </w:t>
      </w:r>
      <w:r w:rsidR="002E288D">
        <w:rPr>
          <w:szCs w:val="24"/>
        </w:rPr>
        <w:t>mpMRI</w:t>
      </w:r>
      <w:r>
        <w:rPr>
          <w:szCs w:val="24"/>
        </w:rPr>
        <w:t xml:space="preserve"> is recommended i</w:t>
      </w:r>
      <w:r w:rsidRPr="00AF1B77">
        <w:rPr>
          <w:szCs w:val="24"/>
        </w:rPr>
        <w:t xml:space="preserve">n centres where staff have skills and experience </w:t>
      </w:r>
      <w:r w:rsidR="002E288D">
        <w:rPr>
          <w:szCs w:val="24"/>
        </w:rPr>
        <w:t>it use for prostate examination. Clinicians should</w:t>
      </w:r>
      <w:r w:rsidRPr="00AF1B77">
        <w:rPr>
          <w:szCs w:val="24"/>
        </w:rPr>
        <w:t xml:space="preserve"> consider using </w:t>
      </w:r>
      <w:r w:rsidR="002E288D">
        <w:rPr>
          <w:szCs w:val="24"/>
        </w:rPr>
        <w:t>mpMRI</w:t>
      </w:r>
      <w:r w:rsidRPr="00AF1B77">
        <w:rPr>
          <w:szCs w:val="24"/>
        </w:rPr>
        <w:t xml:space="preserve"> to help identify foci of potentially higher-grade disease, aid targeting at reclassification biopsies and aid</w:t>
      </w:r>
      <w:r>
        <w:rPr>
          <w:szCs w:val="24"/>
        </w:rPr>
        <w:t xml:space="preserve"> in </w:t>
      </w:r>
      <w:r w:rsidRPr="00AF1B77">
        <w:rPr>
          <w:szCs w:val="24"/>
        </w:rPr>
        <w:t>determination of interval tumour growth. Clinicians and other staff performing m</w:t>
      </w:r>
      <w:r>
        <w:rPr>
          <w:szCs w:val="24"/>
        </w:rPr>
        <w:t>p</w:t>
      </w:r>
      <w:r w:rsidRPr="00AF1B77">
        <w:rPr>
          <w:szCs w:val="24"/>
        </w:rPr>
        <w:t>MRI should refer to appropriate standards and guidelines for its use.</w:t>
      </w:r>
    </w:p>
    <w:p w14:paraId="79506EF9" w14:textId="4152ADF0" w:rsidR="004B32E9" w:rsidRDefault="002E288D" w:rsidP="004B32E9">
      <w:pPr>
        <w:rPr>
          <w:szCs w:val="24"/>
        </w:rPr>
      </w:pPr>
      <w:r>
        <w:rPr>
          <w:szCs w:val="24"/>
        </w:rPr>
        <w:t>The guideline states ‘</w:t>
      </w:r>
      <w:r w:rsidR="004B32E9">
        <w:rPr>
          <w:szCs w:val="24"/>
        </w:rPr>
        <w:t>This guideline</w:t>
      </w:r>
      <w:r w:rsidR="004B32E9" w:rsidRPr="00273F7E">
        <w:rPr>
          <w:szCs w:val="24"/>
        </w:rPr>
        <w:t xml:space="preserve"> focuses on the use of m</w:t>
      </w:r>
      <w:r w:rsidR="004B32E9">
        <w:rPr>
          <w:szCs w:val="24"/>
        </w:rPr>
        <w:t>p</w:t>
      </w:r>
      <w:r w:rsidR="004B32E9" w:rsidRPr="00273F7E">
        <w:rPr>
          <w:szCs w:val="24"/>
        </w:rPr>
        <w:t>MRI after a negative prostate biopsy, not on its use for the primary investigation of a positive PSA test, because this is not routine clinical practice.</w:t>
      </w:r>
      <w:r w:rsidR="004B32E9">
        <w:rPr>
          <w:szCs w:val="24"/>
        </w:rPr>
        <w:t xml:space="preserve"> </w:t>
      </w:r>
      <w:r w:rsidR="004B32E9" w:rsidRPr="00273F7E">
        <w:rPr>
          <w:szCs w:val="24"/>
        </w:rPr>
        <w:t>The use of m</w:t>
      </w:r>
      <w:r w:rsidR="004B32E9">
        <w:rPr>
          <w:szCs w:val="24"/>
        </w:rPr>
        <w:t>p</w:t>
      </w:r>
      <w:r w:rsidR="004B32E9" w:rsidRPr="00273F7E">
        <w:rPr>
          <w:szCs w:val="24"/>
        </w:rPr>
        <w:t xml:space="preserve">MRI in men with elevated </w:t>
      </w:r>
      <w:r w:rsidR="004B32E9">
        <w:rPr>
          <w:szCs w:val="24"/>
        </w:rPr>
        <w:t>PSA</w:t>
      </w:r>
      <w:r w:rsidR="004B32E9" w:rsidRPr="00273F7E">
        <w:rPr>
          <w:szCs w:val="24"/>
        </w:rPr>
        <w:t xml:space="preserve"> levels who have not yet undergone an initial biopsy is beyond the scope of this guideline.</w:t>
      </w:r>
      <w:r>
        <w:rPr>
          <w:szCs w:val="24"/>
        </w:rPr>
        <w:t>’</w:t>
      </w:r>
    </w:p>
    <w:p w14:paraId="1DBE3CEC" w14:textId="101157EE" w:rsidR="004B32E9" w:rsidRPr="0081559A" w:rsidRDefault="004B32E9" w:rsidP="004B32E9">
      <w:pPr>
        <w:rPr>
          <w:szCs w:val="24"/>
        </w:rPr>
      </w:pPr>
      <w:r w:rsidRPr="0021216A">
        <w:rPr>
          <w:szCs w:val="24"/>
        </w:rPr>
        <w:t>Cancer Care Ontario</w:t>
      </w:r>
      <w:r>
        <w:rPr>
          <w:szCs w:val="24"/>
        </w:rPr>
        <w:t xml:space="preserve"> </w:t>
      </w:r>
      <w:r w:rsidR="002E288D">
        <w:rPr>
          <w:szCs w:val="24"/>
        </w:rPr>
        <w:t xml:space="preserve">has </w:t>
      </w:r>
      <w:r>
        <w:rPr>
          <w:szCs w:val="24"/>
        </w:rPr>
        <w:t xml:space="preserve">published recommendations on mpMRI in the diagnosis of </w:t>
      </w:r>
      <w:r w:rsidR="006818E1">
        <w:t>PCa</w:t>
      </w:r>
      <w:r>
        <w:rPr>
          <w:szCs w:val="24"/>
        </w:rPr>
        <w:t xml:space="preserve"> </w:t>
      </w:r>
      <w:r w:rsidR="008E0B00">
        <w:rPr>
          <w:szCs w:val="24"/>
        </w:rPr>
        <w:fldChar w:fldCharType="begin"/>
      </w:r>
      <w:r w:rsidR="008E0B00">
        <w:rPr>
          <w:szCs w:val="24"/>
        </w:rPr>
        <w:instrText xml:space="preserve"> ADDIN EN.CITE &lt;EndNote&gt;&lt;Cite&gt;&lt;Author&gt;Cancer Care Ontario&lt;/Author&gt;&lt;Year&gt;2015&lt;/Year&gt;&lt;RecNum&gt;181&lt;/RecNum&gt;&lt;DisplayText&gt;(Cancer Care Ontario 2015)&lt;/DisplayText&gt;&lt;record&gt;&lt;rec-number&gt;181&lt;/rec-number&gt;&lt;foreign-keys&gt;&lt;key app="EN" db-id="2p9terxr22fx91epzebpfdwuzrwtw2a2ep2t" timestamp="1472684648"&gt;181&lt;/key&gt;&lt;/foreign-keys&gt;&lt;ref-type name="Report"&gt;27&lt;/ref-type&gt;&lt;contributors&gt;&lt;authors&gt;&lt;author&gt;Cancer Care Ontario, Action Cancer Ontario,&lt;/author&gt;&lt;/authors&gt;&lt;/contributors&gt;&lt;titles&gt;&lt;title&gt;Multiparametric Magnetic Resonance Imaging in the Diagnosis of Clinically Significant Prostate Cancer&lt;/title&gt;&lt;/titles&gt;&lt;dates&gt;&lt;year&gt;2015&lt;/year&gt;&lt;/dates&gt;&lt;urls&gt;&lt;/urls&gt;&lt;access-date&gt;22 Jul 2016&lt;/access-date&gt;&lt;/record&gt;&lt;/Cite&gt;&lt;/EndNote&gt;</w:instrText>
      </w:r>
      <w:r w:rsidR="008E0B00">
        <w:rPr>
          <w:szCs w:val="24"/>
        </w:rPr>
        <w:fldChar w:fldCharType="separate"/>
      </w:r>
      <w:r w:rsidR="008E0B00">
        <w:rPr>
          <w:noProof/>
          <w:szCs w:val="24"/>
        </w:rPr>
        <w:t>(</w:t>
      </w:r>
      <w:hyperlink w:anchor="_ENREF_24" w:tooltip="Cancer Care Ontario, 2015 #181" w:history="1">
        <w:r w:rsidR="008E0B00">
          <w:rPr>
            <w:noProof/>
            <w:szCs w:val="24"/>
          </w:rPr>
          <w:t>Cancer Care Ontario 2015</w:t>
        </w:r>
      </w:hyperlink>
      <w:r w:rsidR="008E0B00">
        <w:rPr>
          <w:noProof/>
          <w:szCs w:val="24"/>
        </w:rPr>
        <w:t>)</w:t>
      </w:r>
      <w:r w:rsidR="008E0B00">
        <w:rPr>
          <w:szCs w:val="24"/>
        </w:rPr>
        <w:fldChar w:fldCharType="end"/>
      </w:r>
      <w:r>
        <w:rPr>
          <w:szCs w:val="24"/>
        </w:rPr>
        <w:t xml:space="preserve">. It is suggested mpMRI followed by target biopsy should not be considered the standard of care for biopsy naïve men with elevated PSA levels; and that data from future research studies are essential to determine the value of mpMRI in this clinical context. Further, it suggested </w:t>
      </w:r>
      <w:r>
        <w:rPr>
          <w:szCs w:val="24"/>
        </w:rPr>
        <w:lastRenderedPageBreak/>
        <w:t>the patient should be informed of the possibility of f</w:t>
      </w:r>
      <w:r w:rsidR="00A80E8E">
        <w:rPr>
          <w:szCs w:val="24"/>
        </w:rPr>
        <w:t>alse-negative results from TRUS</w:t>
      </w:r>
      <w:r>
        <w:rPr>
          <w:szCs w:val="24"/>
        </w:rPr>
        <w:t xml:space="preserve">GB. </w:t>
      </w:r>
      <w:r w:rsidRPr="0081559A">
        <w:rPr>
          <w:szCs w:val="24"/>
        </w:rPr>
        <w:t xml:space="preserve">In patients who had a prior negative TRUS-guided systematic biopsy and demonstrate a growing risk of having clinically significant </w:t>
      </w:r>
      <w:r w:rsidR="006818E1">
        <w:t>PCa</w:t>
      </w:r>
      <w:r w:rsidRPr="0081559A">
        <w:rPr>
          <w:szCs w:val="24"/>
        </w:rPr>
        <w:t xml:space="preserve"> </w:t>
      </w:r>
      <w:r>
        <w:rPr>
          <w:szCs w:val="24"/>
        </w:rPr>
        <w:t>mpMRI</w:t>
      </w:r>
      <w:r w:rsidRPr="0081559A">
        <w:t xml:space="preserve"> </w:t>
      </w:r>
      <w:r>
        <w:t xml:space="preserve">followed by targeted biopsy may be considered to help in detecting more clinically significant </w:t>
      </w:r>
      <w:r w:rsidR="006818E1">
        <w:t>PCa</w:t>
      </w:r>
      <w:r>
        <w:t xml:space="preserve"> patients compared with repeated TRUS-guided systematic biopsy.</w:t>
      </w:r>
    </w:p>
    <w:p w14:paraId="2633E3F5" w14:textId="01B9D891" w:rsidR="004B32E9" w:rsidRDefault="004B32E9" w:rsidP="004B32E9">
      <w:pPr>
        <w:rPr>
          <w:szCs w:val="24"/>
        </w:rPr>
      </w:pPr>
      <w:r w:rsidRPr="0021216A">
        <w:rPr>
          <w:szCs w:val="24"/>
        </w:rPr>
        <w:t>NICE</w:t>
      </w:r>
      <w:r>
        <w:rPr>
          <w:szCs w:val="24"/>
        </w:rPr>
        <w:t xml:space="preserve"> has also published guidelines including the use of mpMRI in </w:t>
      </w:r>
      <w:r w:rsidR="006818E1">
        <w:t>PCa</w:t>
      </w:r>
      <w:r>
        <w:rPr>
          <w:szCs w:val="24"/>
        </w:rPr>
        <w:t xml:space="preserve"> detection. It suggests mpMRI should be consid</w:t>
      </w:r>
      <w:r w:rsidR="00A80E8E">
        <w:rPr>
          <w:szCs w:val="24"/>
        </w:rPr>
        <w:t>ered for men with negative TRUS</w:t>
      </w:r>
      <w:r>
        <w:rPr>
          <w:szCs w:val="24"/>
        </w:rPr>
        <w:t xml:space="preserve">GB to determine whether another biopsy is needed. Another biopsy should not be offered if the mpMRI is negative unless one of the following risk factors </w:t>
      </w:r>
      <w:r w:rsidR="000C0CCE">
        <w:rPr>
          <w:szCs w:val="24"/>
        </w:rPr>
        <w:t>is</w:t>
      </w:r>
      <w:r>
        <w:rPr>
          <w:szCs w:val="24"/>
        </w:rPr>
        <w:t xml:space="preserve"> present:</w:t>
      </w:r>
    </w:p>
    <w:p w14:paraId="2FBCE6A7" w14:textId="2CC9244F" w:rsidR="004B32E9" w:rsidRPr="001A02FD" w:rsidRDefault="004B32E9" w:rsidP="001A02FD">
      <w:pPr>
        <w:pStyle w:val="ListParagraph"/>
        <w:numPr>
          <w:ilvl w:val="0"/>
          <w:numId w:val="52"/>
        </w:numPr>
        <w:rPr>
          <w:szCs w:val="24"/>
        </w:rPr>
      </w:pPr>
      <w:r w:rsidRPr="0021216A">
        <w:t>t</w:t>
      </w:r>
      <w:r w:rsidRPr="001A02FD">
        <w:rPr>
          <w:szCs w:val="24"/>
        </w:rPr>
        <w:t>he biopsy showed high-grade prostatic intra-epithelial neoplasia (HGPIN)</w:t>
      </w:r>
    </w:p>
    <w:p w14:paraId="7CE9546E" w14:textId="3B82B94D" w:rsidR="004B32E9" w:rsidRPr="001A02FD" w:rsidRDefault="004B32E9" w:rsidP="001A02FD">
      <w:pPr>
        <w:pStyle w:val="ListParagraph"/>
        <w:numPr>
          <w:ilvl w:val="0"/>
          <w:numId w:val="52"/>
        </w:numPr>
        <w:rPr>
          <w:szCs w:val="24"/>
        </w:rPr>
      </w:pPr>
      <w:r w:rsidRPr="0021216A">
        <w:t>t</w:t>
      </w:r>
      <w:r w:rsidRPr="001A02FD">
        <w:rPr>
          <w:szCs w:val="24"/>
        </w:rPr>
        <w:t>he biopsy showed atypical small acinar proliferation (ASAP)</w:t>
      </w:r>
    </w:p>
    <w:p w14:paraId="1E58EFE8" w14:textId="210B8735" w:rsidR="004B32E9" w:rsidRPr="001A02FD" w:rsidRDefault="004B32E9" w:rsidP="001A02FD">
      <w:pPr>
        <w:pStyle w:val="ListParagraph"/>
        <w:numPr>
          <w:ilvl w:val="0"/>
          <w:numId w:val="52"/>
        </w:numPr>
        <w:rPr>
          <w:szCs w:val="24"/>
        </w:rPr>
      </w:pPr>
      <w:r w:rsidRPr="0021216A">
        <w:t>the patient has a</w:t>
      </w:r>
      <w:r w:rsidRPr="001A02FD">
        <w:rPr>
          <w:szCs w:val="24"/>
        </w:rPr>
        <w:t>bnormal digital rectal examination.</w:t>
      </w:r>
    </w:p>
    <w:p w14:paraId="54F858FE" w14:textId="0648DB92" w:rsidR="004B32E9" w:rsidRDefault="004B32E9" w:rsidP="004B32E9">
      <w:pPr>
        <w:rPr>
          <w:szCs w:val="24"/>
        </w:rPr>
      </w:pPr>
      <w:r>
        <w:rPr>
          <w:szCs w:val="24"/>
        </w:rPr>
        <w:t>For patients in AS, mpMRI should be conducted on enrolment in AS if not previously performed.</w:t>
      </w:r>
    </w:p>
    <w:p w14:paraId="567AED93" w14:textId="64FB449A" w:rsidR="004B32E9" w:rsidRDefault="004B32E9" w:rsidP="004B32E9">
      <w:pPr>
        <w:rPr>
          <w:szCs w:val="24"/>
        </w:rPr>
      </w:pPr>
      <w:r>
        <w:rPr>
          <w:szCs w:val="24"/>
        </w:rPr>
        <w:t xml:space="preserve">The </w:t>
      </w:r>
      <w:r w:rsidRPr="0021216A">
        <w:rPr>
          <w:szCs w:val="24"/>
        </w:rPr>
        <w:t>American College of Radiology</w:t>
      </w:r>
      <w:r>
        <w:rPr>
          <w:szCs w:val="24"/>
        </w:rPr>
        <w:t xml:space="preserve"> publishes </w:t>
      </w:r>
      <w:r w:rsidRPr="00F168E5">
        <w:rPr>
          <w:szCs w:val="24"/>
        </w:rPr>
        <w:t>Appropriateness Criteria</w:t>
      </w:r>
      <w:r>
        <w:rPr>
          <w:szCs w:val="24"/>
        </w:rPr>
        <w:t>, which</w:t>
      </w:r>
      <w:r w:rsidRPr="00F168E5">
        <w:rPr>
          <w:szCs w:val="24"/>
        </w:rPr>
        <w:t xml:space="preserve"> are evidence-based guidelines for specific clinical conditions</w:t>
      </w:r>
      <w:r>
        <w:rPr>
          <w:szCs w:val="24"/>
        </w:rPr>
        <w:t xml:space="preserve"> with a </w:t>
      </w:r>
      <w:r w:rsidRPr="00D14430">
        <w:rPr>
          <w:szCs w:val="24"/>
        </w:rPr>
        <w:t xml:space="preserve">modified Delphi </w:t>
      </w:r>
      <w:r w:rsidR="00FF1EA0" w:rsidRPr="00D14430">
        <w:rPr>
          <w:szCs w:val="24"/>
        </w:rPr>
        <w:t>methodology;</w:t>
      </w:r>
      <w:r w:rsidRPr="00D14430">
        <w:rPr>
          <w:szCs w:val="24"/>
        </w:rPr>
        <w:t xml:space="preserve"> this </w:t>
      </w:r>
      <w:r w:rsidRPr="00F168E5">
        <w:rPr>
          <w:szCs w:val="24"/>
        </w:rPr>
        <w:t>Appropriateness Criteria</w:t>
      </w:r>
      <w:r>
        <w:rPr>
          <w:szCs w:val="24"/>
        </w:rPr>
        <w:t xml:space="preserve"> encompasses detection staging and surve</w:t>
      </w:r>
      <w:r w:rsidR="00067C28">
        <w:rPr>
          <w:szCs w:val="24"/>
        </w:rPr>
        <w:t>illance of prostate biopsy</w:t>
      </w:r>
      <w:r>
        <w:rPr>
          <w:szCs w:val="24"/>
        </w:rPr>
        <w:t xml:space="preserve">. It is hesitant to make specific recommendations on </w:t>
      </w:r>
      <w:r w:rsidR="00FF1EA0">
        <w:rPr>
          <w:szCs w:val="24"/>
        </w:rPr>
        <w:t>mp</w:t>
      </w:r>
      <w:r>
        <w:rPr>
          <w:szCs w:val="24"/>
        </w:rPr>
        <w:t xml:space="preserve">MRI but claims that international evidence is amalgamating around this approach for imaging </w:t>
      </w:r>
      <w:r w:rsidR="006818E1">
        <w:t>PCa</w:t>
      </w:r>
      <w:r>
        <w:rPr>
          <w:szCs w:val="24"/>
        </w:rPr>
        <w:t>.</w:t>
      </w:r>
    </w:p>
    <w:p w14:paraId="21F7C7EB" w14:textId="3D9FA364" w:rsidR="004B32E9" w:rsidRPr="00CC202F" w:rsidRDefault="00E41782" w:rsidP="00E41782">
      <w:pPr>
        <w:pStyle w:val="Caption"/>
      </w:pPr>
      <w:bookmarkStart w:id="868" w:name="_Ref406682560"/>
      <w:bookmarkStart w:id="869" w:name="_Toc408830468"/>
      <w:bookmarkStart w:id="870" w:name="_Toc460514597"/>
      <w:r>
        <w:t xml:space="preserve">Table </w:t>
      </w:r>
      <w:fldSimple w:instr=" SEQ Table \* ARABIC ">
        <w:r w:rsidR="0029649D">
          <w:rPr>
            <w:noProof/>
          </w:rPr>
          <w:t>97</w:t>
        </w:r>
      </w:fldSimple>
      <w:bookmarkEnd w:id="868"/>
      <w:r w:rsidR="00E946A0">
        <w:tab/>
      </w:r>
      <w:r w:rsidR="004B32E9" w:rsidRPr="00CC202F">
        <w:t xml:space="preserve">Relevant clinical guidelines for </w:t>
      </w:r>
      <w:bookmarkEnd w:id="869"/>
      <w:r w:rsidR="004B32E9">
        <w:t xml:space="preserve">mpMRI in prostate biopsy </w:t>
      </w:r>
      <w:r>
        <w:t xml:space="preserve">for cancer </w:t>
      </w:r>
      <w:r w:rsidR="004B32E9">
        <w:t>detection</w:t>
      </w:r>
      <w:bookmarkEnd w:id="870"/>
    </w:p>
    <w:tbl>
      <w:tblPr>
        <w:tblStyle w:val="TableGrid"/>
        <w:tblW w:w="0" w:type="auto"/>
        <w:tblLook w:val="04A0" w:firstRow="1" w:lastRow="0" w:firstColumn="1" w:lastColumn="0" w:noHBand="0" w:noVBand="1"/>
        <w:tblCaption w:val="Table 23  Relevant clinical guidelines for LA nerve block for postoperative analgesia"/>
        <w:tblDescription w:val="Relevant clinical guidelines for LA nerve block for postoperative analgesia"/>
      </w:tblPr>
      <w:tblGrid>
        <w:gridCol w:w="2969"/>
        <w:gridCol w:w="1384"/>
        <w:gridCol w:w="1989"/>
        <w:gridCol w:w="2900"/>
      </w:tblGrid>
      <w:tr w:rsidR="004B32E9" w:rsidRPr="00CD032D" w14:paraId="6DAA0604" w14:textId="77777777" w:rsidTr="00F153A4">
        <w:trPr>
          <w:tblHeader/>
        </w:trPr>
        <w:tc>
          <w:tcPr>
            <w:tcW w:w="0" w:type="auto"/>
          </w:tcPr>
          <w:p w14:paraId="39BD3D31" w14:textId="77777777" w:rsidR="004B32E9" w:rsidRPr="00CD032D" w:rsidRDefault="004B32E9" w:rsidP="00E20C58">
            <w:pPr>
              <w:pStyle w:val="TableHeading"/>
              <w:keepNext w:val="0"/>
            </w:pPr>
            <w:r w:rsidRPr="00CD032D">
              <w:t>Title (year)</w:t>
            </w:r>
          </w:p>
        </w:tc>
        <w:tc>
          <w:tcPr>
            <w:tcW w:w="0" w:type="auto"/>
          </w:tcPr>
          <w:p w14:paraId="2BE14AD5" w14:textId="77777777" w:rsidR="004B32E9" w:rsidRPr="00CD032D" w:rsidRDefault="004B32E9" w:rsidP="00E20C58">
            <w:pPr>
              <w:pStyle w:val="TableHeading"/>
              <w:keepNext w:val="0"/>
            </w:pPr>
            <w:r w:rsidRPr="00CD032D">
              <w:t>Author</w:t>
            </w:r>
          </w:p>
        </w:tc>
        <w:tc>
          <w:tcPr>
            <w:tcW w:w="0" w:type="auto"/>
          </w:tcPr>
          <w:p w14:paraId="7D009289" w14:textId="77777777" w:rsidR="004B32E9" w:rsidRPr="00CD032D" w:rsidRDefault="004B32E9" w:rsidP="00E20C58">
            <w:pPr>
              <w:pStyle w:val="TableHeading"/>
              <w:keepNext w:val="0"/>
            </w:pPr>
            <w:r w:rsidRPr="00CD032D">
              <w:t>Website</w:t>
            </w:r>
          </w:p>
        </w:tc>
        <w:tc>
          <w:tcPr>
            <w:tcW w:w="0" w:type="auto"/>
          </w:tcPr>
          <w:p w14:paraId="1A0284B6" w14:textId="77777777" w:rsidR="004B32E9" w:rsidRPr="00CD032D" w:rsidRDefault="004B32E9" w:rsidP="00E20C58">
            <w:pPr>
              <w:pStyle w:val="TableHeading"/>
              <w:keepNext w:val="0"/>
            </w:pPr>
            <w:r w:rsidRPr="00CD032D">
              <w:t>Summary</w:t>
            </w:r>
          </w:p>
        </w:tc>
      </w:tr>
      <w:tr w:rsidR="004B32E9" w:rsidRPr="00CC202F" w14:paraId="75B1BE38" w14:textId="77777777" w:rsidTr="00F153A4">
        <w:tc>
          <w:tcPr>
            <w:tcW w:w="0" w:type="auto"/>
          </w:tcPr>
          <w:p w14:paraId="2EB5C7BB" w14:textId="77777777" w:rsidR="004B32E9" w:rsidRPr="00E41782" w:rsidRDefault="004B32E9" w:rsidP="00E20C58">
            <w:pPr>
              <w:pStyle w:val="Tabletext1"/>
              <w:rPr>
                <w:lang w:eastAsia="en-US"/>
              </w:rPr>
            </w:pPr>
            <w:r w:rsidRPr="00E41782">
              <w:rPr>
                <w:lang w:eastAsia="en-US"/>
              </w:rPr>
              <w:t>PSA testing and early management of test-detected prostate cancer (2016)</w:t>
            </w:r>
          </w:p>
        </w:tc>
        <w:tc>
          <w:tcPr>
            <w:tcW w:w="0" w:type="auto"/>
          </w:tcPr>
          <w:p w14:paraId="0EBC2994" w14:textId="77777777" w:rsidR="004B32E9" w:rsidRPr="00E41782" w:rsidRDefault="004B32E9" w:rsidP="00E20C58">
            <w:pPr>
              <w:pStyle w:val="Tabletext1"/>
              <w:rPr>
                <w:lang w:eastAsia="en-US"/>
              </w:rPr>
            </w:pPr>
            <w:r w:rsidRPr="00E41782">
              <w:rPr>
                <w:lang w:eastAsia="en-US"/>
              </w:rPr>
              <w:t>Cancer Council Australia</w:t>
            </w:r>
          </w:p>
        </w:tc>
        <w:tc>
          <w:tcPr>
            <w:tcW w:w="0" w:type="auto"/>
          </w:tcPr>
          <w:p w14:paraId="6393C1AB" w14:textId="77777777" w:rsidR="004B32E9" w:rsidRPr="00E41782" w:rsidRDefault="004B32E9" w:rsidP="00E20C58">
            <w:pPr>
              <w:pStyle w:val="Tabletext1"/>
              <w:rPr>
                <w:lang w:eastAsia="en-US"/>
              </w:rPr>
            </w:pPr>
            <w:r w:rsidRPr="00E41782">
              <w:rPr>
                <w:lang w:eastAsia="en-US"/>
              </w:rPr>
              <w:t>www.cancer.org.au</w:t>
            </w:r>
          </w:p>
        </w:tc>
        <w:tc>
          <w:tcPr>
            <w:tcW w:w="0" w:type="auto"/>
          </w:tcPr>
          <w:p w14:paraId="3679B216" w14:textId="77777777" w:rsidR="004B32E9" w:rsidRPr="00E41782" w:rsidRDefault="004B32E9" w:rsidP="00E20C58">
            <w:pPr>
              <w:pStyle w:val="Tabletext1"/>
              <w:rPr>
                <w:lang w:eastAsia="en-US"/>
              </w:rPr>
            </w:pPr>
            <w:r w:rsidRPr="00E41782">
              <w:rPr>
                <w:lang w:eastAsia="en-US"/>
              </w:rPr>
              <w:t>Does not suggest mpMRI for biopsy naïve men. Suggests mpMRI for those with negative biopsy to see if another biopsy is needed.</w:t>
            </w:r>
          </w:p>
        </w:tc>
      </w:tr>
      <w:tr w:rsidR="004B32E9" w:rsidRPr="00CC202F" w14:paraId="4CCCC563" w14:textId="77777777" w:rsidTr="00F153A4">
        <w:tc>
          <w:tcPr>
            <w:tcW w:w="0" w:type="auto"/>
          </w:tcPr>
          <w:p w14:paraId="3EDB6E71" w14:textId="77777777" w:rsidR="004B32E9" w:rsidRPr="00E41782" w:rsidRDefault="004B32E9" w:rsidP="00E20C58">
            <w:pPr>
              <w:pStyle w:val="Tabletext1"/>
              <w:rPr>
                <w:lang w:eastAsia="en-US"/>
              </w:rPr>
            </w:pPr>
            <w:r w:rsidRPr="00E41782">
              <w:rPr>
                <w:lang w:eastAsia="en-US"/>
              </w:rPr>
              <w:t>Multiparametric Magnetic Resonance Imaging in the Diagnosis of Clinically Significant Prostate Cancer (2015)</w:t>
            </w:r>
          </w:p>
        </w:tc>
        <w:tc>
          <w:tcPr>
            <w:tcW w:w="0" w:type="auto"/>
          </w:tcPr>
          <w:p w14:paraId="0328C7E3" w14:textId="77777777" w:rsidR="004B32E9" w:rsidRPr="00E41782" w:rsidRDefault="004B32E9" w:rsidP="00E20C58">
            <w:pPr>
              <w:pStyle w:val="Tabletext1"/>
              <w:rPr>
                <w:lang w:eastAsia="en-US"/>
              </w:rPr>
            </w:pPr>
            <w:r w:rsidRPr="00E41782">
              <w:rPr>
                <w:lang w:eastAsia="en-US"/>
              </w:rPr>
              <w:t>Cancer Care Ontario</w:t>
            </w:r>
          </w:p>
        </w:tc>
        <w:tc>
          <w:tcPr>
            <w:tcW w:w="0" w:type="auto"/>
          </w:tcPr>
          <w:p w14:paraId="4E88F2FB" w14:textId="77777777" w:rsidR="004B32E9" w:rsidRPr="00E41782" w:rsidRDefault="004B32E9" w:rsidP="00E20C58">
            <w:pPr>
              <w:pStyle w:val="Tabletext1"/>
              <w:rPr>
                <w:lang w:eastAsia="en-US"/>
              </w:rPr>
            </w:pPr>
            <w:r w:rsidRPr="00E41782">
              <w:rPr>
                <w:lang w:eastAsia="en-US"/>
              </w:rPr>
              <w:t xml:space="preserve">www.cancercare.on.ca </w:t>
            </w:r>
          </w:p>
        </w:tc>
        <w:tc>
          <w:tcPr>
            <w:tcW w:w="0" w:type="auto"/>
          </w:tcPr>
          <w:p w14:paraId="76DE64C5" w14:textId="77777777" w:rsidR="004B32E9" w:rsidRPr="00E41782" w:rsidRDefault="004B32E9" w:rsidP="00E20C58">
            <w:pPr>
              <w:pStyle w:val="Tabletext1"/>
              <w:rPr>
                <w:lang w:eastAsia="en-US"/>
              </w:rPr>
            </w:pPr>
            <w:r w:rsidRPr="00E41782">
              <w:rPr>
                <w:lang w:eastAsia="en-US"/>
              </w:rPr>
              <w:t>Does not suggest mpMRI for biopsy naïve men. Suggests mpMRI for those with negative biopsy to see if another biopsy is needed.</w:t>
            </w:r>
          </w:p>
        </w:tc>
      </w:tr>
      <w:tr w:rsidR="004B32E9" w:rsidRPr="00CC202F" w14:paraId="09CDFD34" w14:textId="77777777" w:rsidTr="00F153A4">
        <w:tc>
          <w:tcPr>
            <w:tcW w:w="0" w:type="auto"/>
          </w:tcPr>
          <w:p w14:paraId="66BD4F7D" w14:textId="77777777" w:rsidR="004B32E9" w:rsidRPr="00E41782" w:rsidRDefault="004B32E9" w:rsidP="00E20C58">
            <w:pPr>
              <w:pStyle w:val="Tabletext1"/>
              <w:rPr>
                <w:lang w:eastAsia="en-US"/>
              </w:rPr>
            </w:pPr>
            <w:r w:rsidRPr="00E41782">
              <w:rPr>
                <w:lang w:eastAsia="en-US"/>
              </w:rPr>
              <w:t>Prostate cancer: Diagnosis and treatment (2014)</w:t>
            </w:r>
          </w:p>
        </w:tc>
        <w:tc>
          <w:tcPr>
            <w:tcW w:w="0" w:type="auto"/>
          </w:tcPr>
          <w:p w14:paraId="079F572A" w14:textId="77777777" w:rsidR="004B32E9" w:rsidRPr="00E41782" w:rsidRDefault="004B32E9" w:rsidP="00E20C58">
            <w:pPr>
              <w:pStyle w:val="Tabletext1"/>
              <w:rPr>
                <w:lang w:eastAsia="en-US"/>
              </w:rPr>
            </w:pPr>
            <w:r w:rsidRPr="00E41782">
              <w:rPr>
                <w:lang w:eastAsia="en-US"/>
              </w:rPr>
              <w:t>NICE</w:t>
            </w:r>
          </w:p>
        </w:tc>
        <w:tc>
          <w:tcPr>
            <w:tcW w:w="0" w:type="auto"/>
          </w:tcPr>
          <w:p w14:paraId="06DF9731" w14:textId="77777777" w:rsidR="004B32E9" w:rsidRPr="00E41782" w:rsidRDefault="004B32E9" w:rsidP="00E20C58">
            <w:pPr>
              <w:pStyle w:val="Tabletext1"/>
              <w:rPr>
                <w:lang w:eastAsia="en-US"/>
              </w:rPr>
            </w:pPr>
            <w:r w:rsidRPr="00E41782">
              <w:rPr>
                <w:lang w:eastAsia="en-US"/>
              </w:rPr>
              <w:t>www.nice.org.uk</w:t>
            </w:r>
          </w:p>
        </w:tc>
        <w:tc>
          <w:tcPr>
            <w:tcW w:w="0" w:type="auto"/>
          </w:tcPr>
          <w:p w14:paraId="4AB7D75E" w14:textId="77777777" w:rsidR="004B32E9" w:rsidRPr="00E41782" w:rsidRDefault="004B32E9" w:rsidP="00E20C58">
            <w:pPr>
              <w:pStyle w:val="Tabletext1"/>
              <w:rPr>
                <w:lang w:eastAsia="en-US"/>
              </w:rPr>
            </w:pPr>
            <w:r w:rsidRPr="00E41782">
              <w:rPr>
                <w:lang w:eastAsia="en-US"/>
              </w:rPr>
              <w:t>Does not suggest mpMRI for biopsy naïve men. Suggests mpMRI for those with negative biopsy to see if another biopsy is needed.</w:t>
            </w:r>
          </w:p>
        </w:tc>
      </w:tr>
      <w:tr w:rsidR="004B32E9" w:rsidRPr="00CC202F" w14:paraId="6CA3D671" w14:textId="77777777" w:rsidTr="00F153A4">
        <w:tc>
          <w:tcPr>
            <w:tcW w:w="0" w:type="auto"/>
          </w:tcPr>
          <w:p w14:paraId="3E777561" w14:textId="77777777" w:rsidR="004B32E9" w:rsidRPr="00E41782" w:rsidRDefault="004B32E9" w:rsidP="00E20C58">
            <w:pPr>
              <w:pStyle w:val="Tabletext1"/>
              <w:rPr>
                <w:lang w:eastAsia="en-US"/>
              </w:rPr>
            </w:pPr>
            <w:r w:rsidRPr="00E41782">
              <w:rPr>
                <w:lang w:eastAsia="en-US"/>
              </w:rPr>
              <w:t>ACR Appropriateness Criteria Prostate Cancer—Pretreatment Detection, Staging, and Surveillance (2013)</w:t>
            </w:r>
          </w:p>
        </w:tc>
        <w:tc>
          <w:tcPr>
            <w:tcW w:w="0" w:type="auto"/>
          </w:tcPr>
          <w:p w14:paraId="07DEDAA4" w14:textId="77777777" w:rsidR="004B32E9" w:rsidRPr="00E41782" w:rsidRDefault="004B32E9" w:rsidP="00E20C58">
            <w:pPr>
              <w:pStyle w:val="Tabletext1"/>
              <w:rPr>
                <w:lang w:eastAsia="en-US"/>
              </w:rPr>
            </w:pPr>
            <w:r w:rsidRPr="00E41782">
              <w:rPr>
                <w:lang w:eastAsia="en-US"/>
              </w:rPr>
              <w:t>American College of Radiology</w:t>
            </w:r>
          </w:p>
        </w:tc>
        <w:tc>
          <w:tcPr>
            <w:tcW w:w="0" w:type="auto"/>
          </w:tcPr>
          <w:p w14:paraId="0B76753C" w14:textId="43220C4F" w:rsidR="004B32E9" w:rsidRPr="00E41782" w:rsidRDefault="005E4BBA" w:rsidP="00E20C58">
            <w:pPr>
              <w:pStyle w:val="Tabletext1"/>
              <w:rPr>
                <w:lang w:eastAsia="en-US"/>
              </w:rPr>
            </w:pPr>
            <w:r w:rsidRPr="00E41782">
              <w:rPr>
                <w:lang w:eastAsia="en-US"/>
              </w:rPr>
              <w:t>www.acr.org</w:t>
            </w:r>
          </w:p>
        </w:tc>
        <w:tc>
          <w:tcPr>
            <w:tcW w:w="0" w:type="auto"/>
          </w:tcPr>
          <w:p w14:paraId="5A7C465A" w14:textId="77777777" w:rsidR="004B32E9" w:rsidRPr="00E41782" w:rsidRDefault="004B32E9" w:rsidP="00E20C58">
            <w:pPr>
              <w:pStyle w:val="Tabletext1"/>
              <w:rPr>
                <w:lang w:eastAsia="en-US"/>
              </w:rPr>
            </w:pPr>
            <w:r w:rsidRPr="00E41782">
              <w:rPr>
                <w:lang w:eastAsia="en-US"/>
              </w:rPr>
              <w:t>Does not suggest mpMRI for biopsy naïve men. Suggests mpMRI for those with negative biopsy to see if another biopsy is needed.</w:t>
            </w:r>
          </w:p>
        </w:tc>
      </w:tr>
    </w:tbl>
    <w:p w14:paraId="64668E88" w14:textId="4E680943" w:rsidR="004B32E9" w:rsidRPr="00CC202F" w:rsidRDefault="00F5175B" w:rsidP="00F5175B">
      <w:pPr>
        <w:pStyle w:val="TableNotes"/>
      </w:pPr>
      <w:r>
        <w:t>mp-MRI = multiparametric MRI, PSA = Prostate specific antigen.</w:t>
      </w:r>
    </w:p>
    <w:p w14:paraId="2D72D8DA" w14:textId="77777777" w:rsidR="00742247" w:rsidRDefault="00742247">
      <w:pPr>
        <w:spacing w:after="0" w:line="240" w:lineRule="auto"/>
        <w:jc w:val="left"/>
      </w:pPr>
      <w:r>
        <w:br w:type="page"/>
      </w:r>
    </w:p>
    <w:p w14:paraId="5B9A63B8" w14:textId="77777777" w:rsidR="00742247" w:rsidRPr="00183E4D" w:rsidRDefault="00742247" w:rsidP="00742247">
      <w:pPr>
        <w:pStyle w:val="Heading1"/>
      </w:pPr>
      <w:bookmarkStart w:id="871" w:name="_Toc455916084"/>
      <w:bookmarkStart w:id="872" w:name="_Toc457383648"/>
      <w:bookmarkStart w:id="873" w:name="_Toc459987888"/>
      <w:bookmarkStart w:id="874" w:name="_Toc460514045"/>
      <w:r w:rsidRPr="00183E4D">
        <w:lastRenderedPageBreak/>
        <w:t xml:space="preserve">Appendix </w:t>
      </w:r>
      <w:r>
        <w:t>K</w:t>
      </w:r>
      <w:r w:rsidRPr="00183E4D">
        <w:tab/>
      </w:r>
      <w:r>
        <w:t>Section D literature search</w:t>
      </w:r>
      <w:bookmarkEnd w:id="871"/>
      <w:bookmarkEnd w:id="872"/>
      <w:bookmarkEnd w:id="873"/>
      <w:bookmarkEnd w:id="874"/>
    </w:p>
    <w:p w14:paraId="4CF06747" w14:textId="77777777" w:rsidR="00742247" w:rsidRPr="002E602E" w:rsidRDefault="00742247" w:rsidP="00742247">
      <w:pPr>
        <w:pStyle w:val="Heading3"/>
      </w:pPr>
      <w:bookmarkStart w:id="875" w:name="_Toc457383649"/>
      <w:bookmarkStart w:id="876" w:name="_Toc459987889"/>
      <w:bookmarkStart w:id="877" w:name="_Toc460514046"/>
      <w:bookmarkStart w:id="878" w:name="_Toc297560725"/>
      <w:r w:rsidRPr="002E602E">
        <w:t>Literature search for Section D.3: Economic evaluations</w:t>
      </w:r>
      <w:bookmarkEnd w:id="875"/>
      <w:bookmarkEnd w:id="876"/>
      <w:bookmarkEnd w:id="877"/>
    </w:p>
    <w:p w14:paraId="3DB6FC0A" w14:textId="7DDD118E" w:rsidR="00742247" w:rsidRDefault="00742247" w:rsidP="00742247">
      <w:r w:rsidRPr="00870787">
        <w:t>Simpler search strings were construct</w:t>
      </w:r>
      <w:r>
        <w:t>ed for the search of websites of HTA agencies</w:t>
      </w:r>
      <w:r w:rsidRPr="00870787">
        <w:t xml:space="preserve"> due to the fewer number of results generated.</w:t>
      </w:r>
      <w:r>
        <w:t xml:space="preserve"> In both searches conducted, </w:t>
      </w:r>
      <w:r w:rsidR="00055C87">
        <w:t>studies</w:t>
      </w:r>
      <w:r>
        <w:t xml:space="preserve"> were included for further review if they included:</w:t>
      </w:r>
    </w:p>
    <w:p w14:paraId="2FEFDF08" w14:textId="77777777" w:rsidR="00742247" w:rsidRDefault="00742247" w:rsidP="00A3402C">
      <w:pPr>
        <w:pStyle w:val="ListParagraph"/>
        <w:numPr>
          <w:ilvl w:val="0"/>
          <w:numId w:val="41"/>
        </w:numPr>
        <w:contextualSpacing w:val="0"/>
        <w:jc w:val="left"/>
      </w:pPr>
      <w:r>
        <w:t xml:space="preserve">A population of men with; </w:t>
      </w:r>
    </w:p>
    <w:p w14:paraId="204BEFC1" w14:textId="77777777" w:rsidR="00742247" w:rsidRDefault="00742247" w:rsidP="00A3402C">
      <w:pPr>
        <w:pStyle w:val="ListParagraph"/>
        <w:numPr>
          <w:ilvl w:val="1"/>
          <w:numId w:val="41"/>
        </w:numPr>
        <w:contextualSpacing w:val="0"/>
        <w:jc w:val="left"/>
      </w:pPr>
      <w:r>
        <w:t>Suspected prostate cancer; or</w:t>
      </w:r>
    </w:p>
    <w:p w14:paraId="1C397B49" w14:textId="77777777" w:rsidR="00742247" w:rsidRDefault="00742247" w:rsidP="00A3402C">
      <w:pPr>
        <w:pStyle w:val="ListParagraph"/>
        <w:numPr>
          <w:ilvl w:val="1"/>
          <w:numId w:val="41"/>
        </w:numPr>
        <w:contextualSpacing w:val="0"/>
        <w:jc w:val="left"/>
      </w:pPr>
      <w:r>
        <w:t xml:space="preserve">Low to intermediate risk prostate cancer, undergoing active surveillance. </w:t>
      </w:r>
    </w:p>
    <w:p w14:paraId="643B4D86" w14:textId="3DB178B0" w:rsidR="00742247" w:rsidRDefault="00742247" w:rsidP="00A3402C">
      <w:pPr>
        <w:pStyle w:val="ListParagraph"/>
        <w:numPr>
          <w:ilvl w:val="0"/>
          <w:numId w:val="41"/>
        </w:numPr>
        <w:contextualSpacing w:val="0"/>
        <w:jc w:val="left"/>
      </w:pPr>
      <w:r>
        <w:t xml:space="preserve">Included medical services of: mpMRI and/or </w:t>
      </w:r>
      <w:r w:rsidR="00E96DDA">
        <w:t>MRIGB</w:t>
      </w:r>
      <w:r>
        <w:t xml:space="preserve"> and/or TRUS</w:t>
      </w:r>
      <w:r w:rsidRPr="003C443E">
        <w:t>GB/T</w:t>
      </w:r>
      <w:r>
        <w:t>PUS</w:t>
      </w:r>
      <w:r w:rsidRPr="003C443E">
        <w:t>GB.</w:t>
      </w:r>
      <w:r>
        <w:t xml:space="preserve"> </w:t>
      </w:r>
    </w:p>
    <w:p w14:paraId="5219FBC0" w14:textId="77777777" w:rsidR="00742247" w:rsidRDefault="00742247" w:rsidP="00A3402C">
      <w:pPr>
        <w:pStyle w:val="ListParagraph"/>
        <w:numPr>
          <w:ilvl w:val="0"/>
          <w:numId w:val="41"/>
        </w:numPr>
        <w:contextualSpacing w:val="0"/>
        <w:jc w:val="left"/>
      </w:pPr>
      <w:r>
        <w:t xml:space="preserve">An economic evaluation consisting of a cost analysis, cost-effectiveness analysis or a cost-utility analysis. </w:t>
      </w:r>
    </w:p>
    <w:p w14:paraId="49DBC812" w14:textId="77777777" w:rsidR="00742247" w:rsidRDefault="00742247" w:rsidP="00742247">
      <w:r>
        <w:t>The searches were conducted on the 25</w:t>
      </w:r>
      <w:r w:rsidRPr="0033248A">
        <w:rPr>
          <w:vertAlign w:val="superscript"/>
        </w:rPr>
        <w:t>th</w:t>
      </w:r>
      <w:r>
        <w:t xml:space="preserve"> of June 2016. A summary of the search results of the HTA websites are provided in </w:t>
      </w:r>
      <w:r>
        <w:fldChar w:fldCharType="begin"/>
      </w:r>
      <w:r>
        <w:instrText xml:space="preserve"> REF _Ref455653006 \h </w:instrText>
      </w:r>
      <w:r>
        <w:fldChar w:fldCharType="separate"/>
      </w:r>
      <w:r w:rsidR="0029649D">
        <w:t xml:space="preserve">Table </w:t>
      </w:r>
      <w:r w:rsidR="0029649D">
        <w:rPr>
          <w:noProof/>
        </w:rPr>
        <w:t>98</w:t>
      </w:r>
      <w:r>
        <w:fldChar w:fldCharType="end"/>
      </w:r>
      <w:r>
        <w:t xml:space="preserve"> and results of the PubMed search are provided in </w:t>
      </w:r>
      <w:r>
        <w:fldChar w:fldCharType="begin"/>
      </w:r>
      <w:r>
        <w:instrText xml:space="preserve"> REF _Ref455653033 \h </w:instrText>
      </w:r>
      <w:r>
        <w:fldChar w:fldCharType="separate"/>
      </w:r>
      <w:r w:rsidR="0029649D">
        <w:t xml:space="preserve">Table </w:t>
      </w:r>
      <w:r w:rsidR="0029649D">
        <w:rPr>
          <w:noProof/>
        </w:rPr>
        <w:t>99</w:t>
      </w:r>
      <w:r>
        <w:fldChar w:fldCharType="end"/>
      </w:r>
      <w:r>
        <w:t xml:space="preserve">. </w:t>
      </w:r>
    </w:p>
    <w:p w14:paraId="0F9733C8" w14:textId="77777777" w:rsidR="00742247" w:rsidRDefault="00742247" w:rsidP="00742247">
      <w:pPr>
        <w:pStyle w:val="Caption"/>
      </w:pPr>
      <w:bookmarkStart w:id="879" w:name="_Ref455653006"/>
      <w:bookmarkStart w:id="880" w:name="_Toc455916117"/>
      <w:bookmarkStart w:id="881" w:name="_Toc457383692"/>
      <w:bookmarkStart w:id="882" w:name="_Toc459987928"/>
      <w:bookmarkStart w:id="883" w:name="_Toc460514598"/>
      <w:r>
        <w:t xml:space="preserve">Table </w:t>
      </w:r>
      <w:fldSimple w:instr=" SEQ Table \* ARABIC ">
        <w:r w:rsidR="0029649D">
          <w:rPr>
            <w:noProof/>
          </w:rPr>
          <w:t>98</w:t>
        </w:r>
      </w:fldSimple>
      <w:bookmarkEnd w:id="879"/>
      <w:r>
        <w:tab/>
      </w:r>
      <w:r w:rsidRPr="00594CBD">
        <w:t>Search of health technology websites</w:t>
      </w:r>
      <w:bookmarkEnd w:id="878"/>
      <w:bookmarkEnd w:id="880"/>
      <w:bookmarkEnd w:id="881"/>
      <w:bookmarkEnd w:id="882"/>
      <w:bookmarkEnd w:id="883"/>
      <w: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3544"/>
        <w:gridCol w:w="1842"/>
      </w:tblGrid>
      <w:tr w:rsidR="00742247" w:rsidRPr="00200B85" w14:paraId="50725DF0" w14:textId="77777777" w:rsidTr="002768CD">
        <w:tc>
          <w:tcPr>
            <w:tcW w:w="3794" w:type="dxa"/>
            <w:shd w:val="clear" w:color="auto" w:fill="auto"/>
          </w:tcPr>
          <w:p w14:paraId="36AA3FF2" w14:textId="77777777" w:rsidR="00742247" w:rsidRPr="00201F70" w:rsidRDefault="00742247" w:rsidP="002768CD">
            <w:pPr>
              <w:pStyle w:val="TableHeading"/>
              <w:ind w:left="-16"/>
            </w:pPr>
            <w:r w:rsidRPr="00201F70">
              <w:t>Organisation</w:t>
            </w:r>
          </w:p>
        </w:tc>
        <w:tc>
          <w:tcPr>
            <w:tcW w:w="3544" w:type="dxa"/>
            <w:shd w:val="clear" w:color="auto" w:fill="auto"/>
          </w:tcPr>
          <w:p w14:paraId="3C63FAE9" w14:textId="77777777" w:rsidR="00742247" w:rsidRPr="00201F70" w:rsidRDefault="00742247" w:rsidP="002768CD">
            <w:pPr>
              <w:pStyle w:val="TableHeading"/>
              <w:ind w:left="-16"/>
            </w:pPr>
            <w:r w:rsidRPr="00201F70">
              <w:t>Search Strings (articles found)</w:t>
            </w:r>
          </w:p>
        </w:tc>
        <w:tc>
          <w:tcPr>
            <w:tcW w:w="1842" w:type="dxa"/>
            <w:shd w:val="clear" w:color="auto" w:fill="auto"/>
          </w:tcPr>
          <w:p w14:paraId="629D87DF" w14:textId="77777777" w:rsidR="00742247" w:rsidRPr="00201F70" w:rsidRDefault="00742247" w:rsidP="002768CD">
            <w:pPr>
              <w:pStyle w:val="TableHeading"/>
              <w:ind w:left="-16"/>
            </w:pPr>
            <w:r w:rsidRPr="00201F70">
              <w:t>Relevant Documents</w:t>
            </w:r>
          </w:p>
        </w:tc>
      </w:tr>
      <w:tr w:rsidR="00742247" w:rsidRPr="00200B85" w14:paraId="7F5D1192" w14:textId="77777777" w:rsidTr="002768CD">
        <w:trPr>
          <w:trHeight w:val="511"/>
        </w:trPr>
        <w:tc>
          <w:tcPr>
            <w:tcW w:w="3794" w:type="dxa"/>
          </w:tcPr>
          <w:p w14:paraId="4E8A978E" w14:textId="77777777" w:rsidR="00742247" w:rsidRPr="00200B85" w:rsidRDefault="00742247" w:rsidP="002768CD">
            <w:pPr>
              <w:pStyle w:val="Tabletext1"/>
              <w:spacing w:before="0" w:after="0"/>
              <w:rPr>
                <w:rFonts w:cs="Arial"/>
                <w:sz w:val="18"/>
                <w:szCs w:val="18"/>
              </w:rPr>
            </w:pPr>
            <w:r w:rsidRPr="00200B85">
              <w:rPr>
                <w:rFonts w:cs="Arial"/>
                <w:sz w:val="18"/>
                <w:szCs w:val="18"/>
              </w:rPr>
              <w:t>Canadian Agency for Drugs and Technologies in Health</w:t>
            </w:r>
          </w:p>
          <w:p w14:paraId="35E4F47C" w14:textId="77777777" w:rsidR="00742247" w:rsidRPr="0057087F" w:rsidRDefault="00742247" w:rsidP="002768CD">
            <w:pPr>
              <w:spacing w:after="0" w:line="240" w:lineRule="auto"/>
              <w:rPr>
                <w:rFonts w:ascii="Arial Narrow" w:hAnsi="Arial Narrow" w:cs="Arial"/>
                <w:sz w:val="18"/>
                <w:szCs w:val="18"/>
              </w:rPr>
            </w:pPr>
            <w:r w:rsidRPr="00A15938">
              <w:rPr>
                <w:rFonts w:ascii="Arial Narrow" w:hAnsi="Arial Narrow" w:cs="Arial"/>
                <w:sz w:val="18"/>
                <w:szCs w:val="18"/>
              </w:rPr>
              <w:t>https://www.cadth.ca/</w:t>
            </w:r>
            <w:r>
              <w:rPr>
                <w:rFonts w:ascii="Arial Narrow" w:hAnsi="Arial Narrow" w:cs="Arial"/>
                <w:sz w:val="18"/>
                <w:szCs w:val="18"/>
              </w:rPr>
              <w:t xml:space="preserve"> </w:t>
            </w:r>
          </w:p>
        </w:tc>
        <w:tc>
          <w:tcPr>
            <w:tcW w:w="3544" w:type="dxa"/>
          </w:tcPr>
          <w:p w14:paraId="2B8400FB" w14:textId="77777777" w:rsidR="00742247" w:rsidRDefault="00742247" w:rsidP="002768CD">
            <w:pPr>
              <w:pStyle w:val="Tabletext1"/>
              <w:spacing w:before="0" w:after="0"/>
              <w:rPr>
                <w:rFonts w:cs="Arial"/>
                <w:sz w:val="18"/>
                <w:szCs w:val="18"/>
              </w:rPr>
            </w:pPr>
            <w:r w:rsidRPr="00390732">
              <w:rPr>
                <w:rFonts w:cs="Arial"/>
                <w:sz w:val="18"/>
                <w:szCs w:val="18"/>
              </w:rPr>
              <w:t>multiparametric magnetic resonance imaging</w:t>
            </w:r>
            <w:r>
              <w:rPr>
                <w:rFonts w:cs="Arial"/>
                <w:sz w:val="18"/>
                <w:szCs w:val="18"/>
              </w:rPr>
              <w:t xml:space="preserve"> = 2</w:t>
            </w:r>
          </w:p>
          <w:p w14:paraId="02265F0D" w14:textId="77777777" w:rsidR="00742247" w:rsidRPr="00200B85" w:rsidRDefault="00742247" w:rsidP="002768CD">
            <w:pPr>
              <w:pStyle w:val="Tabletext1"/>
              <w:spacing w:before="0" w:after="0"/>
              <w:rPr>
                <w:rFonts w:cs="Arial"/>
                <w:sz w:val="18"/>
                <w:szCs w:val="18"/>
              </w:rPr>
            </w:pPr>
            <w:r>
              <w:rPr>
                <w:rFonts w:cs="Arial"/>
                <w:sz w:val="18"/>
                <w:szCs w:val="18"/>
              </w:rPr>
              <w:t>Prostate cancer = 134</w:t>
            </w:r>
          </w:p>
        </w:tc>
        <w:tc>
          <w:tcPr>
            <w:tcW w:w="1842" w:type="dxa"/>
          </w:tcPr>
          <w:p w14:paraId="15191C3D" w14:textId="77777777" w:rsidR="00742247" w:rsidRPr="00200B85" w:rsidRDefault="00742247" w:rsidP="002768CD">
            <w:pPr>
              <w:pStyle w:val="Tabletext1"/>
              <w:spacing w:before="0" w:after="0"/>
              <w:rPr>
                <w:rFonts w:cs="Arial"/>
                <w:sz w:val="18"/>
                <w:szCs w:val="18"/>
              </w:rPr>
            </w:pPr>
            <w:r>
              <w:rPr>
                <w:rFonts w:cs="Arial"/>
                <w:sz w:val="18"/>
                <w:szCs w:val="18"/>
              </w:rPr>
              <w:t>1</w:t>
            </w:r>
            <w:r w:rsidRPr="00D575F2">
              <w:rPr>
                <w:rFonts w:cs="Arial"/>
                <w:sz w:val="18"/>
                <w:szCs w:val="18"/>
                <w:vertAlign w:val="superscript"/>
              </w:rPr>
              <w:t>a</w:t>
            </w:r>
          </w:p>
        </w:tc>
      </w:tr>
      <w:tr w:rsidR="00742247" w:rsidRPr="00200B85" w14:paraId="3CE2838A" w14:textId="77777777" w:rsidTr="002768CD">
        <w:tc>
          <w:tcPr>
            <w:tcW w:w="3794" w:type="dxa"/>
          </w:tcPr>
          <w:p w14:paraId="307814D6" w14:textId="77777777" w:rsidR="00742247" w:rsidRPr="00200B85" w:rsidRDefault="00742247" w:rsidP="002768CD">
            <w:pPr>
              <w:pStyle w:val="Tabletext1"/>
              <w:spacing w:before="0" w:after="0"/>
              <w:rPr>
                <w:rFonts w:cs="Arial"/>
                <w:sz w:val="18"/>
                <w:szCs w:val="18"/>
              </w:rPr>
            </w:pPr>
            <w:r w:rsidRPr="00200B85">
              <w:rPr>
                <w:rFonts w:cs="Arial"/>
                <w:sz w:val="18"/>
                <w:szCs w:val="18"/>
              </w:rPr>
              <w:t>Pharmacology and Therapeutics Advisory Committee (Pharmac: Pharmaceutical Management Agency)</w:t>
            </w:r>
          </w:p>
          <w:p w14:paraId="09C426E5" w14:textId="77777777" w:rsidR="00742247" w:rsidRPr="0057087F" w:rsidRDefault="00742247" w:rsidP="002768CD">
            <w:pPr>
              <w:spacing w:after="0" w:line="240" w:lineRule="auto"/>
              <w:rPr>
                <w:rFonts w:ascii="Arial Narrow" w:hAnsi="Arial Narrow" w:cs="Arial"/>
                <w:sz w:val="18"/>
                <w:szCs w:val="18"/>
              </w:rPr>
            </w:pPr>
            <w:r w:rsidRPr="00A15938">
              <w:rPr>
                <w:rFonts w:ascii="Arial Narrow" w:hAnsi="Arial Narrow" w:cs="Arial"/>
                <w:sz w:val="18"/>
                <w:szCs w:val="18"/>
              </w:rPr>
              <w:t>https://www.pharmac.govt.nz/</w:t>
            </w:r>
            <w:r>
              <w:rPr>
                <w:rFonts w:ascii="Arial Narrow" w:hAnsi="Arial Narrow" w:cs="Arial"/>
                <w:sz w:val="18"/>
                <w:szCs w:val="18"/>
              </w:rPr>
              <w:t xml:space="preserve"> </w:t>
            </w:r>
          </w:p>
        </w:tc>
        <w:tc>
          <w:tcPr>
            <w:tcW w:w="3544" w:type="dxa"/>
          </w:tcPr>
          <w:p w14:paraId="4514C7CD" w14:textId="77777777" w:rsidR="00742247" w:rsidRDefault="00742247" w:rsidP="002768CD">
            <w:pPr>
              <w:pStyle w:val="Tabletext1"/>
              <w:spacing w:before="0" w:after="0"/>
              <w:rPr>
                <w:rFonts w:cs="Arial"/>
                <w:sz w:val="18"/>
                <w:szCs w:val="18"/>
              </w:rPr>
            </w:pPr>
            <w:r w:rsidRPr="00390732">
              <w:rPr>
                <w:rFonts w:cs="Arial"/>
                <w:sz w:val="18"/>
                <w:szCs w:val="18"/>
              </w:rPr>
              <w:t>multiparametric magnetic resonance imaging</w:t>
            </w:r>
            <w:r>
              <w:rPr>
                <w:rFonts w:cs="Arial"/>
                <w:sz w:val="18"/>
                <w:szCs w:val="18"/>
              </w:rPr>
              <w:t xml:space="preserve"> = 1</w:t>
            </w:r>
          </w:p>
          <w:p w14:paraId="4941EE8C" w14:textId="77777777" w:rsidR="00742247" w:rsidRPr="00200B85" w:rsidRDefault="00742247" w:rsidP="002768CD">
            <w:pPr>
              <w:pStyle w:val="Tabletext1"/>
              <w:spacing w:before="0" w:after="0"/>
              <w:rPr>
                <w:rFonts w:cs="Arial"/>
                <w:sz w:val="18"/>
                <w:szCs w:val="18"/>
              </w:rPr>
            </w:pPr>
            <w:r>
              <w:rPr>
                <w:rFonts w:cs="Arial"/>
                <w:sz w:val="18"/>
                <w:szCs w:val="18"/>
              </w:rPr>
              <w:t>Prostate cancer = [7 web pages reviewed]</w:t>
            </w:r>
          </w:p>
        </w:tc>
        <w:tc>
          <w:tcPr>
            <w:tcW w:w="1842" w:type="dxa"/>
          </w:tcPr>
          <w:p w14:paraId="016939FE" w14:textId="77777777" w:rsidR="00742247" w:rsidRPr="00200B85" w:rsidRDefault="00742247" w:rsidP="002768CD">
            <w:pPr>
              <w:pStyle w:val="Tabletext1"/>
              <w:spacing w:before="0" w:after="0"/>
              <w:rPr>
                <w:rFonts w:cs="Arial"/>
                <w:sz w:val="18"/>
                <w:szCs w:val="18"/>
              </w:rPr>
            </w:pPr>
            <w:r w:rsidRPr="00200B85">
              <w:rPr>
                <w:rFonts w:cs="Arial"/>
                <w:sz w:val="18"/>
                <w:szCs w:val="18"/>
              </w:rPr>
              <w:t>0</w:t>
            </w:r>
          </w:p>
        </w:tc>
      </w:tr>
      <w:tr w:rsidR="00742247" w:rsidRPr="00200B85" w14:paraId="0D99A0B2" w14:textId="77777777" w:rsidTr="002768CD">
        <w:trPr>
          <w:trHeight w:val="497"/>
        </w:trPr>
        <w:tc>
          <w:tcPr>
            <w:tcW w:w="3794" w:type="dxa"/>
          </w:tcPr>
          <w:p w14:paraId="58DD1CCD" w14:textId="77777777" w:rsidR="00742247" w:rsidRPr="00200B85" w:rsidRDefault="00742247" w:rsidP="002768CD">
            <w:pPr>
              <w:pStyle w:val="Tabletext1"/>
              <w:spacing w:before="0" w:after="0"/>
              <w:rPr>
                <w:rFonts w:cs="Arial"/>
                <w:sz w:val="18"/>
                <w:szCs w:val="18"/>
              </w:rPr>
            </w:pPr>
            <w:r w:rsidRPr="00200B85">
              <w:rPr>
                <w:rFonts w:cs="Arial"/>
                <w:sz w:val="18"/>
                <w:szCs w:val="18"/>
              </w:rPr>
              <w:t>Scottish Medicine Consortium</w:t>
            </w:r>
          </w:p>
          <w:p w14:paraId="35A6B758" w14:textId="77777777" w:rsidR="00742247" w:rsidRPr="0057087F" w:rsidRDefault="00742247" w:rsidP="002768CD">
            <w:pPr>
              <w:spacing w:after="0" w:line="240" w:lineRule="auto"/>
              <w:rPr>
                <w:rFonts w:ascii="Arial Narrow" w:hAnsi="Arial Narrow" w:cs="Arial"/>
                <w:sz w:val="18"/>
                <w:szCs w:val="18"/>
              </w:rPr>
            </w:pPr>
            <w:r w:rsidRPr="00A15938">
              <w:rPr>
                <w:rFonts w:ascii="Arial Narrow" w:hAnsi="Arial Narrow" w:cs="Arial"/>
                <w:sz w:val="18"/>
                <w:szCs w:val="18"/>
              </w:rPr>
              <w:t>www.scottishmedicines.org.uk</w:t>
            </w:r>
            <w:r w:rsidRPr="0057087F">
              <w:rPr>
                <w:rFonts w:ascii="Arial Narrow" w:hAnsi="Arial Narrow" w:cs="Arial"/>
                <w:sz w:val="18"/>
                <w:szCs w:val="18"/>
              </w:rPr>
              <w:t xml:space="preserve"> </w:t>
            </w:r>
          </w:p>
        </w:tc>
        <w:tc>
          <w:tcPr>
            <w:tcW w:w="3544" w:type="dxa"/>
          </w:tcPr>
          <w:p w14:paraId="57D480C3" w14:textId="77777777" w:rsidR="00742247" w:rsidRDefault="00742247" w:rsidP="002768CD">
            <w:pPr>
              <w:pStyle w:val="Tabletext1"/>
              <w:spacing w:before="0" w:after="0"/>
              <w:rPr>
                <w:rFonts w:cs="Arial"/>
                <w:sz w:val="18"/>
                <w:szCs w:val="18"/>
              </w:rPr>
            </w:pPr>
            <w:r w:rsidRPr="00390732">
              <w:rPr>
                <w:rFonts w:cs="Arial"/>
                <w:sz w:val="18"/>
                <w:szCs w:val="18"/>
              </w:rPr>
              <w:t>multiparametric magnetic resonance imaging</w:t>
            </w:r>
            <w:r>
              <w:rPr>
                <w:rFonts w:cs="Arial"/>
                <w:sz w:val="18"/>
                <w:szCs w:val="18"/>
              </w:rPr>
              <w:t xml:space="preserve"> = 5</w:t>
            </w:r>
          </w:p>
          <w:p w14:paraId="0E5C91DC" w14:textId="77777777" w:rsidR="00742247" w:rsidRPr="00200B85" w:rsidRDefault="00742247" w:rsidP="002768CD">
            <w:pPr>
              <w:pStyle w:val="Tabletext1"/>
              <w:spacing w:before="0" w:after="0"/>
              <w:rPr>
                <w:rFonts w:cs="Arial"/>
                <w:sz w:val="18"/>
                <w:szCs w:val="18"/>
              </w:rPr>
            </w:pPr>
            <w:r>
              <w:rPr>
                <w:rFonts w:cs="Arial"/>
                <w:sz w:val="18"/>
                <w:szCs w:val="18"/>
              </w:rPr>
              <w:t>Prostate cancer = 13</w:t>
            </w:r>
          </w:p>
        </w:tc>
        <w:tc>
          <w:tcPr>
            <w:tcW w:w="1842" w:type="dxa"/>
          </w:tcPr>
          <w:p w14:paraId="1054504F" w14:textId="77777777" w:rsidR="00742247" w:rsidRPr="00200B85" w:rsidRDefault="00742247" w:rsidP="002768CD">
            <w:pPr>
              <w:pStyle w:val="Tabletext1"/>
              <w:spacing w:before="0" w:after="0"/>
              <w:rPr>
                <w:rFonts w:cs="Arial"/>
                <w:sz w:val="18"/>
                <w:szCs w:val="18"/>
              </w:rPr>
            </w:pPr>
            <w:r>
              <w:rPr>
                <w:rFonts w:cs="Arial"/>
                <w:sz w:val="18"/>
                <w:szCs w:val="18"/>
              </w:rPr>
              <w:t>0</w:t>
            </w:r>
          </w:p>
        </w:tc>
      </w:tr>
      <w:tr w:rsidR="00742247" w:rsidRPr="00200B85" w14:paraId="1685F415" w14:textId="77777777" w:rsidTr="002768CD">
        <w:tc>
          <w:tcPr>
            <w:tcW w:w="3794" w:type="dxa"/>
          </w:tcPr>
          <w:p w14:paraId="59B696C4" w14:textId="77777777" w:rsidR="00742247" w:rsidRPr="00200B85" w:rsidRDefault="00742247" w:rsidP="002768CD">
            <w:pPr>
              <w:pStyle w:val="Tabletext1"/>
              <w:spacing w:before="0" w:after="0"/>
              <w:rPr>
                <w:rFonts w:cs="Arial"/>
                <w:sz w:val="18"/>
                <w:szCs w:val="18"/>
              </w:rPr>
            </w:pPr>
            <w:r w:rsidRPr="00200B85">
              <w:rPr>
                <w:rFonts w:cs="Arial"/>
                <w:sz w:val="18"/>
                <w:szCs w:val="18"/>
              </w:rPr>
              <w:t>National Institute</w:t>
            </w:r>
            <w:r>
              <w:rPr>
                <w:rFonts w:cs="Arial"/>
                <w:sz w:val="18"/>
                <w:szCs w:val="18"/>
              </w:rPr>
              <w:t>s</w:t>
            </w:r>
            <w:r w:rsidRPr="00200B85">
              <w:rPr>
                <w:rFonts w:cs="Arial"/>
                <w:sz w:val="18"/>
                <w:szCs w:val="18"/>
              </w:rPr>
              <w:t xml:space="preserve"> of Health and Clinical Excellence</w:t>
            </w:r>
          </w:p>
          <w:p w14:paraId="4CC2CFB1" w14:textId="77777777" w:rsidR="00742247" w:rsidRPr="0057087F" w:rsidRDefault="00742247" w:rsidP="002768CD">
            <w:pPr>
              <w:spacing w:after="0" w:line="240" w:lineRule="auto"/>
              <w:rPr>
                <w:rFonts w:ascii="Arial Narrow" w:hAnsi="Arial Narrow" w:cs="Arial"/>
                <w:sz w:val="18"/>
                <w:szCs w:val="18"/>
              </w:rPr>
            </w:pPr>
            <w:r w:rsidRPr="00A15938">
              <w:rPr>
                <w:rFonts w:ascii="Arial Narrow" w:hAnsi="Arial Narrow" w:cs="Arial"/>
                <w:sz w:val="18"/>
                <w:szCs w:val="18"/>
              </w:rPr>
              <w:t>www.nice.org.uk</w:t>
            </w:r>
            <w:r w:rsidRPr="0057087F">
              <w:rPr>
                <w:rFonts w:ascii="Arial Narrow" w:hAnsi="Arial Narrow" w:cs="Arial"/>
                <w:sz w:val="18"/>
                <w:szCs w:val="18"/>
              </w:rPr>
              <w:t xml:space="preserve"> </w:t>
            </w:r>
          </w:p>
        </w:tc>
        <w:tc>
          <w:tcPr>
            <w:tcW w:w="3544" w:type="dxa"/>
          </w:tcPr>
          <w:p w14:paraId="68A6A81E" w14:textId="77777777" w:rsidR="00742247" w:rsidRDefault="00742247" w:rsidP="002768CD">
            <w:pPr>
              <w:pStyle w:val="Tabletext1"/>
              <w:spacing w:before="0" w:after="0"/>
              <w:rPr>
                <w:rFonts w:cs="Arial"/>
                <w:sz w:val="18"/>
                <w:szCs w:val="18"/>
              </w:rPr>
            </w:pPr>
            <w:r w:rsidRPr="00390732">
              <w:rPr>
                <w:rFonts w:cs="Arial"/>
                <w:sz w:val="18"/>
                <w:szCs w:val="18"/>
              </w:rPr>
              <w:t>multiparametric magnetic resonance imaging</w:t>
            </w:r>
            <w:r>
              <w:rPr>
                <w:rFonts w:cs="Arial"/>
                <w:sz w:val="18"/>
                <w:szCs w:val="18"/>
              </w:rPr>
              <w:t xml:space="preserve"> = 6</w:t>
            </w:r>
          </w:p>
          <w:p w14:paraId="5C8C798A" w14:textId="77777777" w:rsidR="00742247" w:rsidRPr="00200B85" w:rsidRDefault="00742247" w:rsidP="002768CD">
            <w:pPr>
              <w:pStyle w:val="Tabletext1"/>
              <w:spacing w:before="0" w:after="0"/>
              <w:rPr>
                <w:rFonts w:cs="Arial"/>
                <w:sz w:val="18"/>
                <w:szCs w:val="18"/>
              </w:rPr>
            </w:pPr>
            <w:r>
              <w:rPr>
                <w:rFonts w:cs="Arial"/>
                <w:sz w:val="18"/>
                <w:szCs w:val="18"/>
              </w:rPr>
              <w:t>Prostate cancer = 211</w:t>
            </w:r>
          </w:p>
        </w:tc>
        <w:tc>
          <w:tcPr>
            <w:tcW w:w="1842" w:type="dxa"/>
          </w:tcPr>
          <w:p w14:paraId="141F7987" w14:textId="77777777" w:rsidR="00742247" w:rsidRPr="0016209B" w:rsidRDefault="00742247" w:rsidP="002768CD">
            <w:pPr>
              <w:pStyle w:val="Tabletext1"/>
              <w:spacing w:before="0" w:after="0"/>
              <w:rPr>
                <w:rFonts w:cs="Arial"/>
                <w:sz w:val="18"/>
                <w:szCs w:val="18"/>
                <w:vertAlign w:val="superscript"/>
              </w:rPr>
            </w:pPr>
            <w:r>
              <w:rPr>
                <w:rFonts w:cs="Arial"/>
                <w:sz w:val="18"/>
                <w:szCs w:val="18"/>
              </w:rPr>
              <w:t>1</w:t>
            </w:r>
            <w:r w:rsidRPr="00FD6648">
              <w:rPr>
                <w:rFonts w:cs="Arial"/>
                <w:sz w:val="18"/>
                <w:szCs w:val="18"/>
                <w:vertAlign w:val="superscript"/>
              </w:rPr>
              <w:t>b</w:t>
            </w:r>
          </w:p>
        </w:tc>
      </w:tr>
      <w:tr w:rsidR="00742247" w:rsidRPr="00200B85" w14:paraId="18C5325F" w14:textId="77777777" w:rsidTr="002768CD">
        <w:tc>
          <w:tcPr>
            <w:tcW w:w="3794" w:type="dxa"/>
          </w:tcPr>
          <w:p w14:paraId="2BF17A69" w14:textId="77777777" w:rsidR="00742247" w:rsidRDefault="00742247" w:rsidP="002768CD">
            <w:pPr>
              <w:pStyle w:val="Tabletext1"/>
              <w:spacing w:before="0" w:after="0"/>
              <w:rPr>
                <w:rFonts w:cs="Arial"/>
                <w:sz w:val="18"/>
                <w:szCs w:val="18"/>
              </w:rPr>
            </w:pPr>
            <w:r w:rsidRPr="00200B85">
              <w:rPr>
                <w:rFonts w:cs="Arial"/>
                <w:sz w:val="18"/>
                <w:szCs w:val="18"/>
              </w:rPr>
              <w:t>Centre for Reviews and Dissemination (encompassing the Database of Abstracts of Reviews of Effects – DARE, the NHS Economic Evaluation Database – NHS EED, and the Health Technology Assessment Database – HTA)</w:t>
            </w:r>
          </w:p>
          <w:p w14:paraId="69F1CB22" w14:textId="77777777" w:rsidR="00742247" w:rsidRPr="0057087F" w:rsidRDefault="00742247" w:rsidP="002768CD">
            <w:pPr>
              <w:pStyle w:val="Tabletext1"/>
              <w:spacing w:before="0" w:after="0"/>
              <w:rPr>
                <w:rFonts w:cs="Arial"/>
                <w:sz w:val="18"/>
                <w:szCs w:val="18"/>
              </w:rPr>
            </w:pPr>
            <w:r w:rsidRPr="00A15938">
              <w:rPr>
                <w:rFonts w:cs="Arial"/>
                <w:sz w:val="18"/>
                <w:szCs w:val="18"/>
              </w:rPr>
              <w:t>https://www.york.ac.uk/crd/</w:t>
            </w:r>
            <w:r>
              <w:rPr>
                <w:rFonts w:cs="Arial"/>
                <w:sz w:val="18"/>
                <w:szCs w:val="18"/>
              </w:rPr>
              <w:t xml:space="preserve"> </w:t>
            </w:r>
          </w:p>
        </w:tc>
        <w:tc>
          <w:tcPr>
            <w:tcW w:w="3544" w:type="dxa"/>
          </w:tcPr>
          <w:p w14:paraId="7C0AD201" w14:textId="77777777" w:rsidR="00742247" w:rsidRDefault="00742247" w:rsidP="002768CD">
            <w:pPr>
              <w:pStyle w:val="Tabletext1"/>
              <w:spacing w:before="0" w:after="0"/>
              <w:rPr>
                <w:rFonts w:cs="Arial"/>
                <w:sz w:val="18"/>
                <w:szCs w:val="18"/>
              </w:rPr>
            </w:pPr>
            <w:r w:rsidRPr="00390732">
              <w:rPr>
                <w:rFonts w:cs="Arial"/>
                <w:sz w:val="18"/>
                <w:szCs w:val="18"/>
              </w:rPr>
              <w:t>multiparametric magnetic resonance imaging</w:t>
            </w:r>
            <w:r>
              <w:rPr>
                <w:rFonts w:cs="Arial"/>
                <w:sz w:val="18"/>
                <w:szCs w:val="18"/>
              </w:rPr>
              <w:t xml:space="preserve"> = 0</w:t>
            </w:r>
          </w:p>
          <w:p w14:paraId="46277DD4" w14:textId="77777777" w:rsidR="00742247" w:rsidRPr="00200B85" w:rsidRDefault="00742247" w:rsidP="002768CD">
            <w:pPr>
              <w:pStyle w:val="Tabletext1"/>
              <w:spacing w:before="0" w:after="0"/>
              <w:rPr>
                <w:rFonts w:cs="Arial"/>
                <w:sz w:val="18"/>
                <w:szCs w:val="18"/>
              </w:rPr>
            </w:pPr>
            <w:r>
              <w:rPr>
                <w:rFonts w:cs="Arial"/>
                <w:sz w:val="18"/>
                <w:szCs w:val="18"/>
              </w:rPr>
              <w:t>Prostate cancer = 8</w:t>
            </w:r>
          </w:p>
        </w:tc>
        <w:tc>
          <w:tcPr>
            <w:tcW w:w="1842" w:type="dxa"/>
          </w:tcPr>
          <w:p w14:paraId="74130574" w14:textId="77777777" w:rsidR="00742247" w:rsidRPr="00200B85" w:rsidRDefault="00742247" w:rsidP="002768CD">
            <w:pPr>
              <w:pStyle w:val="Tabletext1"/>
              <w:spacing w:before="0" w:after="0"/>
              <w:rPr>
                <w:rFonts w:cs="Arial"/>
                <w:sz w:val="18"/>
                <w:szCs w:val="18"/>
              </w:rPr>
            </w:pPr>
            <w:r>
              <w:rPr>
                <w:rFonts w:cs="Arial"/>
                <w:sz w:val="18"/>
                <w:szCs w:val="18"/>
              </w:rPr>
              <w:t>0</w:t>
            </w:r>
          </w:p>
        </w:tc>
      </w:tr>
    </w:tbl>
    <w:p w14:paraId="602A2A52" w14:textId="4AB83AFB" w:rsidR="00742247" w:rsidRPr="008972A6" w:rsidRDefault="00742247" w:rsidP="00742247">
      <w:pPr>
        <w:pStyle w:val="TableNotes00"/>
        <w:ind w:left="0"/>
        <w:rPr>
          <w:lang w:eastAsia="en-US"/>
        </w:rPr>
      </w:pPr>
      <w:r w:rsidRPr="008972A6">
        <w:rPr>
          <w:lang w:eastAsia="en-US"/>
        </w:rPr>
        <w:t xml:space="preserve">Notes: </w:t>
      </w:r>
      <w:r>
        <w:rPr>
          <w:lang w:eastAsia="en-US"/>
        </w:rPr>
        <w:tab/>
      </w:r>
      <w:r w:rsidR="008A71E9">
        <w:rPr>
          <w:lang w:eastAsia="en-US"/>
        </w:rPr>
        <w:t>A</w:t>
      </w:r>
      <w:r w:rsidRPr="008972A6">
        <w:rPr>
          <w:lang w:eastAsia="en-US"/>
        </w:rPr>
        <w:t xml:space="preserve">ll above </w:t>
      </w:r>
      <w:r>
        <w:rPr>
          <w:lang w:eastAsia="en-US"/>
        </w:rPr>
        <w:t xml:space="preserve">sites </w:t>
      </w:r>
      <w:r w:rsidRPr="008972A6">
        <w:rPr>
          <w:lang w:eastAsia="en-US"/>
        </w:rPr>
        <w:t xml:space="preserve">accessed on-line on </w:t>
      </w:r>
      <w:r>
        <w:rPr>
          <w:lang w:eastAsia="en-US"/>
        </w:rPr>
        <w:t>25</w:t>
      </w:r>
      <w:r w:rsidRPr="00C07311">
        <w:rPr>
          <w:vertAlign w:val="superscript"/>
          <w:lang w:eastAsia="en-US"/>
        </w:rPr>
        <w:t>th</w:t>
      </w:r>
      <w:r>
        <w:rPr>
          <w:lang w:eastAsia="en-US"/>
        </w:rPr>
        <w:t xml:space="preserve"> June 2016</w:t>
      </w:r>
      <w:r w:rsidRPr="008972A6">
        <w:rPr>
          <w:lang w:eastAsia="en-US"/>
        </w:rPr>
        <w:t>.</w:t>
      </w:r>
    </w:p>
    <w:p w14:paraId="4CA67463" w14:textId="18BB7E89" w:rsidR="00742247" w:rsidRPr="00600E76" w:rsidRDefault="00742247" w:rsidP="00742247">
      <w:pPr>
        <w:pStyle w:val="TableNotes00"/>
        <w:ind w:left="0"/>
      </w:pPr>
      <w:r w:rsidRPr="00D575F2">
        <w:rPr>
          <w:vertAlign w:val="superscript"/>
          <w:lang w:eastAsia="en-US"/>
        </w:rPr>
        <w:t>a</w:t>
      </w:r>
      <w:r w:rsidR="008A71E9" w:rsidRPr="008A71E9">
        <w:rPr>
          <w:lang w:eastAsia="en-US"/>
        </w:rPr>
        <w:t>:</w:t>
      </w:r>
      <w:r>
        <w:rPr>
          <w:lang w:eastAsia="en-US"/>
        </w:rPr>
        <w:t xml:space="preserve"> </w:t>
      </w:r>
      <w:r w:rsidRPr="00D575F2">
        <w:rPr>
          <w:lang w:eastAsia="en-US"/>
        </w:rPr>
        <w:t xml:space="preserve">CADTH: </w:t>
      </w:r>
      <w:r w:rsidRPr="00A15938">
        <w:rPr>
          <w:rFonts w:cs="Arial"/>
          <w:szCs w:val="18"/>
        </w:rPr>
        <w:t>https://www.cadth.ca/sites/default/files/pdf/htis/feb-2014/RB0648%20MRSI%20for%20Prostate%20Disease%20Final.pdf</w:t>
      </w:r>
      <w:r>
        <w:rPr>
          <w:rStyle w:val="Hyperlink"/>
          <w:rFonts w:cs="Arial"/>
          <w:szCs w:val="18"/>
          <w:u w:val="none"/>
        </w:rPr>
        <w:t>;</w:t>
      </w:r>
      <w:r>
        <w:rPr>
          <w:rStyle w:val="Hyperlink"/>
          <w:rFonts w:cs="Arial"/>
          <w:szCs w:val="18"/>
        </w:rPr>
        <w:t xml:space="preserve"> </w:t>
      </w:r>
    </w:p>
    <w:p w14:paraId="28CBE9AF" w14:textId="6BF20EF4" w:rsidR="00742247" w:rsidRPr="00766777" w:rsidRDefault="00742247" w:rsidP="00742247">
      <w:pPr>
        <w:pStyle w:val="TableNotes00"/>
        <w:ind w:left="0"/>
        <w:rPr>
          <w:rFonts w:cs="Arial"/>
          <w:szCs w:val="18"/>
        </w:rPr>
      </w:pPr>
      <w:r w:rsidRPr="00E1069E">
        <w:rPr>
          <w:vertAlign w:val="superscript"/>
        </w:rPr>
        <w:t>b</w:t>
      </w:r>
      <w:r w:rsidR="008A71E9" w:rsidRPr="008A71E9">
        <w:t>:</w:t>
      </w:r>
      <w:r>
        <w:t xml:space="preserve"> NICE: Prostate cancer: diagnosis and management CG175 </w:t>
      </w:r>
      <w:r w:rsidRPr="00A15938">
        <w:t>https://www.nice.org.uk/guidance/cg175</w:t>
      </w:r>
      <w:r>
        <w:t>;</w:t>
      </w:r>
    </w:p>
    <w:p w14:paraId="31D0B1BF" w14:textId="77777777" w:rsidR="00742247" w:rsidRDefault="00742247" w:rsidP="00742247">
      <w:pPr>
        <w:rPr>
          <w:rFonts w:ascii="Arial Narrow" w:hAnsi="Arial Narrow" w:cs="Times New Roman"/>
          <w:color w:val="000000"/>
          <w:sz w:val="18"/>
          <w:szCs w:val="21"/>
          <w:lang w:eastAsia="en-US"/>
        </w:rPr>
      </w:pPr>
    </w:p>
    <w:p w14:paraId="2E3FB7B1" w14:textId="77777777" w:rsidR="00742247" w:rsidRDefault="00742247" w:rsidP="00742247">
      <w:r>
        <w:rPr>
          <w:b/>
        </w:rPr>
        <w:t xml:space="preserve">PubMed </w:t>
      </w:r>
      <w:r w:rsidRPr="00962C97">
        <w:rPr>
          <w:b/>
        </w:rPr>
        <w:t>Search strategy:</w:t>
      </w:r>
      <w:r>
        <w:t xml:space="preserve"> </w:t>
      </w:r>
      <w:r w:rsidRPr="00962C97">
        <w:t xml:space="preserve">Search (((((Economic analys*[Text Word]) OR (Economic evaluation*[Text Word]) OR (Economic model*[Text Word]) OR (Cost effective*[Text Word]) OR (Cost minimi*[Text Word]) OR (Cost utilit*[Text Word]) OR (Health economics[Text Word]) OR (Quality adjusted life </w:t>
      </w:r>
      <w:r w:rsidRPr="00962C97">
        <w:lastRenderedPageBreak/>
        <w:t>year*[Text Word]) OR (QALY*[Text Word]) OR (Life year* AND saved[Text Word]) OR (Life year* AND gained[Text Word])) OR ((models, economic[MeSH Terms]) OR (Quality adjusted life years[MeSH Terms]) OR (Economics, pharmaceutical[MeSH Terms]))))) AND (((((prostate) OR prostate[MeSH Terms])) AND ((((((((((multiparametric magnetic resonance imaging) OR multiparametric MRI) OR multiparametric-MRI) OR MP-MRI) OR MP MRI) OR MPMRI) OR MP-magnetic resonance imaging) OR MP magnetic resonance imaging)) OR ((((((((diffusion weighted) OR DW) OR diffusion-weighted)) AND dynamic) AND T1) AND T2) AND (((MRI) OR magnetic resonance imaging) OR magnetic resonance imaging[MeSH Terms])))))</w:t>
      </w:r>
      <w:r>
        <w:t xml:space="preserve"> </w:t>
      </w:r>
    </w:p>
    <w:p w14:paraId="5D76C9D4" w14:textId="77777777" w:rsidR="00742247" w:rsidRDefault="00742247" w:rsidP="00742247">
      <w:pPr>
        <w:pStyle w:val="Caption"/>
      </w:pPr>
      <w:bookmarkStart w:id="884" w:name="_Ref455653033"/>
      <w:bookmarkStart w:id="885" w:name="_Toc455916118"/>
      <w:bookmarkStart w:id="886" w:name="_Toc457383693"/>
      <w:bookmarkStart w:id="887" w:name="_Toc459987929"/>
      <w:bookmarkStart w:id="888" w:name="_Toc460514599"/>
      <w:r>
        <w:t xml:space="preserve">Table </w:t>
      </w:r>
      <w:fldSimple w:instr=" SEQ Table \* ARABIC ">
        <w:r w:rsidR="0029649D">
          <w:rPr>
            <w:noProof/>
          </w:rPr>
          <w:t>99</w:t>
        </w:r>
      </w:fldSimple>
      <w:bookmarkEnd w:id="884"/>
      <w:r>
        <w:tab/>
        <w:t>Results of PubMed literature search</w:t>
      </w:r>
      <w:bookmarkEnd w:id="885"/>
      <w:r>
        <w:t>: economic evaluations [search date 25</w:t>
      </w:r>
      <w:r w:rsidRPr="00325809">
        <w:rPr>
          <w:vertAlign w:val="superscript"/>
        </w:rPr>
        <w:t>th</w:t>
      </w:r>
      <w:r>
        <w:t xml:space="preserve"> of June 2016]</w:t>
      </w:r>
      <w:bookmarkEnd w:id="886"/>
      <w:bookmarkEnd w:id="887"/>
      <w:bookmarkEnd w:id="8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gridCol w:w="1848"/>
      </w:tblGrid>
      <w:tr w:rsidR="00742247" w:rsidRPr="00200B85" w14:paraId="59834477" w14:textId="77777777" w:rsidTr="002768CD">
        <w:trPr>
          <w:tblHeader/>
        </w:trPr>
        <w:tc>
          <w:tcPr>
            <w:tcW w:w="4000" w:type="pct"/>
            <w:shd w:val="clear" w:color="auto" w:fill="auto"/>
          </w:tcPr>
          <w:p w14:paraId="3129C3A0" w14:textId="77777777" w:rsidR="00742247" w:rsidRPr="00200B85" w:rsidRDefault="00742247" w:rsidP="002768CD">
            <w:pPr>
              <w:pStyle w:val="TableHeading"/>
              <w:ind w:left="-16"/>
            </w:pPr>
            <w:r>
              <w:t>Inclusion/exclusion criteria</w:t>
            </w:r>
          </w:p>
        </w:tc>
        <w:tc>
          <w:tcPr>
            <w:tcW w:w="1000" w:type="pct"/>
            <w:shd w:val="clear" w:color="auto" w:fill="auto"/>
          </w:tcPr>
          <w:p w14:paraId="2A42A366" w14:textId="77777777" w:rsidR="00742247" w:rsidRPr="00F92BF4" w:rsidRDefault="00742247" w:rsidP="002768CD">
            <w:pPr>
              <w:pStyle w:val="TableHeading"/>
              <w:ind w:left="-16"/>
              <w:jc w:val="center"/>
            </w:pPr>
            <w:r>
              <w:t>No citations</w:t>
            </w:r>
          </w:p>
        </w:tc>
      </w:tr>
      <w:tr w:rsidR="00742247" w:rsidRPr="00200B85" w14:paraId="58764B15" w14:textId="77777777" w:rsidTr="002768CD">
        <w:tc>
          <w:tcPr>
            <w:tcW w:w="4000" w:type="pct"/>
          </w:tcPr>
          <w:p w14:paraId="1BE65CDA" w14:textId="77777777" w:rsidR="00742247" w:rsidRPr="00F92BF4" w:rsidRDefault="00742247" w:rsidP="002768CD">
            <w:pPr>
              <w:pStyle w:val="Tabletext1"/>
              <w:rPr>
                <w:rFonts w:cs="Arial"/>
                <w:sz w:val="18"/>
                <w:szCs w:val="18"/>
              </w:rPr>
            </w:pPr>
            <w:r w:rsidRPr="00F92BF4">
              <w:rPr>
                <w:rFonts w:cs="Arial"/>
                <w:sz w:val="18"/>
                <w:szCs w:val="18"/>
              </w:rPr>
              <w:t xml:space="preserve">Total </w:t>
            </w:r>
          </w:p>
        </w:tc>
        <w:tc>
          <w:tcPr>
            <w:tcW w:w="1000" w:type="pct"/>
          </w:tcPr>
          <w:p w14:paraId="6F84E5F1" w14:textId="77777777" w:rsidR="00742247" w:rsidRPr="00F92BF4" w:rsidRDefault="00742247" w:rsidP="002768CD">
            <w:pPr>
              <w:pStyle w:val="Tabletext1"/>
              <w:jc w:val="center"/>
              <w:rPr>
                <w:rFonts w:cs="Arial"/>
                <w:sz w:val="18"/>
                <w:szCs w:val="18"/>
              </w:rPr>
            </w:pPr>
            <w:r>
              <w:rPr>
                <w:rFonts w:cs="Arial"/>
                <w:sz w:val="18"/>
                <w:szCs w:val="18"/>
              </w:rPr>
              <w:t>16</w:t>
            </w:r>
          </w:p>
        </w:tc>
      </w:tr>
      <w:tr w:rsidR="00742247" w:rsidRPr="00200B85" w14:paraId="517B336F" w14:textId="77777777" w:rsidTr="002768CD">
        <w:tc>
          <w:tcPr>
            <w:tcW w:w="4000" w:type="pct"/>
          </w:tcPr>
          <w:p w14:paraId="4D2B3A1F" w14:textId="77777777" w:rsidR="00742247" w:rsidRPr="00F92BF4" w:rsidRDefault="00742247" w:rsidP="002768CD">
            <w:pPr>
              <w:pStyle w:val="Tabletext1"/>
              <w:ind w:left="462"/>
              <w:rPr>
                <w:rFonts w:cs="Arial"/>
                <w:sz w:val="18"/>
                <w:szCs w:val="18"/>
              </w:rPr>
            </w:pPr>
            <w:r w:rsidRPr="00F92BF4">
              <w:rPr>
                <w:rFonts w:cs="Arial"/>
                <w:sz w:val="18"/>
                <w:szCs w:val="18"/>
              </w:rPr>
              <w:t xml:space="preserve">Not </w:t>
            </w:r>
            <w:r>
              <w:rPr>
                <w:rFonts w:cs="Arial"/>
                <w:sz w:val="18"/>
                <w:szCs w:val="18"/>
              </w:rPr>
              <w:t>specific for mpMRI in prostate cancer or prostate cancer screening</w:t>
            </w:r>
            <w:r w:rsidRPr="00F92BF4">
              <w:rPr>
                <w:rFonts w:cs="Arial"/>
                <w:sz w:val="18"/>
                <w:szCs w:val="18"/>
              </w:rPr>
              <w:t xml:space="preserve"> </w:t>
            </w:r>
            <w:r>
              <w:rPr>
                <w:rFonts w:cs="Arial"/>
                <w:sz w:val="18"/>
                <w:szCs w:val="18"/>
              </w:rPr>
              <w:t>or clinical management</w:t>
            </w:r>
          </w:p>
        </w:tc>
        <w:tc>
          <w:tcPr>
            <w:tcW w:w="1000" w:type="pct"/>
          </w:tcPr>
          <w:p w14:paraId="0E619AC5" w14:textId="77777777" w:rsidR="00742247" w:rsidRPr="00F92BF4" w:rsidRDefault="00742247" w:rsidP="002768CD">
            <w:pPr>
              <w:pStyle w:val="Tabletext1"/>
              <w:jc w:val="center"/>
              <w:rPr>
                <w:rFonts w:cs="Arial"/>
                <w:sz w:val="18"/>
                <w:szCs w:val="18"/>
              </w:rPr>
            </w:pPr>
            <w:r>
              <w:rPr>
                <w:rFonts w:cs="Arial"/>
                <w:sz w:val="18"/>
                <w:szCs w:val="18"/>
              </w:rPr>
              <w:t>0</w:t>
            </w:r>
          </w:p>
        </w:tc>
      </w:tr>
      <w:tr w:rsidR="00742247" w:rsidRPr="00200B85" w14:paraId="16A9C19A" w14:textId="77777777" w:rsidTr="002768CD">
        <w:tc>
          <w:tcPr>
            <w:tcW w:w="4000" w:type="pct"/>
          </w:tcPr>
          <w:p w14:paraId="7E71082E" w14:textId="77777777" w:rsidR="00742247" w:rsidRPr="00F92BF4" w:rsidRDefault="00742247" w:rsidP="002768CD">
            <w:pPr>
              <w:pStyle w:val="Tabletext1"/>
              <w:ind w:left="462"/>
              <w:rPr>
                <w:rFonts w:cs="Arial"/>
                <w:sz w:val="18"/>
                <w:szCs w:val="18"/>
              </w:rPr>
            </w:pPr>
            <w:r w:rsidRPr="00F92BF4">
              <w:rPr>
                <w:rFonts w:cs="Arial"/>
                <w:sz w:val="18"/>
                <w:szCs w:val="18"/>
              </w:rPr>
              <w:t>Not an economic evaluation</w:t>
            </w:r>
          </w:p>
        </w:tc>
        <w:tc>
          <w:tcPr>
            <w:tcW w:w="1000" w:type="pct"/>
          </w:tcPr>
          <w:p w14:paraId="5153CB44" w14:textId="77777777" w:rsidR="00742247" w:rsidRPr="00F92BF4" w:rsidRDefault="00742247" w:rsidP="002768CD">
            <w:pPr>
              <w:pStyle w:val="Tabletext1"/>
              <w:jc w:val="center"/>
              <w:rPr>
                <w:rFonts w:cs="Arial"/>
                <w:sz w:val="18"/>
                <w:szCs w:val="18"/>
              </w:rPr>
            </w:pPr>
            <w:r>
              <w:rPr>
                <w:rFonts w:cs="Arial"/>
                <w:sz w:val="18"/>
                <w:szCs w:val="18"/>
              </w:rPr>
              <w:t>11</w:t>
            </w:r>
          </w:p>
        </w:tc>
      </w:tr>
      <w:tr w:rsidR="00742247" w:rsidRPr="00200B85" w14:paraId="30EA8DD3" w14:textId="77777777" w:rsidTr="002768CD">
        <w:tc>
          <w:tcPr>
            <w:tcW w:w="4000" w:type="pct"/>
          </w:tcPr>
          <w:p w14:paraId="0974F8E1" w14:textId="77777777" w:rsidR="00742247" w:rsidRPr="00F92BF4" w:rsidRDefault="00742247" w:rsidP="002768CD">
            <w:pPr>
              <w:pStyle w:val="Tabletext1"/>
              <w:rPr>
                <w:rFonts w:cs="Arial"/>
                <w:sz w:val="18"/>
                <w:szCs w:val="18"/>
              </w:rPr>
            </w:pPr>
            <w:r w:rsidRPr="00F92BF4">
              <w:rPr>
                <w:rFonts w:cs="Arial"/>
                <w:sz w:val="18"/>
                <w:szCs w:val="18"/>
              </w:rPr>
              <w:t>Total excluded</w:t>
            </w:r>
          </w:p>
        </w:tc>
        <w:tc>
          <w:tcPr>
            <w:tcW w:w="1000" w:type="pct"/>
          </w:tcPr>
          <w:p w14:paraId="677C9199" w14:textId="77777777" w:rsidR="00742247" w:rsidRPr="00F92BF4" w:rsidRDefault="00742247" w:rsidP="002768CD">
            <w:pPr>
              <w:pStyle w:val="Tabletext1"/>
              <w:jc w:val="center"/>
              <w:rPr>
                <w:rFonts w:cs="Arial"/>
                <w:sz w:val="18"/>
                <w:szCs w:val="18"/>
              </w:rPr>
            </w:pPr>
            <w:r>
              <w:rPr>
                <w:rFonts w:cs="Arial"/>
                <w:sz w:val="18"/>
                <w:szCs w:val="18"/>
              </w:rPr>
              <w:t>11</w:t>
            </w:r>
          </w:p>
        </w:tc>
      </w:tr>
      <w:tr w:rsidR="00742247" w:rsidRPr="00200B85" w14:paraId="58C81672" w14:textId="77777777" w:rsidTr="002768CD">
        <w:tc>
          <w:tcPr>
            <w:tcW w:w="4000" w:type="pct"/>
          </w:tcPr>
          <w:p w14:paraId="314F9911" w14:textId="77777777" w:rsidR="00742247" w:rsidRPr="00F92BF4" w:rsidRDefault="00742247" w:rsidP="002768CD">
            <w:pPr>
              <w:pStyle w:val="Tabletext1"/>
              <w:rPr>
                <w:rFonts w:cs="Arial"/>
                <w:sz w:val="18"/>
                <w:szCs w:val="18"/>
              </w:rPr>
            </w:pPr>
            <w:r>
              <w:rPr>
                <w:rFonts w:cs="Arial"/>
                <w:sz w:val="18"/>
                <w:szCs w:val="18"/>
              </w:rPr>
              <w:t>Manual find</w:t>
            </w:r>
          </w:p>
        </w:tc>
        <w:tc>
          <w:tcPr>
            <w:tcW w:w="1000" w:type="pct"/>
          </w:tcPr>
          <w:p w14:paraId="55AFEA9B" w14:textId="77777777" w:rsidR="00742247" w:rsidRDefault="00742247" w:rsidP="002768CD">
            <w:pPr>
              <w:pStyle w:val="Tabletext1"/>
              <w:jc w:val="center"/>
              <w:rPr>
                <w:rFonts w:cs="Arial"/>
                <w:sz w:val="18"/>
                <w:szCs w:val="18"/>
              </w:rPr>
            </w:pPr>
            <w:r>
              <w:rPr>
                <w:rFonts w:cs="Arial"/>
                <w:sz w:val="18"/>
                <w:szCs w:val="18"/>
              </w:rPr>
              <w:t>1</w:t>
            </w:r>
          </w:p>
        </w:tc>
      </w:tr>
      <w:tr w:rsidR="00742247" w:rsidRPr="00200B85" w14:paraId="79E69B26" w14:textId="77777777" w:rsidTr="002768CD">
        <w:tc>
          <w:tcPr>
            <w:tcW w:w="4000" w:type="pct"/>
          </w:tcPr>
          <w:p w14:paraId="0F1200F6" w14:textId="77777777" w:rsidR="00742247" w:rsidRPr="00F92BF4" w:rsidRDefault="00742247" w:rsidP="002768CD">
            <w:pPr>
              <w:pStyle w:val="Tabletext1"/>
              <w:rPr>
                <w:rFonts w:cs="Arial"/>
                <w:sz w:val="18"/>
                <w:szCs w:val="18"/>
              </w:rPr>
            </w:pPr>
            <w:r w:rsidRPr="00F92BF4">
              <w:rPr>
                <w:rFonts w:cs="Arial"/>
                <w:sz w:val="18"/>
                <w:szCs w:val="18"/>
              </w:rPr>
              <w:t>Include</w:t>
            </w:r>
          </w:p>
        </w:tc>
        <w:tc>
          <w:tcPr>
            <w:tcW w:w="1000" w:type="pct"/>
          </w:tcPr>
          <w:p w14:paraId="40BBA646" w14:textId="77777777" w:rsidR="00742247" w:rsidRPr="00F92BF4" w:rsidRDefault="00742247" w:rsidP="002768CD">
            <w:pPr>
              <w:pStyle w:val="Tabletext1"/>
              <w:jc w:val="center"/>
              <w:rPr>
                <w:rFonts w:cs="Arial"/>
                <w:sz w:val="18"/>
                <w:szCs w:val="18"/>
              </w:rPr>
            </w:pPr>
            <w:r>
              <w:rPr>
                <w:rFonts w:cs="Arial"/>
                <w:sz w:val="18"/>
                <w:szCs w:val="18"/>
              </w:rPr>
              <w:t>6</w:t>
            </w:r>
            <w:r w:rsidRPr="00C34088">
              <w:rPr>
                <w:rFonts w:cs="Arial"/>
                <w:sz w:val="18"/>
                <w:szCs w:val="18"/>
                <w:vertAlign w:val="superscript"/>
              </w:rPr>
              <w:t>a</w:t>
            </w:r>
          </w:p>
        </w:tc>
      </w:tr>
    </w:tbl>
    <w:p w14:paraId="544969E2" w14:textId="207D1F22" w:rsidR="00742247" w:rsidRDefault="00742247" w:rsidP="00742247">
      <w:pPr>
        <w:pStyle w:val="TableNotes00"/>
        <w:ind w:left="0"/>
      </w:pPr>
      <w:r w:rsidRPr="00C34088">
        <w:rPr>
          <w:vertAlign w:val="superscript"/>
          <w:lang w:eastAsia="en-US"/>
        </w:rPr>
        <w:t>a</w:t>
      </w:r>
      <w:r w:rsidR="00FD109E" w:rsidRPr="00FD109E">
        <w:rPr>
          <w:lang w:eastAsia="en-US"/>
        </w:rPr>
        <w:t>:</w:t>
      </w:r>
      <w:r>
        <w:rPr>
          <w:lang w:eastAsia="en-US"/>
        </w:rPr>
        <w:t xml:space="preserve"> Included citations:</w:t>
      </w:r>
      <w:r w:rsidR="008B7920">
        <w:rPr>
          <w:lang w:eastAsia="en-US"/>
        </w:rPr>
        <w:t xml:space="preserve"> </w:t>
      </w:r>
      <w:r w:rsidR="008E0B00">
        <w:rPr>
          <w:lang w:eastAsia="en-US"/>
        </w:rPr>
        <w:fldChar w:fldCharType="begin">
          <w:fldData xml:space="preserve">PEVuZE5vdGU+PENpdGU+PEF1dGhvcj5kZSBSb29pajwvQXV0aG9yPjxZZWFyPjIwMTQ8L1llYXI+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</w:fldData>
        </w:fldChar>
      </w:r>
      <w:r w:rsidR="008E0B00">
        <w:rPr>
          <w:lang w:eastAsia="en-US"/>
        </w:rPr>
        <w:instrText xml:space="preserve"> ADDIN EN.CITE </w:instrText>
      </w:r>
      <w:r w:rsidR="008E0B00">
        <w:rPr>
          <w:lang w:eastAsia="en-US"/>
        </w:rPr>
        <w:fldChar w:fldCharType="begin">
          <w:fldData xml:space="preserve">PEVuZE5vdGU+PENpdGU+PEF1dGhvcj5kZSBSb29pajwvQXV0aG9yPjxZZWFyPjIwMTQ8L1llYXI+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</w:fldData>
        </w:fldChar>
      </w:r>
      <w:r w:rsidR="008E0B00">
        <w:rPr>
          <w:lang w:eastAsia="en-US"/>
        </w:rPr>
        <w:instrText xml:space="preserve"> ADDIN EN.CITE.DATA </w:instrText>
      </w:r>
      <w:r w:rsidR="008E0B00">
        <w:rPr>
          <w:lang w:eastAsia="en-US"/>
        </w:rPr>
      </w:r>
      <w:r w:rsidR="008E0B00">
        <w:rPr>
          <w:lang w:eastAsia="en-US"/>
        </w:rPr>
        <w:fldChar w:fldCharType="end"/>
      </w:r>
      <w:r w:rsidR="008E0B00">
        <w:rPr>
          <w:lang w:eastAsia="en-US"/>
        </w:rPr>
      </w:r>
      <w:r w:rsidR="008E0B00">
        <w:rPr>
          <w:lang w:eastAsia="en-US"/>
        </w:rPr>
        <w:fldChar w:fldCharType="separate"/>
      </w:r>
      <w:r w:rsidR="008E0B00">
        <w:rPr>
          <w:noProof/>
          <w:lang w:eastAsia="en-US"/>
        </w:rPr>
        <w:t>(</w:t>
      </w:r>
      <w:hyperlink w:anchor="_ENREF_35" w:tooltip="de Rooij, 2014 #167" w:history="1">
        <w:r w:rsidR="008E0B00">
          <w:rPr>
            <w:noProof/>
            <w:lang w:eastAsia="en-US"/>
          </w:rPr>
          <w:t>de Rooij et al. 2014</w:t>
        </w:r>
      </w:hyperlink>
      <w:r w:rsidR="008E0B00">
        <w:rPr>
          <w:noProof/>
          <w:lang w:eastAsia="en-US"/>
        </w:rPr>
        <w:t xml:space="preserve">; </w:t>
      </w:r>
      <w:hyperlink w:anchor="_ENREF_54" w:tooltip="Gordon, 2016 #171" w:history="1">
        <w:r w:rsidR="008E0B00">
          <w:rPr>
            <w:noProof/>
            <w:lang w:eastAsia="en-US"/>
          </w:rPr>
          <w:t>Gordon et al. 2016</w:t>
        </w:r>
      </w:hyperlink>
      <w:r w:rsidR="008E0B00">
        <w:rPr>
          <w:noProof/>
          <w:lang w:eastAsia="en-US"/>
        </w:rPr>
        <w:t xml:space="preserve">; </w:t>
      </w:r>
      <w:hyperlink w:anchor="_ENREF_88" w:tooltip="Lotan, 2015 #169" w:history="1">
        <w:r w:rsidR="008E0B00">
          <w:rPr>
            <w:noProof/>
            <w:lang w:eastAsia="en-US"/>
          </w:rPr>
          <w:t>Lotan et al. 2015</w:t>
        </w:r>
      </w:hyperlink>
      <w:r w:rsidR="008E0B00">
        <w:rPr>
          <w:noProof/>
          <w:lang w:eastAsia="en-US"/>
        </w:rPr>
        <w:t xml:space="preserve">; </w:t>
      </w:r>
      <w:hyperlink w:anchor="_ENREF_96" w:tooltip="Mowatt, 2013 #170" w:history="1">
        <w:r w:rsidR="008E0B00">
          <w:rPr>
            <w:noProof/>
            <w:lang w:eastAsia="en-US"/>
          </w:rPr>
          <w:t>Mowatt et al. 2013</w:t>
        </w:r>
      </w:hyperlink>
      <w:r w:rsidR="008E0B00">
        <w:rPr>
          <w:noProof/>
          <w:lang w:eastAsia="en-US"/>
        </w:rPr>
        <w:t xml:space="preserve">; </w:t>
      </w:r>
      <w:hyperlink w:anchor="_ENREF_104" w:tooltip="Nicholson, 2015 #172" w:history="1">
        <w:r w:rsidR="008E0B00">
          <w:rPr>
            <w:noProof/>
            <w:lang w:eastAsia="en-US"/>
          </w:rPr>
          <w:t>Nicholson et al. 2015</w:t>
        </w:r>
      </w:hyperlink>
      <w:r w:rsidR="008E0B00">
        <w:rPr>
          <w:noProof/>
          <w:lang w:eastAsia="en-US"/>
        </w:rPr>
        <w:t>)</w:t>
      </w:r>
      <w:r w:rsidR="008E0B00">
        <w:rPr>
          <w:lang w:eastAsia="en-US"/>
        </w:rPr>
        <w:fldChar w:fldCharType="end"/>
      </w:r>
    </w:p>
    <w:p w14:paraId="1F6FF273" w14:textId="77777777" w:rsidR="00742247" w:rsidRPr="002E602E" w:rsidRDefault="00742247" w:rsidP="00742247">
      <w:pPr>
        <w:pStyle w:val="Heading3"/>
      </w:pPr>
      <w:bookmarkStart w:id="889" w:name="_Toc457383650"/>
      <w:bookmarkStart w:id="890" w:name="_Toc459987890"/>
      <w:bookmarkStart w:id="891" w:name="_Toc460514047"/>
      <w:r w:rsidRPr="002E602E">
        <w:t>Literature search for Section D.4: Australian cost studies</w:t>
      </w:r>
      <w:bookmarkEnd w:id="889"/>
      <w:bookmarkEnd w:id="890"/>
      <w:bookmarkEnd w:id="891"/>
    </w:p>
    <w:p w14:paraId="24B4D61C" w14:textId="24F76A73" w:rsidR="00742247" w:rsidRDefault="00742247" w:rsidP="00742247">
      <w:r>
        <w:t>A simple search string was</w:t>
      </w:r>
      <w:r w:rsidRPr="00870787">
        <w:t xml:space="preserve"> construct</w:t>
      </w:r>
      <w:r>
        <w:t xml:space="preserve">ed for the targeted literature search of PubMed. The search aimed to identify costs studies conducted in Australia. </w:t>
      </w:r>
      <w:r w:rsidR="00055C87">
        <w:t>Studies</w:t>
      </w:r>
      <w:r>
        <w:t xml:space="preserve"> were included for further review if they included:</w:t>
      </w:r>
    </w:p>
    <w:p w14:paraId="4886A9B7" w14:textId="77777777" w:rsidR="00742247" w:rsidRDefault="00742247" w:rsidP="00A3402C">
      <w:pPr>
        <w:pStyle w:val="ListParagraph"/>
        <w:numPr>
          <w:ilvl w:val="0"/>
          <w:numId w:val="42"/>
        </w:numPr>
        <w:contextualSpacing w:val="0"/>
        <w:jc w:val="left"/>
      </w:pPr>
      <w:r>
        <w:t xml:space="preserve">The publication was an original study reporting the outcome of costs due to prostate cancer. Costs reported from the healthcare perspective. </w:t>
      </w:r>
    </w:p>
    <w:p w14:paraId="7129BE80" w14:textId="77777777" w:rsidR="00742247" w:rsidRDefault="00742247" w:rsidP="00A3402C">
      <w:pPr>
        <w:pStyle w:val="ListParagraph"/>
        <w:numPr>
          <w:ilvl w:val="0"/>
          <w:numId w:val="42"/>
        </w:numPr>
        <w:contextualSpacing w:val="0"/>
        <w:jc w:val="left"/>
      </w:pPr>
      <w:r>
        <w:t>The study was conducted in Australia; and</w:t>
      </w:r>
    </w:p>
    <w:p w14:paraId="697E195A" w14:textId="77777777" w:rsidR="00742247" w:rsidRDefault="00742247" w:rsidP="00A3402C">
      <w:pPr>
        <w:pStyle w:val="ListParagraph"/>
        <w:numPr>
          <w:ilvl w:val="0"/>
          <w:numId w:val="42"/>
        </w:numPr>
        <w:contextualSpacing w:val="0"/>
        <w:jc w:val="left"/>
      </w:pPr>
      <w:r>
        <w:t xml:space="preserve">The study included a population of men with; </w:t>
      </w:r>
    </w:p>
    <w:p w14:paraId="259F7E45" w14:textId="77777777" w:rsidR="00742247" w:rsidRDefault="00742247" w:rsidP="00A3402C">
      <w:pPr>
        <w:pStyle w:val="ListParagraph"/>
        <w:numPr>
          <w:ilvl w:val="1"/>
          <w:numId w:val="42"/>
        </w:numPr>
        <w:contextualSpacing w:val="0"/>
        <w:jc w:val="left"/>
      </w:pPr>
      <w:r>
        <w:t>Suspected prostate cancer; or</w:t>
      </w:r>
    </w:p>
    <w:p w14:paraId="72BBD81B" w14:textId="77777777" w:rsidR="00742247" w:rsidRDefault="00742247" w:rsidP="00A3402C">
      <w:pPr>
        <w:pStyle w:val="ListParagraph"/>
        <w:numPr>
          <w:ilvl w:val="1"/>
          <w:numId w:val="42"/>
        </w:numPr>
        <w:contextualSpacing w:val="0"/>
        <w:jc w:val="left"/>
      </w:pPr>
      <w:r>
        <w:t xml:space="preserve">Low to intermediate risk prostate cancer, undergoing active surveillance. </w:t>
      </w:r>
    </w:p>
    <w:p w14:paraId="2B5E891C" w14:textId="77777777" w:rsidR="00742247" w:rsidRDefault="00742247" w:rsidP="00742247">
      <w:pPr>
        <w:rPr>
          <w:i/>
        </w:rPr>
      </w:pPr>
      <w:r>
        <w:rPr>
          <w:b/>
        </w:rPr>
        <w:t xml:space="preserve">PubMed </w:t>
      </w:r>
      <w:r w:rsidRPr="00962C97">
        <w:rPr>
          <w:b/>
        </w:rPr>
        <w:t>Search strategy:</w:t>
      </w:r>
      <w:r>
        <w:t xml:space="preserve"> </w:t>
      </w:r>
      <w:r w:rsidRPr="00CA6539">
        <w:rPr>
          <w:i/>
        </w:rPr>
        <w:t>(((costs) OR costs[MeSH Terms])) AND ((((prostate) OR prostate cancer[MeSH Terms])) AND Australia)</w:t>
      </w:r>
      <w:r>
        <w:rPr>
          <w:i/>
        </w:rPr>
        <w:t xml:space="preserve">. </w:t>
      </w:r>
    </w:p>
    <w:p w14:paraId="64BEB00A" w14:textId="77777777" w:rsidR="00742247" w:rsidRDefault="00742247" w:rsidP="00742247">
      <w:r>
        <w:t>The search was condu</w:t>
      </w:r>
      <w:r w:rsidRPr="00E01BE7">
        <w:t>cted on the 14</w:t>
      </w:r>
      <w:r w:rsidRPr="00E01BE7">
        <w:rPr>
          <w:vertAlign w:val="superscript"/>
        </w:rPr>
        <w:t>th</w:t>
      </w:r>
      <w:r w:rsidRPr="00E01BE7">
        <w:t xml:space="preserve"> of July 2016. A total of 49 citations were reviewed to determine applicability of the costs to the economic model. A manual search was also conducted of the grey literature. The search was restricted to studies published after 2000.</w:t>
      </w:r>
      <w:r>
        <w:t xml:space="preserve"> </w:t>
      </w:r>
    </w:p>
    <w:p w14:paraId="02746AAB" w14:textId="77777777" w:rsidR="00742247" w:rsidRDefault="00742247" w:rsidP="00742247">
      <w:pPr>
        <w:pStyle w:val="Caption"/>
      </w:pPr>
      <w:bookmarkStart w:id="892" w:name="_Toc457383694"/>
      <w:bookmarkStart w:id="893" w:name="_Toc459987930"/>
      <w:bookmarkStart w:id="894" w:name="_Toc460514600"/>
      <w:r>
        <w:lastRenderedPageBreak/>
        <w:t xml:space="preserve">Table </w:t>
      </w:r>
      <w:fldSimple w:instr=" SEQ Table \* ARABIC ">
        <w:r w:rsidR="0029649D">
          <w:rPr>
            <w:noProof/>
          </w:rPr>
          <w:t>100</w:t>
        </w:r>
      </w:fldSimple>
      <w:r>
        <w:tab/>
        <w:t>Results of PubMed literature search: Australian cost studies [search date 14</w:t>
      </w:r>
      <w:r w:rsidRPr="006506C1">
        <w:rPr>
          <w:vertAlign w:val="superscript"/>
        </w:rPr>
        <w:t>th</w:t>
      </w:r>
      <w:r>
        <w:t xml:space="preserve"> of July 2016)</w:t>
      </w:r>
      <w:bookmarkEnd w:id="892"/>
      <w:bookmarkEnd w:id="893"/>
      <w:bookmarkEnd w:id="8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94"/>
        <w:gridCol w:w="1848"/>
      </w:tblGrid>
      <w:tr w:rsidR="00742247" w:rsidRPr="00200B85" w14:paraId="2BA313CB" w14:textId="77777777" w:rsidTr="002768CD">
        <w:trPr>
          <w:tblHeader/>
        </w:trPr>
        <w:tc>
          <w:tcPr>
            <w:tcW w:w="4000" w:type="pct"/>
            <w:shd w:val="clear" w:color="auto" w:fill="auto"/>
          </w:tcPr>
          <w:p w14:paraId="472CDF56" w14:textId="77777777" w:rsidR="00742247" w:rsidRPr="00200B85" w:rsidRDefault="00742247" w:rsidP="002768CD">
            <w:pPr>
              <w:pStyle w:val="TableHeading"/>
              <w:ind w:left="-16"/>
            </w:pPr>
            <w:r>
              <w:t>Inclusion/exclusion criteria</w:t>
            </w:r>
          </w:p>
        </w:tc>
        <w:tc>
          <w:tcPr>
            <w:tcW w:w="1000" w:type="pct"/>
            <w:shd w:val="clear" w:color="auto" w:fill="auto"/>
          </w:tcPr>
          <w:p w14:paraId="1F80CF72" w14:textId="77777777" w:rsidR="00742247" w:rsidRPr="00F92BF4" w:rsidRDefault="00742247" w:rsidP="002768CD">
            <w:pPr>
              <w:pStyle w:val="TableHeading"/>
              <w:ind w:left="-16"/>
              <w:jc w:val="center"/>
            </w:pPr>
            <w:r>
              <w:t>No citations</w:t>
            </w:r>
          </w:p>
        </w:tc>
      </w:tr>
      <w:tr w:rsidR="00742247" w:rsidRPr="00200B85" w14:paraId="6E2A37BC" w14:textId="77777777" w:rsidTr="002768CD">
        <w:tc>
          <w:tcPr>
            <w:tcW w:w="4000" w:type="pct"/>
          </w:tcPr>
          <w:p w14:paraId="2A3B223F" w14:textId="77777777" w:rsidR="00742247" w:rsidRPr="00F92BF4" w:rsidRDefault="00742247" w:rsidP="002768CD">
            <w:pPr>
              <w:pStyle w:val="Tabletext1"/>
              <w:rPr>
                <w:rFonts w:cs="Arial"/>
                <w:sz w:val="18"/>
                <w:szCs w:val="18"/>
              </w:rPr>
            </w:pPr>
            <w:r w:rsidRPr="00F92BF4">
              <w:rPr>
                <w:rFonts w:cs="Arial"/>
                <w:sz w:val="18"/>
                <w:szCs w:val="18"/>
              </w:rPr>
              <w:t xml:space="preserve">Total </w:t>
            </w:r>
          </w:p>
        </w:tc>
        <w:tc>
          <w:tcPr>
            <w:tcW w:w="1000" w:type="pct"/>
          </w:tcPr>
          <w:p w14:paraId="399D9A03" w14:textId="77777777" w:rsidR="00742247" w:rsidRPr="00F92BF4" w:rsidRDefault="00742247" w:rsidP="002768CD">
            <w:pPr>
              <w:pStyle w:val="Tabletext1"/>
              <w:jc w:val="center"/>
              <w:rPr>
                <w:rFonts w:cs="Arial"/>
                <w:sz w:val="18"/>
                <w:szCs w:val="18"/>
              </w:rPr>
            </w:pPr>
            <w:r>
              <w:rPr>
                <w:rFonts w:cs="Arial"/>
                <w:sz w:val="18"/>
                <w:szCs w:val="18"/>
              </w:rPr>
              <w:t>49</w:t>
            </w:r>
          </w:p>
        </w:tc>
      </w:tr>
      <w:tr w:rsidR="00742247" w:rsidRPr="00200B85" w14:paraId="47B652C8" w14:textId="77777777" w:rsidTr="002768CD">
        <w:tc>
          <w:tcPr>
            <w:tcW w:w="4000" w:type="pct"/>
          </w:tcPr>
          <w:p w14:paraId="64A90E8C" w14:textId="77777777" w:rsidR="00742247" w:rsidRPr="00F92BF4" w:rsidRDefault="00742247" w:rsidP="002768CD">
            <w:pPr>
              <w:pStyle w:val="Tabletext1"/>
              <w:ind w:left="462"/>
              <w:rPr>
                <w:rFonts w:cs="Arial"/>
                <w:sz w:val="18"/>
                <w:szCs w:val="18"/>
              </w:rPr>
            </w:pPr>
            <w:r w:rsidRPr="006D07CE">
              <w:rPr>
                <w:rFonts w:cs="Arial"/>
                <w:sz w:val="18"/>
                <w:szCs w:val="18"/>
              </w:rPr>
              <w:t>A)</w:t>
            </w:r>
            <w:r>
              <w:rPr>
                <w:rFonts w:cs="Arial"/>
                <w:sz w:val="18"/>
                <w:szCs w:val="18"/>
              </w:rPr>
              <w:t xml:space="preserve"> Does not report costs</w:t>
            </w:r>
          </w:p>
        </w:tc>
        <w:tc>
          <w:tcPr>
            <w:tcW w:w="1000" w:type="pct"/>
          </w:tcPr>
          <w:p w14:paraId="449FF63D" w14:textId="77777777" w:rsidR="00742247" w:rsidRPr="00F92BF4" w:rsidRDefault="00742247" w:rsidP="002768CD">
            <w:pPr>
              <w:pStyle w:val="Tabletext1"/>
              <w:jc w:val="center"/>
              <w:rPr>
                <w:rFonts w:cs="Arial"/>
                <w:sz w:val="18"/>
                <w:szCs w:val="18"/>
              </w:rPr>
            </w:pPr>
            <w:r>
              <w:rPr>
                <w:rFonts w:cs="Arial"/>
                <w:sz w:val="18"/>
                <w:szCs w:val="18"/>
              </w:rPr>
              <w:t>24</w:t>
            </w:r>
          </w:p>
        </w:tc>
      </w:tr>
      <w:tr w:rsidR="00742247" w:rsidRPr="00200B85" w14:paraId="72F27EA8" w14:textId="77777777" w:rsidTr="002768CD">
        <w:tc>
          <w:tcPr>
            <w:tcW w:w="4000" w:type="pct"/>
          </w:tcPr>
          <w:p w14:paraId="3892AD94" w14:textId="77777777" w:rsidR="00742247" w:rsidRPr="00F92BF4" w:rsidRDefault="00742247" w:rsidP="002768CD">
            <w:pPr>
              <w:pStyle w:val="Tabletext1"/>
              <w:ind w:left="462"/>
              <w:rPr>
                <w:rFonts w:cs="Arial"/>
                <w:sz w:val="18"/>
                <w:szCs w:val="18"/>
              </w:rPr>
            </w:pPr>
            <w:r>
              <w:rPr>
                <w:rFonts w:cs="Arial"/>
                <w:sz w:val="18"/>
                <w:szCs w:val="18"/>
              </w:rPr>
              <w:t xml:space="preserve">B) Study was not conducted in Australia </w:t>
            </w:r>
          </w:p>
        </w:tc>
        <w:tc>
          <w:tcPr>
            <w:tcW w:w="1000" w:type="pct"/>
          </w:tcPr>
          <w:p w14:paraId="6E19E852" w14:textId="77777777" w:rsidR="00742247" w:rsidRPr="00F92BF4" w:rsidRDefault="00742247" w:rsidP="002768CD">
            <w:pPr>
              <w:pStyle w:val="Tabletext1"/>
              <w:jc w:val="center"/>
              <w:rPr>
                <w:rFonts w:cs="Arial"/>
                <w:sz w:val="18"/>
                <w:szCs w:val="18"/>
              </w:rPr>
            </w:pPr>
            <w:r>
              <w:rPr>
                <w:rFonts w:cs="Arial"/>
                <w:sz w:val="18"/>
                <w:szCs w:val="18"/>
              </w:rPr>
              <w:t>4</w:t>
            </w:r>
          </w:p>
        </w:tc>
      </w:tr>
      <w:tr w:rsidR="00742247" w:rsidRPr="00200B85" w14:paraId="6EB2FB02" w14:textId="77777777" w:rsidTr="002768CD">
        <w:tc>
          <w:tcPr>
            <w:tcW w:w="4000" w:type="pct"/>
          </w:tcPr>
          <w:p w14:paraId="5BF1F063" w14:textId="77777777" w:rsidR="00742247" w:rsidRDefault="00742247" w:rsidP="002768CD">
            <w:pPr>
              <w:pStyle w:val="Tabletext1"/>
              <w:ind w:left="462"/>
              <w:rPr>
                <w:rFonts w:cs="Arial"/>
                <w:sz w:val="18"/>
                <w:szCs w:val="18"/>
              </w:rPr>
            </w:pPr>
            <w:r>
              <w:rPr>
                <w:rFonts w:cs="Arial"/>
                <w:sz w:val="18"/>
                <w:szCs w:val="18"/>
              </w:rPr>
              <w:t xml:space="preserve">C) Study is not specific for prostate cancer </w:t>
            </w:r>
            <w:r w:rsidRPr="00E43CF9">
              <w:rPr>
                <w:rFonts w:cs="Arial"/>
                <w:sz w:val="18"/>
                <w:szCs w:val="18"/>
              </w:rPr>
              <w:t>[including description of treatments/diagnostics in the clinical management algorithm]</w:t>
            </w:r>
          </w:p>
        </w:tc>
        <w:tc>
          <w:tcPr>
            <w:tcW w:w="1000" w:type="pct"/>
          </w:tcPr>
          <w:p w14:paraId="6B9FDB75" w14:textId="77777777" w:rsidR="00742247" w:rsidRPr="00F92BF4" w:rsidRDefault="00742247" w:rsidP="002768CD">
            <w:pPr>
              <w:pStyle w:val="Tabletext1"/>
              <w:jc w:val="center"/>
              <w:rPr>
                <w:rFonts w:cs="Arial"/>
                <w:sz w:val="18"/>
                <w:szCs w:val="18"/>
              </w:rPr>
            </w:pPr>
            <w:r>
              <w:rPr>
                <w:rFonts w:cs="Arial"/>
                <w:sz w:val="18"/>
                <w:szCs w:val="18"/>
              </w:rPr>
              <w:t>6</w:t>
            </w:r>
          </w:p>
        </w:tc>
      </w:tr>
      <w:tr w:rsidR="00742247" w:rsidRPr="00200B85" w14:paraId="0137FC5A" w14:textId="77777777" w:rsidTr="002768CD">
        <w:tc>
          <w:tcPr>
            <w:tcW w:w="4000" w:type="pct"/>
          </w:tcPr>
          <w:p w14:paraId="63545DF5" w14:textId="77777777" w:rsidR="00742247" w:rsidRDefault="00742247" w:rsidP="002768CD">
            <w:pPr>
              <w:pStyle w:val="Tabletext1"/>
              <w:ind w:left="462"/>
              <w:rPr>
                <w:rFonts w:cs="Arial"/>
                <w:sz w:val="18"/>
                <w:szCs w:val="18"/>
              </w:rPr>
            </w:pPr>
            <w:r>
              <w:rPr>
                <w:rFonts w:cs="Arial"/>
                <w:sz w:val="18"/>
                <w:szCs w:val="18"/>
              </w:rPr>
              <w:t>D) Study does not report costs from a healthcare perspective</w:t>
            </w:r>
          </w:p>
        </w:tc>
        <w:tc>
          <w:tcPr>
            <w:tcW w:w="1000" w:type="pct"/>
          </w:tcPr>
          <w:p w14:paraId="36A55EF0" w14:textId="77777777" w:rsidR="00742247" w:rsidRPr="00F92BF4" w:rsidRDefault="00742247" w:rsidP="002768CD">
            <w:pPr>
              <w:pStyle w:val="Tabletext1"/>
              <w:jc w:val="center"/>
              <w:rPr>
                <w:rFonts w:cs="Arial"/>
                <w:sz w:val="18"/>
                <w:szCs w:val="18"/>
              </w:rPr>
            </w:pPr>
            <w:r>
              <w:rPr>
                <w:rFonts w:cs="Arial"/>
                <w:sz w:val="18"/>
                <w:szCs w:val="18"/>
              </w:rPr>
              <w:t>15</w:t>
            </w:r>
          </w:p>
        </w:tc>
      </w:tr>
      <w:tr w:rsidR="00742247" w:rsidRPr="00200B85" w14:paraId="6E31D098" w14:textId="77777777" w:rsidTr="002768CD">
        <w:tc>
          <w:tcPr>
            <w:tcW w:w="4000" w:type="pct"/>
          </w:tcPr>
          <w:p w14:paraId="5BD8B008" w14:textId="77777777" w:rsidR="00742247" w:rsidRPr="00F92BF4" w:rsidRDefault="00742247" w:rsidP="002768CD">
            <w:pPr>
              <w:pStyle w:val="Tabletext1"/>
              <w:rPr>
                <w:rFonts w:cs="Arial"/>
                <w:sz w:val="18"/>
                <w:szCs w:val="18"/>
              </w:rPr>
            </w:pPr>
            <w:r w:rsidRPr="00F92BF4">
              <w:rPr>
                <w:rFonts w:cs="Arial"/>
                <w:sz w:val="18"/>
                <w:szCs w:val="18"/>
              </w:rPr>
              <w:t>Total excluded</w:t>
            </w:r>
          </w:p>
        </w:tc>
        <w:tc>
          <w:tcPr>
            <w:tcW w:w="1000" w:type="pct"/>
          </w:tcPr>
          <w:p w14:paraId="22E60A9C" w14:textId="77777777" w:rsidR="00742247" w:rsidRPr="00F92BF4" w:rsidRDefault="00742247" w:rsidP="002768CD">
            <w:pPr>
              <w:pStyle w:val="Tabletext1"/>
              <w:jc w:val="center"/>
              <w:rPr>
                <w:rFonts w:cs="Arial"/>
                <w:sz w:val="18"/>
                <w:szCs w:val="18"/>
              </w:rPr>
            </w:pPr>
            <w:r>
              <w:rPr>
                <w:rFonts w:cs="Arial"/>
                <w:sz w:val="18"/>
                <w:szCs w:val="18"/>
              </w:rPr>
              <w:t>49</w:t>
            </w:r>
          </w:p>
        </w:tc>
      </w:tr>
      <w:tr w:rsidR="00742247" w:rsidRPr="00200B85" w14:paraId="4902F1CA" w14:textId="77777777" w:rsidTr="002768CD">
        <w:tc>
          <w:tcPr>
            <w:tcW w:w="4000" w:type="pct"/>
          </w:tcPr>
          <w:p w14:paraId="081C53D4" w14:textId="77777777" w:rsidR="00742247" w:rsidRPr="00F92BF4" w:rsidRDefault="00742247" w:rsidP="002768CD">
            <w:pPr>
              <w:pStyle w:val="Tabletext1"/>
              <w:rPr>
                <w:rFonts w:cs="Arial"/>
                <w:sz w:val="18"/>
                <w:szCs w:val="18"/>
              </w:rPr>
            </w:pPr>
            <w:r>
              <w:rPr>
                <w:rFonts w:cs="Arial"/>
                <w:sz w:val="18"/>
                <w:szCs w:val="18"/>
              </w:rPr>
              <w:t>Manual inclusion [expert consultation]</w:t>
            </w:r>
          </w:p>
        </w:tc>
        <w:tc>
          <w:tcPr>
            <w:tcW w:w="1000" w:type="pct"/>
          </w:tcPr>
          <w:p w14:paraId="41C8A230" w14:textId="77777777" w:rsidR="00742247" w:rsidRPr="00F92BF4" w:rsidRDefault="00742247" w:rsidP="002768CD">
            <w:pPr>
              <w:pStyle w:val="Tabletext1"/>
              <w:jc w:val="center"/>
              <w:rPr>
                <w:rFonts w:cs="Arial"/>
                <w:sz w:val="18"/>
                <w:szCs w:val="18"/>
              </w:rPr>
            </w:pPr>
            <w:r>
              <w:rPr>
                <w:rFonts w:cs="Arial"/>
                <w:sz w:val="18"/>
                <w:szCs w:val="18"/>
              </w:rPr>
              <w:t>1</w:t>
            </w:r>
          </w:p>
        </w:tc>
      </w:tr>
      <w:tr w:rsidR="00742247" w:rsidRPr="00200B85" w14:paraId="7AA87FD8" w14:textId="77777777" w:rsidTr="002768CD">
        <w:tc>
          <w:tcPr>
            <w:tcW w:w="4000" w:type="pct"/>
          </w:tcPr>
          <w:p w14:paraId="1102B0DF" w14:textId="77777777" w:rsidR="00742247" w:rsidRPr="00F92BF4" w:rsidRDefault="00742247" w:rsidP="002768CD">
            <w:pPr>
              <w:pStyle w:val="Tabletext1"/>
              <w:rPr>
                <w:rFonts w:cs="Arial"/>
                <w:sz w:val="18"/>
                <w:szCs w:val="18"/>
              </w:rPr>
            </w:pPr>
            <w:r w:rsidRPr="00F92BF4">
              <w:rPr>
                <w:rFonts w:cs="Arial"/>
                <w:sz w:val="18"/>
                <w:szCs w:val="18"/>
              </w:rPr>
              <w:t>Include</w:t>
            </w:r>
          </w:p>
        </w:tc>
        <w:tc>
          <w:tcPr>
            <w:tcW w:w="1000" w:type="pct"/>
          </w:tcPr>
          <w:p w14:paraId="2F48105D" w14:textId="77777777" w:rsidR="00742247" w:rsidRPr="00F92BF4" w:rsidRDefault="00742247" w:rsidP="002768CD">
            <w:pPr>
              <w:pStyle w:val="Tabletext1"/>
              <w:jc w:val="center"/>
              <w:rPr>
                <w:rFonts w:cs="Arial"/>
                <w:sz w:val="18"/>
                <w:szCs w:val="18"/>
              </w:rPr>
            </w:pPr>
            <w:r>
              <w:rPr>
                <w:rFonts w:cs="Arial"/>
                <w:sz w:val="18"/>
                <w:szCs w:val="18"/>
              </w:rPr>
              <w:t>1</w:t>
            </w:r>
            <w:r w:rsidRPr="00E43CF9">
              <w:rPr>
                <w:rFonts w:cs="Arial"/>
                <w:sz w:val="18"/>
                <w:szCs w:val="18"/>
                <w:vertAlign w:val="superscript"/>
              </w:rPr>
              <w:t>a</w:t>
            </w:r>
          </w:p>
        </w:tc>
      </w:tr>
    </w:tbl>
    <w:p w14:paraId="2D3D8D49" w14:textId="77777777" w:rsidR="00742247" w:rsidRDefault="00742247" w:rsidP="00742247">
      <w:pPr>
        <w:pStyle w:val="TableNotes00"/>
        <w:ind w:left="0"/>
        <w:rPr>
          <w:lang w:eastAsia="en-US"/>
        </w:rPr>
      </w:pPr>
      <w:r w:rsidRPr="00E43CF9">
        <w:rPr>
          <w:vertAlign w:val="superscript"/>
          <w:lang w:eastAsia="en-US"/>
        </w:rPr>
        <w:t>a</w:t>
      </w:r>
      <w:r w:rsidRPr="00E43CF9">
        <w:rPr>
          <w:lang w:eastAsia="en-US"/>
        </w:rPr>
        <w:t xml:space="preserve"> Included citations: Cronin et al 2016.</w:t>
      </w:r>
      <w:r>
        <w:rPr>
          <w:lang w:eastAsia="en-US"/>
        </w:rPr>
        <w:t xml:space="preserve"> This publication has recently been accepted for publication in the Asia-Pacific Journal of Clinical Oncology (Manuscript ID APJCO-2015-0513.R1). A draft manuscript was provided by the author, however, the publication is still unavailable in the public domain. </w:t>
      </w:r>
    </w:p>
    <w:p w14:paraId="29F5F3E5" w14:textId="77777777" w:rsidR="00742247" w:rsidRDefault="00742247">
      <w:pPr>
        <w:spacing w:after="0" w:line="240" w:lineRule="auto"/>
        <w:jc w:val="left"/>
        <w:rPr>
          <w:b/>
          <w:smallCaps/>
          <w:sz w:val="44"/>
        </w:rPr>
      </w:pPr>
    </w:p>
    <w:p w14:paraId="049589AD" w14:textId="7A4468BB" w:rsidR="006C0851" w:rsidRPr="00183E4D" w:rsidRDefault="008F59A8" w:rsidP="00DF343F">
      <w:pPr>
        <w:pStyle w:val="Heading1"/>
      </w:pPr>
      <w:bookmarkStart w:id="895" w:name="_Toc460514048"/>
      <w:r w:rsidRPr="00183E4D">
        <w:lastRenderedPageBreak/>
        <w:t>References</w:t>
      </w:r>
      <w:bookmarkEnd w:id="840"/>
      <w:bookmarkEnd w:id="841"/>
      <w:bookmarkEnd w:id="895"/>
      <w:r w:rsidRPr="00183E4D">
        <w:t xml:space="preserve"> </w:t>
      </w:r>
    </w:p>
    <w:p w14:paraId="171DFAB8" w14:textId="47C03AE7" w:rsidR="008E0B00" w:rsidRPr="008E0B00" w:rsidRDefault="008E0B00" w:rsidP="008E0B00">
      <w:pPr>
        <w:pStyle w:val="EndNoteBibliography"/>
        <w:spacing w:after="0"/>
        <w:ind w:left="720" w:hanging="720"/>
      </w:pPr>
      <w:bookmarkStart w:id="896" w:name="_ENREF_1"/>
      <w:r w:rsidRPr="008E0B00">
        <w:t xml:space="preserve">Abd-Alazeez, M, Ahmed, HU, Arya, M, Allen, C, Dikaios, N, Freeman, A, Emberton, M &amp; Kirkham, A 2014a, 'Can multiparametric magnetic resonance imaging predict upgrading of transrectal ultrasound biopsy results at more definitive histology?', </w:t>
      </w:r>
      <w:r w:rsidRPr="008E0B00">
        <w:rPr>
          <w:i/>
        </w:rPr>
        <w:t>Urol Oncol</w:t>
      </w:r>
      <w:r w:rsidRPr="008E0B00">
        <w:t>, vol.32, pp. 741-7.</w:t>
      </w:r>
      <w:bookmarkEnd w:id="896"/>
    </w:p>
    <w:p w14:paraId="2AC2F755" w14:textId="77777777" w:rsidR="008E0B00" w:rsidRPr="008E0B00" w:rsidRDefault="008E0B00" w:rsidP="008E0B00">
      <w:pPr>
        <w:pStyle w:val="EndNoteBibliography"/>
        <w:spacing w:after="0"/>
        <w:ind w:left="720" w:hanging="720"/>
      </w:pPr>
      <w:bookmarkStart w:id="897" w:name="_ENREF_2"/>
      <w:r w:rsidRPr="008E0B00">
        <w:t xml:space="preserve">Abd-Alazeez, M, Ahmed, HU, Arya, M, Charman, SC, Anastasiadis, E, Freeman, A, Emberton, M &amp; Kirkham, A 2014b, 'The accuracy of multiparametric MRI in men with negative biopsy and elevated PSA level--can it rule out clinically significant prostate cancer?', </w:t>
      </w:r>
      <w:r w:rsidRPr="008E0B00">
        <w:rPr>
          <w:i/>
        </w:rPr>
        <w:t>Urol Oncol</w:t>
      </w:r>
      <w:r w:rsidRPr="008E0B00">
        <w:t>, vol.32, pp. 45.e17-22.</w:t>
      </w:r>
      <w:bookmarkEnd w:id="897"/>
    </w:p>
    <w:p w14:paraId="46B70199" w14:textId="77777777" w:rsidR="008E0B00" w:rsidRPr="008E0B00" w:rsidRDefault="008E0B00" w:rsidP="008E0B00">
      <w:pPr>
        <w:pStyle w:val="EndNoteBibliography"/>
        <w:spacing w:after="0"/>
        <w:ind w:left="720" w:hanging="720"/>
      </w:pPr>
      <w:bookmarkStart w:id="898" w:name="_ENREF_3"/>
      <w:r w:rsidRPr="008E0B00">
        <w:t>Abern, MR, Aronson, WJ, Terris, MK, Kane, CJ, Presti, JC, Amling, CL &amp; Freedland, SJ 2013, 'Delayed radical prostatectomy for intermediate</w:t>
      </w:r>
      <w:r w:rsidRPr="008E0B00">
        <w:rPr>
          <w:rFonts w:ascii="Cambria Math" w:hAnsi="Cambria Math" w:cs="Cambria Math"/>
        </w:rPr>
        <w:t>‐</w:t>
      </w:r>
      <w:r w:rsidRPr="008E0B00">
        <w:t xml:space="preserve">risk prostate cancer is associated with biochemical recurrence: Possible implications for active surveillance from the SEARCH database', </w:t>
      </w:r>
      <w:r w:rsidRPr="008E0B00">
        <w:rPr>
          <w:i/>
        </w:rPr>
        <w:t>Prostate</w:t>
      </w:r>
      <w:r w:rsidRPr="008E0B00">
        <w:t>, vol.73, pp. 409-17.</w:t>
      </w:r>
      <w:bookmarkEnd w:id="898"/>
    </w:p>
    <w:p w14:paraId="299CB7AE" w14:textId="77777777" w:rsidR="008E0B00" w:rsidRPr="008E0B00" w:rsidRDefault="008E0B00" w:rsidP="008E0B00">
      <w:pPr>
        <w:pStyle w:val="EndNoteBibliography"/>
        <w:spacing w:after="0"/>
        <w:ind w:left="720" w:hanging="720"/>
      </w:pPr>
      <w:bookmarkStart w:id="899" w:name="_ENREF_4"/>
      <w:r w:rsidRPr="008E0B00">
        <w:t xml:space="preserve">AIHW 2013, </w:t>
      </w:r>
      <w:r w:rsidRPr="008E0B00">
        <w:rPr>
          <w:i/>
        </w:rPr>
        <w:t>Prostate cancer in Australia. Cancer series no. 79. Cat. no. CAN 76. Canberra: AIHW.</w:t>
      </w:r>
      <w:r w:rsidRPr="008E0B00">
        <w:t xml:space="preserve">, Australian Institute of Health and Welfare, </w:t>
      </w:r>
      <w:bookmarkEnd w:id="899"/>
    </w:p>
    <w:p w14:paraId="556CA043" w14:textId="54EC8328" w:rsidR="008E0B00" w:rsidRPr="008E0B00" w:rsidRDefault="008E0B00" w:rsidP="008E0B00">
      <w:pPr>
        <w:pStyle w:val="EndNoteBibliography"/>
        <w:spacing w:after="0"/>
        <w:ind w:left="720" w:hanging="720"/>
      </w:pPr>
      <w:bookmarkStart w:id="900" w:name="_ENREF_5"/>
      <w:r w:rsidRPr="008E0B00">
        <w:t xml:space="preserve">AIHW 2016, </w:t>
      </w:r>
      <w:r w:rsidRPr="008E0B00">
        <w:rPr>
          <w:i/>
        </w:rPr>
        <w:t>Prostate cancer in Australia</w:t>
      </w:r>
      <w:r w:rsidRPr="008E0B00">
        <w:t>, AIHW, Canberra, viewed July 19 2016, &lt;</w:t>
      </w:r>
      <w:r w:rsidRPr="00B45511">
        <w:t>http://www.aihw.gov.au/cancer/prostate/#inca&gt;</w:t>
      </w:r>
      <w:r w:rsidRPr="008E0B00">
        <w:t>.</w:t>
      </w:r>
      <w:bookmarkEnd w:id="900"/>
    </w:p>
    <w:p w14:paraId="1F3026E4" w14:textId="77777777" w:rsidR="008E0B00" w:rsidRPr="008E0B00" w:rsidRDefault="008E0B00" w:rsidP="008E0B00">
      <w:pPr>
        <w:pStyle w:val="EndNoteBibliography"/>
        <w:spacing w:after="0"/>
        <w:ind w:left="720" w:hanging="720"/>
      </w:pPr>
      <w:bookmarkStart w:id="901" w:name="_ENREF_6"/>
      <w:r w:rsidRPr="008E0B00">
        <w:t xml:space="preserve">Almeida, GL, Petralia, G, Ferro, M, Ribas, CA, Detti, S, Jereczek-Fossa, BA, Matei, DV, Coman, I &amp; De Cobelli, O 2016, 'Role of Multi-Parametric Magnetic Resonance Image and PIRADS Score in Patients with Prostate Cancer Eligible for Active Surveillance According PRIADS Criteria', </w:t>
      </w:r>
      <w:r w:rsidRPr="008E0B00">
        <w:rPr>
          <w:i/>
        </w:rPr>
        <w:t>Urol Int</w:t>
      </w:r>
      <w:r w:rsidRPr="008E0B00">
        <w:t>, vol.96, pp. 459-69.</w:t>
      </w:r>
      <w:bookmarkEnd w:id="901"/>
    </w:p>
    <w:p w14:paraId="3B865286" w14:textId="77777777" w:rsidR="008E0B00" w:rsidRPr="008E0B00" w:rsidRDefault="008E0B00" w:rsidP="008E0B00">
      <w:pPr>
        <w:pStyle w:val="EndNoteBibliography"/>
        <w:spacing w:after="0"/>
        <w:ind w:left="720" w:hanging="720"/>
      </w:pPr>
      <w:bookmarkStart w:id="902" w:name="_ENREF_7"/>
      <w:r w:rsidRPr="008E0B00">
        <w:t xml:space="preserve">Anastasiadis, E, Meulen, J &amp; Emberton, M 2015, 'Hospital admissions after transrectal ultrasound-guided biopsy of the prostate in men diagnosed with prostate cancer: A database analysis in England', </w:t>
      </w:r>
      <w:r w:rsidRPr="008E0B00">
        <w:rPr>
          <w:i/>
        </w:rPr>
        <w:t>Int J Urol</w:t>
      </w:r>
      <w:r w:rsidRPr="008E0B00">
        <w:t>, vol.22, pp. 181-86.</w:t>
      </w:r>
      <w:bookmarkEnd w:id="902"/>
    </w:p>
    <w:p w14:paraId="09CF0147" w14:textId="77777777" w:rsidR="008E0B00" w:rsidRPr="008E0B00" w:rsidRDefault="008E0B00" w:rsidP="008E0B00">
      <w:pPr>
        <w:pStyle w:val="EndNoteBibliography"/>
        <w:spacing w:after="0"/>
        <w:ind w:left="720" w:hanging="720"/>
      </w:pPr>
      <w:bookmarkStart w:id="903" w:name="_ENREF_8"/>
      <w:r w:rsidRPr="008E0B00">
        <w:t xml:space="preserve">Andrews, SF, Horwitz, EM, Feigenberg, SJ, Eisenberg, DF, Hanlon, AL, Uzzo, RG &amp; Pollack, A 2005, 'Does a delay in external beam radiation therapy after tissue diagnosis affect outcome for men with prostate carcinoma?', </w:t>
      </w:r>
      <w:r w:rsidRPr="008E0B00">
        <w:rPr>
          <w:i/>
        </w:rPr>
        <w:t>Cancer</w:t>
      </w:r>
      <w:r w:rsidRPr="008E0B00">
        <w:t>, vol.104, pp. 299-304.</w:t>
      </w:r>
      <w:bookmarkEnd w:id="903"/>
    </w:p>
    <w:p w14:paraId="3061857F" w14:textId="77777777" w:rsidR="008E0B00" w:rsidRPr="008E0B00" w:rsidRDefault="008E0B00" w:rsidP="008E0B00">
      <w:pPr>
        <w:pStyle w:val="EndNoteBibliography"/>
        <w:spacing w:after="0"/>
        <w:ind w:left="720" w:hanging="720"/>
      </w:pPr>
      <w:bookmarkStart w:id="904" w:name="_ENREF_9"/>
      <w:r w:rsidRPr="008E0B00">
        <w:t xml:space="preserve">Applicant, </w:t>
      </w:r>
      <w:r w:rsidRPr="008E0B00">
        <w:rPr>
          <w:i/>
        </w:rPr>
        <w:t>Personal communication (documents sent by e-mail via DoH 29/6/2016, 4/7/2016)</w:t>
      </w:r>
      <w:r w:rsidRPr="008E0B00">
        <w:t>, 2016.</w:t>
      </w:r>
      <w:bookmarkEnd w:id="904"/>
    </w:p>
    <w:p w14:paraId="6D5A27A4" w14:textId="1C0FFF55" w:rsidR="008E0B00" w:rsidRPr="008E0B00" w:rsidRDefault="008E0B00" w:rsidP="008E0B00">
      <w:pPr>
        <w:pStyle w:val="EndNoteBibliography"/>
        <w:spacing w:after="0"/>
        <w:ind w:left="720" w:hanging="720"/>
      </w:pPr>
      <w:bookmarkStart w:id="905" w:name="_ENREF_10"/>
      <w:r w:rsidRPr="008E0B00">
        <w:t xml:space="preserve">Australian Government 2013, </w:t>
      </w:r>
      <w:r w:rsidRPr="008E0B00">
        <w:rPr>
          <w:i/>
        </w:rPr>
        <w:t>Health Insurance (Diagnostic Imaging Services Table) Regulation 2013,  Division 2.5-Group I5: magnetic resonance imaging: 2.5.4  MRI and MRA services-eligible provider</w:t>
      </w:r>
      <w:r w:rsidRPr="008E0B00">
        <w:t>, Australian Government, viewed 1 September 2016, &lt;</w:t>
      </w:r>
      <w:r w:rsidRPr="00B45511">
        <w:t>https://www.legislation.gov.au/Details/F2013L01979&gt;</w:t>
      </w:r>
      <w:r w:rsidRPr="008E0B00">
        <w:t>.</w:t>
      </w:r>
      <w:bookmarkEnd w:id="905"/>
    </w:p>
    <w:p w14:paraId="0EBE15D7" w14:textId="77777777" w:rsidR="008E0B00" w:rsidRPr="008E0B00" w:rsidRDefault="008E0B00" w:rsidP="008E0B00">
      <w:pPr>
        <w:pStyle w:val="EndNoteBibliography"/>
        <w:spacing w:after="0"/>
        <w:ind w:left="720" w:hanging="720"/>
      </w:pPr>
      <w:bookmarkStart w:id="906" w:name="_ENREF_11"/>
      <w:r w:rsidRPr="008E0B00">
        <w:t xml:space="preserve">Australian Institute of Health and Welfare 2015, </w:t>
      </w:r>
      <w:r w:rsidRPr="008E0B00">
        <w:rPr>
          <w:i/>
        </w:rPr>
        <w:t>Health expenditure Australia 2013-14</w:t>
      </w:r>
      <w:r w:rsidRPr="008E0B00">
        <w:t xml:space="preserve">, viewed 1 September 2016, </w:t>
      </w:r>
      <w:bookmarkEnd w:id="906"/>
    </w:p>
    <w:p w14:paraId="657A82AF" w14:textId="77777777" w:rsidR="008E0B00" w:rsidRPr="008E0B00" w:rsidRDefault="008E0B00" w:rsidP="008E0B00">
      <w:pPr>
        <w:pStyle w:val="EndNoteBibliography"/>
        <w:spacing w:after="0"/>
        <w:ind w:left="720" w:hanging="720"/>
      </w:pPr>
      <w:bookmarkStart w:id="907" w:name="_ENREF_12"/>
      <w:r w:rsidRPr="008E0B00">
        <w:t xml:space="preserve">Baldisserotto, M, Neto, EJ, Carvalhal, G, de Toledo, AF, de Almeida, CM, Cairoli, CE, de Silva, DO, Carvalhal, E, Paganin, RP, Agra, A, de Santos, FS &amp; Noronha, JA 2016, 'Validation of PI-RADS v.2 for prostate cancer diagnosis with MRI at 3T using an external phased-array coil', </w:t>
      </w:r>
      <w:r w:rsidRPr="008E0B00">
        <w:rPr>
          <w:i/>
        </w:rPr>
        <w:t>J Magn Reson Imaging</w:t>
      </w:r>
      <w:r w:rsidRPr="008E0B00">
        <w:t>, vol.00, pp. 000-00.</w:t>
      </w:r>
      <w:bookmarkEnd w:id="907"/>
    </w:p>
    <w:p w14:paraId="28BCED33" w14:textId="77777777" w:rsidR="008E0B00" w:rsidRPr="008E0B00" w:rsidRDefault="008E0B00" w:rsidP="008E0B00">
      <w:pPr>
        <w:pStyle w:val="EndNoteBibliography"/>
        <w:spacing w:after="0"/>
        <w:ind w:left="720" w:hanging="720"/>
      </w:pPr>
      <w:bookmarkStart w:id="908" w:name="_ENREF_13"/>
      <w:r w:rsidRPr="008E0B00">
        <w:t xml:space="preserve">Barentsz, JO, Richenberg, J, Clements, R, Choyke, P, Verma, S, Villeirs, G, Rouviere, O, Logager, V &amp; Futterer, JJ 2012, 'ESUR prostate MR guidelines 2012', </w:t>
      </w:r>
      <w:r w:rsidRPr="008E0B00">
        <w:rPr>
          <w:i/>
        </w:rPr>
        <w:t>Eur Radiol</w:t>
      </w:r>
      <w:r w:rsidRPr="008E0B00">
        <w:t>, vol.22, pp. 746-57.</w:t>
      </w:r>
      <w:bookmarkEnd w:id="908"/>
    </w:p>
    <w:p w14:paraId="10FF952A" w14:textId="77777777" w:rsidR="008E0B00" w:rsidRPr="008E0B00" w:rsidRDefault="008E0B00" w:rsidP="008E0B00">
      <w:pPr>
        <w:pStyle w:val="EndNoteBibliography"/>
        <w:spacing w:after="0"/>
        <w:ind w:left="720" w:hanging="720"/>
      </w:pPr>
      <w:bookmarkStart w:id="909" w:name="_ENREF_14"/>
      <w:r w:rsidRPr="008E0B00">
        <w:t xml:space="preserve">Barentsz, JO, Weinreb, JC, Verma, S, Thoeny, HC, Tempany, CM, Shtern, F, Padhani, AR, Margolis, D, Macura, KJ, Haider, MA, Cornud, F &amp; Choyke, PL 2016, 'Synopsis of the PI-RADS v2 Guidelines for Multiparametric Prostate Magnetic Resonance Imaging and Recommendations for Use', </w:t>
      </w:r>
      <w:r w:rsidRPr="008E0B00">
        <w:rPr>
          <w:i/>
        </w:rPr>
        <w:t>Eur Urol</w:t>
      </w:r>
      <w:r w:rsidRPr="008E0B00">
        <w:t>, vol.69, pp. 41-9.</w:t>
      </w:r>
      <w:bookmarkEnd w:id="909"/>
    </w:p>
    <w:p w14:paraId="526B0A79" w14:textId="77777777" w:rsidR="008E0B00" w:rsidRPr="008E0B00" w:rsidRDefault="008E0B00" w:rsidP="008E0B00">
      <w:pPr>
        <w:pStyle w:val="EndNoteBibliography"/>
        <w:spacing w:after="0"/>
        <w:ind w:left="720" w:hanging="720"/>
      </w:pPr>
      <w:bookmarkStart w:id="910" w:name="_ENREF_15"/>
      <w:r w:rsidRPr="008E0B00">
        <w:t xml:space="preserve">Baur, ADJ, Daqqaq, T, Wagner, M, Maxeiner, A, Huppertz, A, Renz, D, Hamm, B, Fischer, T &amp; Durmus, T 2016, 'T2- and diffusion-weighted magnetic resonance imaging at 3 T for the detection of prostate cancer with and without endorectal coil: An </w:t>
      </w:r>
      <w:r w:rsidRPr="008E0B00">
        <w:lastRenderedPageBreak/>
        <w:t xml:space="preserve">intraindividual comparison of image quality and diagnostic performance', </w:t>
      </w:r>
      <w:r w:rsidRPr="008E0B00">
        <w:rPr>
          <w:i/>
        </w:rPr>
        <w:t>Eur Urol</w:t>
      </w:r>
      <w:r w:rsidRPr="008E0B00">
        <w:t>, vol.85, pp. 1075-84.</w:t>
      </w:r>
      <w:bookmarkEnd w:id="910"/>
    </w:p>
    <w:p w14:paraId="2659A1D6" w14:textId="77777777" w:rsidR="008E0B00" w:rsidRPr="008E0B00" w:rsidRDefault="008E0B00" w:rsidP="008E0B00">
      <w:pPr>
        <w:pStyle w:val="EndNoteBibliography"/>
        <w:spacing w:after="0"/>
        <w:ind w:left="720" w:hanging="720"/>
      </w:pPr>
      <w:bookmarkStart w:id="911" w:name="_ENREF_16"/>
      <w:r w:rsidRPr="008E0B00">
        <w:t xml:space="preserve">Berger, AP, Gozzi, C, Steiner, H, Frauscher, F, Varkarakis, J, Rogatsch, H, Bartsch, G &amp; Horninger, W 2004, 'Complication rate of transrectal ultrasound guided prostate biopsy: a comparison among 3 protocols with 6, 10 and 15 cores', </w:t>
      </w:r>
      <w:r w:rsidRPr="008E0B00">
        <w:rPr>
          <w:i/>
        </w:rPr>
        <w:t>J Urol</w:t>
      </w:r>
      <w:r w:rsidRPr="008E0B00">
        <w:t>, vol.171, pp. 1478-80; discussion 80-81.</w:t>
      </w:r>
      <w:bookmarkEnd w:id="911"/>
    </w:p>
    <w:p w14:paraId="3B239027" w14:textId="77777777" w:rsidR="008E0B00" w:rsidRPr="008E0B00" w:rsidRDefault="008E0B00" w:rsidP="008E0B00">
      <w:pPr>
        <w:pStyle w:val="EndNoteBibliography"/>
        <w:spacing w:after="0"/>
        <w:ind w:left="720" w:hanging="720"/>
      </w:pPr>
      <w:bookmarkStart w:id="912" w:name="_ENREF_17"/>
      <w:r w:rsidRPr="008E0B00">
        <w:t xml:space="preserve">Bill-Axelson , A, Holmberg , L, Garmo , H, Rider , JR, Taari , K, Busch , C, Nordling , S, Häggman , M, Andersson , S-O, Spångberg , A, Andrén , O, Palmgren , J, Steineck , G, Adami , H-O &amp; Johansson , J-E 2014, 'Radical Prostatectomy or Watchful Waiting in Early Prostate Cancer', </w:t>
      </w:r>
      <w:r w:rsidRPr="008E0B00">
        <w:rPr>
          <w:i/>
        </w:rPr>
        <w:t>N Engl J Med</w:t>
      </w:r>
      <w:r w:rsidRPr="008E0B00">
        <w:t>, vol.370, pp. 932-42.</w:t>
      </w:r>
      <w:bookmarkEnd w:id="912"/>
    </w:p>
    <w:p w14:paraId="70B487DF" w14:textId="77777777" w:rsidR="008E0B00" w:rsidRPr="008E0B00" w:rsidRDefault="008E0B00" w:rsidP="008E0B00">
      <w:pPr>
        <w:pStyle w:val="EndNoteBibliography"/>
        <w:spacing w:after="0"/>
        <w:ind w:left="720" w:hanging="720"/>
      </w:pPr>
      <w:bookmarkStart w:id="913" w:name="_ENREF_18"/>
      <w:r w:rsidRPr="008E0B00">
        <w:t xml:space="preserve">Bluemke, DA, Sahani, D, Amendola, M, Balzer, T, Breuer, J, Brown, JJ, Casalino, DD, Davis, PL, Francis, IR, Krinsky, G, Lee, FT, Jr., Lu, D, Paulson, EK, Schwartz, LH, Siegelman, ES, Small, WC, Weber, TM, Welber, A &amp; Shamsi, K 2005, 'Efficacy and safety of MR imaging with liver-specific contrast agent: U.S. multicenter phase III study', </w:t>
      </w:r>
      <w:r w:rsidRPr="008E0B00">
        <w:rPr>
          <w:i/>
        </w:rPr>
        <w:t>Radiology</w:t>
      </w:r>
      <w:r w:rsidRPr="008E0B00">
        <w:t>, vol.237, pp. 89-98.</w:t>
      </w:r>
      <w:bookmarkEnd w:id="913"/>
    </w:p>
    <w:p w14:paraId="2BC9BC2B" w14:textId="77777777" w:rsidR="008E0B00" w:rsidRPr="008E0B00" w:rsidRDefault="008E0B00" w:rsidP="008E0B00">
      <w:pPr>
        <w:pStyle w:val="EndNoteBibliography"/>
        <w:spacing w:after="0"/>
        <w:ind w:left="720" w:hanging="720"/>
      </w:pPr>
      <w:bookmarkStart w:id="914" w:name="_ENREF_19"/>
      <w:r w:rsidRPr="008E0B00">
        <w:t xml:space="preserve">Bonekamp, D, Bonekamp, S, Mullins, JK, Epstein, JI, Carter, HB &amp; Macura, KJ 2013, 'Multiparametric magnetic resonance imaging characterization of prostate lesions in the active surveillance population: incremental value of magnetic resonance imaging for prediction of disease reclassification', </w:t>
      </w:r>
      <w:r w:rsidRPr="008E0B00">
        <w:rPr>
          <w:i/>
        </w:rPr>
        <w:t>J Comput Assist Tomogr</w:t>
      </w:r>
      <w:r w:rsidRPr="008E0B00">
        <w:t>, vol.37, pp. 948-56.</w:t>
      </w:r>
      <w:bookmarkEnd w:id="914"/>
    </w:p>
    <w:p w14:paraId="626DC74E" w14:textId="77777777" w:rsidR="008E0B00" w:rsidRPr="008E0B00" w:rsidRDefault="008E0B00" w:rsidP="008E0B00">
      <w:pPr>
        <w:pStyle w:val="EndNoteBibliography"/>
        <w:spacing w:after="0"/>
        <w:ind w:left="720" w:hanging="720"/>
      </w:pPr>
      <w:bookmarkStart w:id="915" w:name="_ENREF_20"/>
      <w:r w:rsidRPr="008E0B00">
        <w:t xml:space="preserve">Boorjian, SA, Bianco, FJ, Jr., Scardino, PT &amp; Eastham, JA 2005, 'Does the time from biopsy to surgery affect biochemical recurrence after radical prostatectomy?', </w:t>
      </w:r>
      <w:r w:rsidRPr="008E0B00">
        <w:rPr>
          <w:i/>
        </w:rPr>
        <w:t>BJU Int</w:t>
      </w:r>
      <w:r w:rsidRPr="008E0B00">
        <w:t>, vol.96, pp. 773-6.</w:t>
      </w:r>
      <w:bookmarkEnd w:id="915"/>
    </w:p>
    <w:p w14:paraId="7C3D5CF6" w14:textId="77777777" w:rsidR="008E0B00" w:rsidRPr="008E0B00" w:rsidRDefault="008E0B00" w:rsidP="008E0B00">
      <w:pPr>
        <w:pStyle w:val="EndNoteBibliography"/>
        <w:spacing w:after="0"/>
        <w:ind w:left="720" w:hanging="720"/>
      </w:pPr>
      <w:bookmarkStart w:id="916" w:name="_ENREF_21"/>
      <w:r w:rsidRPr="008E0B00">
        <w:t xml:space="preserve">Busetto, GM, De Berardinis, E, Sciarra, A, Panebianco, V, Giovannone, R, Rosato, S, D'Errigo, P, Di Silverio, F, Gentile, V &amp; Salciccia, S 2013, 'Prostate cancer gene 3 and multiparametric magnetic resonance can reduce unnecessary biopsies: decision curve analysis to evaluate predictive models', </w:t>
      </w:r>
      <w:r w:rsidRPr="008E0B00">
        <w:rPr>
          <w:i/>
        </w:rPr>
        <w:t>Urology</w:t>
      </w:r>
      <w:r w:rsidRPr="008E0B00">
        <w:t>, vol.82, pp. 1355-60.</w:t>
      </w:r>
      <w:bookmarkEnd w:id="916"/>
    </w:p>
    <w:p w14:paraId="5211860F" w14:textId="77777777" w:rsidR="008E0B00" w:rsidRPr="008E0B00" w:rsidRDefault="008E0B00" w:rsidP="008E0B00">
      <w:pPr>
        <w:pStyle w:val="EndNoteBibliography"/>
        <w:spacing w:after="0"/>
        <w:ind w:left="720" w:hanging="720"/>
      </w:pPr>
      <w:bookmarkStart w:id="917" w:name="_ENREF_22"/>
      <w:r w:rsidRPr="008E0B00">
        <w:t xml:space="preserve">CADTH 2014, </w:t>
      </w:r>
      <w:r w:rsidRPr="008E0B00">
        <w:rPr>
          <w:i/>
        </w:rPr>
        <w:t>Magnetic Resonance Spectroscopic Imaging for Prostate Disease Detection: Clinical and Cost-Effectiveness, and Guidelines</w:t>
      </w:r>
      <w:r w:rsidRPr="008E0B00">
        <w:t xml:space="preserve">, Canadian Agency for Drugs and Technologies in Health, </w:t>
      </w:r>
      <w:bookmarkEnd w:id="917"/>
    </w:p>
    <w:p w14:paraId="0602FEAE" w14:textId="298DAD2C" w:rsidR="008E0B00" w:rsidRPr="008E0B00" w:rsidRDefault="008E0B00" w:rsidP="008E0B00">
      <w:pPr>
        <w:pStyle w:val="EndNoteBibliography"/>
        <w:spacing w:after="0"/>
        <w:ind w:left="720" w:hanging="720"/>
      </w:pPr>
      <w:bookmarkStart w:id="918" w:name="_ENREF_23"/>
      <w:r w:rsidRPr="008E0B00">
        <w:t xml:space="preserve">Cancer Australia 2016, </w:t>
      </w:r>
      <w:r w:rsidRPr="008E0B00">
        <w:rPr>
          <w:i/>
        </w:rPr>
        <w:t>Prostate cancer statistics</w:t>
      </w:r>
      <w:r w:rsidRPr="008E0B00">
        <w:t>, viewed 15/07/2016 &lt;</w:t>
      </w:r>
      <w:r w:rsidRPr="00B45511">
        <w:t>https://prostate-cancer.canceraustralia.gov.au/statistics&gt;</w:t>
      </w:r>
      <w:r w:rsidRPr="008E0B00">
        <w:t>.</w:t>
      </w:r>
      <w:bookmarkEnd w:id="918"/>
    </w:p>
    <w:p w14:paraId="3BAD6E61" w14:textId="77777777" w:rsidR="008E0B00" w:rsidRPr="008E0B00" w:rsidRDefault="008E0B00" w:rsidP="008E0B00">
      <w:pPr>
        <w:pStyle w:val="EndNoteBibliography"/>
        <w:spacing w:after="0"/>
        <w:ind w:left="720" w:hanging="720"/>
      </w:pPr>
      <w:bookmarkStart w:id="919" w:name="_ENREF_24"/>
      <w:r w:rsidRPr="008E0B00">
        <w:t xml:space="preserve">Cancer Care Ontario, ACO 2015, </w:t>
      </w:r>
      <w:r w:rsidRPr="008E0B00">
        <w:rPr>
          <w:i/>
        </w:rPr>
        <w:t>Multiparametric Magnetic Resonance Imaging in the Diagnosis of Clinically Significant Prostate Cancer</w:t>
      </w:r>
      <w:r w:rsidRPr="008E0B00">
        <w:t xml:space="preserve">, viewed 22 Jul 2016, </w:t>
      </w:r>
      <w:bookmarkEnd w:id="919"/>
    </w:p>
    <w:p w14:paraId="7B1C112F" w14:textId="1C8D2053" w:rsidR="008E0B00" w:rsidRPr="008E0B00" w:rsidRDefault="008E0B00" w:rsidP="008E0B00">
      <w:pPr>
        <w:pStyle w:val="EndNoteBibliography"/>
        <w:spacing w:after="0"/>
        <w:ind w:left="720" w:hanging="720"/>
      </w:pPr>
      <w:bookmarkStart w:id="920" w:name="_ENREF_25"/>
      <w:r w:rsidRPr="008E0B00">
        <w:t xml:space="preserve">Cancer Council Australia 2015, </w:t>
      </w:r>
      <w:r w:rsidRPr="008E0B00">
        <w:rPr>
          <w:i/>
        </w:rPr>
        <w:t>TNM system</w:t>
      </w:r>
      <w:r w:rsidRPr="008E0B00">
        <w:t>, viewed 1 September 2016, &lt;</w:t>
      </w:r>
      <w:r w:rsidRPr="00B45511">
        <w:t>http://www.cancer.org.au/about-cancer/types-of-cancer/tnm-system.html&gt;</w:t>
      </w:r>
      <w:r w:rsidRPr="008E0B00">
        <w:t>.</w:t>
      </w:r>
      <w:bookmarkEnd w:id="920"/>
    </w:p>
    <w:p w14:paraId="32BAE300" w14:textId="77777777" w:rsidR="008E0B00" w:rsidRPr="008E0B00" w:rsidRDefault="008E0B00" w:rsidP="008E0B00">
      <w:pPr>
        <w:pStyle w:val="EndNoteBibliography"/>
        <w:spacing w:after="0"/>
        <w:ind w:left="720" w:hanging="720"/>
      </w:pPr>
      <w:bookmarkStart w:id="921" w:name="_ENREF_26"/>
      <w:r w:rsidRPr="008E0B00">
        <w:t xml:space="preserve">Carignan, A, Roussy, JF, Lapointe, V, Valiquette, L, Sabbagh, R &amp; Pepin, J 2012, 'Increasing risk of infectious complications after transrectal ultrasound-guided prostate biopsies: Time to reassess antimicrobial prophylaxis?', </w:t>
      </w:r>
      <w:r w:rsidRPr="008E0B00">
        <w:rPr>
          <w:i/>
        </w:rPr>
        <w:t>Eur Urol</w:t>
      </w:r>
      <w:r w:rsidRPr="008E0B00">
        <w:t>, vol.62, pp. 453-59.</w:t>
      </w:r>
      <w:bookmarkEnd w:id="921"/>
    </w:p>
    <w:p w14:paraId="4EE39DD4" w14:textId="77777777" w:rsidR="008E0B00" w:rsidRPr="008E0B00" w:rsidRDefault="008E0B00" w:rsidP="008E0B00">
      <w:pPr>
        <w:pStyle w:val="EndNoteBibliography"/>
        <w:spacing w:after="0"/>
        <w:ind w:left="720" w:hanging="720"/>
      </w:pPr>
      <w:bookmarkStart w:id="922" w:name="_ENREF_27"/>
      <w:r w:rsidRPr="008E0B00">
        <w:t xml:space="preserve">Cerantola, Y, Dragomir, A, Tanguay, S, Bladou, F, Aprikian, A &amp; Kassouf, W 2016, 'Cost-effectiveness of multiparametric magnetic resonance imaging and targeted biopsy in diagnosing prostate cancer', </w:t>
      </w:r>
      <w:r w:rsidRPr="008E0B00">
        <w:rPr>
          <w:i/>
        </w:rPr>
        <w:t>Urol Oncol</w:t>
      </w:r>
      <w:r w:rsidRPr="008E0B00">
        <w:t>, vol.34, pp. 119 e1-9.</w:t>
      </w:r>
      <w:bookmarkEnd w:id="922"/>
    </w:p>
    <w:p w14:paraId="1D73FD76" w14:textId="77777777" w:rsidR="008E0B00" w:rsidRPr="008E0B00" w:rsidRDefault="008E0B00" w:rsidP="008E0B00">
      <w:pPr>
        <w:pStyle w:val="EndNoteBibliography"/>
        <w:spacing w:after="0"/>
        <w:ind w:left="720" w:hanging="720"/>
      </w:pPr>
      <w:bookmarkStart w:id="923" w:name="_ENREF_28"/>
      <w:r w:rsidRPr="008E0B00">
        <w:t xml:space="preserve">Chang, DT, Challacombe, B &amp; Lawrentschuk, N 2013, 'Transperineal biopsy of the prostate--is this the future?', </w:t>
      </w:r>
      <w:r w:rsidRPr="008E0B00">
        <w:rPr>
          <w:i/>
        </w:rPr>
        <w:t>Nat Rev Urol</w:t>
      </w:r>
      <w:r w:rsidRPr="008E0B00">
        <w:t>, vol.10, pp. 690-702.</w:t>
      </w:r>
      <w:bookmarkEnd w:id="923"/>
    </w:p>
    <w:p w14:paraId="2FA4D10C" w14:textId="77777777" w:rsidR="008E0B00" w:rsidRPr="008E0B00" w:rsidRDefault="008E0B00" w:rsidP="008E0B00">
      <w:pPr>
        <w:pStyle w:val="EndNoteBibliography"/>
        <w:spacing w:after="0"/>
        <w:ind w:left="720" w:hanging="720"/>
      </w:pPr>
      <w:bookmarkStart w:id="924" w:name="_ENREF_29"/>
      <w:r w:rsidRPr="008E0B00">
        <w:t xml:space="preserve">Clemens, S, Begum, N, Harper, C, Whitty, JA &amp; Scuffham, PA 2014, 'A comparison of EQ-5D-3L population norms in Queensland, Australia, estimated using utility value sets from Australia, the UK and USA', </w:t>
      </w:r>
      <w:r w:rsidRPr="008E0B00">
        <w:rPr>
          <w:i/>
        </w:rPr>
        <w:t>Qual Life Res</w:t>
      </w:r>
      <w:r w:rsidRPr="008E0B00">
        <w:t>, vol.23, pp. 2375-81.</w:t>
      </w:r>
      <w:bookmarkEnd w:id="924"/>
    </w:p>
    <w:p w14:paraId="27D25E41" w14:textId="77777777" w:rsidR="008E0B00" w:rsidRPr="008E0B00" w:rsidRDefault="008E0B00" w:rsidP="008E0B00">
      <w:pPr>
        <w:pStyle w:val="EndNoteBibliography"/>
        <w:spacing w:after="0"/>
        <w:ind w:left="720" w:hanging="720"/>
      </w:pPr>
      <w:bookmarkStart w:id="925" w:name="_ENREF_30"/>
      <w:r w:rsidRPr="008E0B00">
        <w:t>Cooperberg, MR, Ramakrishna, NR, Duff, SB, Hughes, KE, Sadownik, S, Smith, JA &amp; Tewari, AK 2013, 'Primary treatments for clinically localised prostate cancer: a comprehensive lifetime cost</w:t>
      </w:r>
      <w:r w:rsidRPr="008E0B00">
        <w:rPr>
          <w:rFonts w:ascii="Cambria Math" w:hAnsi="Cambria Math" w:cs="Cambria Math"/>
        </w:rPr>
        <w:t>‐</w:t>
      </w:r>
      <w:r w:rsidRPr="008E0B00">
        <w:t xml:space="preserve">utility analysis', </w:t>
      </w:r>
      <w:r w:rsidRPr="008E0B00">
        <w:rPr>
          <w:i/>
        </w:rPr>
        <w:t>BJU Int</w:t>
      </w:r>
      <w:r w:rsidRPr="008E0B00">
        <w:t>, vol.111, pp. 437-50.</w:t>
      </w:r>
      <w:bookmarkEnd w:id="925"/>
    </w:p>
    <w:p w14:paraId="07AE589D" w14:textId="77777777" w:rsidR="008E0B00" w:rsidRPr="008E0B00" w:rsidRDefault="008E0B00" w:rsidP="008E0B00">
      <w:pPr>
        <w:pStyle w:val="EndNoteBibliography"/>
        <w:spacing w:after="0"/>
        <w:ind w:left="720" w:hanging="720"/>
      </w:pPr>
      <w:bookmarkStart w:id="926" w:name="_ENREF_31"/>
      <w:r w:rsidRPr="008E0B00">
        <w:lastRenderedPageBreak/>
        <w:t xml:space="preserve">Dall'Era, MA, Albertsen, PC, Bangma, C, Carroll, PR, Carter, HB, Cooperberg, MR, Freedland, SJ, Klotz, LH, Parker, C &amp; Soloway, MS 2012, 'Active surveillance for prostate cancer: a systematic review of the literature', </w:t>
      </w:r>
      <w:r w:rsidRPr="008E0B00">
        <w:rPr>
          <w:i/>
        </w:rPr>
        <w:t>Eur Urol</w:t>
      </w:r>
      <w:r w:rsidRPr="008E0B00">
        <w:t>, vol.62, pp. 976-83.</w:t>
      </w:r>
      <w:bookmarkEnd w:id="926"/>
    </w:p>
    <w:p w14:paraId="3E9E1ED0" w14:textId="77777777" w:rsidR="008E0B00" w:rsidRPr="008E0B00" w:rsidRDefault="008E0B00" w:rsidP="008E0B00">
      <w:pPr>
        <w:pStyle w:val="EndNoteBibliography"/>
        <w:spacing w:after="0"/>
        <w:ind w:left="720" w:hanging="720"/>
      </w:pPr>
      <w:bookmarkStart w:id="927" w:name="_ENREF_32"/>
      <w:r w:rsidRPr="008E0B00">
        <w:t xml:space="preserve">Davenport, MS, Bashir, MR, Pietyga JA, Weber JT, S, K &amp; Hussain HK 2014, 'Dose-toxicity relationship of gadoxetate disodium and transient sever respiratory motion artifact', </w:t>
      </w:r>
      <w:r w:rsidRPr="008E0B00">
        <w:rPr>
          <w:i/>
        </w:rPr>
        <w:t>Am J Roentgenol</w:t>
      </w:r>
      <w:r w:rsidRPr="008E0B00">
        <w:t>, vol.203, pp. 796-802.</w:t>
      </w:r>
      <w:bookmarkEnd w:id="927"/>
    </w:p>
    <w:p w14:paraId="5BA3C967" w14:textId="77777777" w:rsidR="008E0B00" w:rsidRPr="008E0B00" w:rsidRDefault="008E0B00" w:rsidP="008E0B00">
      <w:pPr>
        <w:pStyle w:val="EndNoteBibliography"/>
        <w:spacing w:after="0"/>
        <w:ind w:left="720" w:hanging="720"/>
      </w:pPr>
      <w:bookmarkStart w:id="928" w:name="_ENREF_33"/>
      <w:r w:rsidRPr="008E0B00">
        <w:t xml:space="preserve">Davenport, MS, Viglianti, BL, Al-Hawary, MM, Caoili, EM, Kaza, RK, Liu, PS, Maturen, KE, Chenevert, TL &amp; Hussain, HK 2013, 'Comparison of acute transient dyspnea after intravenous administration of gadoxetate disodium and gadobenate dimeglumine: effect on arterial phase image quality', </w:t>
      </w:r>
      <w:r w:rsidRPr="008E0B00">
        <w:rPr>
          <w:i/>
        </w:rPr>
        <w:t>Radiology</w:t>
      </w:r>
      <w:r w:rsidRPr="008E0B00">
        <w:t>, vol.266, pp. 452-61.</w:t>
      </w:r>
      <w:bookmarkEnd w:id="928"/>
    </w:p>
    <w:p w14:paraId="2DC34B3D" w14:textId="77777777" w:rsidR="008E0B00" w:rsidRPr="008E0B00" w:rsidRDefault="008E0B00" w:rsidP="008E0B00">
      <w:pPr>
        <w:pStyle w:val="EndNoteBibliography"/>
        <w:spacing w:after="0"/>
        <w:ind w:left="720" w:hanging="720"/>
      </w:pPr>
      <w:bookmarkStart w:id="929" w:name="_ENREF_34"/>
      <w:r w:rsidRPr="008E0B00">
        <w:t xml:space="preserve">de Cobelli, O, Terracciano, D, Tagliabue, E, Raimondi, S, Bottero, D, Cioffi, A, Jereczek-Fossa, B, Petralia, G, Cordima, G, Almeida, GL, Lucarelli, G, Buonerba, C, Matei, DV, Renne, G, Di Lorenzo, G &amp; Ferro, M 2015, 'Predicting Pathological Features at Radical Prostatectomy in Patients with Prostate Cancer Eligible for Active Surveillance by Multiparametric Magnetic Resonance Imaging', </w:t>
      </w:r>
      <w:r w:rsidRPr="008E0B00">
        <w:rPr>
          <w:i/>
        </w:rPr>
        <w:t>PLoS One</w:t>
      </w:r>
      <w:r w:rsidRPr="008E0B00">
        <w:t>, vol.10, pp. e0139696.</w:t>
      </w:r>
      <w:bookmarkEnd w:id="929"/>
    </w:p>
    <w:p w14:paraId="41E3EA1B" w14:textId="77777777" w:rsidR="008E0B00" w:rsidRPr="008E0B00" w:rsidRDefault="008E0B00" w:rsidP="008E0B00">
      <w:pPr>
        <w:pStyle w:val="EndNoteBibliography"/>
        <w:spacing w:after="0"/>
        <w:ind w:left="720" w:hanging="720"/>
      </w:pPr>
      <w:bookmarkStart w:id="930" w:name="_ENREF_35"/>
      <w:r w:rsidRPr="008E0B00">
        <w:t xml:space="preserve">de Rooij, M, Crienen, S, Witjes, JA, Barentsz, JO, Rovers, MM &amp; Grutters, JP 2014, 'Cost-effectiveness of magnetic resonance (MR) imaging and MR-guided targeted biopsy versus systematic transrectal ultrasound-guided biopsy in diagnosing prostate cancer: a modelling study from a health care perspective', </w:t>
      </w:r>
      <w:r w:rsidRPr="008E0B00">
        <w:rPr>
          <w:i/>
        </w:rPr>
        <w:t>Eur Urol</w:t>
      </w:r>
      <w:r w:rsidRPr="008E0B00">
        <w:t>, vol.66, pp. 430-6.</w:t>
      </w:r>
      <w:bookmarkEnd w:id="930"/>
    </w:p>
    <w:p w14:paraId="0A09A550" w14:textId="77777777" w:rsidR="008E0B00" w:rsidRPr="008E0B00" w:rsidRDefault="008E0B00" w:rsidP="008E0B00">
      <w:pPr>
        <w:pStyle w:val="EndNoteBibliography"/>
        <w:spacing w:after="0"/>
        <w:ind w:left="720" w:hanging="720"/>
      </w:pPr>
      <w:bookmarkStart w:id="931" w:name="_ENREF_36"/>
      <w:r w:rsidRPr="008E0B00">
        <w:t xml:space="preserve">De Visschere, PJ, Naesens, L, Libbrecht, L, Van Praet, C, Lumen, N, Fonteyne, V, Pattyn, E &amp; Villeirs, G 2016, 'What kind of prostate cancers do we miss on multiparametric magnetic resonance imaging?', </w:t>
      </w:r>
      <w:r w:rsidRPr="008E0B00">
        <w:rPr>
          <w:i/>
        </w:rPr>
        <w:t>Eur Radiol</w:t>
      </w:r>
      <w:r w:rsidRPr="008E0B00">
        <w:t>, vol.26, pp. 1098-107.</w:t>
      </w:r>
      <w:bookmarkEnd w:id="931"/>
    </w:p>
    <w:p w14:paraId="46172BBF" w14:textId="77777777" w:rsidR="008E0B00" w:rsidRPr="008E0B00" w:rsidRDefault="008E0B00" w:rsidP="008E0B00">
      <w:pPr>
        <w:pStyle w:val="EndNoteBibliography"/>
        <w:spacing w:after="0"/>
        <w:ind w:left="720" w:hanging="720"/>
      </w:pPr>
      <w:bookmarkStart w:id="932" w:name="_ENREF_37"/>
      <w:r w:rsidRPr="008E0B00">
        <w:t xml:space="preserve">Dikaios, N, Alkalbani, J, Sidhu, HS, Fujiwara, T, Abd-Alazeez, M, Kirkham, A, Allen, C, Ahmed, H, Emberton, M, Freeman, A, Halligan, S, Taylor, S, Atkinson, D &amp; Punwani, S 2014, 'Logistic regression model for diagnosis of transition zone prostate cancer on multi-parametric MRI', </w:t>
      </w:r>
      <w:r w:rsidRPr="008E0B00">
        <w:rPr>
          <w:i/>
        </w:rPr>
        <w:t>Eur Radiol</w:t>
      </w:r>
      <w:r w:rsidRPr="008E0B00">
        <w:t>, vol.25, pp. 523-32.</w:t>
      </w:r>
      <w:bookmarkEnd w:id="932"/>
    </w:p>
    <w:p w14:paraId="5B0BE3B9" w14:textId="7CF74E26" w:rsidR="008E0B00" w:rsidRPr="008E0B00" w:rsidRDefault="008E0B00" w:rsidP="008E0B00">
      <w:pPr>
        <w:pStyle w:val="EndNoteBibliography"/>
        <w:spacing w:after="0"/>
        <w:ind w:left="720" w:hanging="720"/>
      </w:pPr>
      <w:bookmarkStart w:id="933" w:name="_ENREF_38"/>
      <w:r w:rsidRPr="008E0B00">
        <w:t xml:space="preserve">Doebler, P &amp; Holling, H 2012, </w:t>
      </w:r>
      <w:r w:rsidRPr="008E0B00">
        <w:rPr>
          <w:i/>
        </w:rPr>
        <w:t>Meta-Analysis of Diagnostic Accuracy with mada</w:t>
      </w:r>
      <w:r w:rsidRPr="008E0B00">
        <w:t>, CRAN, viewed 1 September 2016, &lt;</w:t>
      </w:r>
      <w:r w:rsidRPr="00B45511">
        <w:t>https://cran.r-project.org/web/packages/mada/vignettes/mada.pdf&gt;</w:t>
      </w:r>
      <w:r w:rsidRPr="008E0B00">
        <w:t>.</w:t>
      </w:r>
      <w:bookmarkEnd w:id="933"/>
    </w:p>
    <w:p w14:paraId="7185A41A" w14:textId="77777777" w:rsidR="008E0B00" w:rsidRPr="008E0B00" w:rsidRDefault="008E0B00" w:rsidP="008E0B00">
      <w:pPr>
        <w:pStyle w:val="EndNoteBibliography"/>
        <w:spacing w:after="0"/>
        <w:ind w:left="720" w:hanging="720"/>
      </w:pPr>
      <w:bookmarkStart w:id="934" w:name="_ENREF_39"/>
      <w:r w:rsidRPr="008E0B00">
        <w:t xml:space="preserve">DoH 2016a, 'Protocol to guide the assessment of mpMRI prostate diagnostic scans for diagnosis of prostate cancer', vol., pp. </w:t>
      </w:r>
      <w:bookmarkEnd w:id="934"/>
    </w:p>
    <w:p w14:paraId="02AEE2F7" w14:textId="1A5E6DDB" w:rsidR="008E0B00" w:rsidRPr="008E0B00" w:rsidRDefault="008E0B00" w:rsidP="008E0B00">
      <w:pPr>
        <w:pStyle w:val="EndNoteBibliography"/>
        <w:spacing w:after="0"/>
        <w:ind w:left="720" w:hanging="720"/>
      </w:pPr>
      <w:bookmarkStart w:id="935" w:name="_ENREF_40"/>
      <w:r w:rsidRPr="008E0B00">
        <w:t xml:space="preserve">DoH 2016b, </w:t>
      </w:r>
      <w:r w:rsidRPr="008E0B00">
        <w:rPr>
          <w:i/>
        </w:rPr>
        <w:t>Requested Medicare items processed from July 2014 to June 2015, Item 66655</w:t>
      </w:r>
      <w:r w:rsidRPr="008E0B00">
        <w:t>, viewed 15/07/2016 &lt;</w:t>
      </w:r>
      <w:r w:rsidRPr="00B45511">
        <w:t>http://medicarestatistics.humanservices.gov.au/statistics/do.jsp?_PROGRAM=%2Fstatistics%2Fmbs_item_standard_report&amp;DRILL=ag&amp;group=66655&amp;VAR=services&amp;STAT=count&amp;RPT_FMT=by+state&amp;PTYPE=finyear&amp;START_DT=201407&amp;END_DT=201506&gt;</w:t>
      </w:r>
      <w:r w:rsidRPr="008E0B00">
        <w:t>.</w:t>
      </w:r>
      <w:bookmarkEnd w:id="935"/>
    </w:p>
    <w:p w14:paraId="5C976242" w14:textId="77777777" w:rsidR="008E0B00" w:rsidRPr="008E0B00" w:rsidRDefault="008E0B00" w:rsidP="008E0B00">
      <w:pPr>
        <w:pStyle w:val="EndNoteBibliography"/>
        <w:spacing w:after="0"/>
        <w:ind w:left="720" w:hanging="720"/>
      </w:pPr>
      <w:bookmarkStart w:id="936" w:name="_ENREF_41"/>
      <w:r w:rsidRPr="008E0B00">
        <w:t xml:space="preserve">Dong, Y, Li, T, Churilla, TM, Viterbo, R, Sobczak, ML, Smaldone, MC, Chen, DY, Uzzo, RG, Hallman, MH &amp; Horwitz, EM 2016, 'Effects of Time to Treatment on Biochemical and Clinical Outcomes for Patients With Prostate Cancer Treated With Definitive Radiation', </w:t>
      </w:r>
      <w:r w:rsidRPr="008E0B00">
        <w:rPr>
          <w:i/>
        </w:rPr>
        <w:t>Clin Genitourin Cancer</w:t>
      </w:r>
      <w:r w:rsidRPr="008E0B00">
        <w:t>, vol.00, pp. 000-00.</w:t>
      </w:r>
      <w:bookmarkEnd w:id="936"/>
    </w:p>
    <w:p w14:paraId="75C83C44" w14:textId="77777777" w:rsidR="008E0B00" w:rsidRPr="008E0B00" w:rsidRDefault="008E0B00" w:rsidP="008E0B00">
      <w:pPr>
        <w:pStyle w:val="EndNoteBibliography"/>
        <w:spacing w:after="0"/>
        <w:ind w:left="720" w:hanging="720"/>
      </w:pPr>
      <w:bookmarkStart w:id="937" w:name="_ENREF_42"/>
      <w:r w:rsidRPr="008E0B00">
        <w:t xml:space="preserve">Downs, SH &amp; Black, N 1998, 'The feasibility of creating a checklist for the assessment of the methodological quality both of randomised and non-randomised studies of health care interventions', </w:t>
      </w:r>
      <w:r w:rsidRPr="008E0B00">
        <w:rPr>
          <w:i/>
        </w:rPr>
        <w:t>J Epidemiol Community Health</w:t>
      </w:r>
      <w:r w:rsidRPr="008E0B00">
        <w:t>, vol.52, pp. 377-84.</w:t>
      </w:r>
      <w:bookmarkEnd w:id="937"/>
    </w:p>
    <w:p w14:paraId="0345529D" w14:textId="77777777" w:rsidR="008E0B00" w:rsidRPr="008E0B00" w:rsidRDefault="008E0B00" w:rsidP="008E0B00">
      <w:pPr>
        <w:pStyle w:val="EndNoteBibliography"/>
        <w:spacing w:after="0"/>
        <w:ind w:left="720" w:hanging="720"/>
      </w:pPr>
      <w:bookmarkStart w:id="938" w:name="_ENREF_43"/>
      <w:r w:rsidRPr="008E0B00">
        <w:t xml:space="preserve">Eberhardt, SC, Carter, S, Casalino, DD, Merrick, G, Frank, SJ, Gottschalk, AR, Leyendecker, JR, Nguyen, PL, Oto, A, Porter, C, Remer, EM &amp; Rosenthal, SA 2013, 'ACR Appropriateness Criteria prostate cancer--pretreatment detection, staging, and surveillance', </w:t>
      </w:r>
      <w:r w:rsidRPr="008E0B00">
        <w:rPr>
          <w:i/>
        </w:rPr>
        <w:t>J Am Coll Radiol</w:t>
      </w:r>
      <w:r w:rsidRPr="008E0B00">
        <w:t>, vol.10, pp. 83-92.</w:t>
      </w:r>
      <w:bookmarkEnd w:id="938"/>
    </w:p>
    <w:p w14:paraId="7F859B49" w14:textId="77777777" w:rsidR="008E0B00" w:rsidRPr="008E0B00" w:rsidRDefault="008E0B00" w:rsidP="008E0B00">
      <w:pPr>
        <w:pStyle w:val="EndNoteBibliography"/>
        <w:spacing w:after="0"/>
        <w:ind w:left="720" w:hanging="720"/>
      </w:pPr>
      <w:bookmarkStart w:id="939" w:name="_ENREF_44"/>
      <w:r w:rsidRPr="008E0B00">
        <w:t xml:space="preserve">Endrikat, JS, Dohanish, S, Balzer, T &amp; Breuer, JA 2015, 'Safety of gadoxetate disodium: Results from the clinical phase II-III development program and postmarketing surveillance', </w:t>
      </w:r>
      <w:r w:rsidRPr="008E0B00">
        <w:rPr>
          <w:i/>
        </w:rPr>
        <w:t>J Magn Reson Imaging</w:t>
      </w:r>
      <w:r w:rsidRPr="008E0B00">
        <w:t>, vol.00, pp. 000-00.</w:t>
      </w:r>
      <w:bookmarkEnd w:id="939"/>
    </w:p>
    <w:p w14:paraId="424BFC01" w14:textId="77777777" w:rsidR="008E0B00" w:rsidRPr="008E0B00" w:rsidRDefault="008E0B00" w:rsidP="008E0B00">
      <w:pPr>
        <w:pStyle w:val="EndNoteBibliography"/>
        <w:spacing w:after="0"/>
        <w:ind w:left="720" w:hanging="720"/>
      </w:pPr>
      <w:bookmarkStart w:id="940" w:name="_ENREF_45"/>
      <w:r w:rsidRPr="008E0B00">
        <w:lastRenderedPageBreak/>
        <w:t xml:space="preserve">Eroglu, M, Doluoglu, OG, Sarici, H, Telli, O, Ozgur, BC &amp; Bozkurt, S 2014, 'Does the time from biopsy to radical prostatectomy affect Gleason score upgrading in patients with clinical t1c prostate cancer?', </w:t>
      </w:r>
      <w:r w:rsidRPr="008E0B00">
        <w:rPr>
          <w:i/>
        </w:rPr>
        <w:t>Korean J Urol</w:t>
      </w:r>
      <w:r w:rsidRPr="008E0B00">
        <w:t>, vol.55, pp. 395-9.</w:t>
      </w:r>
      <w:bookmarkEnd w:id="940"/>
    </w:p>
    <w:p w14:paraId="60CA1AAA" w14:textId="77777777" w:rsidR="008E0B00" w:rsidRPr="008E0B00" w:rsidRDefault="008E0B00" w:rsidP="008E0B00">
      <w:pPr>
        <w:pStyle w:val="EndNoteBibliography"/>
        <w:spacing w:after="0"/>
        <w:ind w:left="720" w:hanging="720"/>
      </w:pPr>
      <w:bookmarkStart w:id="941" w:name="_ENREF_46"/>
      <w:r w:rsidRPr="008E0B00">
        <w:t xml:space="preserve">Evans, SM, Millar, JL, Davis, ID, Murphy, DG, Bolton, DM, Giles, GG, Frydenberg, M, Andrianopoulos, N, Wood, JM &amp; Frauman, AG 2013, 'Patterns of care for men diagnosed with prostate cancer in Victoria from 2008 to 2011', </w:t>
      </w:r>
      <w:r w:rsidRPr="008E0B00">
        <w:rPr>
          <w:i/>
        </w:rPr>
        <w:t>Med J Aust</w:t>
      </w:r>
      <w:r w:rsidRPr="008E0B00">
        <w:t>, vol.198, pp. 540-45.</w:t>
      </w:r>
      <w:bookmarkEnd w:id="941"/>
    </w:p>
    <w:p w14:paraId="3D4D82D1" w14:textId="01588E55" w:rsidR="008E0B00" w:rsidRPr="008E0B00" w:rsidRDefault="008E0B00" w:rsidP="008E0B00">
      <w:pPr>
        <w:pStyle w:val="EndNoteBibliography"/>
        <w:spacing w:after="0"/>
        <w:ind w:left="720" w:hanging="720"/>
      </w:pPr>
      <w:bookmarkStart w:id="942" w:name="_ENREF_47"/>
      <w:r w:rsidRPr="008E0B00">
        <w:t xml:space="preserve">Farrugia, S, Avery, S &amp; Duggan, K Unk, </w:t>
      </w:r>
      <w:r w:rsidRPr="008E0B00">
        <w:rPr>
          <w:i/>
        </w:rPr>
        <w:t>Incidence, stage and treatment for Prostate Cancer Patients within Sydney South West Area Health Service public facilities</w:t>
      </w:r>
      <w:r w:rsidRPr="008E0B00">
        <w:t>, viewed 12 July 2016, &lt;</w:t>
      </w:r>
      <w:r w:rsidRPr="00B45511">
        <w:t>http://www.swslhd.nsw.gov.au/cancer/pdf/ist_prostatepatients.pdf&gt;</w:t>
      </w:r>
      <w:r w:rsidRPr="008E0B00">
        <w:t>.</w:t>
      </w:r>
      <w:bookmarkEnd w:id="942"/>
    </w:p>
    <w:p w14:paraId="4A7035B5" w14:textId="77777777" w:rsidR="008E0B00" w:rsidRPr="008E0B00" w:rsidRDefault="008E0B00" w:rsidP="008E0B00">
      <w:pPr>
        <w:pStyle w:val="EndNoteBibliography"/>
        <w:spacing w:after="0"/>
        <w:ind w:left="720" w:hanging="720"/>
      </w:pPr>
      <w:bookmarkStart w:id="943" w:name="_ENREF_48"/>
      <w:r w:rsidRPr="008E0B00">
        <w:t xml:space="preserve">Felker, ER, Wu, J, Natarajan, S, Margolis, DJ, Raman, SS, Huang, J, Dorey, F &amp; Marks, LS 2016, 'Serial Magnetic Resonance Imaging in Active Surveillance of Prostate Cancer: Incremental Value', </w:t>
      </w:r>
      <w:r w:rsidRPr="008E0B00">
        <w:rPr>
          <w:i/>
        </w:rPr>
        <w:t>J Urol</w:t>
      </w:r>
      <w:r w:rsidRPr="008E0B00">
        <w:t>, vol.195, pp. 1421-7.</w:t>
      </w:r>
      <w:bookmarkEnd w:id="943"/>
    </w:p>
    <w:p w14:paraId="7D8E26D9" w14:textId="77777777" w:rsidR="008E0B00" w:rsidRPr="008E0B00" w:rsidRDefault="008E0B00" w:rsidP="008E0B00">
      <w:pPr>
        <w:pStyle w:val="EndNoteBibliography"/>
        <w:spacing w:after="0"/>
        <w:ind w:left="720" w:hanging="720"/>
      </w:pPr>
      <w:bookmarkStart w:id="944" w:name="_ENREF_49"/>
      <w:r w:rsidRPr="008E0B00">
        <w:t xml:space="preserve">Ferda, J, Kastner, J, Hora, M, Hes, O, Finek, J, Topolcan, O &amp; Kreuzberg, B 2013, 'A role of multifactorial evaluation of prostatic 3T MRI in patients with elevated prostatic-specific antigen levels: prospective comparison with ultrasound-guided transrectal biopsy', </w:t>
      </w:r>
      <w:r w:rsidRPr="008E0B00">
        <w:rPr>
          <w:i/>
        </w:rPr>
        <w:t>Anticancer Res</w:t>
      </w:r>
      <w:r w:rsidRPr="008E0B00">
        <w:t>, vol.33, pp. 2791-5.</w:t>
      </w:r>
      <w:bookmarkEnd w:id="944"/>
    </w:p>
    <w:p w14:paraId="3D8C4B02" w14:textId="77777777" w:rsidR="008E0B00" w:rsidRPr="008E0B00" w:rsidRDefault="008E0B00" w:rsidP="008E0B00">
      <w:pPr>
        <w:pStyle w:val="EndNoteBibliography"/>
        <w:spacing w:after="0"/>
        <w:ind w:left="720" w:hanging="720"/>
      </w:pPr>
      <w:bookmarkStart w:id="945" w:name="_ENREF_50"/>
      <w:r w:rsidRPr="008E0B00">
        <w:t xml:space="preserve">Flavell, RR, Westphalen, AC, Liang, C, Sotto, CC, Noworolski, SM, Vigneron, DB, Wang, ZJ &amp; Kurhanewicz, J 2014, 'Abnormal findings on multiparametric prostate magnetic resonance imaging predict subsequent biopsy upgrade in patients with low risk prostate cancer managed with active surveillance', </w:t>
      </w:r>
      <w:r w:rsidRPr="008E0B00">
        <w:rPr>
          <w:i/>
        </w:rPr>
        <w:t>Abdom Imaging</w:t>
      </w:r>
      <w:r w:rsidRPr="008E0B00">
        <w:t>, vol.39, pp. 1027-35.</w:t>
      </w:r>
      <w:bookmarkEnd w:id="945"/>
    </w:p>
    <w:p w14:paraId="3D63E53D" w14:textId="77777777" w:rsidR="008E0B00" w:rsidRPr="008E0B00" w:rsidRDefault="008E0B00" w:rsidP="008E0B00">
      <w:pPr>
        <w:pStyle w:val="EndNoteBibliography"/>
        <w:spacing w:after="0"/>
        <w:ind w:left="720" w:hanging="720"/>
      </w:pPr>
      <w:bookmarkStart w:id="946" w:name="_ENREF_51"/>
      <w:r w:rsidRPr="008E0B00">
        <w:t xml:space="preserve">Gann, PH, Fought, A, Deaton, R, Catalona, WJ &amp; Vonesh, E 2010, 'Risk factors for prostate cancer detection after a negative biopsy: a novel multivariable longitudinal approach', </w:t>
      </w:r>
      <w:r w:rsidRPr="008E0B00">
        <w:rPr>
          <w:i/>
        </w:rPr>
        <w:t>J Clin Oncol</w:t>
      </w:r>
      <w:r w:rsidRPr="008E0B00">
        <w:t>, vol.28, pp. 1714-20.</w:t>
      </w:r>
      <w:bookmarkEnd w:id="946"/>
    </w:p>
    <w:p w14:paraId="4EAE86F3" w14:textId="77777777" w:rsidR="008E0B00" w:rsidRPr="008E0B00" w:rsidRDefault="008E0B00" w:rsidP="008E0B00">
      <w:pPr>
        <w:pStyle w:val="EndNoteBibliography"/>
        <w:spacing w:after="0"/>
        <w:ind w:left="720" w:hanging="720"/>
      </w:pPr>
      <w:bookmarkStart w:id="947" w:name="_ENREF_52"/>
      <w:r w:rsidRPr="008E0B00">
        <w:t xml:space="preserve">Garcia-Reyes, K, Passoni, NM, Palmeri, ML, Kauffman, CR, Choudhury, KR, Polascik, TJ &amp; Gupta, RT 2015, 'Detection of prostate cancer with multiparametric MRI (mpMRI): effect of dedicated reader education on accuracy and confidence of index and anterior cancer diagnosis', </w:t>
      </w:r>
      <w:r w:rsidRPr="008E0B00">
        <w:rPr>
          <w:i/>
        </w:rPr>
        <w:t>Abdom Imaging</w:t>
      </w:r>
      <w:r w:rsidRPr="008E0B00">
        <w:t>, vol.40, pp. 134-42.</w:t>
      </w:r>
      <w:bookmarkEnd w:id="947"/>
    </w:p>
    <w:p w14:paraId="2563291A" w14:textId="77777777" w:rsidR="008E0B00" w:rsidRPr="008E0B00" w:rsidRDefault="008E0B00" w:rsidP="008E0B00">
      <w:pPr>
        <w:pStyle w:val="EndNoteBibliography"/>
        <w:spacing w:after="0"/>
        <w:ind w:left="720" w:hanging="720"/>
      </w:pPr>
      <w:bookmarkStart w:id="948" w:name="_ENREF_53"/>
      <w:r w:rsidRPr="008E0B00">
        <w:t xml:space="preserve">Girometti, R, Bazzocchi, M, Como, G, Brondani, G, Del Pin, M, Frea, B, Martinez, G &amp; Zuiani, C 2012, 'Negative predictive value for cancer in patients with "gray-zone" PSA level and prior negative biopsy: preliminary results with multiparametric 3.0 Tesla MR', </w:t>
      </w:r>
      <w:r w:rsidRPr="008E0B00">
        <w:rPr>
          <w:i/>
        </w:rPr>
        <w:t>J Magn Reson Imaging</w:t>
      </w:r>
      <w:r w:rsidRPr="008E0B00">
        <w:t>, vol.36, pp. 943-50.</w:t>
      </w:r>
      <w:bookmarkEnd w:id="948"/>
    </w:p>
    <w:p w14:paraId="5AE01DC7" w14:textId="0EF5333D" w:rsidR="008E0B00" w:rsidRPr="008E0B00" w:rsidRDefault="008E0B00" w:rsidP="008E0B00">
      <w:pPr>
        <w:pStyle w:val="EndNoteBibliography"/>
        <w:spacing w:after="0"/>
        <w:ind w:left="720" w:hanging="720"/>
      </w:pPr>
      <w:bookmarkStart w:id="949" w:name="_ENREF_54"/>
      <w:r w:rsidRPr="008E0B00">
        <w:t xml:space="preserve">Gordon, L, Tuffaha, H, James, R &amp; Scuffham, P 2016, </w:t>
      </w:r>
      <w:r w:rsidRPr="008E0B00">
        <w:rPr>
          <w:i/>
        </w:rPr>
        <w:t>Economic modelling of healthcare services for prostate cancer</w:t>
      </w:r>
      <w:r w:rsidRPr="008E0B00">
        <w:t>, viewed 1 September 2016, &lt;</w:t>
      </w:r>
      <w:r w:rsidRPr="00B45511">
        <w:t>http://www.prostate.org.au/media/725545/pcfa-monograph-economic-modelling.pdf&gt;</w:t>
      </w:r>
      <w:r w:rsidRPr="008E0B00">
        <w:t>.</w:t>
      </w:r>
      <w:bookmarkEnd w:id="949"/>
    </w:p>
    <w:p w14:paraId="360B3A7E" w14:textId="77777777" w:rsidR="008E0B00" w:rsidRPr="008E0B00" w:rsidRDefault="008E0B00" w:rsidP="008E0B00">
      <w:pPr>
        <w:pStyle w:val="EndNoteBibliography"/>
        <w:spacing w:after="0"/>
        <w:ind w:left="720" w:hanging="720"/>
      </w:pPr>
      <w:bookmarkStart w:id="950" w:name="_ENREF_55"/>
      <w:r w:rsidRPr="008E0B00">
        <w:t xml:space="preserve">Graefen, M, Walz, J, Chun, KH, Schlomm, T, Haese, A &amp; Huland, H 2005, 'Reasonable delay of surgical treatment in men with localized prostate cancer--impact on prognosis?', </w:t>
      </w:r>
      <w:r w:rsidRPr="008E0B00">
        <w:rPr>
          <w:i/>
        </w:rPr>
        <w:t>Eur Urol</w:t>
      </w:r>
      <w:r w:rsidRPr="008E0B00">
        <w:t>, vol.47, pp. 756-60.</w:t>
      </w:r>
      <w:bookmarkEnd w:id="950"/>
    </w:p>
    <w:p w14:paraId="29635978" w14:textId="77777777" w:rsidR="008E0B00" w:rsidRPr="008E0B00" w:rsidRDefault="008E0B00" w:rsidP="008E0B00">
      <w:pPr>
        <w:pStyle w:val="EndNoteBibliography"/>
        <w:spacing w:after="0"/>
        <w:ind w:left="720" w:hanging="720"/>
      </w:pPr>
      <w:bookmarkStart w:id="951" w:name="_ENREF_56"/>
      <w:r w:rsidRPr="008E0B00">
        <w:t xml:space="preserve">Gschwend, S, Ebert, W, Schultze-Mosgau, M &amp; Breuer, J 2011, 'Pharmacokinetics and imaging properties of Gd-EOB-DTPA in patients with hepatic and renal impairment', </w:t>
      </w:r>
      <w:r w:rsidRPr="008E0B00">
        <w:rPr>
          <w:i/>
        </w:rPr>
        <w:t>Invest Radiol</w:t>
      </w:r>
      <w:r w:rsidRPr="008E0B00">
        <w:t>, vol.46, pp. 556-66.</w:t>
      </w:r>
      <w:bookmarkEnd w:id="951"/>
    </w:p>
    <w:p w14:paraId="397AECF7" w14:textId="77777777" w:rsidR="008E0B00" w:rsidRPr="008E0B00" w:rsidRDefault="008E0B00" w:rsidP="008E0B00">
      <w:pPr>
        <w:pStyle w:val="EndNoteBibliography"/>
        <w:spacing w:after="0"/>
        <w:ind w:left="720" w:hanging="720"/>
      </w:pPr>
      <w:bookmarkStart w:id="952" w:name="_ENREF_57"/>
      <w:r w:rsidRPr="008E0B00">
        <w:t xml:space="preserve">Guyatt, G, Oxman, A &amp; Sultan, S, Brozek, J, Glasziou, P, Alonso-Coello, P, Atkins, D, Kunz, R, Montori, V, Jaeschke, R, Rind, D, Dahm, P, Akl, EA, Meerpohl, J, Vist, G, Berliner, E, Norris, S, Falck-Ytter, Y &amp; Schunemann, HJ 2013, 'GRADE guidelines: 11. Making an overall rating of confidence in effect estimates for a single outcome and for all outcomes', </w:t>
      </w:r>
      <w:r w:rsidRPr="008E0B00">
        <w:rPr>
          <w:i/>
        </w:rPr>
        <w:t>J Clin Epidemiol</w:t>
      </w:r>
      <w:r w:rsidRPr="008E0B00">
        <w:t>, vol.66, pp. 151-57.</w:t>
      </w:r>
      <w:bookmarkEnd w:id="952"/>
    </w:p>
    <w:p w14:paraId="5606B04B" w14:textId="77777777" w:rsidR="008E0B00" w:rsidRPr="008E0B00" w:rsidRDefault="008E0B00" w:rsidP="008E0B00">
      <w:pPr>
        <w:pStyle w:val="EndNoteBibliography"/>
        <w:spacing w:after="0"/>
        <w:ind w:left="720" w:hanging="720"/>
      </w:pPr>
      <w:bookmarkStart w:id="953" w:name="_ENREF_58"/>
      <w:r w:rsidRPr="008E0B00">
        <w:t xml:space="preserve">Haffner, J, Lemaitre, L, Puech, P, Haber, GP, Leroy, X, Jones, JS &amp; Villers, A 2011, 'Role of magnetic resonance imaging before initial biopsy: comparison of magnetic resonance imaging-targeted and systematic biopsy for significant prostate cancer detection', </w:t>
      </w:r>
      <w:r w:rsidRPr="008E0B00">
        <w:rPr>
          <w:i/>
        </w:rPr>
        <w:t>BJU Int</w:t>
      </w:r>
      <w:r w:rsidRPr="008E0B00">
        <w:t>, vol.108, pp. E171-E78.</w:t>
      </w:r>
      <w:bookmarkEnd w:id="953"/>
    </w:p>
    <w:p w14:paraId="31285302" w14:textId="77777777" w:rsidR="008E0B00" w:rsidRPr="008E0B00" w:rsidRDefault="008E0B00" w:rsidP="008E0B00">
      <w:pPr>
        <w:pStyle w:val="EndNoteBibliography"/>
        <w:spacing w:after="0"/>
        <w:ind w:left="720" w:hanging="720"/>
      </w:pPr>
      <w:bookmarkStart w:id="954" w:name="_ENREF_59"/>
      <w:r w:rsidRPr="008E0B00">
        <w:lastRenderedPageBreak/>
        <w:t xml:space="preserve">Hamm, B, Staks, T, Muhler, A, Bollow, M, Taupitz, M, Frenzel, T, Wolf, KJ, Weinmann, HJ &amp; Lange, L 1995, 'Phase I clinical evaluation of Gd-EOB-DTPA as a hepatobiliary MR contrast agent: safety, pharmacokinetics, and MR imaging', </w:t>
      </w:r>
      <w:r w:rsidRPr="008E0B00">
        <w:rPr>
          <w:i/>
        </w:rPr>
        <w:t>Radiology</w:t>
      </w:r>
      <w:r w:rsidRPr="008E0B00">
        <w:t>, vol.195, pp. 785-92.</w:t>
      </w:r>
      <w:bookmarkEnd w:id="954"/>
    </w:p>
    <w:p w14:paraId="616E3AF6" w14:textId="77777777" w:rsidR="008E0B00" w:rsidRPr="008E0B00" w:rsidRDefault="008E0B00" w:rsidP="008E0B00">
      <w:pPr>
        <w:pStyle w:val="EndNoteBibliography"/>
        <w:spacing w:after="0"/>
        <w:ind w:left="720" w:hanging="720"/>
      </w:pPr>
      <w:bookmarkStart w:id="955" w:name="_ENREF_60"/>
      <w:r w:rsidRPr="008E0B00">
        <w:t xml:space="preserve">Hauth, E, Hohmuth, H, Cozub-Poetica, C, Bernand, S, Beer, M &amp; Jaeger, H 2015, 'Multiparametric MRI of the prostate with three functional techniques in patients with PSA elevation before initial TRUS-guided biopsy', </w:t>
      </w:r>
      <w:r w:rsidRPr="008E0B00">
        <w:rPr>
          <w:i/>
        </w:rPr>
        <w:t>Br J Radiol</w:t>
      </w:r>
      <w:r w:rsidRPr="008E0B00">
        <w:t>, vol.88, pp. 20150422.</w:t>
      </w:r>
      <w:bookmarkEnd w:id="955"/>
    </w:p>
    <w:p w14:paraId="67EA86B2" w14:textId="5306C15B" w:rsidR="008E0B00" w:rsidRPr="008E0B00" w:rsidRDefault="008E0B00" w:rsidP="008E0B00">
      <w:pPr>
        <w:pStyle w:val="EndNoteBibliography"/>
        <w:spacing w:after="0"/>
        <w:ind w:left="720" w:hanging="720"/>
      </w:pPr>
      <w:bookmarkStart w:id="956" w:name="_ENREF_61"/>
      <w:r w:rsidRPr="008E0B00">
        <w:t xml:space="preserve">HealthPACT 2015, </w:t>
      </w:r>
      <w:r w:rsidRPr="008E0B00">
        <w:rPr>
          <w:i/>
        </w:rPr>
        <w:t>MRI screening for prostate cancer</w:t>
      </w:r>
      <w:r w:rsidRPr="008E0B00">
        <w:t>, State of Queensland (Queensland Department of Health), Brisbane, Australia, viewed 1 September 2016, &lt;</w:t>
      </w:r>
      <w:r w:rsidRPr="00B45511">
        <w:t>https://www.health.qld.gov.au/healthpact/docs/briefs/WP203.pdf&gt;</w:t>
      </w:r>
      <w:r w:rsidRPr="008E0B00">
        <w:t>.</w:t>
      </w:r>
      <w:bookmarkEnd w:id="956"/>
    </w:p>
    <w:p w14:paraId="6D247522" w14:textId="77777777" w:rsidR="008E0B00" w:rsidRPr="008E0B00" w:rsidRDefault="008E0B00" w:rsidP="008E0B00">
      <w:pPr>
        <w:pStyle w:val="EndNoteBibliography"/>
        <w:spacing w:after="0"/>
        <w:ind w:left="720" w:hanging="720"/>
      </w:pPr>
      <w:bookmarkStart w:id="957" w:name="_ENREF_62"/>
      <w:r w:rsidRPr="008E0B00">
        <w:t xml:space="preserve">Helfand, BT, Glaser, AP, Rimar, K, Zargaroff, S, Hedges, J, McGuire, BB, Catalona, WJ &amp; McVary, KT 2013, 'Prostate cancer diagnosis is associated with an increased risk of erectile dysfunction after prostate biopsy', </w:t>
      </w:r>
      <w:r w:rsidRPr="008E0B00">
        <w:rPr>
          <w:i/>
        </w:rPr>
        <w:t>BJU Int</w:t>
      </w:r>
      <w:r w:rsidRPr="008E0B00">
        <w:t>, vol.111, pp. 38-43.</w:t>
      </w:r>
      <w:bookmarkEnd w:id="957"/>
    </w:p>
    <w:p w14:paraId="5441802A" w14:textId="77777777" w:rsidR="008E0B00" w:rsidRPr="008E0B00" w:rsidRDefault="008E0B00" w:rsidP="008E0B00">
      <w:pPr>
        <w:pStyle w:val="EndNoteBibliography"/>
        <w:spacing w:after="0"/>
        <w:ind w:left="720" w:hanging="720"/>
      </w:pPr>
      <w:bookmarkStart w:id="958" w:name="_ENREF_63"/>
      <w:r w:rsidRPr="008E0B00">
        <w:t xml:space="preserve">Higgins, JP, Altman, DG, Gotzsche, PC, Juni, P, Moher, D, Oxman, AD, Savovic, J, Schulz, KF, Weeks, L &amp; Sterne, JA 2011, 'The Cochrane Collaboration's tool for assessing risk of bias in randomised trials', </w:t>
      </w:r>
      <w:r w:rsidRPr="008E0B00">
        <w:rPr>
          <w:i/>
        </w:rPr>
        <w:t>BMJ</w:t>
      </w:r>
      <w:r w:rsidRPr="008E0B00">
        <w:t>, vol.343, pp. 000-00.</w:t>
      </w:r>
      <w:bookmarkEnd w:id="958"/>
    </w:p>
    <w:p w14:paraId="22AD4570" w14:textId="77777777" w:rsidR="008E0B00" w:rsidRPr="008E0B00" w:rsidRDefault="008E0B00" w:rsidP="008E0B00">
      <w:pPr>
        <w:pStyle w:val="EndNoteBibliography"/>
        <w:spacing w:after="0"/>
        <w:ind w:left="720" w:hanging="720"/>
      </w:pPr>
      <w:bookmarkStart w:id="959" w:name="_ENREF_64"/>
      <w:r w:rsidRPr="008E0B00">
        <w:t xml:space="preserve">Holmstrom, B, Holmberg, E, Egevad, L, Adolfsson, J, Johansson, JE, Hugosson, J &amp; Stattin, P 2010, 'Outcome of primary versus deferred radical prostatectomy in the National Prostate Cancer Register of Sweden Follow-Up Study', </w:t>
      </w:r>
      <w:r w:rsidRPr="008E0B00">
        <w:rPr>
          <w:i/>
        </w:rPr>
        <w:t>J Urol</w:t>
      </w:r>
      <w:r w:rsidRPr="008E0B00">
        <w:t>, vol.184, pp. 1322-7.</w:t>
      </w:r>
      <w:bookmarkEnd w:id="959"/>
    </w:p>
    <w:p w14:paraId="37C50695" w14:textId="77777777" w:rsidR="008E0B00" w:rsidRPr="008E0B00" w:rsidRDefault="008E0B00" w:rsidP="008E0B00">
      <w:pPr>
        <w:pStyle w:val="EndNoteBibliography"/>
        <w:spacing w:after="0"/>
        <w:ind w:left="720" w:hanging="720"/>
      </w:pPr>
      <w:bookmarkStart w:id="960" w:name="_ENREF_65"/>
      <w:r w:rsidRPr="008E0B00">
        <w:t xml:space="preserve">Huppertz, A, Balzer, T, Blakeborough, A, Breuer, J, Giovagnoni, A, Heinz-Peer, G, Laniado, M, Manfredi, RM, Mathieu, DG, Mueller, D, Reimer, P, Robinson, PJ, Strotzer, M, Taupitz, M &amp; Vogl, TJ 2004, 'Improved detection of focal liver lesions at MR imaging: multicenter comparison of gadoxetic acid-enhanced MR images with intraoperative findings', </w:t>
      </w:r>
      <w:r w:rsidRPr="008E0B00">
        <w:rPr>
          <w:i/>
        </w:rPr>
        <w:t>Radiology</w:t>
      </w:r>
      <w:r w:rsidRPr="008E0B00">
        <w:t>, vol.230, pp. 266-75.</w:t>
      </w:r>
      <w:bookmarkEnd w:id="960"/>
    </w:p>
    <w:p w14:paraId="7E57A774" w14:textId="77777777" w:rsidR="008E0B00" w:rsidRPr="008E0B00" w:rsidRDefault="008E0B00" w:rsidP="008E0B00">
      <w:pPr>
        <w:pStyle w:val="EndNoteBibliography"/>
        <w:spacing w:after="0"/>
        <w:ind w:left="720" w:hanging="720"/>
      </w:pPr>
      <w:bookmarkStart w:id="961" w:name="_ENREF_66"/>
      <w:r w:rsidRPr="008E0B00">
        <w:t xml:space="preserve">Hussein, AA, Welty, CJ, Ameli, N, Cowan, JE, Leapman, M, Porten, SP, Shinohara, K &amp; Carroll, PR 2015, 'Untreated Gleason grade progression on serial biopsies during prostate cancer active surveillance: clinical course and pathological outcomes', </w:t>
      </w:r>
      <w:r w:rsidRPr="008E0B00">
        <w:rPr>
          <w:i/>
        </w:rPr>
        <w:t>J Urol</w:t>
      </w:r>
      <w:r w:rsidRPr="008E0B00">
        <w:t>, vol.194, pp. 85-90.</w:t>
      </w:r>
      <w:bookmarkEnd w:id="961"/>
    </w:p>
    <w:p w14:paraId="04E83A4D" w14:textId="77777777" w:rsidR="008E0B00" w:rsidRPr="008E0B00" w:rsidRDefault="008E0B00" w:rsidP="008E0B00">
      <w:pPr>
        <w:pStyle w:val="EndNoteBibliography"/>
        <w:spacing w:after="0"/>
        <w:ind w:left="720" w:hanging="720"/>
      </w:pPr>
      <w:bookmarkStart w:id="962" w:name="_ENREF_67"/>
      <w:r w:rsidRPr="008E0B00">
        <w:t xml:space="preserve">Hutchinson, RC, Costa, DN &amp; Lotan, Y 2016, 'The economic effect of using magnetic resonance imaging and magnetic resonance ultrasound fusion biopsy for prostate cancer diagnosis', </w:t>
      </w:r>
      <w:r w:rsidRPr="008E0B00">
        <w:rPr>
          <w:i/>
        </w:rPr>
        <w:t>Urol Oncol</w:t>
      </w:r>
      <w:r w:rsidRPr="008E0B00">
        <w:t>, vol.34, pp. 296-302.</w:t>
      </w:r>
      <w:bookmarkEnd w:id="962"/>
    </w:p>
    <w:p w14:paraId="77159F42" w14:textId="77777777" w:rsidR="008E0B00" w:rsidRPr="008E0B00" w:rsidRDefault="008E0B00" w:rsidP="008E0B00">
      <w:pPr>
        <w:pStyle w:val="EndNoteBibliography"/>
        <w:spacing w:after="0"/>
        <w:ind w:left="720" w:hanging="720"/>
      </w:pPr>
      <w:bookmarkStart w:id="963" w:name="_ENREF_68"/>
      <w:r w:rsidRPr="008E0B00">
        <w:t xml:space="preserve">Ichikawa, T, Saito, K, Yoshioka, N, Tanimoto, A, Gokan, T, Takehara, Y, Kamura, T, Gabata, T, Murakami, T, Ito, K, Hirohashi, S, Nishie, A, Saito, Y, Onaya, H, Kuwatsuru, R, Morimoto, A, Ueda, K, Kurauchi, M &amp; Breuer, J 2010, 'Detection and characterization of focal liver lesions a Japanese phase III, multicenter comparison between gadoxetic acid disodium-enhanced magnetic resonance imaging and contrast-enhanced computed tomography predominantly in patients with hepatocellular carcinoma and chronic liver disease', </w:t>
      </w:r>
      <w:r w:rsidRPr="008E0B00">
        <w:rPr>
          <w:i/>
        </w:rPr>
        <w:t>Invest Radiol</w:t>
      </w:r>
      <w:r w:rsidRPr="008E0B00">
        <w:t>, vol.45, pp. 133-41.</w:t>
      </w:r>
      <w:bookmarkEnd w:id="963"/>
    </w:p>
    <w:p w14:paraId="42FBB184" w14:textId="77777777" w:rsidR="008E0B00" w:rsidRPr="008E0B00" w:rsidRDefault="008E0B00" w:rsidP="008E0B00">
      <w:pPr>
        <w:pStyle w:val="EndNoteBibliography"/>
        <w:spacing w:after="0"/>
        <w:ind w:left="720" w:hanging="720"/>
      </w:pPr>
      <w:bookmarkStart w:id="964" w:name="_ENREF_69"/>
      <w:r w:rsidRPr="008E0B00">
        <w:t xml:space="preserve">ICNIRP 2004, 'International Commission on Non-Ionising Radiation (ICNIRP), Medical Magnetic Resonance (MR) Procedures: protection of patients. ', </w:t>
      </w:r>
      <w:r w:rsidRPr="008E0B00">
        <w:rPr>
          <w:i/>
        </w:rPr>
        <w:t>Health Physics</w:t>
      </w:r>
      <w:r w:rsidRPr="008E0B00">
        <w:t>, vol.87, pp. 197-216.</w:t>
      </w:r>
      <w:bookmarkEnd w:id="964"/>
    </w:p>
    <w:p w14:paraId="0E5A0E83" w14:textId="77777777" w:rsidR="008E0B00" w:rsidRPr="008E0B00" w:rsidRDefault="008E0B00" w:rsidP="008E0B00">
      <w:pPr>
        <w:pStyle w:val="EndNoteBibliography"/>
        <w:spacing w:after="0"/>
        <w:ind w:left="720" w:hanging="720"/>
      </w:pPr>
      <w:bookmarkStart w:id="965" w:name="_ENREF_70"/>
      <w:r w:rsidRPr="008E0B00">
        <w:t xml:space="preserve">Itatani, R, Namimoto, T, Atsuji, S, Katahira, K, Morishita, S, Kitani, K, Hamada, Y, Kitaoka, M, Nakaura, T &amp; Yamashita, Y 2014, 'Negative predictive value of multiparametric MRI for prostate cancer detection: outcome of 5-year follow-up in men with negative findings on initial MRI studies', </w:t>
      </w:r>
      <w:r w:rsidRPr="008E0B00">
        <w:rPr>
          <w:i/>
        </w:rPr>
        <w:t>Eur Radiol</w:t>
      </w:r>
      <w:r w:rsidRPr="008E0B00">
        <w:t>, vol.83, pp. 1740-5.</w:t>
      </w:r>
      <w:bookmarkEnd w:id="965"/>
    </w:p>
    <w:p w14:paraId="3E4F42A8" w14:textId="77777777" w:rsidR="008E0B00" w:rsidRPr="008E0B00" w:rsidRDefault="008E0B00" w:rsidP="008E0B00">
      <w:pPr>
        <w:pStyle w:val="EndNoteBibliography"/>
        <w:spacing w:after="0"/>
        <w:ind w:left="720" w:hanging="720"/>
      </w:pPr>
      <w:bookmarkStart w:id="966" w:name="_ENREF_71"/>
      <w:r w:rsidRPr="008E0B00">
        <w:t xml:space="preserve">Jambor, I, Kahkonen, E, Taimen, P, Merisaari, H, Saunavaara, J, Alanen, K, Obsitnik, B, Minn, H, Lehotska, V &amp; Aronen, HJ 2014, 'Prebiopsy multiparametric 3T prostate MRI in patients with elevated PSA, normal digital rectal examination, and no previous biopsy', </w:t>
      </w:r>
      <w:r w:rsidRPr="008E0B00">
        <w:rPr>
          <w:i/>
        </w:rPr>
        <w:t>J Magn Reson Imaging</w:t>
      </w:r>
      <w:r w:rsidRPr="008E0B00">
        <w:t>, vol.41, pp. 1394-404.</w:t>
      </w:r>
      <w:bookmarkEnd w:id="966"/>
    </w:p>
    <w:p w14:paraId="4A3923CC" w14:textId="77777777" w:rsidR="008E0B00" w:rsidRPr="008E0B00" w:rsidRDefault="008E0B00" w:rsidP="008E0B00">
      <w:pPr>
        <w:pStyle w:val="EndNoteBibliography"/>
        <w:spacing w:after="0"/>
        <w:ind w:left="720" w:hanging="720"/>
      </w:pPr>
      <w:bookmarkStart w:id="967" w:name="_ENREF_72"/>
      <w:r w:rsidRPr="008E0B00">
        <w:t xml:space="preserve">Kam, SC, Choi, SM, Yoon, S, Choi, JH, Lee, SH, Hwa, JS, Chung, KH &amp; Hyun, JS 2014, 'Complications of Transrectal Ultrasound-Guided Prostate Biopsy: Impact of Prebiopsy Enema', </w:t>
      </w:r>
      <w:r w:rsidRPr="008E0B00">
        <w:rPr>
          <w:i/>
        </w:rPr>
        <w:t>Korean J Urol</w:t>
      </w:r>
      <w:r w:rsidRPr="008E0B00">
        <w:t>, vol.55, pp. 732-36.</w:t>
      </w:r>
      <w:bookmarkEnd w:id="967"/>
    </w:p>
    <w:p w14:paraId="213FF0C3" w14:textId="77777777" w:rsidR="008E0B00" w:rsidRPr="008E0B00" w:rsidRDefault="008E0B00" w:rsidP="008E0B00">
      <w:pPr>
        <w:pStyle w:val="EndNoteBibliography"/>
        <w:spacing w:after="0"/>
        <w:ind w:left="720" w:hanging="720"/>
      </w:pPr>
      <w:bookmarkStart w:id="968" w:name="_ENREF_73"/>
      <w:r w:rsidRPr="008E0B00">
        <w:lastRenderedPageBreak/>
        <w:t xml:space="preserve">Kangarlu A &amp; Robitaille PML 2000, 'Biological effects and health implications in magnetic resonance imaging', </w:t>
      </w:r>
      <w:r w:rsidRPr="008E0B00">
        <w:rPr>
          <w:i/>
        </w:rPr>
        <w:t>Concept Magnetic Res</w:t>
      </w:r>
      <w:r w:rsidRPr="008E0B00">
        <w:t>, vol.12, pp. 321-59.</w:t>
      </w:r>
      <w:bookmarkEnd w:id="968"/>
    </w:p>
    <w:p w14:paraId="39009A1A" w14:textId="77777777" w:rsidR="008E0B00" w:rsidRPr="008E0B00" w:rsidRDefault="008E0B00" w:rsidP="008E0B00">
      <w:pPr>
        <w:pStyle w:val="EndNoteBibliography"/>
        <w:spacing w:after="0"/>
        <w:ind w:left="720" w:hanging="720"/>
      </w:pPr>
      <w:bookmarkStart w:id="969" w:name="_ENREF_74"/>
      <w:r w:rsidRPr="008E0B00">
        <w:t xml:space="preserve">Kapoor, DA, Klimberg, IW, Malek, GH, Wegenke, JD, Cox, CE, Patterson, AL, Graham, E, Echols, RM, Whalen, E &amp; Kowalsky, SF 1998, 'Single-dose oral ciprofloxacin versus placebo for prophylaxis during transrectal prostate biopsy', </w:t>
      </w:r>
      <w:r w:rsidRPr="008E0B00">
        <w:rPr>
          <w:i/>
        </w:rPr>
        <w:t>Urology</w:t>
      </w:r>
      <w:r w:rsidRPr="008E0B00">
        <w:t>, vol.52, pp. 552-8.</w:t>
      </w:r>
      <w:bookmarkEnd w:id="969"/>
    </w:p>
    <w:p w14:paraId="488ED643" w14:textId="77777777" w:rsidR="008E0B00" w:rsidRPr="008E0B00" w:rsidRDefault="008E0B00" w:rsidP="008E0B00">
      <w:pPr>
        <w:pStyle w:val="EndNoteBibliography"/>
        <w:spacing w:after="0"/>
        <w:ind w:left="720" w:hanging="720"/>
      </w:pPr>
      <w:bookmarkStart w:id="970" w:name="_ENREF_75"/>
      <w:r w:rsidRPr="008E0B00">
        <w:t xml:space="preserve">Kariotis, I, Philippou, P, Volanis, D, Serafetinides, E &amp; Delakas, D 2010, 'Safety of ultrasound-guided transrectal extended prostate biopsy in patients receiving low-dose aspirin', </w:t>
      </w:r>
      <w:r w:rsidRPr="008E0B00">
        <w:rPr>
          <w:i/>
        </w:rPr>
        <w:t>International Braz J Urol</w:t>
      </w:r>
      <w:r w:rsidRPr="008E0B00">
        <w:t>, vol.36, pp. 308-16.</w:t>
      </w:r>
      <w:bookmarkEnd w:id="970"/>
    </w:p>
    <w:p w14:paraId="426B4657" w14:textId="77777777" w:rsidR="008E0B00" w:rsidRPr="008E0B00" w:rsidRDefault="008E0B00" w:rsidP="008E0B00">
      <w:pPr>
        <w:pStyle w:val="EndNoteBibliography"/>
        <w:spacing w:after="0"/>
        <w:ind w:left="720" w:hanging="720"/>
      </w:pPr>
      <w:bookmarkStart w:id="971" w:name="_ENREF_76"/>
      <w:r w:rsidRPr="008E0B00">
        <w:t xml:space="preserve">Khan, MA, Mangold, LA, Epstein, JI, Boitnott, JK, Walsh, PC &amp; Partin, AW 2004, 'Impact of surgical delay on long-term cancer control for clinically localized prostate cancer', </w:t>
      </w:r>
      <w:r w:rsidRPr="008E0B00">
        <w:rPr>
          <w:i/>
        </w:rPr>
        <w:t>J Urol</w:t>
      </w:r>
      <w:r w:rsidRPr="008E0B00">
        <w:t>, vol.172, pp. 1835-9.</w:t>
      </w:r>
      <w:bookmarkEnd w:id="971"/>
    </w:p>
    <w:p w14:paraId="5E2AD391" w14:textId="77777777" w:rsidR="008E0B00" w:rsidRPr="008E0B00" w:rsidRDefault="008E0B00" w:rsidP="008E0B00">
      <w:pPr>
        <w:pStyle w:val="EndNoteBibliography"/>
        <w:spacing w:after="0"/>
        <w:ind w:left="720" w:hanging="720"/>
      </w:pPr>
      <w:bookmarkStart w:id="972" w:name="_ENREF_77"/>
      <w:r w:rsidRPr="008E0B00">
        <w:t xml:space="preserve">Kinnear, N, Kichenadasse, G, Plagakis, S, O’Callaghan, M, Kopsaftis, T, Walsh, S &amp; Foreman, D 2016, 'Prostate cancer in men aged less than 50 years at diagnosis', </w:t>
      </w:r>
      <w:r w:rsidRPr="008E0B00">
        <w:rPr>
          <w:i/>
        </w:rPr>
        <w:t>World J Urol</w:t>
      </w:r>
      <w:r w:rsidRPr="008E0B00">
        <w:t>, vol., pp. 1-7.</w:t>
      </w:r>
      <w:bookmarkEnd w:id="972"/>
    </w:p>
    <w:p w14:paraId="25CA1F2C" w14:textId="77777777" w:rsidR="008E0B00" w:rsidRPr="008E0B00" w:rsidRDefault="008E0B00" w:rsidP="008E0B00">
      <w:pPr>
        <w:pStyle w:val="EndNoteBibliography"/>
        <w:spacing w:after="0"/>
        <w:ind w:left="720" w:hanging="720"/>
      </w:pPr>
      <w:bookmarkStart w:id="973" w:name="_ENREF_78"/>
      <w:r w:rsidRPr="008E0B00">
        <w:t xml:space="preserve">Komai, Y, Numao, N, Yoshida, S, Matsuoka, Y, Nakanishi, Y, Ishii, C, Koga, F, Saito, K, Masuda, H, Fujii, Y, Kawakami, S &amp; Kihara, K 2013, 'High diagnostic ability of multiparametric magnetic resonance imaging to detect anterior prostate cancer missed by transrectal 12-core biopsy', </w:t>
      </w:r>
      <w:r w:rsidRPr="008E0B00">
        <w:rPr>
          <w:i/>
        </w:rPr>
        <w:t>J Urol</w:t>
      </w:r>
      <w:r w:rsidRPr="008E0B00">
        <w:t>, vol.190, pp. 867-73.</w:t>
      </w:r>
      <w:bookmarkEnd w:id="973"/>
    </w:p>
    <w:p w14:paraId="5605BD73" w14:textId="77777777" w:rsidR="008E0B00" w:rsidRPr="008E0B00" w:rsidRDefault="008E0B00" w:rsidP="008E0B00">
      <w:pPr>
        <w:pStyle w:val="EndNoteBibliography"/>
        <w:spacing w:after="0"/>
        <w:ind w:left="720" w:hanging="720"/>
      </w:pPr>
      <w:bookmarkStart w:id="974" w:name="_ENREF_79"/>
      <w:r w:rsidRPr="008E0B00">
        <w:t xml:space="preserve">Korets, R, Seager, CM, Pitman, MS, Hruby, GW, Benson, MC &amp; McKiernan, JM 2012, 'Effect of delaying surgery on radical prostatectomy outcomes: a contemporary analysis', </w:t>
      </w:r>
      <w:r w:rsidRPr="008E0B00">
        <w:rPr>
          <w:i/>
        </w:rPr>
        <w:t>BJU Int</w:t>
      </w:r>
      <w:r w:rsidRPr="008E0B00">
        <w:t>, vol.110, pp. 211-6.</w:t>
      </w:r>
      <w:bookmarkEnd w:id="974"/>
    </w:p>
    <w:p w14:paraId="3AF74C9F" w14:textId="77777777" w:rsidR="008E0B00" w:rsidRPr="008E0B00" w:rsidRDefault="008E0B00" w:rsidP="008E0B00">
      <w:pPr>
        <w:pStyle w:val="EndNoteBibliography"/>
        <w:spacing w:after="0"/>
        <w:ind w:left="720" w:hanging="720"/>
      </w:pPr>
      <w:bookmarkStart w:id="975" w:name="_ENREF_80"/>
      <w:r w:rsidRPr="008E0B00">
        <w:t xml:space="preserve">Kwan, W, Pickles, T, Duncan, G, Liu, M &amp; Paltiel, C 2006, 'Relationship between delay in radiotherapy and biochemical control in prostate cancer', </w:t>
      </w:r>
      <w:r w:rsidRPr="008E0B00">
        <w:rPr>
          <w:i/>
        </w:rPr>
        <w:t>Int J Radiat Oncol Biol Phys</w:t>
      </w:r>
      <w:r w:rsidRPr="008E0B00">
        <w:t>, vol.66, pp. 663-8.</w:t>
      </w:r>
      <w:bookmarkEnd w:id="975"/>
    </w:p>
    <w:p w14:paraId="1EF5522B" w14:textId="77777777" w:rsidR="008E0B00" w:rsidRPr="008E0B00" w:rsidRDefault="008E0B00" w:rsidP="008E0B00">
      <w:pPr>
        <w:pStyle w:val="EndNoteBibliography"/>
        <w:spacing w:after="0"/>
        <w:ind w:left="720" w:hanging="720"/>
      </w:pPr>
      <w:bookmarkStart w:id="976" w:name="_ENREF_81"/>
      <w:r w:rsidRPr="008E0B00">
        <w:t xml:space="preserve">Lamb, BW, Tan, WS, Rehman, A, Nessa, A, Cohen, D, O'Neil, J, Green, JS &amp; Hines, JE 2015, 'Is Prebiopsy MRI Good Enough to Avoid Prostate Biopsy? A Cohort Study Over a 1-Year Period', </w:t>
      </w:r>
      <w:r w:rsidRPr="008E0B00">
        <w:rPr>
          <w:i/>
        </w:rPr>
        <w:t>Clin Genitourin Cancer</w:t>
      </w:r>
      <w:r w:rsidRPr="008E0B00">
        <w:t>, vol.13, pp. 512-7.</w:t>
      </w:r>
      <w:bookmarkEnd w:id="976"/>
    </w:p>
    <w:p w14:paraId="07BB2E6E" w14:textId="77777777" w:rsidR="008E0B00" w:rsidRPr="008E0B00" w:rsidRDefault="008E0B00" w:rsidP="008E0B00">
      <w:pPr>
        <w:pStyle w:val="EndNoteBibliography"/>
        <w:spacing w:after="0"/>
        <w:ind w:left="720" w:hanging="720"/>
      </w:pPr>
      <w:bookmarkStart w:id="977" w:name="_ENREF_82"/>
      <w:r w:rsidRPr="008E0B00">
        <w:t>Leahy, OR, O'Reilly, M, Dyer, DR, Phillips, D &amp; Grummet, JP 2015, 'Transrectal ultrasound</w:t>
      </w:r>
      <w:r w:rsidRPr="008E0B00">
        <w:rPr>
          <w:rFonts w:ascii="Cambria Math" w:hAnsi="Cambria Math" w:cs="Cambria Math"/>
        </w:rPr>
        <w:t>‐</w:t>
      </w:r>
      <w:r w:rsidRPr="008E0B00">
        <w:t xml:space="preserve">guided biopsy sepsis and the rise in carbapenem antibiotic use', </w:t>
      </w:r>
      <w:r w:rsidRPr="008E0B00">
        <w:rPr>
          <w:i/>
        </w:rPr>
        <w:t>ANZ J Surg</w:t>
      </w:r>
      <w:r w:rsidRPr="008E0B00">
        <w:t>, vol.85, pp. 931-35.</w:t>
      </w:r>
      <w:bookmarkEnd w:id="977"/>
    </w:p>
    <w:p w14:paraId="06DA5E4E" w14:textId="77777777" w:rsidR="008E0B00" w:rsidRPr="008E0B00" w:rsidRDefault="008E0B00" w:rsidP="008E0B00">
      <w:pPr>
        <w:pStyle w:val="EndNoteBibliography"/>
        <w:spacing w:after="0"/>
        <w:ind w:left="720" w:hanging="720"/>
      </w:pPr>
      <w:bookmarkStart w:id="978" w:name="_ENREF_83"/>
      <w:r w:rsidRPr="008E0B00">
        <w:t xml:space="preserve">Lee, DK, Allareddy, V, O'Donnell M, A, Williams, RD &amp; Konety, BR 2006, 'Does the interval between prostate biopsy and radical prostatectomy affect the immediate postoperative outcome?', </w:t>
      </w:r>
      <w:r w:rsidRPr="008E0B00">
        <w:rPr>
          <w:i/>
        </w:rPr>
        <w:t>BJU Int</w:t>
      </w:r>
      <w:r w:rsidRPr="008E0B00">
        <w:t>, vol.97, pp. 48-50.</w:t>
      </w:r>
      <w:bookmarkEnd w:id="978"/>
    </w:p>
    <w:p w14:paraId="6BBF5A8D" w14:textId="77777777" w:rsidR="008E0B00" w:rsidRPr="008E0B00" w:rsidRDefault="008E0B00" w:rsidP="008E0B00">
      <w:pPr>
        <w:pStyle w:val="EndNoteBibliography"/>
        <w:spacing w:after="0"/>
        <w:ind w:left="720" w:hanging="720"/>
      </w:pPr>
      <w:bookmarkStart w:id="979" w:name="_ENREF_84"/>
      <w:r w:rsidRPr="008E0B00">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8E0B00">
        <w:rPr>
          <w:i/>
        </w:rPr>
        <w:t>J Clin Epidemiol</w:t>
      </w:r>
      <w:r w:rsidRPr="008E0B00">
        <w:t>, vol.62, pp. e1-34.</w:t>
      </w:r>
      <w:bookmarkEnd w:id="979"/>
    </w:p>
    <w:p w14:paraId="13178495" w14:textId="77777777" w:rsidR="008E0B00" w:rsidRPr="008E0B00" w:rsidRDefault="008E0B00" w:rsidP="008E0B00">
      <w:pPr>
        <w:pStyle w:val="EndNoteBibliography"/>
        <w:spacing w:after="0"/>
        <w:ind w:left="720" w:hanging="720"/>
      </w:pPr>
      <w:bookmarkStart w:id="980" w:name="_ENREF_85"/>
      <w:r w:rsidRPr="008E0B00">
        <w:t xml:space="preserve">Lista, F, Castillo, E, Gimbernat, H, Rodriguez-Barbero, JM, Panizo, J &amp; Angulo, JC 2015, 'Multiparametric magnetic resonance imaging predicts the presence of prostate cancer in patients with negative prostate biopsy', </w:t>
      </w:r>
      <w:r w:rsidRPr="008E0B00">
        <w:rPr>
          <w:i/>
        </w:rPr>
        <w:t>Actas Urol Esp</w:t>
      </w:r>
      <w:r w:rsidRPr="008E0B00">
        <w:t>, vol.39, pp. 85-91.</w:t>
      </w:r>
      <w:bookmarkEnd w:id="980"/>
    </w:p>
    <w:p w14:paraId="3F6BC2CA" w14:textId="77777777" w:rsidR="008E0B00" w:rsidRPr="008E0B00" w:rsidRDefault="008E0B00" w:rsidP="008E0B00">
      <w:pPr>
        <w:pStyle w:val="EndNoteBibliography"/>
        <w:spacing w:after="0"/>
        <w:ind w:left="720" w:hanging="720"/>
      </w:pPr>
      <w:bookmarkStart w:id="981" w:name="_ENREF_86"/>
      <w:r w:rsidRPr="008E0B00">
        <w:t xml:space="preserve">Loeb, S, Folkvaljon, Y, Robinson, D, Makarov, DV, Bratt, O, Garmo, H &amp; Stattin, P 2016, 'Immediate versus delayed prostatectomy: nationwide population-based study', </w:t>
      </w:r>
      <w:r w:rsidRPr="008E0B00">
        <w:rPr>
          <w:i/>
        </w:rPr>
        <w:t>Scand J Urol</w:t>
      </w:r>
      <w:r w:rsidRPr="008E0B00">
        <w:t>, vol.00, pp. 000-00.</w:t>
      </w:r>
      <w:bookmarkEnd w:id="981"/>
    </w:p>
    <w:p w14:paraId="74E79724" w14:textId="77777777" w:rsidR="008E0B00" w:rsidRPr="008E0B00" w:rsidRDefault="008E0B00" w:rsidP="008E0B00">
      <w:pPr>
        <w:pStyle w:val="EndNoteBibliography"/>
        <w:spacing w:after="0"/>
        <w:ind w:left="720" w:hanging="720"/>
      </w:pPr>
      <w:bookmarkStart w:id="982" w:name="_ENREF_87"/>
      <w:r w:rsidRPr="008E0B00">
        <w:t xml:space="preserve">Loeb, S, Vellekoop, A, Ahmed, HU, Catto, J, Emberton, M, Nam, R, Rosario, DJ, Scattoni, V &amp; Lotan, Y 2013, 'Systematic review of complications of prostate biopsy', </w:t>
      </w:r>
      <w:r w:rsidRPr="008E0B00">
        <w:rPr>
          <w:i/>
        </w:rPr>
        <w:t>Eur Urol</w:t>
      </w:r>
      <w:r w:rsidRPr="008E0B00">
        <w:t>, vol.64, pp. 876-92.</w:t>
      </w:r>
      <w:bookmarkEnd w:id="982"/>
    </w:p>
    <w:p w14:paraId="43BEA3DB" w14:textId="77777777" w:rsidR="008E0B00" w:rsidRPr="008E0B00" w:rsidRDefault="008E0B00" w:rsidP="008E0B00">
      <w:pPr>
        <w:pStyle w:val="EndNoteBibliography"/>
        <w:spacing w:after="0"/>
        <w:ind w:left="720" w:hanging="720"/>
      </w:pPr>
      <w:bookmarkStart w:id="983" w:name="_ENREF_88"/>
      <w:r w:rsidRPr="008E0B00">
        <w:t xml:space="preserve">Lotan, Y, Haddad, AQ, Costa, DN, Pedrosa, I, Rofsky, NM &amp; Roehrborn, CG 2015, 'Decision analysis model comparing cost of multiparametric magnetic resonance imaging vs. repeat biopsy for detection of prostate cancer in men with prior negative findings on biopsy', </w:t>
      </w:r>
      <w:r w:rsidRPr="008E0B00">
        <w:rPr>
          <w:i/>
        </w:rPr>
        <w:t>Urol Oncol</w:t>
      </w:r>
      <w:r w:rsidRPr="008E0B00">
        <w:t>, vol.33, pp. 266 e9-16.</w:t>
      </w:r>
      <w:bookmarkEnd w:id="983"/>
    </w:p>
    <w:p w14:paraId="76313694" w14:textId="43EED0FC" w:rsidR="008E0B00" w:rsidRPr="008E0B00" w:rsidRDefault="008E0B00" w:rsidP="008E0B00">
      <w:pPr>
        <w:pStyle w:val="EndNoteBibliography"/>
        <w:spacing w:after="0"/>
        <w:ind w:left="720" w:hanging="720"/>
      </w:pPr>
      <w:bookmarkStart w:id="984" w:name="_ENREF_89"/>
      <w:r w:rsidRPr="008E0B00">
        <w:lastRenderedPageBreak/>
        <w:t xml:space="preserve">Macaskill, P, Gatsonis, C, Deeks, J, Harbord, R &amp; Takwoingi, Y 2010, </w:t>
      </w:r>
      <w:r w:rsidRPr="008E0B00">
        <w:rPr>
          <w:i/>
        </w:rPr>
        <w:t>Cochrane Handbook for Systematic Reviews of Diagnostic Test Accuracy: Chapter 10: Analysing and Presenting Results</w:t>
      </w:r>
      <w:r w:rsidRPr="008E0B00">
        <w:t>, The Cochrane Collaboration, viewed 1 October 2015, &lt;</w:t>
      </w:r>
      <w:r w:rsidRPr="00B45511">
        <w:t>http://srdta.cochrane.org/&gt;</w:t>
      </w:r>
      <w:r w:rsidRPr="008E0B00">
        <w:t>.</w:t>
      </w:r>
      <w:bookmarkEnd w:id="984"/>
    </w:p>
    <w:p w14:paraId="1A3A2581" w14:textId="77777777" w:rsidR="008E0B00" w:rsidRPr="008E0B00" w:rsidRDefault="008E0B00" w:rsidP="008E0B00">
      <w:pPr>
        <w:pStyle w:val="EndNoteBibliography"/>
        <w:spacing w:after="0"/>
        <w:ind w:left="720" w:hanging="720"/>
      </w:pPr>
      <w:bookmarkStart w:id="985" w:name="_ENREF_90"/>
      <w:r w:rsidRPr="008E0B00">
        <w:t xml:space="preserve">Mai, Z, Yan, W, Zhou, Y, Zhou, Z, Chen, J, Xiao, Y, Liang, Z, Ji, Z &amp; Li, H 2016, 'Transperineal template-guided prostate biopsy: 10 years of experience', </w:t>
      </w:r>
      <w:r w:rsidRPr="008E0B00">
        <w:rPr>
          <w:i/>
        </w:rPr>
        <w:t>BJU Int</w:t>
      </w:r>
      <w:r w:rsidRPr="008E0B00">
        <w:t>, vol.117, pp. 424-9.</w:t>
      </w:r>
      <w:bookmarkEnd w:id="985"/>
    </w:p>
    <w:p w14:paraId="24C6385E" w14:textId="77777777" w:rsidR="008E0B00" w:rsidRPr="008E0B00" w:rsidRDefault="008E0B00" w:rsidP="008E0B00">
      <w:pPr>
        <w:pStyle w:val="EndNoteBibliography"/>
        <w:spacing w:after="0"/>
        <w:ind w:left="720" w:hanging="720"/>
      </w:pPr>
      <w:bookmarkStart w:id="986" w:name="_ENREF_91"/>
      <w:r w:rsidRPr="008E0B00">
        <w:t xml:space="preserve">Margel, D, Yap, SA, Lawrentschuk, N, Klotz, L, Haider, M, Hersey, K, Finelli, A, Zlotta, A, Trachtenberg, J &amp; Fleshner, N 2012, 'Impact of multiparametric endorectal coil prostate magnetic resonance imaging on disease reclassification among active surveillance candidates: a prospective cohort study', </w:t>
      </w:r>
      <w:r w:rsidRPr="008E0B00">
        <w:rPr>
          <w:i/>
        </w:rPr>
        <w:t>J Urol</w:t>
      </w:r>
      <w:r w:rsidRPr="008E0B00">
        <w:t>, vol.187, pp. 1247-52.</w:t>
      </w:r>
      <w:bookmarkEnd w:id="986"/>
    </w:p>
    <w:p w14:paraId="0B24CA2D" w14:textId="77777777" w:rsidR="008E0B00" w:rsidRPr="008E0B00" w:rsidRDefault="008E0B00" w:rsidP="008E0B00">
      <w:pPr>
        <w:pStyle w:val="EndNoteBibliography"/>
        <w:spacing w:after="0"/>
        <w:ind w:left="720" w:hanging="720"/>
      </w:pPr>
      <w:bookmarkStart w:id="987" w:name="_ENREF_92"/>
      <w:r w:rsidRPr="008E0B00">
        <w:t xml:space="preserve">Marino, K, Parlee, A, Orlando, R, Lerner, L, Strymish, J &amp; Gupta, K 2015, 'Comparative effectiveness of single versus combination antibiotic prophylaxis for infections after transrectal prostate biopsy', </w:t>
      </w:r>
      <w:r w:rsidRPr="008E0B00">
        <w:rPr>
          <w:i/>
        </w:rPr>
        <w:t>Antimicrob Agents Chem</w:t>
      </w:r>
      <w:r w:rsidRPr="008E0B00">
        <w:t>, vol.59, pp. 7273-75.</w:t>
      </w:r>
      <w:bookmarkEnd w:id="987"/>
    </w:p>
    <w:p w14:paraId="750C800B" w14:textId="77777777" w:rsidR="008E0B00" w:rsidRPr="008E0B00" w:rsidRDefault="008E0B00" w:rsidP="008E0B00">
      <w:pPr>
        <w:pStyle w:val="EndNoteBibliography"/>
        <w:spacing w:after="0"/>
        <w:ind w:left="720" w:hanging="720"/>
      </w:pPr>
      <w:bookmarkStart w:id="988" w:name="_ENREF_93"/>
      <w:r w:rsidRPr="008E0B00">
        <w:t xml:space="preserve">Merlin, T, Lehman, S, Hiller, JE &amp; Ryan, P 2013, 'The "linked evidence approach" to assess medical tests: a critical analysis', </w:t>
      </w:r>
      <w:r w:rsidRPr="008E0B00">
        <w:rPr>
          <w:i/>
        </w:rPr>
        <w:t>Int J Technol Assess Health Care</w:t>
      </w:r>
      <w:r w:rsidRPr="008E0B00">
        <w:t>, vol.29, pp. 343-50.</w:t>
      </w:r>
      <w:bookmarkEnd w:id="988"/>
    </w:p>
    <w:p w14:paraId="69455843" w14:textId="76C5E909" w:rsidR="008E0B00" w:rsidRPr="008E0B00" w:rsidRDefault="008E0B00" w:rsidP="008E0B00">
      <w:pPr>
        <w:pStyle w:val="EndNoteBibliography"/>
        <w:spacing w:after="0"/>
        <w:ind w:left="720" w:hanging="720"/>
      </w:pPr>
      <w:bookmarkStart w:id="989" w:name="_ENREF_94"/>
      <w:r w:rsidRPr="008E0B00">
        <w:t xml:space="preserve">Moga C, Guo B, Schopflocher D &amp; C., H 2012, </w:t>
      </w:r>
      <w:r w:rsidRPr="008E0B00">
        <w:rPr>
          <w:i/>
        </w:rPr>
        <w:t>Development of a quality appraisal tool for case series studies using a modified Delphi technique</w:t>
      </w:r>
      <w:r w:rsidRPr="008E0B00">
        <w:t>, Institute of Health Economics, viewed &lt;</w:t>
      </w:r>
      <w:r w:rsidRPr="00B45511">
        <w:t>http://www.ihe.ca/publications/library/2012-publications/development-of-a-quality-appraisal-tool-for-case-series-studies-using-a-modified-delphi-technique/</w:t>
      </w:r>
      <w:r w:rsidRPr="008E0B00">
        <w:t xml:space="preserve"> &gt;.</w:t>
      </w:r>
      <w:bookmarkEnd w:id="989"/>
    </w:p>
    <w:p w14:paraId="63E9B202" w14:textId="77777777" w:rsidR="008E0B00" w:rsidRPr="008E0B00" w:rsidRDefault="008E0B00" w:rsidP="008E0B00">
      <w:pPr>
        <w:pStyle w:val="EndNoteBibliography"/>
        <w:spacing w:after="0"/>
        <w:ind w:left="720" w:hanging="720"/>
      </w:pPr>
      <w:bookmarkStart w:id="990" w:name="_ENREF_95"/>
      <w:r w:rsidRPr="008E0B00">
        <w:t xml:space="preserve">Mohammed, W, Davis, NF, Elamin, S, Ahern, P, Brady, CM &amp; Sweeney, P 2016, 'Six-core versus twelve-core prostate biopsy: a retrospective study comparing accuracy, oncological outcomes and safety', </w:t>
      </w:r>
      <w:r w:rsidRPr="008E0B00">
        <w:rPr>
          <w:i/>
        </w:rPr>
        <w:t>Ir J Med Sci</w:t>
      </w:r>
      <w:r w:rsidRPr="008E0B00">
        <w:t>, vol.185, pp. 219-23.</w:t>
      </w:r>
      <w:bookmarkEnd w:id="990"/>
    </w:p>
    <w:p w14:paraId="109DA9AE" w14:textId="77777777" w:rsidR="008E0B00" w:rsidRPr="008E0B00" w:rsidRDefault="008E0B00" w:rsidP="008E0B00">
      <w:pPr>
        <w:pStyle w:val="EndNoteBibliography"/>
        <w:spacing w:after="0"/>
        <w:ind w:left="720" w:hanging="720"/>
      </w:pPr>
      <w:bookmarkStart w:id="991" w:name="_ENREF_96"/>
      <w:r w:rsidRPr="008E0B00">
        <w:t xml:space="preserve">Mowatt, G, Scotland, G, Boachie, C, Cruickshank, M, Ford, JA, Fraser, C, Kurban, L, Lam, TB, Padhani, AR, Royle, J, Scheenen, TW &amp; Tassie, E 2013, 'The diagnostic accuracy and cost-effectiveness of magnetic resonance spectroscopy and enhanced magnetic resonance imaging techniques in aiding the localisation of prostate abnormalities for biopsy: a systematic review and economic evaluation', </w:t>
      </w:r>
      <w:r w:rsidRPr="008E0B00">
        <w:rPr>
          <w:i/>
        </w:rPr>
        <w:t>Health Technol Assess</w:t>
      </w:r>
      <w:r w:rsidRPr="008E0B00">
        <w:t>, vol.17, pp. vii-xix, 1-281.</w:t>
      </w:r>
      <w:bookmarkEnd w:id="991"/>
    </w:p>
    <w:p w14:paraId="2EDFFC1F" w14:textId="77777777" w:rsidR="008E0B00" w:rsidRPr="008E0B00" w:rsidRDefault="008E0B00" w:rsidP="008E0B00">
      <w:pPr>
        <w:pStyle w:val="EndNoteBibliography"/>
        <w:spacing w:after="0"/>
        <w:ind w:left="720" w:hanging="720"/>
      </w:pPr>
      <w:bookmarkStart w:id="992" w:name="_ENREF_97"/>
      <w:r w:rsidRPr="008E0B00">
        <w:t xml:space="preserve">Muller, BG, Shih, JH, Sankineni, S, Marko, J, Rais-Bahrami, S, George, AK, de la Rosette, JJ, Merino, MJ, Wood, BJ, Pinto, P, Choyke, PL &amp; Turkbey, B 2015, 'Prostate Cancer: Interobserver Agreement and Accuracy with the Revised Prostate Imaging Reporting and Data System at Multiparametric MR Imaging', </w:t>
      </w:r>
      <w:r w:rsidRPr="008E0B00">
        <w:rPr>
          <w:i/>
        </w:rPr>
        <w:t>Radiology</w:t>
      </w:r>
      <w:r w:rsidRPr="008E0B00">
        <w:t>, vol.277, pp. 741-50.</w:t>
      </w:r>
      <w:bookmarkEnd w:id="992"/>
    </w:p>
    <w:p w14:paraId="3DFFD111" w14:textId="77777777" w:rsidR="008E0B00" w:rsidRPr="008E0B00" w:rsidRDefault="008E0B00" w:rsidP="008E0B00">
      <w:pPr>
        <w:pStyle w:val="EndNoteBibliography"/>
        <w:spacing w:after="0"/>
        <w:ind w:left="720" w:hanging="720"/>
      </w:pPr>
      <w:bookmarkStart w:id="993" w:name="_ENREF_98"/>
      <w:r w:rsidRPr="008E0B00">
        <w:t xml:space="preserve">Mullins, JK, Bonekamp, D, Landis, P, Begum, H, Partin, AW, Epstein, JI, Carter, HB &amp; Macura, KJ 2013, 'Multiparametric magnetic resonance imaging findings in men with low-risk prostate cancer followed using active surveillance', </w:t>
      </w:r>
      <w:r w:rsidRPr="008E0B00">
        <w:rPr>
          <w:i/>
        </w:rPr>
        <w:t>BJU Int</w:t>
      </w:r>
      <w:r w:rsidRPr="008E0B00">
        <w:t>, vol.111, pp. 1037-45.</w:t>
      </w:r>
      <w:bookmarkEnd w:id="993"/>
    </w:p>
    <w:p w14:paraId="376D1FE0" w14:textId="77777777" w:rsidR="008E0B00" w:rsidRPr="008E0B00" w:rsidRDefault="008E0B00" w:rsidP="008E0B00">
      <w:pPr>
        <w:pStyle w:val="EndNoteBibliography"/>
        <w:spacing w:after="0"/>
        <w:ind w:left="720" w:hanging="720"/>
      </w:pPr>
      <w:bookmarkStart w:id="994" w:name="_ENREF_99"/>
      <w:r w:rsidRPr="008E0B00">
        <w:t xml:space="preserve">Nam, RK, Jewett, MA, Krahn, MD, Robinette, MA, Tsihlias, J, Toi, A, Ho, M, Evans, A, Sweet, J &amp; Trachtenberg, J 2003, 'Delay in surgical therapy for clinically localized prostate cancer and biochemical recurrence after radical prostatectomy', </w:t>
      </w:r>
      <w:r w:rsidRPr="008E0B00">
        <w:rPr>
          <w:i/>
        </w:rPr>
        <w:t>Can J Urol</w:t>
      </w:r>
      <w:r w:rsidRPr="008E0B00">
        <w:t>, vol.10, pp. 1891-8.</w:t>
      </w:r>
      <w:bookmarkEnd w:id="994"/>
    </w:p>
    <w:p w14:paraId="5BD2084F" w14:textId="77777777" w:rsidR="008E0B00" w:rsidRPr="008E0B00" w:rsidRDefault="008E0B00" w:rsidP="008E0B00">
      <w:pPr>
        <w:pStyle w:val="EndNoteBibliography"/>
        <w:spacing w:after="0"/>
        <w:ind w:left="720" w:hanging="720"/>
      </w:pPr>
      <w:bookmarkStart w:id="995" w:name="_ENREF_100"/>
      <w:r w:rsidRPr="008E0B00">
        <w:t xml:space="preserve">Nam, RK, Saskin, R, Lee, Y, Liu, Y, Law, C, Klotz, LH, Loblaw, DA, Trachtenberg, J, Stanimirovic, A, Simor, AE, Seth, A, Urbach, DR &amp; Narod, SA 2013, 'Increasing hospital admission rates for urological complications after transrectal ultrasound guided prostate biopsy', </w:t>
      </w:r>
      <w:r w:rsidRPr="008E0B00">
        <w:rPr>
          <w:i/>
        </w:rPr>
        <w:t>J Urol</w:t>
      </w:r>
      <w:r w:rsidRPr="008E0B00">
        <w:t>, vol.189, pp. S12-7; discussion S17-8.</w:t>
      </w:r>
      <w:bookmarkEnd w:id="995"/>
    </w:p>
    <w:p w14:paraId="42408A70" w14:textId="3396774E" w:rsidR="008E0B00" w:rsidRPr="008E0B00" w:rsidRDefault="008E0B00" w:rsidP="008E0B00">
      <w:pPr>
        <w:pStyle w:val="EndNoteBibliography"/>
        <w:spacing w:after="0"/>
        <w:ind w:left="720" w:hanging="720"/>
      </w:pPr>
      <w:bookmarkStart w:id="996" w:name="_ENREF_101"/>
      <w:r w:rsidRPr="008E0B00">
        <w:t xml:space="preserve">National Radiological Protection Board 1991, </w:t>
      </w:r>
      <w:r w:rsidRPr="008E0B00">
        <w:rPr>
          <w:i/>
        </w:rPr>
        <w:t>Principles for the protection of patients and volunteers during clinical magnetic resonance diagnostic procedures. Documents of the NRPB 2(1) 1991. ISBN 0859513394.</w:t>
      </w:r>
      <w:r w:rsidRPr="008E0B00">
        <w:t>, viewed 24 April 2015 &lt;</w:t>
      </w:r>
      <w:r w:rsidRPr="00B45511">
        <w:t>http://www.hpa.org.uk/radiation/publications/documents_of_nrpb/abstracts/absd2-1.htm&gt;</w:t>
      </w:r>
      <w:r w:rsidRPr="008E0B00">
        <w:t>.</w:t>
      </w:r>
      <w:bookmarkEnd w:id="996"/>
    </w:p>
    <w:p w14:paraId="2C898CD8" w14:textId="77777777" w:rsidR="008E0B00" w:rsidRPr="008E0B00" w:rsidRDefault="008E0B00" w:rsidP="008E0B00">
      <w:pPr>
        <w:pStyle w:val="EndNoteBibliography"/>
        <w:spacing w:after="0"/>
        <w:ind w:left="720" w:hanging="720"/>
      </w:pPr>
      <w:bookmarkStart w:id="997" w:name="_ENREF_102"/>
      <w:r w:rsidRPr="008E0B00">
        <w:lastRenderedPageBreak/>
        <w:t xml:space="preserve">Nguyen, PL, Whittington, R, Koo, S, Schultz, D, Cote, KB, Loffredo, M, McMahon, E, Renshaw, AA, Tomaszewski, JE &amp; D'Amico, AV 2005, 'The impact of a delay in initiating radiation therapy on prostate-specific antigen outcome for patients with clinically localized prostate carcinoma', </w:t>
      </w:r>
      <w:r w:rsidRPr="008E0B00">
        <w:rPr>
          <w:i/>
        </w:rPr>
        <w:t>Cancer</w:t>
      </w:r>
      <w:r w:rsidRPr="008E0B00">
        <w:t>, vol.103, pp. 2053-9.</w:t>
      </w:r>
      <w:bookmarkEnd w:id="997"/>
    </w:p>
    <w:p w14:paraId="04FC7993" w14:textId="77777777" w:rsidR="008E0B00" w:rsidRPr="008E0B00" w:rsidRDefault="008E0B00" w:rsidP="008E0B00">
      <w:pPr>
        <w:pStyle w:val="EndNoteBibliography"/>
        <w:spacing w:after="0"/>
        <w:ind w:left="720" w:hanging="720"/>
      </w:pPr>
      <w:bookmarkStart w:id="998" w:name="_ENREF_103"/>
      <w:r w:rsidRPr="008E0B00">
        <w:t xml:space="preserve">NICE 2014, </w:t>
      </w:r>
      <w:r w:rsidRPr="008E0B00">
        <w:rPr>
          <w:i/>
        </w:rPr>
        <w:t xml:space="preserve">Prostate Cancer: diagnosis and treatment. Clinical guideline. Full guideline January 2014. </w:t>
      </w:r>
      <w:r w:rsidRPr="008E0B00">
        <w:t xml:space="preserve">, NICE, London, viewed 22 Jul 2016 </w:t>
      </w:r>
      <w:bookmarkEnd w:id="998"/>
    </w:p>
    <w:p w14:paraId="1949D2F0" w14:textId="77777777" w:rsidR="008E0B00" w:rsidRPr="008E0B00" w:rsidRDefault="008E0B00" w:rsidP="008E0B00">
      <w:pPr>
        <w:pStyle w:val="EndNoteBibliography"/>
        <w:spacing w:after="0"/>
        <w:ind w:left="720" w:hanging="720"/>
      </w:pPr>
      <w:bookmarkStart w:id="999" w:name="_ENREF_104"/>
      <w:r w:rsidRPr="008E0B00">
        <w:t xml:space="preserve">Nicholson, A, Mahon, J, Boland, A, Beale, S, Dwan, K, Fleeman, N, Hockenhull, J &amp; Dundar, Y 2015, 'The clinical effectiveness and cost-effectiveness of the PROGENSA(R) prostate cancer antigen 3 assay and the Prostate Health Index in the diagnosis of prostate cancer: a systematic review and economic evaluation', </w:t>
      </w:r>
      <w:r w:rsidRPr="008E0B00">
        <w:rPr>
          <w:i/>
        </w:rPr>
        <w:t>Health Technol Assess</w:t>
      </w:r>
      <w:r w:rsidRPr="008E0B00">
        <w:t>, vol.19, pp. i-xxxi, 1-191.</w:t>
      </w:r>
      <w:bookmarkEnd w:id="999"/>
    </w:p>
    <w:p w14:paraId="4186D241" w14:textId="77777777" w:rsidR="008E0B00" w:rsidRPr="008E0B00" w:rsidRDefault="008E0B00" w:rsidP="008E0B00">
      <w:pPr>
        <w:pStyle w:val="EndNoteBibliography"/>
        <w:spacing w:after="0"/>
        <w:ind w:left="720" w:hanging="720"/>
      </w:pPr>
      <w:bookmarkStart w:id="1000" w:name="_ENREF_105"/>
      <w:r w:rsidRPr="008E0B00">
        <w:t xml:space="preserve">Norman, R, Church, J, van den Berg, B &amp; Goodall, S 2013, 'Australian health-related quality of life population norms derived from the SF-6D', </w:t>
      </w:r>
      <w:r w:rsidRPr="008E0B00">
        <w:rPr>
          <w:i/>
        </w:rPr>
        <w:t>Aust NZ J Public Health</w:t>
      </w:r>
      <w:r w:rsidRPr="008E0B00">
        <w:t>, vol.37, pp. 17-23.</w:t>
      </w:r>
      <w:bookmarkEnd w:id="1000"/>
    </w:p>
    <w:p w14:paraId="378E3184" w14:textId="77777777" w:rsidR="008E0B00" w:rsidRPr="008E0B00" w:rsidRDefault="008E0B00" w:rsidP="008E0B00">
      <w:pPr>
        <w:pStyle w:val="EndNoteBibliography"/>
        <w:spacing w:after="0"/>
        <w:ind w:left="720" w:hanging="720"/>
      </w:pPr>
      <w:bookmarkStart w:id="1001" w:name="_ENREF_106"/>
      <w:r w:rsidRPr="008E0B00">
        <w:t xml:space="preserve">O'Brien, D, Loeb, S, Carvalhal, GF, McGuire, BB, Kan, D, Hofer, MD, Casey, JT, Helfand, BT &amp; Catalona, WJ 2011, 'Delay of surgery in men with low risk prostate cancer', </w:t>
      </w:r>
      <w:r w:rsidRPr="008E0B00">
        <w:rPr>
          <w:i/>
        </w:rPr>
        <w:t>J Urol</w:t>
      </w:r>
      <w:r w:rsidRPr="008E0B00">
        <w:t>, vol.185, pp. 2143-7.</w:t>
      </w:r>
      <w:bookmarkEnd w:id="1001"/>
    </w:p>
    <w:p w14:paraId="0475545A" w14:textId="77777777" w:rsidR="008E0B00" w:rsidRPr="008E0B00" w:rsidRDefault="008E0B00" w:rsidP="008E0B00">
      <w:pPr>
        <w:pStyle w:val="EndNoteBibliography"/>
        <w:spacing w:after="0"/>
        <w:ind w:left="720" w:hanging="720"/>
      </w:pPr>
      <w:bookmarkStart w:id="1002" w:name="_ENREF_107"/>
      <w:r w:rsidRPr="008E0B00">
        <w:t xml:space="preserve">O'Kelly, F, Thomas, A, Murray, D, Galvin, D, Mulvin, D &amp; Quinlan, DM 2013, 'Can delayed time to referral to a tertiary level urologist with an abnormal PSA level affect subsequent Gleason grade in the opportunistically screened population?', </w:t>
      </w:r>
      <w:r w:rsidRPr="008E0B00">
        <w:rPr>
          <w:i/>
        </w:rPr>
        <w:t>Prostate</w:t>
      </w:r>
      <w:r w:rsidRPr="008E0B00">
        <w:t>, vol.73, pp. 1263-9.</w:t>
      </w:r>
      <w:bookmarkEnd w:id="1002"/>
    </w:p>
    <w:p w14:paraId="4535F3BD" w14:textId="77777777" w:rsidR="008E0B00" w:rsidRPr="008E0B00" w:rsidRDefault="008E0B00" w:rsidP="008E0B00">
      <w:pPr>
        <w:pStyle w:val="EndNoteBibliography"/>
        <w:spacing w:after="0"/>
        <w:ind w:left="720" w:hanging="720"/>
      </w:pPr>
      <w:bookmarkStart w:id="1003" w:name="_ENREF_108"/>
      <w:r w:rsidRPr="008E0B00">
        <w:t xml:space="preserve">Panebianco, V, Barchetti, F, Sciarra, A, Ciardi, A, Indino, EL, Papalia, R, Gallucci, M, Tombolini, V, Gentile, V &amp; Catalano, C 2015, 'Multiparametric magnetic resonance imaging vs. standard care in men being evaluated for prostate cancer: a randomized study', </w:t>
      </w:r>
      <w:r w:rsidRPr="008E0B00">
        <w:rPr>
          <w:i/>
        </w:rPr>
        <w:t>Urol Oncol</w:t>
      </w:r>
      <w:r w:rsidRPr="008E0B00">
        <w:t>, vol.33, pp. 17.e1-7.</w:t>
      </w:r>
      <w:bookmarkEnd w:id="1003"/>
    </w:p>
    <w:p w14:paraId="697F1CE5" w14:textId="77777777" w:rsidR="008E0B00" w:rsidRPr="008E0B00" w:rsidRDefault="008E0B00" w:rsidP="008E0B00">
      <w:pPr>
        <w:pStyle w:val="EndNoteBibliography"/>
        <w:spacing w:after="0"/>
        <w:ind w:left="720" w:hanging="720"/>
      </w:pPr>
      <w:bookmarkStart w:id="1004" w:name="_ENREF_109"/>
      <w:r w:rsidRPr="008E0B00">
        <w:t xml:space="preserve">Patel, U, Dasgupta, P, Amoroso, P, Challacombe, B, Pilcher, J &amp; Kirby, R 2012, 'Infection after transrectal ultrasonography-guided prostate biopsy: increased relative risks after recent international travel or antibiotic use', </w:t>
      </w:r>
      <w:r w:rsidRPr="008E0B00">
        <w:rPr>
          <w:i/>
        </w:rPr>
        <w:t>BJU Int</w:t>
      </w:r>
      <w:r w:rsidRPr="008E0B00">
        <w:t>, vol.109, pp. 1781-5.</w:t>
      </w:r>
      <w:bookmarkEnd w:id="1004"/>
    </w:p>
    <w:p w14:paraId="39EFC7B5" w14:textId="77777777" w:rsidR="008E0B00" w:rsidRPr="008E0B00" w:rsidRDefault="008E0B00" w:rsidP="008E0B00">
      <w:pPr>
        <w:pStyle w:val="EndNoteBibliography"/>
        <w:spacing w:after="0"/>
        <w:ind w:left="720" w:hanging="720"/>
      </w:pPr>
      <w:bookmarkStart w:id="1005" w:name="_ENREF_110"/>
      <w:r w:rsidRPr="008E0B00">
        <w:t xml:space="preserve">Pepe, P, Garufi, A, Priolo, G, Dibenedetto, G, Salemi, M, Pennisi, M, Fraggetta, F, Aragona, F &amp; Barbera, M 2014a, 'Accuracy of 3 Tesla pelvic phased-array multiparametric MRI in diagnosing prostate cancer at repeat biopsy', </w:t>
      </w:r>
      <w:r w:rsidRPr="008E0B00">
        <w:rPr>
          <w:i/>
        </w:rPr>
        <w:t>Arch Ital Urol Androl</w:t>
      </w:r>
      <w:r w:rsidRPr="008E0B00">
        <w:t>, vol.86, pp. 336-9.</w:t>
      </w:r>
      <w:bookmarkEnd w:id="1005"/>
    </w:p>
    <w:p w14:paraId="6A288ED1" w14:textId="77777777" w:rsidR="008E0B00" w:rsidRPr="008E0B00" w:rsidRDefault="008E0B00" w:rsidP="008E0B00">
      <w:pPr>
        <w:pStyle w:val="EndNoteBibliography"/>
        <w:spacing w:after="0"/>
        <w:ind w:left="720" w:hanging="720"/>
      </w:pPr>
      <w:bookmarkStart w:id="1006" w:name="_ENREF_111"/>
      <w:r w:rsidRPr="008E0B00">
        <w:t xml:space="preserve">Petrillo, A, Fusco, R, Setola, SV, Ronza, FM, Granata, V, Petrillo, M, Carone, G, Sansone, M, Franco, R, Fulciniti, F &amp; Perdona, S 2014, 'Multiparametric MRI for prostate cancer detection: performance in patients with prostate-specific antigen values between 2.5 and 10 ng/mL', </w:t>
      </w:r>
      <w:r w:rsidRPr="008E0B00">
        <w:rPr>
          <w:i/>
        </w:rPr>
        <w:t>J Magn Reson Imaging</w:t>
      </w:r>
      <w:r w:rsidRPr="008E0B00">
        <w:t>, vol.39, pp. 1206-12.</w:t>
      </w:r>
      <w:bookmarkEnd w:id="1006"/>
    </w:p>
    <w:p w14:paraId="553347C6" w14:textId="77777777" w:rsidR="008E0B00" w:rsidRPr="008E0B00" w:rsidRDefault="008E0B00" w:rsidP="008E0B00">
      <w:pPr>
        <w:pStyle w:val="EndNoteBibliography"/>
        <w:spacing w:after="0"/>
        <w:ind w:left="720" w:hanging="720"/>
      </w:pPr>
      <w:bookmarkStart w:id="1007" w:name="_ENREF_112"/>
      <w:r w:rsidRPr="008E0B00">
        <w:t xml:space="preserve">Petteffi, L, Toniazzo, GP, Sander, GB, Stein, AC &amp; Koff, WJ 2002, 'Efficiency of short and long term antimicrobial therapy in transrectal ultrasound-guided prostate biopsies', </w:t>
      </w:r>
      <w:r w:rsidRPr="008E0B00">
        <w:rPr>
          <w:i/>
        </w:rPr>
        <w:t>International Braz J Urol</w:t>
      </w:r>
      <w:r w:rsidRPr="008E0B00">
        <w:t>, vol.28, pp. 526-32.</w:t>
      </w:r>
      <w:bookmarkEnd w:id="1007"/>
    </w:p>
    <w:p w14:paraId="76352F81" w14:textId="77777777" w:rsidR="008E0B00" w:rsidRPr="008E0B00" w:rsidRDefault="008E0B00" w:rsidP="008E0B00">
      <w:pPr>
        <w:pStyle w:val="EndNoteBibliography"/>
        <w:spacing w:after="0"/>
        <w:ind w:left="720" w:hanging="720"/>
      </w:pPr>
      <w:bookmarkStart w:id="1008" w:name="_ENREF_113"/>
      <w:r w:rsidRPr="008E0B00">
        <w:t xml:space="preserve">Phillips, JJ, Hall, MC, Lee, WR &amp; Clark, PE 2007, 'Does a delay in initiating definitive therapy affect biochemical recurrence rates in men with clinically localized prostate cancer?', </w:t>
      </w:r>
      <w:r w:rsidRPr="008E0B00">
        <w:rPr>
          <w:i/>
        </w:rPr>
        <w:t>Urol Oncol</w:t>
      </w:r>
      <w:r w:rsidRPr="008E0B00">
        <w:t>, vol.25, pp. 196-200.</w:t>
      </w:r>
      <w:bookmarkEnd w:id="1008"/>
    </w:p>
    <w:p w14:paraId="1DE9ACE2" w14:textId="77777777" w:rsidR="008E0B00" w:rsidRPr="008E0B00" w:rsidRDefault="008E0B00" w:rsidP="008E0B00">
      <w:pPr>
        <w:pStyle w:val="EndNoteBibliography"/>
        <w:spacing w:after="0"/>
        <w:ind w:left="720" w:hanging="720"/>
      </w:pPr>
      <w:bookmarkStart w:id="1009" w:name="_ENREF_114"/>
      <w:r w:rsidRPr="008E0B00">
        <w:t xml:space="preserve">Pinsky, PF, Parnes, HL &amp; Andriole, G 2014, 'Mortality and complications after prostate biopsy in the Prostate, Lung, Colorectal and Ovarian Cancer Screening (PLCO) trial', </w:t>
      </w:r>
      <w:r w:rsidRPr="008E0B00">
        <w:rPr>
          <w:i/>
        </w:rPr>
        <w:t>BJU Int</w:t>
      </w:r>
      <w:r w:rsidRPr="008E0B00">
        <w:t>, vol.113, pp. 254-59.</w:t>
      </w:r>
      <w:bookmarkEnd w:id="1009"/>
    </w:p>
    <w:p w14:paraId="40E99979" w14:textId="77777777" w:rsidR="008E0B00" w:rsidRPr="008E0B00" w:rsidRDefault="008E0B00" w:rsidP="008E0B00">
      <w:pPr>
        <w:pStyle w:val="EndNoteBibliography"/>
        <w:spacing w:after="0"/>
        <w:ind w:left="720" w:hanging="720"/>
      </w:pPr>
      <w:bookmarkStart w:id="1010" w:name="_ENREF_115"/>
      <w:r w:rsidRPr="008E0B00">
        <w:t xml:space="preserve">Pokorny, MR, de Rooij, M, Duncan, E, Schroder, FH, Parkinson, R, Barentsz, JO &amp; Thompson, LC 2014, 'Prospective study of diagnostic accuracy comparing prostate cancer detection by transrectal ultrasound-guided biopsy versus magnetic resonance (MR) imaging with subsequent MR-guided biopsy in men without previous prostate biopsies', </w:t>
      </w:r>
      <w:r w:rsidRPr="008E0B00">
        <w:rPr>
          <w:i/>
        </w:rPr>
        <w:t>Eur Urol</w:t>
      </w:r>
      <w:r w:rsidRPr="008E0B00">
        <w:t>, vol.66, pp. 22-9.</w:t>
      </w:r>
      <w:bookmarkEnd w:id="1010"/>
    </w:p>
    <w:p w14:paraId="6EA76AAE" w14:textId="77777777" w:rsidR="008E0B00" w:rsidRPr="008E0B00" w:rsidRDefault="008E0B00" w:rsidP="008E0B00">
      <w:pPr>
        <w:pStyle w:val="EndNoteBibliography"/>
        <w:spacing w:after="0"/>
        <w:ind w:left="720" w:hanging="720"/>
      </w:pPr>
      <w:bookmarkStart w:id="1011" w:name="_ENREF_116"/>
      <w:r w:rsidRPr="008E0B00">
        <w:t xml:space="preserve">Porpiglia, F, Cantiello, F, De Luca, S, Manfredi, M, Veltri, A, Russo, F, Sottile, A &amp; Damiano, R 2015, 'In-parallel comparative evaluation between multiparametric magnetic resonance imaging, prostate cancer antigen 3 and the prostate health index in </w:t>
      </w:r>
      <w:r w:rsidRPr="008E0B00">
        <w:lastRenderedPageBreak/>
        <w:t xml:space="preserve">predicting pathologically confirmed significant prostate cancer in men eligible for active surveillance', </w:t>
      </w:r>
      <w:r w:rsidRPr="008E0B00">
        <w:rPr>
          <w:i/>
        </w:rPr>
        <w:t>BJU Int</w:t>
      </w:r>
      <w:r w:rsidRPr="008E0B00">
        <w:t>, vol.00, pp. 000-00.</w:t>
      </w:r>
      <w:bookmarkEnd w:id="1011"/>
    </w:p>
    <w:p w14:paraId="480E2FED" w14:textId="77777777" w:rsidR="008E0B00" w:rsidRPr="008E0B00" w:rsidRDefault="008E0B00" w:rsidP="008E0B00">
      <w:pPr>
        <w:pStyle w:val="EndNoteBibliography"/>
        <w:spacing w:after="0"/>
        <w:ind w:left="720" w:hanging="720"/>
      </w:pPr>
      <w:bookmarkStart w:id="1012" w:name="_ENREF_117"/>
      <w:r w:rsidRPr="008E0B00">
        <w:t xml:space="preserve">Porpiglia, F, Russo, F, Manfredi, M, Mele, F, Fiori, C, Bollito, E, Papotti, M, Molineris, I, Passera, R &amp; Regge, D 2014, 'The roles of multiparametric magnetic resonance imaging, PCA3 and prostate health index-which is the best predictor of prostate cancer after a negative biopsy?', </w:t>
      </w:r>
      <w:r w:rsidRPr="008E0B00">
        <w:rPr>
          <w:i/>
        </w:rPr>
        <w:t>J Urol</w:t>
      </w:r>
      <w:r w:rsidRPr="008E0B00">
        <w:t>, vol.192, pp. 60-6.</w:t>
      </w:r>
      <w:bookmarkEnd w:id="1012"/>
    </w:p>
    <w:p w14:paraId="24ECA122" w14:textId="77777777" w:rsidR="008E0B00" w:rsidRPr="008E0B00" w:rsidRDefault="008E0B00" w:rsidP="008E0B00">
      <w:pPr>
        <w:pStyle w:val="EndNoteBibliography"/>
        <w:spacing w:after="0"/>
        <w:ind w:left="720" w:hanging="720"/>
      </w:pPr>
      <w:bookmarkStart w:id="1013" w:name="_ENREF_118"/>
      <w:r w:rsidRPr="008E0B00">
        <w:t xml:space="preserve">Price DL, De Wilde JP &amp; Papadaki AM 2001, 'Investigation of Acoustic Noise on 15 MRI scanners from 0.2 T to 3 T.', </w:t>
      </w:r>
      <w:r w:rsidRPr="008E0B00">
        <w:rPr>
          <w:i/>
        </w:rPr>
        <w:t>J Magn Res Im</w:t>
      </w:r>
      <w:r w:rsidRPr="008E0B00">
        <w:t>, vol.13, pp. 288-93.</w:t>
      </w:r>
      <w:bookmarkEnd w:id="1013"/>
    </w:p>
    <w:p w14:paraId="2CF07159" w14:textId="77777777" w:rsidR="008E0B00" w:rsidRPr="008E0B00" w:rsidRDefault="008E0B00" w:rsidP="008E0B00">
      <w:pPr>
        <w:pStyle w:val="EndNoteBibliography"/>
        <w:spacing w:after="0"/>
        <w:ind w:left="720" w:hanging="720"/>
      </w:pPr>
      <w:bookmarkStart w:id="1014" w:name="_ENREF_119"/>
      <w:r w:rsidRPr="008E0B00">
        <w:t xml:space="preserve">Raman, SS, Leary, C, Bluemke, DA, Amendola, M, Sahani, D, McTavish, JD, Brody, J, Outwater, E, Mitchell, D, Sheafor, DH, Fidler, J, Francis, IR, Semelka, RC, Shamsi, K, Gschwend, S, Feldman, DR &amp; Breuer, J 2010, 'Improved characterization of focal liver lesions with liver-specific gadoxetic acid disodium-enhanced magnetic resonance imaging: a multicenter phase 3 clinical trial', </w:t>
      </w:r>
      <w:r w:rsidRPr="008E0B00">
        <w:rPr>
          <w:i/>
        </w:rPr>
        <w:t>J Comput Assist Tomogr</w:t>
      </w:r>
      <w:r w:rsidRPr="008E0B00">
        <w:t>, vol.34, pp. 163-72.</w:t>
      </w:r>
      <w:bookmarkEnd w:id="1014"/>
    </w:p>
    <w:p w14:paraId="04B22572" w14:textId="77777777" w:rsidR="008E0B00" w:rsidRPr="008E0B00" w:rsidRDefault="008E0B00" w:rsidP="008E0B00">
      <w:pPr>
        <w:pStyle w:val="EndNoteBibliography"/>
        <w:spacing w:after="0"/>
        <w:ind w:left="720" w:hanging="720"/>
      </w:pPr>
      <w:bookmarkStart w:id="1015" w:name="_ENREF_120"/>
      <w:r w:rsidRPr="008E0B00">
        <w:t>Ranasinghe, WK, Kim, SP, Lawrentschuk, N, Sengupta, S, Hounsome, L, Barber, J, Jones, R, Davis, P, Bolton, D &amp; Persad, R 2014, 'Population</w:t>
      </w:r>
      <w:r w:rsidRPr="008E0B00">
        <w:rPr>
          <w:rFonts w:ascii="Cambria Math" w:hAnsi="Cambria Math" w:cs="Cambria Math"/>
        </w:rPr>
        <w:t>‐</w:t>
      </w:r>
      <w:r w:rsidRPr="008E0B00">
        <w:t>based analysis of prostate</w:t>
      </w:r>
      <w:r w:rsidRPr="008E0B00">
        <w:rPr>
          <w:rFonts w:ascii="Cambria Math" w:hAnsi="Cambria Math" w:cs="Cambria Math"/>
        </w:rPr>
        <w:t>‐</w:t>
      </w:r>
      <w:r w:rsidRPr="008E0B00">
        <w:t xml:space="preserve">specific antigen (PSA) screening in younger men (&lt; 55 years) in Australia', </w:t>
      </w:r>
      <w:r w:rsidRPr="008E0B00">
        <w:rPr>
          <w:i/>
        </w:rPr>
        <w:t>BJU Int</w:t>
      </w:r>
      <w:r w:rsidRPr="008E0B00">
        <w:t>, vol.113, pp. 77-83.</w:t>
      </w:r>
      <w:bookmarkEnd w:id="1015"/>
    </w:p>
    <w:p w14:paraId="13D162E3" w14:textId="77777777" w:rsidR="008E0B00" w:rsidRPr="008E0B00" w:rsidRDefault="008E0B00" w:rsidP="008E0B00">
      <w:pPr>
        <w:pStyle w:val="EndNoteBibliography"/>
        <w:spacing w:after="0"/>
        <w:ind w:left="720" w:hanging="720"/>
      </w:pPr>
      <w:bookmarkStart w:id="1016" w:name="_ENREF_121"/>
      <w:r w:rsidRPr="008E0B00">
        <w:t xml:space="preserve">RANZCR 2007, </w:t>
      </w:r>
      <w:r w:rsidRPr="008E0B00">
        <w:rPr>
          <w:i/>
        </w:rPr>
        <w:t>RANZCR MRI Safety Guidelines</w:t>
      </w:r>
      <w:r w:rsidRPr="008E0B00">
        <w:t xml:space="preserve">, Sydney, Australia, viewed 19 February 2015, </w:t>
      </w:r>
      <w:bookmarkEnd w:id="1016"/>
    </w:p>
    <w:p w14:paraId="7FC2890E" w14:textId="77777777" w:rsidR="008E0B00" w:rsidRPr="008E0B00" w:rsidRDefault="008E0B00" w:rsidP="008E0B00">
      <w:pPr>
        <w:pStyle w:val="EndNoteBibliography"/>
        <w:spacing w:after="0"/>
        <w:ind w:left="720" w:hanging="720"/>
      </w:pPr>
      <w:bookmarkStart w:id="1017" w:name="_ENREF_122"/>
      <w:r w:rsidRPr="008E0B00">
        <w:t xml:space="preserve">Recabal, P, Assel, M, Sjoberg, DD, Lee, D, Laudone, VP, Touijer, K, Eastham, JA, Vargas, HA, Coleman, J &amp; Ehdaie, B 2016, 'The Efficacy of Multiparametric Magnetic Resonance Imaging and Magnetic Resonance Imaging Targeted Biopsy in Risk Classification for Patients with Prostate Cancer on Active Surveillance', </w:t>
      </w:r>
      <w:r w:rsidRPr="008E0B00">
        <w:rPr>
          <w:i/>
        </w:rPr>
        <w:t>J Urol</w:t>
      </w:r>
      <w:r w:rsidRPr="008E0B00">
        <w:t>, vol.00, pp. 000-00.</w:t>
      </w:r>
      <w:bookmarkEnd w:id="1017"/>
    </w:p>
    <w:p w14:paraId="4A0E8690" w14:textId="77777777" w:rsidR="008E0B00" w:rsidRPr="008E0B00" w:rsidRDefault="008E0B00" w:rsidP="008E0B00">
      <w:pPr>
        <w:pStyle w:val="EndNoteBibliography"/>
        <w:spacing w:after="0"/>
        <w:ind w:left="720" w:hanging="720"/>
      </w:pPr>
      <w:bookmarkStart w:id="1018" w:name="_ENREF_123"/>
      <w:r w:rsidRPr="008E0B00">
        <w:t xml:space="preserve">Redaniel, MT, Martin, RM, Gillatt, D, Wade, J &amp; Jeffreys, M 2013, 'Time from diagnosis to surgery and prostate cancer survival: a retrospective cohort study', </w:t>
      </w:r>
      <w:r w:rsidRPr="008E0B00">
        <w:rPr>
          <w:i/>
        </w:rPr>
        <w:t>BMC cancer</w:t>
      </w:r>
      <w:r w:rsidRPr="008E0B00">
        <w:t>, vol.13, pp. 1.</w:t>
      </w:r>
      <w:bookmarkEnd w:id="1018"/>
    </w:p>
    <w:p w14:paraId="1A900C11" w14:textId="77777777" w:rsidR="008E0B00" w:rsidRPr="008E0B00" w:rsidRDefault="008E0B00" w:rsidP="008E0B00">
      <w:pPr>
        <w:pStyle w:val="EndNoteBibliography"/>
        <w:spacing w:after="0"/>
        <w:ind w:left="720" w:hanging="720"/>
      </w:pPr>
      <w:bookmarkStart w:id="1019" w:name="_ENREF_124"/>
      <w:r w:rsidRPr="008E0B00">
        <w:t xml:space="preserve">Reimer, P, Rummeny, EJ, Shamsi, K, Balzer, T, Daldrup, HE, Tombach, B, Hesse, T, Berns, T &amp; Peters, PE 1996, 'Phase II clinical evaluation of Gd-EOB-DTPA: dose, safety aspects, and pulse sequence', </w:t>
      </w:r>
      <w:r w:rsidRPr="008E0B00">
        <w:rPr>
          <w:i/>
        </w:rPr>
        <w:t>Radiology</w:t>
      </w:r>
      <w:r w:rsidRPr="008E0B00">
        <w:t>, vol.199, pp. 177-83.</w:t>
      </w:r>
      <w:bookmarkEnd w:id="1019"/>
    </w:p>
    <w:p w14:paraId="73EE92A6" w14:textId="77777777" w:rsidR="008E0B00" w:rsidRPr="008E0B00" w:rsidRDefault="008E0B00" w:rsidP="008E0B00">
      <w:pPr>
        <w:pStyle w:val="EndNoteBibliography"/>
        <w:spacing w:after="0"/>
        <w:ind w:left="720" w:hanging="720"/>
      </w:pPr>
      <w:bookmarkStart w:id="1020" w:name="_ENREF_125"/>
      <w:r w:rsidRPr="008E0B00">
        <w:t xml:space="preserve">Reitsma, JB, Glas, AS, Rutjes, AW, Scholten, RJ, Bossuyt, PM &amp; Zwinderman, AH 2005, 'Bivariate analysis of sensitivity and specificity produces informative summary measures in diagnostic reviews', </w:t>
      </w:r>
      <w:r w:rsidRPr="008E0B00">
        <w:rPr>
          <w:i/>
        </w:rPr>
        <w:t>J Clin Epidemiol</w:t>
      </w:r>
      <w:r w:rsidRPr="008E0B00">
        <w:t>, vol.58, pp. 982-90.</w:t>
      </w:r>
      <w:bookmarkEnd w:id="1020"/>
    </w:p>
    <w:p w14:paraId="7326212B" w14:textId="77777777" w:rsidR="008E0B00" w:rsidRPr="008E0B00" w:rsidRDefault="008E0B00" w:rsidP="008E0B00">
      <w:pPr>
        <w:pStyle w:val="EndNoteBibliography"/>
        <w:spacing w:after="0"/>
        <w:ind w:left="720" w:hanging="720"/>
      </w:pPr>
      <w:bookmarkStart w:id="1021" w:name="_ENREF_126"/>
      <w:r w:rsidRPr="008E0B00">
        <w:t xml:space="preserve">Renard-Penna, R, Roupret, M, Comperat, E, Rozet, F, Granger, B, Barkatz, J, Bitker, MO, Lucidarme, O, Cussenot, O &amp; Mozer, P 2016, 'Relationship between non-suspicious MRI and insignificant prostate cancer: results from a monocentric study', </w:t>
      </w:r>
      <w:r w:rsidRPr="008E0B00">
        <w:rPr>
          <w:i/>
        </w:rPr>
        <w:t>World J Urol</w:t>
      </w:r>
      <w:r w:rsidRPr="008E0B00">
        <w:t>, vol.34, pp. 673-8.</w:t>
      </w:r>
      <w:bookmarkEnd w:id="1021"/>
    </w:p>
    <w:p w14:paraId="1BB10D8A" w14:textId="77777777" w:rsidR="008E0B00" w:rsidRPr="008E0B00" w:rsidRDefault="008E0B00" w:rsidP="008E0B00">
      <w:pPr>
        <w:pStyle w:val="EndNoteBibliography"/>
        <w:spacing w:after="0"/>
        <w:ind w:left="720" w:hanging="720"/>
      </w:pPr>
      <w:bookmarkStart w:id="1022" w:name="_ENREF_127"/>
      <w:r w:rsidRPr="008E0B00">
        <w:t xml:space="preserve">Roberts, RO, Bergstralh, EJ, Besse, JA, Lieber, MM &amp; Jacobsen, SJ 2002, 'Trends and risk factors for prostate biopsy complications in the pre-PSA and PSA eras, 1980 to 1997', </w:t>
      </w:r>
      <w:r w:rsidRPr="008E0B00">
        <w:rPr>
          <w:i/>
        </w:rPr>
        <w:t>Urology</w:t>
      </w:r>
      <w:r w:rsidRPr="008E0B00">
        <w:t>, vol.59, pp. 79-84.</w:t>
      </w:r>
      <w:bookmarkEnd w:id="1022"/>
    </w:p>
    <w:p w14:paraId="1285F881" w14:textId="77777777" w:rsidR="008E0B00" w:rsidRPr="008E0B00" w:rsidRDefault="008E0B00" w:rsidP="008E0B00">
      <w:pPr>
        <w:pStyle w:val="EndNoteBibliography"/>
        <w:spacing w:after="0"/>
        <w:ind w:left="720" w:hanging="720"/>
      </w:pPr>
      <w:bookmarkStart w:id="1023" w:name="_ENREF_128"/>
      <w:r w:rsidRPr="008E0B00">
        <w:t xml:space="preserve">Rodriguez, LV &amp; Terris, MK 1998, 'Risks and complications of transrectal ultrasound guided prostate needle biopsy: a prospective study and review of the literature', </w:t>
      </w:r>
      <w:r w:rsidRPr="008E0B00">
        <w:rPr>
          <w:i/>
        </w:rPr>
        <w:t>J Urol</w:t>
      </w:r>
      <w:r w:rsidRPr="008E0B00">
        <w:t>, vol.160, pp. 2115-20.</w:t>
      </w:r>
      <w:bookmarkEnd w:id="1023"/>
    </w:p>
    <w:p w14:paraId="71CC7DDA" w14:textId="77777777" w:rsidR="008E0B00" w:rsidRPr="008E0B00" w:rsidRDefault="008E0B00" w:rsidP="008E0B00">
      <w:pPr>
        <w:pStyle w:val="EndNoteBibliography"/>
        <w:spacing w:after="0"/>
        <w:ind w:left="720" w:hanging="720"/>
      </w:pPr>
      <w:bookmarkStart w:id="1024" w:name="_ENREF_129"/>
      <w:r w:rsidRPr="008E0B00">
        <w:t xml:space="preserve">Rosario, DJ, Lane, JA, Metcalfe, C, Donovan, JL, Doble, A, Goodwin, L, Davis, M, Catto, JW, Avery, K, Neal, DE &amp; Hamdy, FC 2012, 'Short term outcomes of prostate biopsy in men tested for cancer by prostate specific antigen: prospective evaluation within ProtecT study', </w:t>
      </w:r>
      <w:r w:rsidRPr="008E0B00">
        <w:rPr>
          <w:i/>
        </w:rPr>
        <w:t>BMJ</w:t>
      </w:r>
      <w:r w:rsidRPr="008E0B00">
        <w:t>, vol.344, pp. d7894.</w:t>
      </w:r>
      <w:bookmarkEnd w:id="1024"/>
    </w:p>
    <w:p w14:paraId="06ABDF82" w14:textId="77777777" w:rsidR="008E0B00" w:rsidRPr="008E0B00" w:rsidRDefault="008E0B00" w:rsidP="008E0B00">
      <w:pPr>
        <w:pStyle w:val="EndNoteBibliography"/>
        <w:spacing w:after="0"/>
        <w:ind w:left="720" w:hanging="720"/>
      </w:pPr>
      <w:bookmarkStart w:id="1025" w:name="_ENREF_130"/>
      <w:r w:rsidRPr="008E0B00">
        <w:t xml:space="preserve">Rosenkrantz, AB, Ginocchio, LA, Cornfeld, D, Froemming, AT, Gupta, RT, Turkbey, B, Westphalen, AC, Babb, JS &amp; Margolis, DJ 2016, 'Interobserver Reproducibility of the PI-RADS Version 2 Lexicon: A Multicenter Study of Six Experienced Prostate Radiologists', </w:t>
      </w:r>
      <w:r w:rsidRPr="008E0B00">
        <w:rPr>
          <w:i/>
        </w:rPr>
        <w:t>Radiology</w:t>
      </w:r>
      <w:r w:rsidRPr="008E0B00">
        <w:t>, vol.00, pp. 000-00.</w:t>
      </w:r>
      <w:bookmarkEnd w:id="1025"/>
    </w:p>
    <w:p w14:paraId="7B665D9B" w14:textId="77777777" w:rsidR="008E0B00" w:rsidRPr="008E0B00" w:rsidRDefault="008E0B00" w:rsidP="008E0B00">
      <w:pPr>
        <w:pStyle w:val="EndNoteBibliography"/>
        <w:spacing w:after="0"/>
        <w:ind w:left="720" w:hanging="720"/>
      </w:pPr>
      <w:bookmarkStart w:id="1026" w:name="_ENREF_131"/>
      <w:r w:rsidRPr="008E0B00">
        <w:lastRenderedPageBreak/>
        <w:t xml:space="preserve">Rosenkrantz, AB, Lim, RP, Haghighi, M, Somberg, MB, Babb, JS &amp; Taneja, SS 2013a, 'Comparison of interreader reproducibility of the prostate imaging reporting and data system and likert scales for evaluation of multiparametric prostate MRI', </w:t>
      </w:r>
      <w:r w:rsidRPr="008E0B00">
        <w:rPr>
          <w:i/>
        </w:rPr>
        <w:t>Am J Roentgenol</w:t>
      </w:r>
      <w:r w:rsidRPr="008E0B00">
        <w:t>, vol.201, pp. W612-8.</w:t>
      </w:r>
      <w:bookmarkEnd w:id="1026"/>
    </w:p>
    <w:p w14:paraId="2DF3CC89" w14:textId="77777777" w:rsidR="008E0B00" w:rsidRPr="008E0B00" w:rsidRDefault="008E0B00" w:rsidP="008E0B00">
      <w:pPr>
        <w:pStyle w:val="EndNoteBibliography"/>
        <w:spacing w:after="0"/>
        <w:ind w:left="720" w:hanging="720"/>
      </w:pPr>
      <w:bookmarkStart w:id="1027" w:name="_ENREF_132"/>
      <w:r w:rsidRPr="008E0B00">
        <w:t xml:space="preserve">Rosenkrantz, AB &amp; Margolis, DJ 2016, 'Commentary regarding the inter-reader reproducibility of PI-RADS version 2', </w:t>
      </w:r>
      <w:r w:rsidRPr="008E0B00">
        <w:rPr>
          <w:i/>
        </w:rPr>
        <w:t>Abdom Radiol (NY)</w:t>
      </w:r>
      <w:r w:rsidRPr="008E0B00">
        <w:t>, vol.41, pp. 907-9.</w:t>
      </w:r>
      <w:bookmarkEnd w:id="1027"/>
    </w:p>
    <w:p w14:paraId="79E3F0EF" w14:textId="77777777" w:rsidR="008E0B00" w:rsidRPr="008E0B00" w:rsidRDefault="008E0B00" w:rsidP="008E0B00">
      <w:pPr>
        <w:pStyle w:val="EndNoteBibliography"/>
        <w:spacing w:after="0"/>
        <w:ind w:left="720" w:hanging="720"/>
      </w:pPr>
      <w:bookmarkStart w:id="1028" w:name="_ENREF_133"/>
      <w:r w:rsidRPr="008E0B00">
        <w:t xml:space="preserve">Rosenkrantz, AB, Mussi, TC, Borofsky, MS, Scionti, SS, Grasso, M &amp; Taneja, SS 2013b, '3.0 T multiparametric prostate MRI using pelvic phased-array coil: utility for tumor detection prior to biopsy', </w:t>
      </w:r>
      <w:r w:rsidRPr="008E0B00">
        <w:rPr>
          <w:i/>
        </w:rPr>
        <w:t>Urol Oncol</w:t>
      </w:r>
      <w:r w:rsidRPr="008E0B00">
        <w:t>, vol.31, pp. 1430-5.</w:t>
      </w:r>
      <w:bookmarkEnd w:id="1028"/>
    </w:p>
    <w:p w14:paraId="1D6233BC" w14:textId="77777777" w:rsidR="008E0B00" w:rsidRPr="008E0B00" w:rsidRDefault="008E0B00" w:rsidP="008E0B00">
      <w:pPr>
        <w:pStyle w:val="EndNoteBibliography"/>
        <w:spacing w:after="0"/>
        <w:ind w:left="720" w:hanging="720"/>
      </w:pPr>
      <w:bookmarkStart w:id="1029" w:name="_ENREF_134"/>
      <w:r w:rsidRPr="008E0B00">
        <w:t xml:space="preserve">Roth, H, Millar, JL, Cheng, AC, Byrne, A, Evans, S &amp; Grummet, J 2015, 'The state of TRUS biopsy sepsis: readmissions to Victorian hospitals with TRUS biopsy-related infection over 5 years', </w:t>
      </w:r>
      <w:r w:rsidRPr="008E0B00">
        <w:rPr>
          <w:i/>
        </w:rPr>
        <w:t>BJU Int</w:t>
      </w:r>
      <w:r w:rsidRPr="008E0B00">
        <w:t>, vol.116 Suppl 3, pp. 49-53.</w:t>
      </w:r>
      <w:bookmarkEnd w:id="1029"/>
    </w:p>
    <w:p w14:paraId="5EA1B218" w14:textId="77777777" w:rsidR="008E0B00" w:rsidRPr="008E0B00" w:rsidRDefault="008E0B00" w:rsidP="008E0B00">
      <w:pPr>
        <w:pStyle w:val="EndNoteBibliography"/>
        <w:spacing w:after="0"/>
        <w:ind w:left="720" w:hanging="720"/>
      </w:pPr>
      <w:bookmarkStart w:id="1030" w:name="_ENREF_135"/>
      <w:r w:rsidRPr="008E0B00">
        <w:t xml:space="preserve">Rouse, P, Shaw, G, Ahmed, HU, Freeman, A, Allen, C &amp; Emberton, M 2011, 'Multi-parametric magnetic resonance imaging to rule-in and rule-out clinically important prostate cancer in men at risk: a cohort study', </w:t>
      </w:r>
      <w:r w:rsidRPr="008E0B00">
        <w:rPr>
          <w:i/>
        </w:rPr>
        <w:t>Urol Int</w:t>
      </w:r>
      <w:r w:rsidRPr="008E0B00">
        <w:t>, vol.87, pp. 49-53.</w:t>
      </w:r>
      <w:bookmarkEnd w:id="1030"/>
    </w:p>
    <w:p w14:paraId="6C023BED" w14:textId="77777777" w:rsidR="008E0B00" w:rsidRPr="008E0B00" w:rsidRDefault="008E0B00" w:rsidP="008E0B00">
      <w:pPr>
        <w:pStyle w:val="EndNoteBibliography"/>
        <w:spacing w:after="0"/>
        <w:ind w:left="720" w:hanging="720"/>
      </w:pPr>
      <w:bookmarkStart w:id="1031" w:name="_ENREF_136"/>
      <w:r w:rsidRPr="008E0B00">
        <w:t xml:space="preserve">Ruseckaite, R, Beckmann, K, O’Callaghan, M, Roder, D, Moretti, K, Zalcberg, J, Millar, J &amp; Evans, S 2016, 'Development of South Australian-Victorian Prostate Cancer Health Outcomes Research Dataset', </w:t>
      </w:r>
      <w:r w:rsidRPr="008E0B00">
        <w:rPr>
          <w:i/>
        </w:rPr>
        <w:t>BMC Res Notes</w:t>
      </w:r>
      <w:r w:rsidRPr="008E0B00">
        <w:t>, vol.9, pp. 1.</w:t>
      </w:r>
      <w:bookmarkEnd w:id="1031"/>
    </w:p>
    <w:p w14:paraId="380336A1" w14:textId="77777777" w:rsidR="008E0B00" w:rsidRPr="008E0B00" w:rsidRDefault="008E0B00" w:rsidP="008E0B00">
      <w:pPr>
        <w:pStyle w:val="EndNoteBibliography"/>
        <w:spacing w:after="0"/>
        <w:ind w:left="720" w:hanging="720"/>
      </w:pPr>
      <w:bookmarkStart w:id="1032" w:name="_ENREF_137"/>
      <w:r w:rsidRPr="008E0B00">
        <w:t>Rutter, CM &amp; Gatsonis, CA 2001, 'A hierarchical regression approach to meta</w:t>
      </w:r>
      <w:r w:rsidRPr="008E0B00">
        <w:rPr>
          <w:rFonts w:ascii="Cambria Math" w:hAnsi="Cambria Math" w:cs="Cambria Math"/>
        </w:rPr>
        <w:t>‐</w:t>
      </w:r>
      <w:r w:rsidRPr="008E0B00">
        <w:t xml:space="preserve">analysis of diagnostic test accuracy evaluations', </w:t>
      </w:r>
      <w:r w:rsidRPr="008E0B00">
        <w:rPr>
          <w:i/>
        </w:rPr>
        <w:t>Stat Med</w:t>
      </w:r>
      <w:r w:rsidRPr="008E0B00">
        <w:t>, vol.20, pp. 2865-84.</w:t>
      </w:r>
      <w:bookmarkEnd w:id="1032"/>
    </w:p>
    <w:p w14:paraId="18B4186E" w14:textId="77777777" w:rsidR="008E0B00" w:rsidRPr="008E0B00" w:rsidRDefault="008E0B00" w:rsidP="008E0B00">
      <w:pPr>
        <w:pStyle w:val="EndNoteBibliography"/>
        <w:spacing w:after="0"/>
        <w:ind w:left="720" w:hanging="720"/>
      </w:pPr>
      <w:bookmarkStart w:id="1033" w:name="_ENREF_138"/>
      <w:r w:rsidRPr="008E0B00">
        <w:t xml:space="preserve">SA Prostate Cancer Clinical Outcomes Collaborative 2014, </w:t>
      </w:r>
      <w:r w:rsidRPr="008E0B00">
        <w:rPr>
          <w:i/>
        </w:rPr>
        <w:t>SA-PCCOC Annual Report</w:t>
      </w:r>
      <w:r w:rsidRPr="008E0B00">
        <w:t xml:space="preserve">, viewed 1 September 2016, </w:t>
      </w:r>
      <w:bookmarkEnd w:id="1033"/>
    </w:p>
    <w:p w14:paraId="770FF16A" w14:textId="77777777" w:rsidR="008E0B00" w:rsidRPr="008E0B00" w:rsidRDefault="008E0B00" w:rsidP="008E0B00">
      <w:pPr>
        <w:pStyle w:val="EndNoteBibliography"/>
        <w:spacing w:after="0"/>
        <w:ind w:left="720" w:hanging="720"/>
      </w:pPr>
      <w:bookmarkStart w:id="1034" w:name="_ENREF_139"/>
      <w:r w:rsidRPr="008E0B00">
        <w:t xml:space="preserve">Sahibzada, I, Batura, D &amp; Hellawell, G 2016, 'Validating multiparametric MRI for diagnosis and monitoring of prostate cancer in patients for active surveillance', </w:t>
      </w:r>
      <w:r w:rsidRPr="008E0B00">
        <w:rPr>
          <w:i/>
        </w:rPr>
        <w:t>Int Urol Nephrol</w:t>
      </w:r>
      <w:r w:rsidRPr="008E0B00">
        <w:t>, vol.48, pp. 529-33.</w:t>
      </w:r>
      <w:bookmarkEnd w:id="1034"/>
    </w:p>
    <w:p w14:paraId="687A1FAE" w14:textId="77777777" w:rsidR="008E0B00" w:rsidRPr="008E0B00" w:rsidRDefault="008E0B00" w:rsidP="008E0B00">
      <w:pPr>
        <w:pStyle w:val="EndNoteBibliography"/>
        <w:spacing w:after="0"/>
        <w:ind w:left="720" w:hanging="720"/>
      </w:pPr>
      <w:bookmarkStart w:id="1035" w:name="_ENREF_140"/>
      <w:r w:rsidRPr="008E0B00">
        <w:t xml:space="preserve">Sahin, C, Eryildirim, B, Cetinel, AC, Faydaci, G, Narter, F, Goktas, C &amp; Sarica, K 2015, 'Does metabolic syndrome increase the risk of infective complications after prostate biopsy? A critical evaluation', </w:t>
      </w:r>
      <w:r w:rsidRPr="008E0B00">
        <w:rPr>
          <w:i/>
        </w:rPr>
        <w:t>Int Urol Nephrol</w:t>
      </w:r>
      <w:r w:rsidRPr="008E0B00">
        <w:t>, vol.47, pp. 423-29.</w:t>
      </w:r>
      <w:bookmarkEnd w:id="1035"/>
    </w:p>
    <w:p w14:paraId="246D5DA9" w14:textId="421B99F2" w:rsidR="008E0B00" w:rsidRPr="008E0B00" w:rsidRDefault="008E0B00" w:rsidP="008E0B00">
      <w:pPr>
        <w:pStyle w:val="EndNoteBibliography"/>
        <w:spacing w:after="0"/>
        <w:ind w:left="720" w:hanging="720"/>
      </w:pPr>
      <w:bookmarkStart w:id="1036" w:name="_ENREF_141"/>
      <w:r w:rsidRPr="008E0B00">
        <w:t xml:space="preserve">Sampurno, F, Evans, S &amp; (eds) for the Victorian Prostate Cancer Clinical Registry Steering Committee 2015, </w:t>
      </w:r>
      <w:r w:rsidRPr="008E0B00">
        <w:rPr>
          <w:i/>
        </w:rPr>
        <w:t>Victorian Prostate Cancer Clinical Registry - Five Year Report</w:t>
      </w:r>
      <w:r w:rsidRPr="008E0B00">
        <w:t>, Monash University, Melbourne, Victoria., viewed &lt;</w:t>
      </w:r>
      <w:r w:rsidRPr="00B45511">
        <w:t>http://pcr.registry.org.au/Home.aspx&gt;</w:t>
      </w:r>
      <w:r w:rsidRPr="008E0B00">
        <w:t>.</w:t>
      </w:r>
      <w:bookmarkEnd w:id="1036"/>
    </w:p>
    <w:p w14:paraId="5A352F7B" w14:textId="77777777" w:rsidR="008E0B00" w:rsidRPr="008E0B00" w:rsidRDefault="008E0B00" w:rsidP="008E0B00">
      <w:pPr>
        <w:pStyle w:val="EndNoteBibliography"/>
        <w:spacing w:after="0"/>
        <w:ind w:left="720" w:hanging="720"/>
      </w:pPr>
      <w:bookmarkStart w:id="1037" w:name="_ENREF_142"/>
      <w:r w:rsidRPr="008E0B00">
        <w:t xml:space="preserve">Schenck, JF. 2001a, </w:t>
      </w:r>
      <w:r w:rsidRPr="008E0B00">
        <w:rPr>
          <w:i/>
        </w:rPr>
        <w:t xml:space="preserve">Health effects and safety of static magnetic fields. </w:t>
      </w:r>
      <w:r w:rsidRPr="008E0B00">
        <w:t xml:space="preserve">, Magnetic resonance procedures: health effects and safety., CRC Press, </w:t>
      </w:r>
      <w:bookmarkEnd w:id="1037"/>
    </w:p>
    <w:p w14:paraId="7C8037A2" w14:textId="77777777" w:rsidR="008E0B00" w:rsidRPr="008E0B00" w:rsidRDefault="008E0B00" w:rsidP="008E0B00">
      <w:pPr>
        <w:pStyle w:val="EndNoteBibliography"/>
        <w:spacing w:after="0"/>
        <w:ind w:left="720" w:hanging="720"/>
      </w:pPr>
      <w:bookmarkStart w:id="1038" w:name="_ENREF_143"/>
      <w:r w:rsidRPr="008E0B00">
        <w:t xml:space="preserve">Schenck, JF 2001b, 'Health effects and safety of static magnetic fields. In: Shellock FG, ed. Magnetic resonance procedures: health effects and safety. Boca Raton, FL: CRC Press, 2001; pp. 1-30.', vol., pp. </w:t>
      </w:r>
      <w:bookmarkEnd w:id="1038"/>
    </w:p>
    <w:p w14:paraId="7D2F1D6B" w14:textId="77777777" w:rsidR="008E0B00" w:rsidRPr="008E0B00" w:rsidRDefault="008E0B00" w:rsidP="008E0B00">
      <w:pPr>
        <w:pStyle w:val="EndNoteBibliography"/>
        <w:spacing w:after="0"/>
        <w:ind w:left="720" w:hanging="720"/>
      </w:pPr>
      <w:bookmarkStart w:id="1039" w:name="_ENREF_144"/>
      <w:r w:rsidRPr="008E0B00">
        <w:t xml:space="preserve">Schoots, IG, Roobol, MJ, Nieboer, D, Bangma, CH, Steyerberg, EW &amp; Hunink, MG 2015, 'Magnetic resonance imaging-targeted biopsy may enhance the diagnostic accuracy of significant prostate cancer detection compared to standard transrectal ultrasound-guided biopsy: a systematic review and meta-analysis', </w:t>
      </w:r>
      <w:r w:rsidRPr="008E0B00">
        <w:rPr>
          <w:i/>
        </w:rPr>
        <w:t>Eur Urol</w:t>
      </w:r>
      <w:r w:rsidRPr="008E0B00">
        <w:t>, vol.68, pp. 438-50.</w:t>
      </w:r>
      <w:bookmarkEnd w:id="1039"/>
    </w:p>
    <w:p w14:paraId="72A48411" w14:textId="77777777" w:rsidR="008E0B00" w:rsidRPr="008E0B00" w:rsidRDefault="008E0B00" w:rsidP="008E0B00">
      <w:pPr>
        <w:pStyle w:val="EndNoteBibliography"/>
        <w:spacing w:after="0"/>
        <w:ind w:left="720" w:hanging="720"/>
      </w:pPr>
      <w:bookmarkStart w:id="1040" w:name="_ENREF_145"/>
      <w:r w:rsidRPr="008E0B00">
        <w:t xml:space="preserve">Shea, BJ, Grimshaw, JM, Wells, GA, Boers, M, Andersson, N, Hamel, C, Porter, AC, Tugwell, P, Moher, D &amp; Bouter, LM 2007, 'Development of AMSTAR: a measurement tool to assess the methodological quality of systematic reviews', </w:t>
      </w:r>
      <w:r w:rsidRPr="008E0B00">
        <w:rPr>
          <w:i/>
        </w:rPr>
        <w:t>BMC Med Res Methodol</w:t>
      </w:r>
      <w:r w:rsidRPr="008E0B00">
        <w:t>, vol.7, pp. 10.</w:t>
      </w:r>
      <w:bookmarkEnd w:id="1040"/>
    </w:p>
    <w:p w14:paraId="4165D5E8" w14:textId="77777777" w:rsidR="008E0B00" w:rsidRPr="008E0B00" w:rsidRDefault="008E0B00" w:rsidP="008E0B00">
      <w:pPr>
        <w:pStyle w:val="EndNoteBibliography"/>
        <w:spacing w:after="0"/>
        <w:ind w:left="720" w:hanging="720"/>
      </w:pPr>
      <w:bookmarkStart w:id="1041" w:name="_ENREF_146"/>
      <w:r w:rsidRPr="008E0B00">
        <w:t xml:space="preserve">Shellock FG. 2001, </w:t>
      </w:r>
      <w:r w:rsidRPr="008E0B00">
        <w:rPr>
          <w:i/>
        </w:rPr>
        <w:t>Magnetic resonance procedures: health effects and safety</w:t>
      </w:r>
      <w:r w:rsidRPr="008E0B00">
        <w:t>, CRC Press, Boca Raton Florida, 1-30.</w:t>
      </w:r>
      <w:bookmarkEnd w:id="1041"/>
    </w:p>
    <w:p w14:paraId="58B7E22C" w14:textId="77777777" w:rsidR="008E0B00" w:rsidRPr="008E0B00" w:rsidRDefault="008E0B00" w:rsidP="008E0B00">
      <w:pPr>
        <w:pStyle w:val="EndNoteBibliography"/>
        <w:spacing w:after="0"/>
        <w:ind w:left="720" w:hanging="720"/>
      </w:pPr>
      <w:bookmarkStart w:id="1042" w:name="_ENREF_147"/>
      <w:r w:rsidRPr="008E0B00">
        <w:t xml:space="preserve">Shen, PF, Zhu, YC, Wei, WR, Li, YZ, Yang, J, Li, YT, Li, DM, Wang, J &amp; Zeng, H 2012, 'The results of transperineal versus transrectal prostate biopsy: A systematic review and meta-analysis', </w:t>
      </w:r>
      <w:r w:rsidRPr="008E0B00">
        <w:rPr>
          <w:i/>
        </w:rPr>
        <w:t>Asian J Androl</w:t>
      </w:r>
      <w:r w:rsidRPr="008E0B00">
        <w:t>, vol.14, pp. 310-15.</w:t>
      </w:r>
      <w:bookmarkEnd w:id="1042"/>
    </w:p>
    <w:p w14:paraId="2C07703E" w14:textId="77777777" w:rsidR="008E0B00" w:rsidRPr="008E0B00" w:rsidRDefault="008E0B00" w:rsidP="008E0B00">
      <w:pPr>
        <w:pStyle w:val="EndNoteBibliography"/>
        <w:spacing w:after="0"/>
        <w:ind w:left="720" w:hanging="720"/>
      </w:pPr>
      <w:bookmarkStart w:id="1043" w:name="_ENREF_148"/>
      <w:r w:rsidRPr="008E0B00">
        <w:t xml:space="preserve">Siddiqui, MM, Truong, H, Rais-Bahrami, S, Stamatakis, L, Logan, J, Walton-Diaz, A, Turkbey, B, Choyke, PL, Wood, BJ, Simon, RM &amp; Pinto, PA 2015, 'Clinical implications of a </w:t>
      </w:r>
      <w:r w:rsidRPr="008E0B00">
        <w:lastRenderedPageBreak/>
        <w:t xml:space="preserve">multiparametric magnetic resonance imaging based nomogram applied to prostate cancer active surveillance', </w:t>
      </w:r>
      <w:r w:rsidRPr="008E0B00">
        <w:rPr>
          <w:i/>
        </w:rPr>
        <w:t>J Urol</w:t>
      </w:r>
      <w:r w:rsidRPr="008E0B00">
        <w:t>, vol.193, pp. 1943-9.</w:t>
      </w:r>
      <w:bookmarkEnd w:id="1043"/>
    </w:p>
    <w:p w14:paraId="06912049" w14:textId="77777777" w:rsidR="008E0B00" w:rsidRPr="008E0B00" w:rsidRDefault="008E0B00" w:rsidP="008E0B00">
      <w:pPr>
        <w:pStyle w:val="EndNoteBibliography"/>
        <w:spacing w:after="0"/>
        <w:ind w:left="720" w:hanging="720"/>
      </w:pPr>
      <w:bookmarkStart w:id="1044" w:name="_ENREF_149"/>
      <w:r w:rsidRPr="008E0B00">
        <w:t xml:space="preserve">Simpkin, AJ, Tilling, K, Martin, RM, Lane, JA, Hamdy, FC, Holmberg, L, Neal, DE, Metcalfe, C &amp; Donovan, JL 2015, 'Systematic review and meta-analysis of factors determining change to radical treatment in active surveillance for localized prostate cancer', </w:t>
      </w:r>
      <w:r w:rsidRPr="008E0B00">
        <w:rPr>
          <w:i/>
        </w:rPr>
        <w:t>Eur Urol</w:t>
      </w:r>
      <w:r w:rsidRPr="008E0B00">
        <w:t>, vol.67, pp. 993-1005.</w:t>
      </w:r>
      <w:bookmarkEnd w:id="1044"/>
    </w:p>
    <w:p w14:paraId="4B1DC101" w14:textId="77777777" w:rsidR="008E0B00" w:rsidRPr="008E0B00" w:rsidRDefault="008E0B00" w:rsidP="008E0B00">
      <w:pPr>
        <w:pStyle w:val="EndNoteBibliography"/>
        <w:spacing w:after="0"/>
        <w:ind w:left="720" w:hanging="720"/>
      </w:pPr>
      <w:bookmarkStart w:id="1045" w:name="_ENREF_150"/>
      <w:r w:rsidRPr="008E0B00">
        <w:t xml:space="preserve">Simsir, A, Kismali, E, Mammadov, R, Gunaydin, G &amp; Cal, C 2010, 'Is it possible to predict sepsis, the most serious complication in prostate biopsy?', </w:t>
      </w:r>
      <w:r w:rsidRPr="008E0B00">
        <w:rPr>
          <w:i/>
        </w:rPr>
        <w:t>Urol Int</w:t>
      </w:r>
      <w:r w:rsidRPr="008E0B00">
        <w:t>, vol.84, pp. 395-9.</w:t>
      </w:r>
      <w:bookmarkEnd w:id="1045"/>
    </w:p>
    <w:p w14:paraId="53DCF72E" w14:textId="77777777" w:rsidR="008E0B00" w:rsidRPr="008E0B00" w:rsidRDefault="008E0B00" w:rsidP="008E0B00">
      <w:pPr>
        <w:pStyle w:val="EndNoteBibliography"/>
        <w:spacing w:after="0"/>
        <w:ind w:left="720" w:hanging="720"/>
      </w:pPr>
      <w:bookmarkStart w:id="1046" w:name="_ENREF_151"/>
      <w:r w:rsidRPr="008E0B00">
        <w:t xml:space="preserve">Smith, DP, King, MT, Egger, S, Berry, MP, Stricker, PD, Cozzi, P, Ward, J, O'Connell, DL &amp; Armstrong, BK 2009, 'Quality of life three years after diagnosis of localised prostate cancer: population based cohort study', </w:t>
      </w:r>
      <w:r w:rsidRPr="008E0B00">
        <w:rPr>
          <w:i/>
        </w:rPr>
        <w:t>BMJ</w:t>
      </w:r>
      <w:r w:rsidRPr="008E0B00">
        <w:t>, vol.339, pp. b4817.</w:t>
      </w:r>
      <w:bookmarkEnd w:id="1046"/>
    </w:p>
    <w:p w14:paraId="481902F5" w14:textId="77777777" w:rsidR="008E0B00" w:rsidRPr="008E0B00" w:rsidRDefault="008E0B00" w:rsidP="008E0B00">
      <w:pPr>
        <w:pStyle w:val="EndNoteBibliography"/>
        <w:spacing w:after="0"/>
        <w:ind w:left="720" w:hanging="720"/>
      </w:pPr>
      <w:bookmarkStart w:id="1047" w:name="_ENREF_152"/>
      <w:r w:rsidRPr="008E0B00">
        <w:t xml:space="preserve">Solberg, A, Widmark, A, Tasdemir, I, Ahlgren, G &amp; Angelsen, A 2011, 'Side-effects of post-treatment biopsies in prostate cancer patients treated with endocrine therapy alone or combined with radical radiotherapy in the Scandinavian Prostate Cancer Group-7 randomized trial', </w:t>
      </w:r>
      <w:r w:rsidRPr="008E0B00">
        <w:rPr>
          <w:i/>
        </w:rPr>
        <w:t>Scandinavian J Urol Nephrol</w:t>
      </w:r>
      <w:r w:rsidRPr="008E0B00">
        <w:t>, vol.45, pp. 233-38.</w:t>
      </w:r>
      <w:bookmarkEnd w:id="1047"/>
    </w:p>
    <w:p w14:paraId="521F91B9" w14:textId="77777777" w:rsidR="008E0B00" w:rsidRPr="008E0B00" w:rsidRDefault="008E0B00" w:rsidP="008E0B00">
      <w:pPr>
        <w:pStyle w:val="EndNoteBibliography"/>
        <w:spacing w:after="0"/>
        <w:ind w:left="720" w:hanging="720"/>
      </w:pPr>
      <w:bookmarkStart w:id="1048" w:name="_ENREF_153"/>
      <w:r w:rsidRPr="008E0B00">
        <w:t xml:space="preserve">Stamatakis, L, Siddiqui, MM, Nix, JW, Logan, J, Rais-Bahrami, S, Walton-Diaz, A, Hoang, AN, Vourganti, S, Truong, H, Shuch, B, Parnes, HL, Turkbey, B, Choyke, PL, Wood, BJ, Simon, RM &amp; Pinto, PA 2013, 'Accuracy of multiparametric magnetic resonance imaging in confirming eligibility for active surveillance for men with prostate cancer', </w:t>
      </w:r>
      <w:r w:rsidRPr="008E0B00">
        <w:rPr>
          <w:i/>
        </w:rPr>
        <w:t>Cancer</w:t>
      </w:r>
      <w:r w:rsidRPr="008E0B00">
        <w:t>, vol.119, pp. 3359-66.</w:t>
      </w:r>
      <w:bookmarkEnd w:id="1048"/>
    </w:p>
    <w:p w14:paraId="79F4B5AE" w14:textId="77777777" w:rsidR="008E0B00" w:rsidRPr="008E0B00" w:rsidRDefault="008E0B00" w:rsidP="008E0B00">
      <w:pPr>
        <w:pStyle w:val="EndNoteBibliography"/>
        <w:spacing w:after="0"/>
        <w:ind w:left="720" w:hanging="720"/>
      </w:pPr>
      <w:bookmarkStart w:id="1049" w:name="_ENREF_154"/>
      <w:r w:rsidRPr="008E0B00">
        <w:t xml:space="preserve">Stewart, ST, Lenert, L, Bhatnagar, V &amp; Kaplan, RM 2005, 'Utilities for prostate cancer health states in men aged 60 and older', </w:t>
      </w:r>
      <w:r w:rsidRPr="008E0B00">
        <w:rPr>
          <w:i/>
        </w:rPr>
        <w:t>Med Care</w:t>
      </w:r>
      <w:r w:rsidRPr="008E0B00">
        <w:t>, vol.43, pp. 347-55.</w:t>
      </w:r>
      <w:bookmarkEnd w:id="1049"/>
    </w:p>
    <w:p w14:paraId="7EDCC77D" w14:textId="77777777" w:rsidR="008E0B00" w:rsidRPr="008E0B00" w:rsidRDefault="008E0B00" w:rsidP="008E0B00">
      <w:pPr>
        <w:pStyle w:val="EndNoteBibliography"/>
        <w:spacing w:after="0"/>
        <w:ind w:left="720" w:hanging="720"/>
      </w:pPr>
      <w:bookmarkStart w:id="1050" w:name="_ENREF_155"/>
      <w:r w:rsidRPr="008E0B00">
        <w:t xml:space="preserve">Stock, C, Hruza, M, Cresswell, J &amp; Rassweiler, JJ 2008, 'Transrectal ultrasound-guided biopsy of the prostate: development of the procedure, current clinical practice, and introduction of self-embedding as a new way of processing biopsy cores', </w:t>
      </w:r>
      <w:r w:rsidRPr="008E0B00">
        <w:rPr>
          <w:i/>
        </w:rPr>
        <w:t>J Endourol</w:t>
      </w:r>
      <w:r w:rsidRPr="008E0B00">
        <w:t>, vol.22, pp. 1321-29.</w:t>
      </w:r>
      <w:bookmarkEnd w:id="1050"/>
    </w:p>
    <w:p w14:paraId="3E9599B7" w14:textId="77777777" w:rsidR="008E0B00" w:rsidRPr="008E0B00" w:rsidRDefault="008E0B00" w:rsidP="008E0B00">
      <w:pPr>
        <w:pStyle w:val="EndNoteBibliography"/>
        <w:spacing w:after="0"/>
        <w:ind w:left="720" w:hanging="720"/>
      </w:pPr>
      <w:bookmarkStart w:id="1051" w:name="_ENREF_156"/>
      <w:r w:rsidRPr="008E0B00">
        <w:t xml:space="preserve">Sullivan, PW, Mulani, PM, Fishman, M &amp; Sleep, D 2007, 'Quality of life findings from a multicenter, multinational, observational study of patients with metastatic hormone-refractory prostate cancer', </w:t>
      </w:r>
      <w:r w:rsidRPr="008E0B00">
        <w:rPr>
          <w:i/>
        </w:rPr>
        <w:t>Qual Life Res</w:t>
      </w:r>
      <w:r w:rsidRPr="008E0B00">
        <w:t>, vol.16, pp. 571-5.</w:t>
      </w:r>
      <w:bookmarkEnd w:id="1051"/>
    </w:p>
    <w:p w14:paraId="11D0422C" w14:textId="77777777" w:rsidR="008E0B00" w:rsidRPr="008E0B00" w:rsidRDefault="008E0B00" w:rsidP="008E0B00">
      <w:pPr>
        <w:pStyle w:val="EndNoteBibliography"/>
        <w:spacing w:after="0"/>
        <w:ind w:left="720" w:hanging="720"/>
      </w:pPr>
      <w:bookmarkStart w:id="1052" w:name="_ENREF_157"/>
      <w:r w:rsidRPr="008E0B00">
        <w:t xml:space="preserve">Sun, M, Abdollah, F, Hansen, J, Trinh, QD, Bianchi, M, Tian, Z, Briganti, A, Shariat, SF, Montorsi, F, Perrotte, P &amp; Karakiewicz, PI 2012, 'Is a treatment delay in radical prostatectomy safe in individuals with low-risk prostate cancer?', </w:t>
      </w:r>
      <w:r w:rsidRPr="008E0B00">
        <w:rPr>
          <w:i/>
        </w:rPr>
        <w:t>J Sex Med</w:t>
      </w:r>
      <w:r w:rsidRPr="008E0B00">
        <w:t>, vol.9, pp. 2961-9.</w:t>
      </w:r>
      <w:bookmarkEnd w:id="1052"/>
    </w:p>
    <w:p w14:paraId="52454717" w14:textId="77777777" w:rsidR="008E0B00" w:rsidRPr="008E0B00" w:rsidRDefault="008E0B00" w:rsidP="008E0B00">
      <w:pPr>
        <w:pStyle w:val="EndNoteBibliography"/>
        <w:spacing w:after="0"/>
        <w:ind w:left="720" w:hanging="720"/>
      </w:pPr>
      <w:bookmarkStart w:id="1053" w:name="_ENREF_158"/>
      <w:r w:rsidRPr="008E0B00">
        <w:t xml:space="preserve">Suzuki, M, Kawakami, S, Asano, T, Masuda, H, Saito, K, Koga, F, Fujii, Y &amp; Kihara, K 2009, 'Safety of transperineal 14-core systematic prostate biopsy in diabetic men', </w:t>
      </w:r>
      <w:r w:rsidRPr="008E0B00">
        <w:rPr>
          <w:i/>
        </w:rPr>
        <w:t>Int J Urol</w:t>
      </w:r>
      <w:r w:rsidRPr="008E0B00">
        <w:t>, vol.16, pp. 930-5.</w:t>
      </w:r>
      <w:bookmarkEnd w:id="1053"/>
    </w:p>
    <w:p w14:paraId="051924EA" w14:textId="77777777" w:rsidR="008E0B00" w:rsidRPr="008E0B00" w:rsidRDefault="008E0B00" w:rsidP="008E0B00">
      <w:pPr>
        <w:pStyle w:val="EndNoteBibliography"/>
        <w:spacing w:after="0"/>
        <w:ind w:left="720" w:hanging="720"/>
      </w:pPr>
      <w:bookmarkStart w:id="1054" w:name="_ENREF_159"/>
      <w:r w:rsidRPr="008E0B00">
        <w:t xml:space="preserve">Tamada, T, Sone, T, Higashi, H, Jo, Y, Yamamoto, A, Kanki, A &amp; Ito, K 2011, 'Prostate cancer detection in patients with total serum prostate-specific antigen levels of 4–10 ng/mL: diagnostic efficacy of diffusion-weighted imaging, dynamic contrast-enhanced MRI, and T2-weighted imaging', </w:t>
      </w:r>
      <w:r w:rsidRPr="008E0B00">
        <w:rPr>
          <w:i/>
        </w:rPr>
        <w:t>Am J Roentgenol</w:t>
      </w:r>
      <w:r w:rsidRPr="008E0B00">
        <w:t>, vol.197, pp. 664-70.</w:t>
      </w:r>
      <w:bookmarkEnd w:id="1054"/>
    </w:p>
    <w:p w14:paraId="19DEF403" w14:textId="77777777" w:rsidR="008E0B00" w:rsidRPr="008E0B00" w:rsidRDefault="008E0B00" w:rsidP="008E0B00">
      <w:pPr>
        <w:pStyle w:val="EndNoteBibliography"/>
        <w:spacing w:after="0"/>
        <w:ind w:left="720" w:hanging="720"/>
      </w:pPr>
      <w:bookmarkStart w:id="1055" w:name="_ENREF_160"/>
      <w:r w:rsidRPr="008E0B00">
        <w:t xml:space="preserve">Tanimoto, A, Nakashima, J, Kohno, H, Shinmoto, H &amp; Kuribayashi, S 2007, 'Prostate cancer screening: the clinical value of diffusion-weighted imaging and dynamic MR imaging in combination with T2-weighted imaging', </w:t>
      </w:r>
      <w:r w:rsidRPr="008E0B00">
        <w:rPr>
          <w:i/>
        </w:rPr>
        <w:t>J Magn Reson Imaging</w:t>
      </w:r>
      <w:r w:rsidRPr="008E0B00">
        <w:t>, vol.25, pp. 146-52.</w:t>
      </w:r>
      <w:bookmarkEnd w:id="1055"/>
    </w:p>
    <w:p w14:paraId="23CFA919" w14:textId="77777777" w:rsidR="008E0B00" w:rsidRPr="008E0B00" w:rsidRDefault="008E0B00" w:rsidP="008E0B00">
      <w:pPr>
        <w:pStyle w:val="EndNoteBibliography"/>
        <w:spacing w:after="0"/>
        <w:ind w:left="720" w:hanging="720"/>
      </w:pPr>
      <w:bookmarkStart w:id="1056" w:name="_ENREF_161"/>
      <w:r w:rsidRPr="008E0B00">
        <w:t xml:space="preserve">Thompson, JE, Moses, D, Shnier, R, Brenner, P, Delprado, W, Ponsky, L, Pulbrook, M, Bohm, M, Haynes, AM, Hayen, A &amp; Stricker, PD 2014, 'Multiparametric magnetic resonance imaging guided diagnostic biopsy detects significant prostate cancer and could reduce unnecessary biopsies and over detection: a prospective study', </w:t>
      </w:r>
      <w:r w:rsidRPr="008E0B00">
        <w:rPr>
          <w:i/>
        </w:rPr>
        <w:t>J Urol</w:t>
      </w:r>
      <w:r w:rsidRPr="008E0B00">
        <w:t>, vol.192, pp. 67-74.</w:t>
      </w:r>
      <w:bookmarkEnd w:id="1056"/>
    </w:p>
    <w:p w14:paraId="64D0C579" w14:textId="77777777" w:rsidR="008E0B00" w:rsidRPr="008E0B00" w:rsidRDefault="008E0B00" w:rsidP="008E0B00">
      <w:pPr>
        <w:pStyle w:val="EndNoteBibliography"/>
        <w:spacing w:after="0"/>
        <w:ind w:left="720" w:hanging="720"/>
      </w:pPr>
      <w:bookmarkStart w:id="1057" w:name="_ENREF_162"/>
      <w:r w:rsidRPr="008E0B00">
        <w:t xml:space="preserve">Thompson, JE, van Leeuwen, PJ, Moses, D, Shnier, R, Brenner, P, Delprado, W, Pulbrook, M, Bohm, M, Haynes, AM, Hayen, A &amp; Stricker, PD 2016, 'The Diagnostic Performance of </w:t>
      </w:r>
      <w:r w:rsidRPr="008E0B00">
        <w:lastRenderedPageBreak/>
        <w:t xml:space="preserve">Multiparametric Magnetic Resonance Imaging to Detect Significant Prostate Cancer', </w:t>
      </w:r>
      <w:r w:rsidRPr="008E0B00">
        <w:rPr>
          <w:i/>
        </w:rPr>
        <w:t>J Urol</w:t>
      </w:r>
      <w:r w:rsidRPr="008E0B00">
        <w:t>, vol.195, pp. 1428-35.</w:t>
      </w:r>
      <w:bookmarkEnd w:id="1057"/>
    </w:p>
    <w:p w14:paraId="5717F118" w14:textId="77777777" w:rsidR="008E0B00" w:rsidRPr="008E0B00" w:rsidRDefault="008E0B00" w:rsidP="008E0B00">
      <w:pPr>
        <w:pStyle w:val="EndNoteBibliography"/>
        <w:spacing w:after="0"/>
        <w:ind w:left="720" w:hanging="720"/>
      </w:pPr>
      <w:bookmarkStart w:id="1058" w:name="_ENREF_163"/>
      <w:r w:rsidRPr="008E0B00">
        <w:t xml:space="preserve">Thorpe, S, Salkovskis, PM &amp; Dittner, A 2008, 'Claustrophobia in MRI: the role of cognitions', </w:t>
      </w:r>
      <w:r w:rsidRPr="008E0B00">
        <w:rPr>
          <w:i/>
        </w:rPr>
        <w:t>Magn Reson Imaging</w:t>
      </w:r>
      <w:r w:rsidRPr="008E0B00">
        <w:t>, vol.26, pp. 1081-8.</w:t>
      </w:r>
      <w:bookmarkEnd w:id="1058"/>
    </w:p>
    <w:p w14:paraId="14447718" w14:textId="77777777" w:rsidR="008E0B00" w:rsidRPr="008E0B00" w:rsidRDefault="008E0B00" w:rsidP="008E0B00">
      <w:pPr>
        <w:pStyle w:val="EndNoteBibliography"/>
        <w:spacing w:after="0"/>
        <w:ind w:left="720" w:hanging="720"/>
      </w:pPr>
      <w:bookmarkStart w:id="1059" w:name="_ENREF_164"/>
      <w:r w:rsidRPr="008E0B00">
        <w:t xml:space="preserve">Tonttila, PP, Lantto, J, Paakko, E, Piippo, U, Kauppila, S, Lammentausta, E, Ohtonen, P &amp; Vaarala, MH 2016, 'Prebiopsy multiparametric magnetic resonance imaging for prostate cancer diagnosis in biopsy-naive men with suspected prostate cancer based on elevated prostate-specific antigen values: results from a randomized prospective blinded controlled trial', </w:t>
      </w:r>
      <w:r w:rsidRPr="008E0B00">
        <w:rPr>
          <w:i/>
        </w:rPr>
        <w:t>Eur Urol</w:t>
      </w:r>
      <w:r w:rsidRPr="008E0B00">
        <w:t>, vol.69, pp. 419-25.</w:t>
      </w:r>
      <w:bookmarkEnd w:id="1059"/>
    </w:p>
    <w:p w14:paraId="1FCF7DBD" w14:textId="77777777" w:rsidR="008E0B00" w:rsidRPr="008E0B00" w:rsidRDefault="008E0B00" w:rsidP="008E0B00">
      <w:pPr>
        <w:pStyle w:val="EndNoteBibliography"/>
        <w:spacing w:after="0"/>
        <w:ind w:left="720" w:hanging="720"/>
      </w:pPr>
      <w:bookmarkStart w:id="1060" w:name="_ENREF_165"/>
      <w:r w:rsidRPr="008E0B00">
        <w:t xml:space="preserve">Utrera, NM, Alvarez, MB, Polo, JM, Sanchez, AT, Martinez, JP &amp; Gonzalez, RD 2011a, 'Infectious complications after transrectal ultrasound-guided prostatic biopsy. Analysis of our experience', </w:t>
      </w:r>
      <w:r w:rsidRPr="008E0B00">
        <w:rPr>
          <w:i/>
        </w:rPr>
        <w:t>Arch Esp Urol</w:t>
      </w:r>
      <w:r w:rsidRPr="008E0B00">
        <w:t>, vol.64, pp. 605-10.</w:t>
      </w:r>
      <w:bookmarkEnd w:id="1060"/>
    </w:p>
    <w:p w14:paraId="5F037C5E" w14:textId="77777777" w:rsidR="008E0B00" w:rsidRPr="008E0B00" w:rsidRDefault="008E0B00" w:rsidP="008E0B00">
      <w:pPr>
        <w:pStyle w:val="EndNoteBibliography"/>
        <w:spacing w:after="0"/>
        <w:ind w:left="720" w:hanging="720"/>
      </w:pPr>
      <w:bookmarkStart w:id="1061" w:name="_ENREF_166"/>
      <w:r w:rsidRPr="008E0B00">
        <w:t xml:space="preserve">Utrera, NM, Sanchez, AT, Rodriguez-Antolin, A, Martin-Parada, A, Lora, D, Passas, J &amp; Gonzalez, RD 2011b, 'Saturation biopsies for prostate cancer detection: Effectiveness, safety and predictive factors', </w:t>
      </w:r>
      <w:r w:rsidRPr="008E0B00">
        <w:rPr>
          <w:i/>
        </w:rPr>
        <w:t>Arch Esp Urol</w:t>
      </w:r>
      <w:r w:rsidRPr="008E0B00">
        <w:t>, vol.64, pp. 421-26.</w:t>
      </w:r>
      <w:bookmarkEnd w:id="1061"/>
    </w:p>
    <w:p w14:paraId="26503B5B" w14:textId="77777777" w:rsidR="008E0B00" w:rsidRPr="008E0B00" w:rsidRDefault="008E0B00" w:rsidP="008E0B00">
      <w:pPr>
        <w:pStyle w:val="EndNoteBibliography"/>
        <w:spacing w:after="0"/>
        <w:ind w:left="720" w:hanging="720"/>
      </w:pPr>
      <w:bookmarkStart w:id="1062" w:name="_ENREF_167"/>
      <w:r w:rsidRPr="008E0B00">
        <w:t xml:space="preserve">van den Bergh, RC, Albertsen, PC, Bangma, CH, Freedland, SJ, Graefen, M, Vickers, A &amp; van der Poel, HG 2013, 'Timing of curative treatment for prostate cancer: a systematic review', </w:t>
      </w:r>
      <w:r w:rsidRPr="008E0B00">
        <w:rPr>
          <w:i/>
        </w:rPr>
        <w:t>Eur Urol</w:t>
      </w:r>
      <w:r w:rsidRPr="008E0B00">
        <w:t>, vol.64, pp. 204-15.</w:t>
      </w:r>
      <w:bookmarkEnd w:id="1062"/>
    </w:p>
    <w:p w14:paraId="5CB54A85" w14:textId="77777777" w:rsidR="008E0B00" w:rsidRPr="008E0B00" w:rsidRDefault="008E0B00" w:rsidP="008E0B00">
      <w:pPr>
        <w:pStyle w:val="EndNoteBibliography"/>
        <w:spacing w:after="0"/>
        <w:ind w:left="720" w:hanging="720"/>
      </w:pPr>
      <w:bookmarkStart w:id="1063" w:name="_ENREF_168"/>
      <w:r w:rsidRPr="008E0B00">
        <w:t xml:space="preserve">van den Bergh, RC, Steyerberg, EW, Khatami, A, Aus, G, Pihl, CG, Wolters, T, van Leeuwen, PJ, Roobol, MJ, Schroder, FH &amp; Hugosson, J 2010, 'Is delayed radical prostatectomy in men with low-risk screen-detected prostate cancer associated with a higher risk of unfavorable outcomes?', </w:t>
      </w:r>
      <w:r w:rsidRPr="008E0B00">
        <w:rPr>
          <w:i/>
        </w:rPr>
        <w:t>Cancer</w:t>
      </w:r>
      <w:r w:rsidRPr="008E0B00">
        <w:t>, vol.116, pp. 1281-90.</w:t>
      </w:r>
      <w:bookmarkEnd w:id="1063"/>
    </w:p>
    <w:p w14:paraId="31B04725" w14:textId="77777777" w:rsidR="008E0B00" w:rsidRPr="008E0B00" w:rsidRDefault="008E0B00" w:rsidP="008E0B00">
      <w:pPr>
        <w:pStyle w:val="EndNoteBibliography"/>
        <w:spacing w:after="0"/>
        <w:ind w:left="720" w:hanging="720"/>
      </w:pPr>
      <w:bookmarkStart w:id="1064" w:name="_ENREF_169"/>
      <w:r w:rsidRPr="008E0B00">
        <w:t xml:space="preserve">Vickers, AJ, Bianco, FJ, Jr., Boorjian, S, Scardino, PT &amp; Eastham, JA 2006, 'Does a delay between diagnosis and radical prostatectomy increase the risk of disease recurrence?', </w:t>
      </w:r>
      <w:r w:rsidRPr="008E0B00">
        <w:rPr>
          <w:i/>
        </w:rPr>
        <w:t>Cancer</w:t>
      </w:r>
      <w:r w:rsidRPr="008E0B00">
        <w:t>, vol.106, pp. 576-80.</w:t>
      </w:r>
      <w:bookmarkEnd w:id="1064"/>
    </w:p>
    <w:p w14:paraId="490AB4B2" w14:textId="77777777" w:rsidR="008E0B00" w:rsidRPr="008E0B00" w:rsidRDefault="008E0B00" w:rsidP="008E0B00">
      <w:pPr>
        <w:pStyle w:val="EndNoteBibliography"/>
        <w:spacing w:after="0"/>
        <w:ind w:left="720" w:hanging="720"/>
      </w:pPr>
      <w:bookmarkStart w:id="1065" w:name="_ENREF_170"/>
      <w:r w:rsidRPr="008E0B00">
        <w:t xml:space="preserve">Victorian Prostate Cancer Clinical Registry Steering Committee 2015, </w:t>
      </w:r>
      <w:r w:rsidRPr="008E0B00">
        <w:rPr>
          <w:i/>
        </w:rPr>
        <w:t>Five year report, Victorian prostate cancer clinical registry</w:t>
      </w:r>
      <w:r w:rsidRPr="008E0B00">
        <w:t xml:space="preserve">, viewed 1 September 2016, </w:t>
      </w:r>
      <w:bookmarkEnd w:id="1065"/>
    </w:p>
    <w:p w14:paraId="35E4D8E1" w14:textId="77777777" w:rsidR="008E0B00" w:rsidRPr="008E0B00" w:rsidRDefault="008E0B00" w:rsidP="008E0B00">
      <w:pPr>
        <w:pStyle w:val="EndNoteBibliography"/>
        <w:spacing w:after="0"/>
        <w:ind w:left="720" w:hanging="720"/>
      </w:pPr>
      <w:bookmarkStart w:id="1066" w:name="_ENREF_171"/>
      <w:r w:rsidRPr="008E0B00">
        <w:t xml:space="preserve">Vilanova, JC, Barcelo-Vidal, C, Comet, J, Boada, M, Barcelo, J, Ferrer, J &amp; Albanell, J 2011, 'Usefulness of prebiopsy multifunctional and morphologic MRI combined with free-to-total prostate-specific antigen ratio in the detection of prostate cancer', </w:t>
      </w:r>
      <w:r w:rsidRPr="008E0B00">
        <w:rPr>
          <w:i/>
        </w:rPr>
        <w:t>Am J Roentgenol</w:t>
      </w:r>
      <w:r w:rsidRPr="008E0B00">
        <w:t>, vol.196, pp. W715-22.</w:t>
      </w:r>
      <w:bookmarkEnd w:id="1066"/>
    </w:p>
    <w:p w14:paraId="6F1EE79C" w14:textId="77777777" w:rsidR="008E0B00" w:rsidRPr="008E0B00" w:rsidRDefault="008E0B00" w:rsidP="008E0B00">
      <w:pPr>
        <w:pStyle w:val="EndNoteBibliography"/>
        <w:spacing w:after="0"/>
        <w:ind w:left="720" w:hanging="720"/>
      </w:pPr>
      <w:bookmarkStart w:id="1067" w:name="_ENREF_172"/>
      <w:r w:rsidRPr="008E0B00">
        <w:t xml:space="preserve">Volanis, D, Neal, D, Warren, A &amp; Gnanapragasam, V 2015, 'Incidence of needle-tract seeding following prostate biopsy for suspected cancer: A review of the literature', </w:t>
      </w:r>
      <w:r w:rsidRPr="008E0B00">
        <w:rPr>
          <w:i/>
        </w:rPr>
        <w:t>BJU Int</w:t>
      </w:r>
      <w:r w:rsidRPr="008E0B00">
        <w:t>, vol.115, pp. 698-704.</w:t>
      </w:r>
      <w:bookmarkEnd w:id="1067"/>
    </w:p>
    <w:p w14:paraId="4202724C" w14:textId="77777777" w:rsidR="008E0B00" w:rsidRPr="008E0B00" w:rsidRDefault="008E0B00" w:rsidP="008E0B00">
      <w:pPr>
        <w:pStyle w:val="EndNoteBibliography"/>
        <w:spacing w:after="0"/>
        <w:ind w:left="720" w:hanging="720"/>
      </w:pPr>
      <w:bookmarkStart w:id="1068" w:name="_ENREF_173"/>
      <w:r w:rsidRPr="008E0B00">
        <w:t xml:space="preserve">Vos, LJ, Janoski, M, Wachowicz, K, Yahya, A, Boychak, O, Amanie, J, Pervez, N, Parliament, MB, Pituskin, E, Fallone, BG &amp; Usmani, N 2016, 'Role of serial multiparametric magnetic resonance imaging in prostate cancer active surveillance', </w:t>
      </w:r>
      <w:r w:rsidRPr="008E0B00">
        <w:rPr>
          <w:i/>
        </w:rPr>
        <w:t>World J Radiol</w:t>
      </w:r>
      <w:r w:rsidRPr="008E0B00">
        <w:t>, vol.8, pp. 410-8.</w:t>
      </w:r>
      <w:bookmarkEnd w:id="1068"/>
    </w:p>
    <w:p w14:paraId="54E78E57" w14:textId="77777777" w:rsidR="008E0B00" w:rsidRPr="008E0B00" w:rsidRDefault="008E0B00" w:rsidP="008E0B00">
      <w:pPr>
        <w:pStyle w:val="EndNoteBibliography"/>
        <w:spacing w:after="0"/>
        <w:ind w:left="720" w:hanging="720"/>
      </w:pPr>
      <w:bookmarkStart w:id="1069" w:name="_ENREF_174"/>
      <w:r w:rsidRPr="008E0B00">
        <w:t xml:space="preserve">Walton Diaz, A, Shakir, NA, George, AK, Rais-Bahrami, S, Turkbey, B, Rothwax, JT, Stamatakis, L, Hong, CW, Siddiqui, MM, Okoro, C, Raskolnikov, D, Su, D, Shih, J, Han, H, Parnes, HL, Merino, MJ, Simon, RM, Wood, BJ, Choyke, PL &amp; Pinto, PA 2015, 'Use of serial multiparametric magnetic resonance imaging in the management of patients with prostate cancer on active surveillance', </w:t>
      </w:r>
      <w:r w:rsidRPr="008E0B00">
        <w:rPr>
          <w:i/>
        </w:rPr>
        <w:t>Urol Oncol</w:t>
      </w:r>
      <w:r w:rsidRPr="008E0B00">
        <w:t>, vol.33, pp. 202.e1-7.</w:t>
      </w:r>
      <w:bookmarkEnd w:id="1069"/>
    </w:p>
    <w:p w14:paraId="35D662D9" w14:textId="77777777" w:rsidR="008E0B00" w:rsidRPr="008E0B00" w:rsidRDefault="008E0B00" w:rsidP="008E0B00">
      <w:pPr>
        <w:pStyle w:val="EndNoteBibliography"/>
        <w:spacing w:after="0"/>
        <w:ind w:left="720" w:hanging="720"/>
      </w:pPr>
      <w:bookmarkStart w:id="1070" w:name="_ENREF_175"/>
      <w:r w:rsidRPr="008E0B00">
        <w:t xml:space="preserve">Wang, R, Wang, H, Zhao, C, Hu, J, Jiang, Y, Tong, Y, Liu, T, Huang, R &amp; Wang, X 2015, 'Evaluation of Multiparametric Magnetic Resonance Imaging in Detection and Prediction of Prostate Cancer', </w:t>
      </w:r>
      <w:r w:rsidRPr="008E0B00">
        <w:rPr>
          <w:i/>
        </w:rPr>
        <w:t>PLoS One</w:t>
      </w:r>
      <w:r w:rsidRPr="008E0B00">
        <w:t>, vol.10, pp. e0130207.</w:t>
      </w:r>
      <w:bookmarkEnd w:id="1070"/>
    </w:p>
    <w:p w14:paraId="61764251" w14:textId="77777777" w:rsidR="008E0B00" w:rsidRPr="008E0B00" w:rsidRDefault="008E0B00" w:rsidP="008E0B00">
      <w:pPr>
        <w:pStyle w:val="EndNoteBibliography"/>
        <w:spacing w:after="0"/>
        <w:ind w:left="720" w:hanging="720"/>
      </w:pPr>
      <w:bookmarkStart w:id="1071" w:name="_ENREF_176"/>
      <w:r w:rsidRPr="008E0B00">
        <w:t xml:space="preserve">Warlick, C, Trock, BJ, Landis, P, Epstein, JI &amp; Carter, HB 2006, 'Delayed versus immediate surgical intervention and prostate cancer outcome', </w:t>
      </w:r>
      <w:r w:rsidRPr="008E0B00">
        <w:rPr>
          <w:i/>
        </w:rPr>
        <w:t>J Natl Cancer Inst</w:t>
      </w:r>
      <w:r w:rsidRPr="008E0B00">
        <w:t>, vol.98, pp. 355-7.</w:t>
      </w:r>
      <w:bookmarkEnd w:id="1071"/>
    </w:p>
    <w:p w14:paraId="73E6F57D" w14:textId="77777777" w:rsidR="008E0B00" w:rsidRPr="008E0B00" w:rsidRDefault="008E0B00" w:rsidP="008E0B00">
      <w:pPr>
        <w:pStyle w:val="EndNoteBibliography"/>
        <w:spacing w:after="0"/>
        <w:ind w:left="720" w:hanging="720"/>
      </w:pPr>
      <w:bookmarkStart w:id="1072" w:name="_ENREF_177"/>
      <w:r w:rsidRPr="008E0B00">
        <w:lastRenderedPageBreak/>
        <w:t xml:space="preserve">Washino, S, Okochi, T, Saito, K, Konishi, T, Hirai, M, Kobayashi, Y &amp; Miyagawa, T 2016, 'Combination of PI-RADS score and PSA density predicts biopsy outcome in biopsy naive patients', </w:t>
      </w:r>
      <w:r w:rsidRPr="008E0B00">
        <w:rPr>
          <w:i/>
        </w:rPr>
        <w:t>BJU Int</w:t>
      </w:r>
      <w:r w:rsidRPr="008E0B00">
        <w:t>, vol.00, pp. 000-00.</w:t>
      </w:r>
      <w:bookmarkEnd w:id="1072"/>
    </w:p>
    <w:p w14:paraId="6F573144" w14:textId="77777777" w:rsidR="008E0B00" w:rsidRPr="008E0B00" w:rsidRDefault="008E0B00" w:rsidP="008E0B00">
      <w:pPr>
        <w:pStyle w:val="EndNoteBibliography"/>
        <w:spacing w:after="0"/>
        <w:ind w:left="720" w:hanging="720"/>
      </w:pPr>
      <w:bookmarkStart w:id="1073" w:name="_ENREF_178"/>
      <w:r w:rsidRPr="008E0B00">
        <w:t xml:space="preserve">Weerakoon, M, Papa, N, Lawrentschuk, N, Evans, S, Millar, J, Frydenberg, M, Bolton, D &amp; Murphy, DG 2015, 'The current use of active surveillance in an Australian cohort of men: a pattern of care analysis from the Victorian Prostate Cancer Registry', </w:t>
      </w:r>
      <w:r w:rsidRPr="008E0B00">
        <w:rPr>
          <w:i/>
        </w:rPr>
        <w:t>BJU Int</w:t>
      </w:r>
      <w:r w:rsidRPr="008E0B00">
        <w:t>, vol.115 Suppl 5, pp. 50-6.</w:t>
      </w:r>
      <w:bookmarkEnd w:id="1073"/>
    </w:p>
    <w:p w14:paraId="18C740E1" w14:textId="77777777" w:rsidR="008E0B00" w:rsidRPr="008E0B00" w:rsidRDefault="008E0B00" w:rsidP="008E0B00">
      <w:pPr>
        <w:pStyle w:val="EndNoteBibliography"/>
        <w:spacing w:after="0"/>
        <w:ind w:left="720" w:hanging="720"/>
      </w:pPr>
      <w:bookmarkStart w:id="1074" w:name="_ENREF_179"/>
      <w:r w:rsidRPr="008E0B00">
        <w:t xml:space="preserve">Weinreb, JC, Barentsz, JO, Choyke, PL, Cornud, F, Haider, MA, Macura, KJ, Margolis, D, Schnall, MD, Shtern, F, Tempany, CM, Thoeny, HC &amp; Verma, S 2016, 'PI-RADS Prostate Imaging - Reporting and Data System: 2015, Version 2', </w:t>
      </w:r>
      <w:r w:rsidRPr="008E0B00">
        <w:rPr>
          <w:i/>
        </w:rPr>
        <w:t>Eur Urol</w:t>
      </w:r>
      <w:r w:rsidRPr="008E0B00">
        <w:t>, vol.69, pp. 16-40.</w:t>
      </w:r>
      <w:bookmarkEnd w:id="1074"/>
    </w:p>
    <w:p w14:paraId="768CB565" w14:textId="77777777" w:rsidR="008E0B00" w:rsidRPr="008E0B00" w:rsidRDefault="008E0B00" w:rsidP="008E0B00">
      <w:pPr>
        <w:pStyle w:val="EndNoteBibliography"/>
        <w:spacing w:after="0"/>
        <w:ind w:left="720" w:hanging="720"/>
      </w:pPr>
      <w:bookmarkStart w:id="1075" w:name="_ENREF_180"/>
      <w:r w:rsidRPr="008E0B00">
        <w:t xml:space="preserve">Whiting, PF, Rutjes, AW, Westwood, ME, Mallett, S, Deeks, JJ, Reitsma, JB, Leeflang, MM, Sterne, JA &amp; Bossuyt, PM 2011, 'QUADAS-2: a revised tool for the quality assessment of diagnostic accuracy studies', </w:t>
      </w:r>
      <w:r w:rsidRPr="008E0B00">
        <w:rPr>
          <w:i/>
        </w:rPr>
        <w:t>Ann Intern Med</w:t>
      </w:r>
      <w:r w:rsidRPr="008E0B00">
        <w:t>, vol.155, pp. 529-36.</w:t>
      </w:r>
      <w:bookmarkEnd w:id="1075"/>
    </w:p>
    <w:p w14:paraId="2A8C9423" w14:textId="77777777" w:rsidR="008E0B00" w:rsidRPr="008E0B00" w:rsidRDefault="008E0B00" w:rsidP="008E0B00">
      <w:pPr>
        <w:pStyle w:val="EndNoteBibliography"/>
        <w:spacing w:after="0"/>
        <w:ind w:left="720" w:hanging="720"/>
      </w:pPr>
      <w:bookmarkStart w:id="1076" w:name="_ENREF_181"/>
      <w:r w:rsidRPr="008E0B00">
        <w:t xml:space="preserve">World Health Organization 2006, </w:t>
      </w:r>
      <w:r w:rsidRPr="008E0B00">
        <w:rPr>
          <w:i/>
        </w:rPr>
        <w:t>Environmental Health Criteria 232. Static Fields.</w:t>
      </w:r>
      <w:r w:rsidRPr="008E0B00">
        <w:t xml:space="preserve">, viewed 24 April 2015, </w:t>
      </w:r>
      <w:bookmarkEnd w:id="1076"/>
    </w:p>
    <w:p w14:paraId="78C53F4B" w14:textId="77777777" w:rsidR="008E0B00" w:rsidRPr="008E0B00" w:rsidRDefault="008E0B00" w:rsidP="008E0B00">
      <w:pPr>
        <w:pStyle w:val="EndNoteBibliography"/>
        <w:spacing w:after="0"/>
        <w:ind w:left="720" w:hanging="720"/>
      </w:pPr>
      <w:bookmarkStart w:id="1077" w:name="_ENREF_182"/>
      <w:r w:rsidRPr="008E0B00">
        <w:t xml:space="preserve">Wysock, JS, Mendhiratta, N, Zattoni, F, Meng, X, Bjurlin, M, Huang, WC, Lepor, H, Rosenkrantz, AB &amp; Taneja, SS 2016, 'Predictive Value of Negative 3T Multiparametric Prostate MRI on 12 Core Biopsy Results', </w:t>
      </w:r>
      <w:r w:rsidRPr="008E0B00">
        <w:rPr>
          <w:i/>
        </w:rPr>
        <w:t>BJU Int</w:t>
      </w:r>
      <w:r w:rsidRPr="008E0B00">
        <w:t>, vol.00, pp. 000-00.</w:t>
      </w:r>
      <w:bookmarkEnd w:id="1077"/>
    </w:p>
    <w:p w14:paraId="7C50B07E" w14:textId="77777777" w:rsidR="008E0B00" w:rsidRPr="008E0B00" w:rsidRDefault="008E0B00" w:rsidP="008E0B00">
      <w:pPr>
        <w:pStyle w:val="EndNoteBibliography"/>
        <w:spacing w:after="0"/>
        <w:ind w:left="720" w:hanging="720"/>
      </w:pPr>
      <w:bookmarkStart w:id="1078" w:name="_ENREF_183"/>
      <w:r w:rsidRPr="008E0B00">
        <w:t xml:space="preserve">Yaghi, MD &amp; Kehinde, EO 2015, 'Oral antibiotics in trans-rectal prostate biopsy and its efficacy to reduce infectious complications: Systematic review', </w:t>
      </w:r>
      <w:r w:rsidRPr="008E0B00">
        <w:rPr>
          <w:i/>
        </w:rPr>
        <w:t>Urology Annals</w:t>
      </w:r>
      <w:r w:rsidRPr="008E0B00">
        <w:t>, vol.7, pp. 417-27.</w:t>
      </w:r>
      <w:bookmarkEnd w:id="1078"/>
    </w:p>
    <w:p w14:paraId="26531497" w14:textId="77777777" w:rsidR="008E0B00" w:rsidRPr="008E0B00" w:rsidRDefault="008E0B00" w:rsidP="008E0B00">
      <w:pPr>
        <w:pStyle w:val="EndNoteBibliography"/>
        <w:spacing w:after="0"/>
        <w:ind w:left="720" w:hanging="720"/>
      </w:pPr>
      <w:bookmarkStart w:id="1079" w:name="_ENREF_184"/>
      <w:r w:rsidRPr="008E0B00">
        <w:t xml:space="preserve">Zaytoun, OM, Anil, T, Moussa, AS, Jianbo, L, Fareed, K &amp; Jones, JS 2011, 'Morbidity of prostate biopsy after simplified versus complex preparation protocols: Assessment of risk factors', </w:t>
      </w:r>
      <w:r w:rsidRPr="008E0B00">
        <w:rPr>
          <w:i/>
        </w:rPr>
        <w:t>Urology</w:t>
      </w:r>
      <w:r w:rsidRPr="008E0B00">
        <w:t>, vol.77, pp. 910-14.</w:t>
      </w:r>
      <w:bookmarkEnd w:id="1079"/>
    </w:p>
    <w:p w14:paraId="050045AF" w14:textId="77777777" w:rsidR="008E0B00" w:rsidRPr="008E0B00" w:rsidRDefault="008E0B00" w:rsidP="008E0B00">
      <w:pPr>
        <w:pStyle w:val="EndNoteBibliography"/>
        <w:spacing w:after="0"/>
        <w:ind w:left="720" w:hanging="720"/>
      </w:pPr>
      <w:bookmarkStart w:id="1080" w:name="_ENREF_185"/>
      <w:r w:rsidRPr="008E0B00">
        <w:t xml:space="preserve">Zeng, MS, Ye, HY, Guo, L, Peng, WJ, Lu, JP, Teng, GJ, Huan, Y, Li, P, Xu, JR, Liang, CH &amp; Breuer, J 2013, 'Gd-EOB-DTPA-enhanced magnetic resonance imaging for focal liver lesions in Chinese patients: a multicenter, open-label, phase III study', </w:t>
      </w:r>
      <w:r w:rsidRPr="008E0B00">
        <w:rPr>
          <w:i/>
        </w:rPr>
        <w:t>Hepatobiliary Pancreat Dis Int</w:t>
      </w:r>
      <w:r w:rsidRPr="008E0B00">
        <w:t>, vol.12, pp. 607-16.</w:t>
      </w:r>
      <w:bookmarkEnd w:id="1080"/>
    </w:p>
    <w:p w14:paraId="40148A6A" w14:textId="77777777" w:rsidR="008E0B00" w:rsidRPr="008E0B00" w:rsidRDefault="008E0B00" w:rsidP="008E0B00">
      <w:pPr>
        <w:pStyle w:val="EndNoteBibliography"/>
        <w:spacing w:after="0"/>
        <w:ind w:left="720" w:hanging="720"/>
      </w:pPr>
      <w:bookmarkStart w:id="1081" w:name="_ENREF_186"/>
      <w:r w:rsidRPr="008E0B00">
        <w:t xml:space="preserve">Zhang, J, Denton, BT, Balasubramanian, H, Shah, ND &amp; Inman, BA 2012, 'Optimization of PSA screening policies: a comparison of the patient and societal perspectives', </w:t>
      </w:r>
      <w:r w:rsidRPr="008E0B00">
        <w:rPr>
          <w:i/>
        </w:rPr>
        <w:t>Med Decis Making</w:t>
      </w:r>
      <w:r w:rsidRPr="008E0B00">
        <w:t>, vol.32, pp. 337-49.</w:t>
      </w:r>
      <w:bookmarkEnd w:id="1081"/>
    </w:p>
    <w:p w14:paraId="58FE5DF1" w14:textId="77777777" w:rsidR="008E0B00" w:rsidRPr="008E0B00" w:rsidRDefault="008E0B00" w:rsidP="008E0B00">
      <w:pPr>
        <w:pStyle w:val="EndNoteBibliography"/>
        <w:ind w:left="720" w:hanging="720"/>
      </w:pPr>
      <w:bookmarkStart w:id="1082" w:name="_ENREF_187"/>
      <w:r w:rsidRPr="008E0B00">
        <w:t xml:space="preserve">Zhao, C, Gao, G, Fang, D, Li, F, Yang, X, Wang, H, He, Q &amp; Wang, X 2016, 'The efficiency of multiparametric magnetic resonance imaging (mpMRI) using PI-RADS Version 2 in the diagnosis of clinically significant prostate cancer', </w:t>
      </w:r>
      <w:r w:rsidRPr="008E0B00">
        <w:rPr>
          <w:i/>
        </w:rPr>
        <w:t>Clin Imaging</w:t>
      </w:r>
      <w:r w:rsidRPr="008E0B00">
        <w:t>, vol.40, pp. 885-88.</w:t>
      </w:r>
      <w:bookmarkEnd w:id="1082"/>
    </w:p>
    <w:p w14:paraId="712BEA11" w14:textId="1070858D" w:rsidR="005C404F" w:rsidRDefault="005C404F" w:rsidP="00DF343F">
      <w:pPr>
        <w:pStyle w:val="References"/>
        <w:ind w:left="0" w:firstLine="0"/>
      </w:pPr>
    </w:p>
    <w:sectPr w:rsidR="005C404F" w:rsidSect="00770531">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F5FBB7" w14:textId="77777777" w:rsidR="00DD0356" w:rsidRDefault="00DD0356" w:rsidP="00A23645">
      <w:r>
        <w:separator/>
      </w:r>
    </w:p>
  </w:endnote>
  <w:endnote w:type="continuationSeparator" w:id="0">
    <w:p w14:paraId="6842827B" w14:textId="77777777" w:rsidR="00DD0356" w:rsidRDefault="00DD0356" w:rsidP="00A23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umanist521BT-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Gulliv-R">
    <w:panose1 w:val="00000000000000000000"/>
    <w:charset w:val="00"/>
    <w:family w:val="roman"/>
    <w:notTrueType/>
    <w:pitch w:val="default"/>
    <w:sig w:usb0="00000003" w:usb1="00000000" w:usb2="00000000" w:usb3="00000000" w:csb0="0000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Times New Roman Italic+FPEF">
    <w:panose1 w:val="00000000000000000000"/>
    <w:charset w:val="00"/>
    <w:family w:val="auto"/>
    <w:notTrueType/>
    <w:pitch w:val="default"/>
    <w:sig w:usb0="00000003" w:usb1="00000000" w:usb2="00000000" w:usb3="00000000" w:csb0="00000001" w:csb1="00000000"/>
  </w:font>
  <w:font w:name="Times New Roman Bold+FPEF">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362D8E" w14:textId="7B8AA311" w:rsidR="00DD0356" w:rsidRPr="00C843FF" w:rsidRDefault="00DD0356"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270</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DD5A3C" w14:textId="3BCF1ED7" w:rsidR="00DD0356" w:rsidRPr="00C843FF" w:rsidRDefault="00DD0356" w:rsidP="00B426FF">
    <w:pPr>
      <w:pStyle w:val="Footer"/>
      <w:tabs>
        <w:tab w:val="clear" w:pos="9000"/>
        <w:tab w:val="right" w:pos="8931"/>
      </w:tabs>
      <w:rPr>
        <w:rStyle w:val="PageNumber"/>
        <w:rFonts w:ascii="Arial" w:hAnsi="Arial" w:cs="Arial"/>
        <w:sz w:val="20"/>
      </w:rPr>
    </w:pPr>
    <w:proofErr w:type="spellStart"/>
    <w:proofErr w:type="gramStart"/>
    <w:r>
      <w:t>mpMRI</w:t>
    </w:r>
    <w:proofErr w:type="spellEnd"/>
    <w:proofErr w:type="gramEnd"/>
    <w:r>
      <w:t xml:space="preserve"> for prostate </w:t>
    </w:r>
    <w:r>
      <w:rPr>
        <w:szCs w:val="44"/>
      </w:rPr>
      <w:t>diagnostic</w:t>
    </w:r>
    <w:r>
      <w:t xml:space="preserve"> scans for diagnosis of prostate cancer – MSAC CA 1397</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69441A">
      <w:rPr>
        <w:rStyle w:val="PageNumber"/>
        <w:rFonts w:ascii="Arial" w:hAnsi="Arial" w:cs="Arial"/>
        <w:noProof/>
        <w:sz w:val="20"/>
      </w:rPr>
      <w:t>3</w:t>
    </w:r>
    <w:r w:rsidRPr="00C843FF">
      <w:rPr>
        <w:rStyle w:val="PageNumber"/>
        <w:rFonts w:ascii="Arial" w:hAnsi="Arial" w:cs="Arial"/>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16B922" w14:textId="77777777" w:rsidR="00DD0356" w:rsidRDefault="00DD0356" w:rsidP="00723373">
    <w:pPr>
      <w:pStyle w:val="Header"/>
    </w:pPr>
    <w: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632A" w14:textId="77777777" w:rsidR="00DD0356" w:rsidRPr="00F568FA" w:rsidRDefault="00DD0356"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270</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p w14:paraId="28D52457" w14:textId="77777777" w:rsidR="00DD0356" w:rsidRDefault="00DD035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5BE2" w14:textId="0BCDB30F" w:rsidR="00DD0356" w:rsidRPr="00F568FA" w:rsidRDefault="00DD0356"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270</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p w14:paraId="7820AF3F" w14:textId="77777777" w:rsidR="00DD0356" w:rsidRDefault="00DD0356"/>
  <w:p w14:paraId="0A26F334" w14:textId="77777777" w:rsidR="00DD0356" w:rsidRDefault="00DD0356"/>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81BBD" w14:textId="77777777" w:rsidR="00DD0356" w:rsidRDefault="00DD0356">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r>
    <w:proofErr w:type="spellStart"/>
    <w:r>
      <w:rPr>
        <w:rStyle w:val="PageNumber"/>
      </w:rPr>
      <w:t>Vertebroplasty</w:t>
    </w:r>
    <w:proofErr w:type="spellEnd"/>
    <w:r>
      <w:rPr>
        <w:rStyle w:val="PageNumber"/>
      </w:rPr>
      <w:t xml:space="preserve"> and </w:t>
    </w:r>
    <w:proofErr w:type="spellStart"/>
    <w:r>
      <w:rPr>
        <w:rStyle w:val="PageNumber"/>
      </w:rPr>
      <w:t>kyphoplasty</w:t>
    </w:r>
    <w:proofErr w:type="spellEnd"/>
    <w:r>
      <w:rPr>
        <w:vanish/>
        <w:color w:val="0000FF"/>
      </w:rPr>
      <w:t>&lt;Name of application&gt;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052CFC" w14:textId="77777777" w:rsidR="00DD0356" w:rsidRDefault="00DD0356" w:rsidP="00A23645">
      <w:r>
        <w:separator/>
      </w:r>
    </w:p>
  </w:footnote>
  <w:footnote w:type="continuationSeparator" w:id="0">
    <w:p w14:paraId="31C3C86C" w14:textId="77777777" w:rsidR="00DD0356" w:rsidRDefault="00DD0356" w:rsidP="00A23645">
      <w:r>
        <w:continuationSeparator/>
      </w:r>
    </w:p>
  </w:footnote>
  <w:footnote w:id="1">
    <w:p w14:paraId="71AFE7CB" w14:textId="73D9A444" w:rsidR="00DD0356" w:rsidRDefault="00DD0356" w:rsidP="005E4BBA">
      <w:pPr>
        <w:pStyle w:val="FootnoteText"/>
      </w:pPr>
      <w:r>
        <w:rPr>
          <w:rStyle w:val="FootnoteReference"/>
        </w:rPr>
        <w:footnoteRef/>
      </w:r>
      <w:r>
        <w:t xml:space="preserve"> Of the 20,149 biopsies performed annually, it is estimated that 6,595 are performed for active surveillance (AS patients are assumed to receive an average of one biopsy every two years). Subtracting these patients from the total leaves the estimated 13,554 biopsies performed for patients in Population 1.</w:t>
      </w:r>
    </w:p>
  </w:footnote>
  <w:footnote w:id="2">
    <w:p w14:paraId="3DC41464" w14:textId="7F515CCC" w:rsidR="00DD0356" w:rsidRPr="00907BDB" w:rsidRDefault="00DD0356" w:rsidP="00907BDB">
      <w:pPr>
        <w:pStyle w:val="References"/>
        <w:spacing w:after="120" w:line="240" w:lineRule="auto"/>
        <w:ind w:left="0" w:firstLine="0"/>
        <w:rPr>
          <w:rFonts w:ascii="Arial Narrow" w:hAnsi="Arial Narrow"/>
          <w:noProof/>
          <w:sz w:val="20"/>
          <w:szCs w:val="20"/>
        </w:rPr>
      </w:pPr>
      <w:r w:rsidRPr="00CF1D26">
        <w:rPr>
          <w:rStyle w:val="FootnoteReference"/>
          <w:rFonts w:ascii="Arial Narrow" w:hAnsi="Arial Narrow"/>
          <w:sz w:val="20"/>
          <w:szCs w:val="20"/>
        </w:rPr>
        <w:footnoteRef/>
      </w:r>
      <w:r w:rsidRPr="00CF1D26">
        <w:rPr>
          <w:rFonts w:ascii="Arial Narrow" w:hAnsi="Arial Narrow"/>
          <w:sz w:val="20"/>
          <w:szCs w:val="20"/>
        </w:rPr>
        <w:t xml:space="preserve"> </w:t>
      </w:r>
      <w:r w:rsidRPr="00CF1D26">
        <w:rPr>
          <w:rFonts w:ascii="Arial Narrow" w:hAnsi="Arial Narrow"/>
          <w:noProof/>
          <w:sz w:val="20"/>
          <w:szCs w:val="20"/>
        </w:rPr>
        <w:t xml:space="preserve">Armitage, P, Berry, G &amp; Matthews, JNS 2002, </w:t>
      </w:r>
      <w:r w:rsidRPr="00CF1D26">
        <w:rPr>
          <w:rFonts w:ascii="Arial Narrow" w:hAnsi="Arial Narrow"/>
          <w:i/>
          <w:noProof/>
          <w:sz w:val="20"/>
          <w:szCs w:val="20"/>
        </w:rPr>
        <w:t>Statistical methods in medical research</w:t>
      </w:r>
      <w:r w:rsidRPr="00CF1D26">
        <w:rPr>
          <w:rFonts w:ascii="Arial Narrow" w:hAnsi="Arial Narrow"/>
          <w:noProof/>
          <w:sz w:val="20"/>
          <w:szCs w:val="20"/>
        </w:rPr>
        <w:t>, fourth edn</w:t>
      </w:r>
      <w:r>
        <w:rPr>
          <w:rFonts w:ascii="Arial Narrow" w:hAnsi="Arial Narrow"/>
          <w:noProof/>
          <w:sz w:val="20"/>
          <w:szCs w:val="20"/>
        </w:rPr>
        <w:t>.</w:t>
      </w:r>
      <w:r w:rsidRPr="00CF1D26">
        <w:rPr>
          <w:rFonts w:ascii="Arial Narrow" w:hAnsi="Arial Narrow"/>
          <w:noProof/>
          <w:sz w:val="20"/>
          <w:szCs w:val="20"/>
        </w:rPr>
        <w:t>, Blackwell Science, Oxford.</w:t>
      </w:r>
      <w:r>
        <w:rPr>
          <w:rFonts w:ascii="Arial Narrow" w:hAnsi="Arial Narrow"/>
          <w:noProof/>
          <w:sz w:val="20"/>
          <w:szCs w:val="20"/>
        </w:rPr>
        <w:t xml:space="preserve"> </w:t>
      </w:r>
    </w:p>
  </w:footnote>
  <w:footnote w:id="3">
    <w:p w14:paraId="7C6036BC" w14:textId="1D68604D" w:rsidR="00DD0356" w:rsidRDefault="00DD0356">
      <w:pPr>
        <w:pStyle w:val="FootnoteText"/>
      </w:pPr>
      <w:r>
        <w:rPr>
          <w:rStyle w:val="FootnoteReference"/>
        </w:rPr>
        <w:footnoteRef/>
      </w:r>
      <w:r>
        <w:t xml:space="preserve"> </w:t>
      </w:r>
      <w:r w:rsidRPr="00CF1D26">
        <w:rPr>
          <w:rFonts w:ascii="Arial Narrow" w:hAnsi="Arial Narrow"/>
          <w:noProof/>
          <w:szCs w:val="20"/>
        </w:rPr>
        <w:t xml:space="preserve">Deeks, JJ 2001, 'Systematic reviews of evaluations of diagnostic and screening tests', in M Egger, G Davey Smith &amp; DG Altman (eds), </w:t>
      </w:r>
      <w:r w:rsidRPr="00CF1D26">
        <w:rPr>
          <w:rFonts w:ascii="Arial Narrow" w:hAnsi="Arial Narrow"/>
          <w:i/>
          <w:noProof/>
          <w:szCs w:val="20"/>
        </w:rPr>
        <w:t>Systematic Reviews in Healthcare: Meta-Analysis in Context</w:t>
      </w:r>
      <w:r w:rsidRPr="00CF1D26">
        <w:rPr>
          <w:rFonts w:ascii="Arial Narrow" w:hAnsi="Arial Narrow"/>
          <w:noProof/>
          <w:szCs w:val="20"/>
        </w:rPr>
        <w:t>, second edn, BMJ Publishing Group, London, pp. 248–282.</w:t>
      </w:r>
    </w:p>
  </w:footnote>
  <w:footnote w:id="4">
    <w:p w14:paraId="5058226A" w14:textId="2AC60815" w:rsidR="00DD0356" w:rsidRDefault="00DD0356" w:rsidP="006B5F2E">
      <w:pPr>
        <w:pStyle w:val="FootnoteText"/>
      </w:pPr>
      <w:r>
        <w:rPr>
          <w:rStyle w:val="FootnoteReference"/>
        </w:rPr>
        <w:footnoteRef/>
      </w:r>
      <w:r>
        <w:t xml:space="preserve"> There was no difference between cognitive-MRIGB and TRUSGB for detection of clinically significant cancer. While the review found that MRI/US fusion guided biopsy may have a greater diagnostic accuracy than TRUSGB in the detection of clinically significant cancer, the authors of the review also detail a number of issues with this result and state that it might be methodologically incorrect to conclude that MRIGB finds more high-grade cancer than TRUSGB. Therefore, in this assessment, only results on the detection of all cancer types have been used as these were considered at less risk of bias and are informed by a larger evidence base.</w:t>
      </w:r>
    </w:p>
  </w:footnote>
  <w:footnote w:id="5">
    <w:p w14:paraId="40E5B53D" w14:textId="41902253" w:rsidR="00DD0356" w:rsidRPr="00907BDB" w:rsidRDefault="00DD0356" w:rsidP="00D81DD5">
      <w:pPr>
        <w:pStyle w:val="References"/>
        <w:spacing w:after="120" w:line="240" w:lineRule="auto"/>
        <w:ind w:left="0" w:firstLine="0"/>
        <w:rPr>
          <w:rFonts w:ascii="Arial Narrow" w:hAnsi="Arial Narrow"/>
          <w:noProof/>
          <w:sz w:val="20"/>
          <w:szCs w:val="20"/>
        </w:rPr>
      </w:pPr>
      <w:r w:rsidRPr="00CF1D26">
        <w:rPr>
          <w:rStyle w:val="FootnoteReference"/>
          <w:rFonts w:ascii="Arial Narrow" w:hAnsi="Arial Narrow"/>
          <w:sz w:val="20"/>
          <w:szCs w:val="20"/>
        </w:rPr>
        <w:footnoteRef/>
      </w:r>
      <w:r w:rsidRPr="00CF1D26">
        <w:rPr>
          <w:rFonts w:ascii="Arial Narrow" w:hAnsi="Arial Narrow"/>
          <w:sz w:val="20"/>
          <w:szCs w:val="20"/>
        </w:rPr>
        <w:t xml:space="preserve"> </w:t>
      </w:r>
      <w:r w:rsidRPr="00CF1D26">
        <w:rPr>
          <w:rFonts w:ascii="Arial Narrow" w:hAnsi="Arial Narrow"/>
          <w:noProof/>
          <w:sz w:val="20"/>
          <w:szCs w:val="20"/>
        </w:rPr>
        <w:t xml:space="preserve">Armitage, P, Berry, G &amp; Matthews, JNS 2002, </w:t>
      </w:r>
      <w:r w:rsidRPr="00CF1D26">
        <w:rPr>
          <w:rFonts w:ascii="Arial Narrow" w:hAnsi="Arial Narrow"/>
          <w:i/>
          <w:noProof/>
          <w:sz w:val="20"/>
          <w:szCs w:val="20"/>
        </w:rPr>
        <w:t>Statistical methods in medical research</w:t>
      </w:r>
      <w:r w:rsidRPr="00CF1D26">
        <w:rPr>
          <w:rFonts w:ascii="Arial Narrow" w:hAnsi="Arial Narrow"/>
          <w:noProof/>
          <w:sz w:val="20"/>
          <w:szCs w:val="20"/>
        </w:rPr>
        <w:t>, fourth edn, Blackwell Science, Oxford.</w:t>
      </w:r>
      <w:r>
        <w:rPr>
          <w:rFonts w:ascii="Arial Narrow" w:hAnsi="Arial Narrow"/>
          <w:noProof/>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69938" w14:textId="77777777" w:rsidR="00DD0356" w:rsidRDefault="00DD0356" w:rsidP="00B426FF">
    <w:pPr>
      <w:pStyle w:val="Header"/>
      <w:tabs>
        <w:tab w:val="clear" w:pos="8306"/>
        <w:tab w:val="right" w:pos="8931"/>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943B1" w14:textId="77777777" w:rsidR="00DD0356" w:rsidRDefault="00DD0356" w:rsidP="00B426FF">
    <w:pPr>
      <w:pStyle w:val="Header"/>
      <w:tabs>
        <w:tab w:val="clear" w:pos="8306"/>
        <w:tab w:val="right" w:pos="8931"/>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5CFA3" w14:textId="77777777" w:rsidR="00DD0356" w:rsidRDefault="00DD0356" w:rsidP="00A2364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F0F7A" w14:textId="77777777" w:rsidR="00DD0356" w:rsidRDefault="00DD0356" w:rsidP="00A23645">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F024" w14:textId="77777777" w:rsidR="00DD0356" w:rsidRDefault="00DD0356" w:rsidP="00B426FF">
    <w:pPr>
      <w:pStyle w:val="Header"/>
      <w:tabs>
        <w:tab w:val="clear" w:pos="8306"/>
        <w:tab w:val="right" w:pos="8931"/>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A4A6E1" w14:textId="77777777" w:rsidR="00DD0356" w:rsidRDefault="00DD0356" w:rsidP="00A2364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99EF7" w14:textId="77777777" w:rsidR="00DD0356" w:rsidRDefault="00DD0356" w:rsidP="00723373">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E62E9" w14:textId="77777777" w:rsidR="00DD0356" w:rsidRDefault="00DD0356" w:rsidP="00B426FF">
    <w:pPr>
      <w:pStyle w:val="Header"/>
      <w:tabs>
        <w:tab w:val="clear" w:pos="8306"/>
        <w:tab w:val="right" w:pos="8931"/>
      </w:tabs>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CBD6F5" w14:textId="7213C72E" w:rsidR="00DD0356" w:rsidRDefault="00DD035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B10DF6" w14:textId="77777777" w:rsidR="00DD0356" w:rsidRDefault="00DD0356" w:rsidP="0000696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8727A" w14:textId="7C3400E8" w:rsidR="00DD0356" w:rsidRDefault="00DD035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55C0C9" w14:textId="027A2E18" w:rsidR="00DD0356" w:rsidRDefault="00DD0356" w:rsidP="00B426FF">
    <w:pPr>
      <w:pStyle w:val="Header"/>
      <w:tabs>
        <w:tab w:val="clear" w:pos="8306"/>
        <w:tab w:val="right" w:pos="893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733D1" w14:textId="77777777" w:rsidR="00DD0356" w:rsidRDefault="00DD0356" w:rsidP="00A23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C9FAD" w14:textId="77777777" w:rsidR="00DD0356" w:rsidRDefault="00DD0356" w:rsidP="00B426FF">
    <w:pPr>
      <w:pStyle w:val="Header"/>
      <w:tabs>
        <w:tab w:val="clear" w:pos="8306"/>
        <w:tab w:val="right" w:pos="8931"/>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ACF864" w14:textId="77777777" w:rsidR="00DD0356" w:rsidRDefault="00DD0356" w:rsidP="00A2364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D4426" w14:textId="77777777" w:rsidR="00DD0356" w:rsidRDefault="00DD0356" w:rsidP="00A236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0773E" w14:textId="77777777" w:rsidR="00DD0356" w:rsidRDefault="00DD0356" w:rsidP="00B426FF">
    <w:pPr>
      <w:pStyle w:val="Header"/>
      <w:tabs>
        <w:tab w:val="clear" w:pos="8306"/>
        <w:tab w:val="right" w:pos="8931"/>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93922" w14:textId="77777777" w:rsidR="00DD0356" w:rsidRDefault="00DD0356" w:rsidP="00A23645">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08E0F" w14:textId="77777777" w:rsidR="00DD0356" w:rsidRDefault="00DD0356" w:rsidP="00A2364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52730"/>
    <w:multiLevelType w:val="hybridMultilevel"/>
    <w:tmpl w:val="B0B0EF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C766FE"/>
    <w:multiLevelType w:val="multilevel"/>
    <w:tmpl w:val="E922455C"/>
    <w:lvl w:ilvl="0">
      <w:start w:val="2"/>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9681AC2"/>
    <w:multiLevelType w:val="hybridMultilevel"/>
    <w:tmpl w:val="D118FC30"/>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0CD2F86"/>
    <w:multiLevelType w:val="multilevel"/>
    <w:tmpl w:val="268AE644"/>
    <w:lvl w:ilvl="0">
      <w:start w:val="1"/>
      <w:numFmt w:val="none"/>
      <w:lvlText w:val="A.1"/>
      <w:lvlJc w:val="left"/>
      <w:pPr>
        <w:ind w:left="1134" w:hanging="1134"/>
      </w:pPr>
      <w:rPr>
        <w:rFonts w:ascii="Calibri" w:hAnsi="Calibri" w:hint="default"/>
        <w:b/>
        <w:i w:val="0"/>
        <w:color w:val="auto"/>
        <w:sz w:val="24"/>
      </w:rPr>
    </w:lvl>
    <w:lvl w:ilvl="1">
      <w:start w:val="4"/>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5">
    <w:nsid w:val="13DF0D6F"/>
    <w:multiLevelType w:val="multilevel"/>
    <w:tmpl w:val="FD0EB744"/>
    <w:lvl w:ilvl="0">
      <w:start w:val="1"/>
      <w:numFmt w:val="none"/>
      <w:lvlText w:val="A.1"/>
      <w:lvlJc w:val="left"/>
      <w:pPr>
        <w:ind w:left="1134" w:hanging="1134"/>
      </w:pPr>
      <w:rPr>
        <w:rFonts w:ascii="Calibri" w:hAnsi="Calibri" w:hint="default"/>
        <w:b/>
        <w:i w:val="0"/>
        <w:color w:val="auto"/>
        <w:sz w:val="24"/>
      </w:rPr>
    </w:lvl>
    <w:lvl w:ilvl="1">
      <w:start w:val="1"/>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6">
    <w:nsid w:val="17430932"/>
    <w:multiLevelType w:val="hybridMultilevel"/>
    <w:tmpl w:val="24D667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8093CD6"/>
    <w:multiLevelType w:val="hybridMultilevel"/>
    <w:tmpl w:val="188E50C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9">
    <w:nsid w:val="23B46660"/>
    <w:multiLevelType w:val="hybridMultilevel"/>
    <w:tmpl w:val="873C9E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8376D62"/>
    <w:multiLevelType w:val="hybridMultilevel"/>
    <w:tmpl w:val="344A79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6A24A1"/>
    <w:multiLevelType w:val="hybridMultilevel"/>
    <w:tmpl w:val="C548D9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5565CE4"/>
    <w:multiLevelType w:val="hybridMultilevel"/>
    <w:tmpl w:val="76A07508"/>
    <w:lvl w:ilvl="0" w:tplc="2F961DC0">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5F06BC6"/>
    <w:multiLevelType w:val="hybridMultilevel"/>
    <w:tmpl w:val="646635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83D2B9E"/>
    <w:multiLevelType w:val="hybridMultilevel"/>
    <w:tmpl w:val="1834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C0328C"/>
    <w:multiLevelType w:val="multilevel"/>
    <w:tmpl w:val="B184CB7A"/>
    <w:lvl w:ilvl="0">
      <w:start w:val="9"/>
      <w:numFmt w:val="decimal"/>
      <w:lvlText w:val="B3.%1"/>
      <w:lvlJc w:val="left"/>
      <w:pPr>
        <w:ind w:left="1134" w:hanging="1134"/>
      </w:pPr>
      <w:rPr>
        <w:rFonts w:hint="default"/>
        <w:b/>
        <w:i w:val="0"/>
        <w:color w:val="auto"/>
        <w:sz w:val="24"/>
      </w:rPr>
    </w:lvl>
    <w:lvl w:ilvl="1">
      <w:start w:val="9"/>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6">
    <w:nsid w:val="3CD627F5"/>
    <w:multiLevelType w:val="hybridMultilevel"/>
    <w:tmpl w:val="1F1E13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F915956"/>
    <w:multiLevelType w:val="hybridMultilevel"/>
    <w:tmpl w:val="F280C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2550BF6"/>
    <w:multiLevelType w:val="multilevel"/>
    <w:tmpl w:val="DDACB91C"/>
    <w:lvl w:ilvl="0">
      <w:start w:val="1"/>
      <w:numFmt w:val="none"/>
      <w:lvlText w:val="A.1"/>
      <w:lvlJc w:val="left"/>
      <w:pPr>
        <w:ind w:left="1134" w:hanging="1134"/>
      </w:pPr>
      <w:rPr>
        <w:rFonts w:ascii="Calibri" w:hAnsi="Calibri" w:hint="default"/>
        <w:b/>
        <w:i w:val="0"/>
        <w:color w:val="auto"/>
        <w:sz w:val="24"/>
      </w:rPr>
    </w:lvl>
    <w:lvl w:ilvl="1">
      <w:start w:val="1"/>
      <w:numFmt w:val="decimal"/>
      <w:lvlText w:val="B3.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9">
    <w:nsid w:val="426012DC"/>
    <w:multiLevelType w:val="hybridMultilevel"/>
    <w:tmpl w:val="73F4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40825DD"/>
    <w:multiLevelType w:val="multilevel"/>
    <w:tmpl w:val="1E0AA6B2"/>
    <w:lvl w:ilvl="0">
      <w:start w:val="1"/>
      <w:numFmt w:val="none"/>
      <w:lvlText w:val="A.1"/>
      <w:lvlJc w:val="left"/>
      <w:pPr>
        <w:ind w:left="1134" w:hanging="1134"/>
      </w:pPr>
      <w:rPr>
        <w:rFonts w:ascii="Calibri" w:hAnsi="Calibri" w:hint="default"/>
        <w:b/>
        <w:i w:val="0"/>
        <w:color w:val="auto"/>
        <w:sz w:val="24"/>
      </w:rPr>
    </w:lvl>
    <w:lvl w:ilvl="1">
      <w:start w:val="1"/>
      <w:numFmt w:val="decimal"/>
      <w:lvlText w:val="B5.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1">
    <w:nsid w:val="4489784F"/>
    <w:multiLevelType w:val="hybridMultilevel"/>
    <w:tmpl w:val="DC6810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5BD3896"/>
    <w:multiLevelType w:val="hybridMultilevel"/>
    <w:tmpl w:val="D118FC30"/>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6FD2DA0"/>
    <w:multiLevelType w:val="hybridMultilevel"/>
    <w:tmpl w:val="418E3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9CC5D38"/>
    <w:multiLevelType w:val="hybridMultilevel"/>
    <w:tmpl w:val="F8544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B3743B8"/>
    <w:multiLevelType w:val="multilevel"/>
    <w:tmpl w:val="C6625398"/>
    <w:lvl w:ilvl="0">
      <w:start w:val="1"/>
      <w:numFmt w:val="decimal"/>
      <w:lvlText w:val="B3.%1"/>
      <w:lvlJc w:val="left"/>
      <w:pPr>
        <w:ind w:left="1134" w:hanging="1134"/>
      </w:pPr>
      <w:rPr>
        <w:rFonts w:hint="default"/>
        <w:b/>
        <w:i w:val="0"/>
        <w:color w:val="auto"/>
        <w:sz w:val="24"/>
      </w:rPr>
    </w:lvl>
    <w:lvl w:ilvl="1">
      <w:start w:val="5"/>
      <w:numFmt w:val="decimal"/>
      <w:lvlText w:val="B3.%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26">
    <w:nsid w:val="4EB416A5"/>
    <w:multiLevelType w:val="hybridMultilevel"/>
    <w:tmpl w:val="7DF46F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63F8B9F8">
      <w:numFmt w:val="bullet"/>
      <w:lvlText w:val="—"/>
      <w:lvlJc w:val="left"/>
      <w:pPr>
        <w:ind w:left="2160" w:hanging="360"/>
      </w:pPr>
      <w:rPr>
        <w:rFonts w:ascii="Calibri" w:eastAsia="Times New Roman" w:hAnsi="Calibri" w:cs="Tahoma"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F0F2CA1"/>
    <w:multiLevelType w:val="hybridMultilevel"/>
    <w:tmpl w:val="A5BEE73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56891D8A"/>
    <w:multiLevelType w:val="multilevel"/>
    <w:tmpl w:val="FEE071C8"/>
    <w:numStyleLink w:val="ESSectionheading-numbered"/>
  </w:abstractNum>
  <w:abstractNum w:abstractNumId="29">
    <w:nsid w:val="572F5B70"/>
    <w:multiLevelType w:val="multilevel"/>
    <w:tmpl w:val="453A222A"/>
    <w:lvl w:ilvl="0">
      <w:start w:val="1"/>
      <w:numFmt w:val="none"/>
      <w:lvlText w:val="A.1"/>
      <w:lvlJc w:val="left"/>
      <w:pPr>
        <w:ind w:left="1134" w:hanging="1134"/>
      </w:pPr>
      <w:rPr>
        <w:rFonts w:ascii="Calibri" w:hAnsi="Calibri" w:hint="default"/>
        <w:b/>
        <w:i w:val="0"/>
        <w:color w:val="auto"/>
        <w:sz w:val="24"/>
      </w:rPr>
    </w:lvl>
    <w:lvl w:ilvl="1">
      <w:start w:val="1"/>
      <w:numFmt w:val="decimal"/>
      <w:lvlText w:val="B2.%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1">
    <w:nsid w:val="5DE845F8"/>
    <w:multiLevelType w:val="hybridMultilevel"/>
    <w:tmpl w:val="0C94D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E0C2B6A"/>
    <w:multiLevelType w:val="hybridMultilevel"/>
    <w:tmpl w:val="92569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146768B"/>
    <w:multiLevelType w:val="hybridMultilevel"/>
    <w:tmpl w:val="ACB41C8C"/>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34">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5">
    <w:nsid w:val="62257F47"/>
    <w:multiLevelType w:val="multilevel"/>
    <w:tmpl w:val="2CAAC190"/>
    <w:lvl w:ilvl="0">
      <w:start w:val="1"/>
      <w:numFmt w:val="none"/>
      <w:lvlText w:val="A.1"/>
      <w:lvlJc w:val="left"/>
      <w:pPr>
        <w:ind w:left="1134" w:hanging="1134"/>
      </w:pPr>
      <w:rPr>
        <w:rFonts w:ascii="Calibri" w:hAnsi="Calibri" w:hint="default"/>
        <w:b/>
        <w:i w:val="0"/>
        <w:color w:val="auto"/>
        <w:sz w:val="24"/>
      </w:rPr>
    </w:lvl>
    <w:lvl w:ilvl="1">
      <w:start w:val="1"/>
      <w:numFmt w:val="decimal"/>
      <w:lvlText w:val="B1.%2"/>
      <w:lvlJc w:val="left"/>
      <w:pPr>
        <w:ind w:left="1134" w:hanging="1134"/>
      </w:pPr>
      <w:rPr>
        <w:rFonts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6">
    <w:nsid w:val="637E1FF3"/>
    <w:multiLevelType w:val="hybridMultilevel"/>
    <w:tmpl w:val="E1C4A4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398153A"/>
    <w:multiLevelType w:val="hybridMultilevel"/>
    <w:tmpl w:val="05D4DBD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3A63277"/>
    <w:multiLevelType w:val="hybridMultilevel"/>
    <w:tmpl w:val="76703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3AC0BA4"/>
    <w:multiLevelType w:val="hybridMultilevel"/>
    <w:tmpl w:val="646635C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41">
    <w:nsid w:val="651E0C38"/>
    <w:multiLevelType w:val="hybridMultilevel"/>
    <w:tmpl w:val="FB50DB8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nsid w:val="674D3A72"/>
    <w:multiLevelType w:val="hybridMultilevel"/>
    <w:tmpl w:val="D1CAB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6B364BC3"/>
    <w:multiLevelType w:val="hybridMultilevel"/>
    <w:tmpl w:val="998C0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6C252901"/>
    <w:multiLevelType w:val="multilevel"/>
    <w:tmpl w:val="9AB80672"/>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45">
    <w:nsid w:val="6D436319"/>
    <w:multiLevelType w:val="hybridMultilevel"/>
    <w:tmpl w:val="04904F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6D43678F"/>
    <w:multiLevelType w:val="hybridMultilevel"/>
    <w:tmpl w:val="45D67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70E12CFD"/>
    <w:multiLevelType w:val="hybridMultilevel"/>
    <w:tmpl w:val="1FAC8D90"/>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8">
    <w:nsid w:val="72D81535"/>
    <w:multiLevelType w:val="hybridMultilevel"/>
    <w:tmpl w:val="24D6675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79DD65CE"/>
    <w:multiLevelType w:val="hybridMultilevel"/>
    <w:tmpl w:val="C3FAE3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51">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num w:numId="1">
    <w:abstractNumId w:val="30"/>
  </w:num>
  <w:num w:numId="2">
    <w:abstractNumId w:val="4"/>
  </w:num>
  <w:num w:numId="3">
    <w:abstractNumId w:val="51"/>
  </w:num>
  <w:num w:numId="4">
    <w:abstractNumId w:val="40"/>
  </w:num>
  <w:num w:numId="5">
    <w:abstractNumId w:val="8"/>
  </w:num>
  <w:num w:numId="6">
    <w:abstractNumId w:val="50"/>
  </w:num>
  <w:num w:numId="7">
    <w:abstractNumId w:val="44"/>
  </w:num>
  <w:num w:numId="8">
    <w:abstractNumId w:val="28"/>
  </w:num>
  <w:num w:numId="9">
    <w:abstractNumId w:val="6"/>
  </w:num>
  <w:num w:numId="10">
    <w:abstractNumId w:val="32"/>
  </w:num>
  <w:num w:numId="11">
    <w:abstractNumId w:val="35"/>
  </w:num>
  <w:num w:numId="12">
    <w:abstractNumId w:val="1"/>
  </w:num>
  <w:num w:numId="13">
    <w:abstractNumId w:val="29"/>
  </w:num>
  <w:num w:numId="14">
    <w:abstractNumId w:val="5"/>
  </w:num>
  <w:num w:numId="15">
    <w:abstractNumId w:val="20"/>
  </w:num>
  <w:num w:numId="16">
    <w:abstractNumId w:val="3"/>
  </w:num>
  <w:num w:numId="17">
    <w:abstractNumId w:val="18"/>
  </w:num>
  <w:num w:numId="18">
    <w:abstractNumId w:val="25"/>
  </w:num>
  <w:num w:numId="19">
    <w:abstractNumId w:val="34"/>
  </w:num>
  <w:num w:numId="20">
    <w:abstractNumId w:val="12"/>
  </w:num>
  <w:num w:numId="21">
    <w:abstractNumId w:val="31"/>
  </w:num>
  <w:num w:numId="22">
    <w:abstractNumId w:val="49"/>
  </w:num>
  <w:num w:numId="23">
    <w:abstractNumId w:val="17"/>
  </w:num>
  <w:num w:numId="24">
    <w:abstractNumId w:val="13"/>
  </w:num>
  <w:num w:numId="25">
    <w:abstractNumId w:val="15"/>
  </w:num>
  <w:num w:numId="26">
    <w:abstractNumId w:val="45"/>
  </w:num>
  <w:num w:numId="27">
    <w:abstractNumId w:val="41"/>
  </w:num>
  <w:num w:numId="28">
    <w:abstractNumId w:val="21"/>
  </w:num>
  <w:num w:numId="29">
    <w:abstractNumId w:val="7"/>
  </w:num>
  <w:num w:numId="30">
    <w:abstractNumId w:val="26"/>
  </w:num>
  <w:num w:numId="31">
    <w:abstractNumId w:val="23"/>
  </w:num>
  <w:num w:numId="32">
    <w:abstractNumId w:val="36"/>
  </w:num>
  <w:num w:numId="33">
    <w:abstractNumId w:val="10"/>
  </w:num>
  <w:num w:numId="34">
    <w:abstractNumId w:val="33"/>
  </w:num>
  <w:num w:numId="35">
    <w:abstractNumId w:val="11"/>
  </w:num>
  <w:num w:numId="36">
    <w:abstractNumId w:val="9"/>
  </w:num>
  <w:num w:numId="37">
    <w:abstractNumId w:val="42"/>
  </w:num>
  <w:num w:numId="38">
    <w:abstractNumId w:val="16"/>
  </w:num>
  <w:num w:numId="39">
    <w:abstractNumId w:val="24"/>
  </w:num>
  <w:num w:numId="40">
    <w:abstractNumId w:val="37"/>
  </w:num>
  <w:num w:numId="41">
    <w:abstractNumId w:val="22"/>
  </w:num>
  <w:num w:numId="42">
    <w:abstractNumId w:val="2"/>
  </w:num>
  <w:num w:numId="43">
    <w:abstractNumId w:val="14"/>
  </w:num>
  <w:num w:numId="44">
    <w:abstractNumId w:val="0"/>
  </w:num>
  <w:num w:numId="45">
    <w:abstractNumId w:val="12"/>
    <w:lvlOverride w:ilvl="0">
      <w:startOverride w:val="1"/>
    </w:lvlOverride>
  </w:num>
  <w:num w:numId="46">
    <w:abstractNumId w:val="48"/>
  </w:num>
  <w:num w:numId="47">
    <w:abstractNumId w:val="38"/>
  </w:num>
  <w:num w:numId="48">
    <w:abstractNumId w:val="46"/>
  </w:num>
  <w:num w:numId="49">
    <w:abstractNumId w:val="39"/>
  </w:num>
  <w:num w:numId="50">
    <w:abstractNumId w:val="27"/>
  </w:num>
  <w:num w:numId="51">
    <w:abstractNumId w:val="47"/>
  </w:num>
  <w:num w:numId="52">
    <w:abstractNumId w:val="19"/>
  </w:num>
  <w:num w:numId="53">
    <w:abstractNumId w:val="4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RACS Copy&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p9terxr22fx91epzebpfdwuzrwtw2a2ep2t&quot;&gt;Traveling library&lt;record-ids&gt;&lt;item&gt;1&lt;/item&gt;&lt;item&gt;2&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58&lt;/item&gt;&lt;item&gt;159&lt;/item&gt;&lt;item&gt;160&lt;/item&gt;&lt;item&gt;161&lt;/item&gt;&lt;item&gt;162&lt;/item&gt;&lt;item&gt;163&lt;/item&gt;&lt;item&gt;164&lt;/item&gt;&lt;item&gt;166&lt;/item&gt;&lt;item&gt;167&lt;/item&gt;&lt;item&gt;168&lt;/item&gt;&lt;item&gt;169&lt;/item&gt;&lt;item&gt;170&lt;/item&gt;&lt;item&gt;171&lt;/item&gt;&lt;item&gt;172&lt;/item&gt;&lt;item&gt;173&lt;/item&gt;&lt;item&gt;176&lt;/item&gt;&lt;item&gt;179&lt;/item&gt;&lt;item&gt;181&lt;/item&gt;&lt;item&gt;182&lt;/item&gt;&lt;item&gt;183&lt;/item&gt;&lt;item&gt;184&lt;/item&gt;&lt;item&gt;185&lt;/item&gt;&lt;item&gt;186&lt;/item&gt;&lt;item&gt;188&lt;/item&gt;&lt;item&gt;190&lt;/item&gt;&lt;item&gt;193&lt;/item&gt;&lt;item&gt;194&lt;/item&gt;&lt;item&gt;195&lt;/item&gt;&lt;item&gt;199&lt;/item&gt;&lt;item&gt;200&lt;/item&gt;&lt;item&gt;201&lt;/item&gt;&lt;item&gt;203&lt;/item&gt;&lt;item&gt;204&lt;/item&gt;&lt;item&gt;205&lt;/item&gt;&lt;item&gt;206&lt;/item&gt;&lt;item&gt;207&lt;/item&gt;&lt;item&gt;208&lt;/item&gt;&lt;item&gt;210&lt;/item&gt;&lt;item&gt;211&lt;/item&gt;&lt;item&gt;212&lt;/item&gt;&lt;item&gt;213&lt;/item&gt;&lt;item&gt;215&lt;/item&gt;&lt;item&gt;216&lt;/item&gt;&lt;/record-ids&gt;&lt;/item&gt;&lt;item db-id=&quot;xzzrstesqpaavfe0te5p2zssvee5ervas2vt&quot;&gt;1397 Report Library&lt;record-ids&gt;&lt;item&gt;17&lt;/item&gt;&lt;item&gt;18&lt;/item&gt;&lt;item&gt;166&lt;/item&gt;&lt;item&gt;212&lt;/item&gt;&lt;item&gt;213&lt;/item&gt;&lt;/record-ids&gt;&lt;/item&gt;&lt;/Libraries&gt;"/>
  </w:docVars>
  <w:rsids>
    <w:rsidRoot w:val="00094ACE"/>
    <w:rsid w:val="00000390"/>
    <w:rsid w:val="000006B5"/>
    <w:rsid w:val="00000B2B"/>
    <w:rsid w:val="00000B9C"/>
    <w:rsid w:val="00000BEB"/>
    <w:rsid w:val="00000C42"/>
    <w:rsid w:val="00000FA9"/>
    <w:rsid w:val="0000127D"/>
    <w:rsid w:val="0000136D"/>
    <w:rsid w:val="00001747"/>
    <w:rsid w:val="0000190C"/>
    <w:rsid w:val="00001C3C"/>
    <w:rsid w:val="00001E31"/>
    <w:rsid w:val="00001F98"/>
    <w:rsid w:val="00001FAC"/>
    <w:rsid w:val="0000226A"/>
    <w:rsid w:val="0000228D"/>
    <w:rsid w:val="00002531"/>
    <w:rsid w:val="00002552"/>
    <w:rsid w:val="00002958"/>
    <w:rsid w:val="000029F2"/>
    <w:rsid w:val="00003287"/>
    <w:rsid w:val="00003796"/>
    <w:rsid w:val="00003AE0"/>
    <w:rsid w:val="00003BEF"/>
    <w:rsid w:val="0000430A"/>
    <w:rsid w:val="0000438F"/>
    <w:rsid w:val="00004D16"/>
    <w:rsid w:val="00005109"/>
    <w:rsid w:val="00005257"/>
    <w:rsid w:val="0000536A"/>
    <w:rsid w:val="000055D4"/>
    <w:rsid w:val="000056FA"/>
    <w:rsid w:val="00005EE3"/>
    <w:rsid w:val="000063C9"/>
    <w:rsid w:val="00006627"/>
    <w:rsid w:val="00006641"/>
    <w:rsid w:val="0000666E"/>
    <w:rsid w:val="00006961"/>
    <w:rsid w:val="000069A7"/>
    <w:rsid w:val="00006C74"/>
    <w:rsid w:val="0000750D"/>
    <w:rsid w:val="000078F6"/>
    <w:rsid w:val="00007948"/>
    <w:rsid w:val="000079CC"/>
    <w:rsid w:val="00007A44"/>
    <w:rsid w:val="00007A4C"/>
    <w:rsid w:val="00007BC7"/>
    <w:rsid w:val="00007BE0"/>
    <w:rsid w:val="00007D81"/>
    <w:rsid w:val="00007DB8"/>
    <w:rsid w:val="00007DC0"/>
    <w:rsid w:val="00010606"/>
    <w:rsid w:val="000106F7"/>
    <w:rsid w:val="0001085B"/>
    <w:rsid w:val="0001088E"/>
    <w:rsid w:val="000108EE"/>
    <w:rsid w:val="000109F3"/>
    <w:rsid w:val="00010A96"/>
    <w:rsid w:val="00010BF8"/>
    <w:rsid w:val="00010FB8"/>
    <w:rsid w:val="000111D2"/>
    <w:rsid w:val="00011550"/>
    <w:rsid w:val="000116CA"/>
    <w:rsid w:val="00011758"/>
    <w:rsid w:val="00011772"/>
    <w:rsid w:val="00011BB4"/>
    <w:rsid w:val="000120CF"/>
    <w:rsid w:val="00012CD9"/>
    <w:rsid w:val="00012EA4"/>
    <w:rsid w:val="00012EA6"/>
    <w:rsid w:val="0001307B"/>
    <w:rsid w:val="000130D3"/>
    <w:rsid w:val="00013303"/>
    <w:rsid w:val="000133F9"/>
    <w:rsid w:val="000134C1"/>
    <w:rsid w:val="0001357B"/>
    <w:rsid w:val="00013791"/>
    <w:rsid w:val="000137DC"/>
    <w:rsid w:val="0001388D"/>
    <w:rsid w:val="00013934"/>
    <w:rsid w:val="000139D1"/>
    <w:rsid w:val="000139EB"/>
    <w:rsid w:val="00013B46"/>
    <w:rsid w:val="00013DE4"/>
    <w:rsid w:val="00013DF3"/>
    <w:rsid w:val="00013F75"/>
    <w:rsid w:val="00013FA1"/>
    <w:rsid w:val="000142F6"/>
    <w:rsid w:val="00014736"/>
    <w:rsid w:val="00014776"/>
    <w:rsid w:val="00014917"/>
    <w:rsid w:val="000149C2"/>
    <w:rsid w:val="00014A66"/>
    <w:rsid w:val="00014CF6"/>
    <w:rsid w:val="00014D6D"/>
    <w:rsid w:val="00014EC1"/>
    <w:rsid w:val="00015282"/>
    <w:rsid w:val="000155E6"/>
    <w:rsid w:val="0001563F"/>
    <w:rsid w:val="00015787"/>
    <w:rsid w:val="00015C26"/>
    <w:rsid w:val="00015E03"/>
    <w:rsid w:val="000160B3"/>
    <w:rsid w:val="0001628E"/>
    <w:rsid w:val="00016333"/>
    <w:rsid w:val="0001666A"/>
    <w:rsid w:val="0001667E"/>
    <w:rsid w:val="00016792"/>
    <w:rsid w:val="000167CF"/>
    <w:rsid w:val="000169E0"/>
    <w:rsid w:val="00016F4F"/>
    <w:rsid w:val="00016FDF"/>
    <w:rsid w:val="000171FD"/>
    <w:rsid w:val="00017891"/>
    <w:rsid w:val="00017B2B"/>
    <w:rsid w:val="00017BFF"/>
    <w:rsid w:val="00017CAB"/>
    <w:rsid w:val="00017D44"/>
    <w:rsid w:val="00017F8C"/>
    <w:rsid w:val="0002062A"/>
    <w:rsid w:val="0002098E"/>
    <w:rsid w:val="00020A61"/>
    <w:rsid w:val="00020C59"/>
    <w:rsid w:val="00020F15"/>
    <w:rsid w:val="00020FE5"/>
    <w:rsid w:val="00021072"/>
    <w:rsid w:val="00021FDC"/>
    <w:rsid w:val="0002230A"/>
    <w:rsid w:val="0002265C"/>
    <w:rsid w:val="00022B64"/>
    <w:rsid w:val="000236CF"/>
    <w:rsid w:val="00023792"/>
    <w:rsid w:val="000237FD"/>
    <w:rsid w:val="0002383A"/>
    <w:rsid w:val="00023843"/>
    <w:rsid w:val="00023FF2"/>
    <w:rsid w:val="0002446C"/>
    <w:rsid w:val="000245AB"/>
    <w:rsid w:val="00024819"/>
    <w:rsid w:val="0002581D"/>
    <w:rsid w:val="00025CE4"/>
    <w:rsid w:val="00025D96"/>
    <w:rsid w:val="00025F1A"/>
    <w:rsid w:val="000266AD"/>
    <w:rsid w:val="0002695E"/>
    <w:rsid w:val="00026D2F"/>
    <w:rsid w:val="00026D6A"/>
    <w:rsid w:val="00027055"/>
    <w:rsid w:val="0002707D"/>
    <w:rsid w:val="00027329"/>
    <w:rsid w:val="0002749F"/>
    <w:rsid w:val="00027611"/>
    <w:rsid w:val="00027A86"/>
    <w:rsid w:val="00027B53"/>
    <w:rsid w:val="00027DDF"/>
    <w:rsid w:val="00027F1B"/>
    <w:rsid w:val="00030C76"/>
    <w:rsid w:val="00030DD9"/>
    <w:rsid w:val="00030E6F"/>
    <w:rsid w:val="00030EA1"/>
    <w:rsid w:val="00030FB4"/>
    <w:rsid w:val="000311A8"/>
    <w:rsid w:val="00031330"/>
    <w:rsid w:val="0003136E"/>
    <w:rsid w:val="000313F3"/>
    <w:rsid w:val="000314E2"/>
    <w:rsid w:val="00031A2C"/>
    <w:rsid w:val="000321D9"/>
    <w:rsid w:val="000324A3"/>
    <w:rsid w:val="0003260D"/>
    <w:rsid w:val="00033E27"/>
    <w:rsid w:val="000340BA"/>
    <w:rsid w:val="000342DA"/>
    <w:rsid w:val="000348AC"/>
    <w:rsid w:val="00034AE9"/>
    <w:rsid w:val="00034CFE"/>
    <w:rsid w:val="00035200"/>
    <w:rsid w:val="000355D0"/>
    <w:rsid w:val="00035671"/>
    <w:rsid w:val="0003587F"/>
    <w:rsid w:val="0003595E"/>
    <w:rsid w:val="00035FF2"/>
    <w:rsid w:val="00036221"/>
    <w:rsid w:val="0003639B"/>
    <w:rsid w:val="0003669F"/>
    <w:rsid w:val="00036848"/>
    <w:rsid w:val="000368B9"/>
    <w:rsid w:val="00036954"/>
    <w:rsid w:val="00036F0B"/>
    <w:rsid w:val="000373D6"/>
    <w:rsid w:val="000373E8"/>
    <w:rsid w:val="00037729"/>
    <w:rsid w:val="000378CF"/>
    <w:rsid w:val="00037B2B"/>
    <w:rsid w:val="00040305"/>
    <w:rsid w:val="000405A7"/>
    <w:rsid w:val="000406B4"/>
    <w:rsid w:val="00040D41"/>
    <w:rsid w:val="00040DD2"/>
    <w:rsid w:val="0004109F"/>
    <w:rsid w:val="00041615"/>
    <w:rsid w:val="0004165A"/>
    <w:rsid w:val="00041867"/>
    <w:rsid w:val="00041ADB"/>
    <w:rsid w:val="00041B23"/>
    <w:rsid w:val="00041C6F"/>
    <w:rsid w:val="00041D94"/>
    <w:rsid w:val="00041F2B"/>
    <w:rsid w:val="000424B4"/>
    <w:rsid w:val="000426EB"/>
    <w:rsid w:val="000427F8"/>
    <w:rsid w:val="00043293"/>
    <w:rsid w:val="00043C04"/>
    <w:rsid w:val="0004468B"/>
    <w:rsid w:val="00044B7A"/>
    <w:rsid w:val="0004536B"/>
    <w:rsid w:val="00045C50"/>
    <w:rsid w:val="000460CD"/>
    <w:rsid w:val="0004642F"/>
    <w:rsid w:val="000464C3"/>
    <w:rsid w:val="00046AD6"/>
    <w:rsid w:val="00046BF1"/>
    <w:rsid w:val="00046E1D"/>
    <w:rsid w:val="00046EE5"/>
    <w:rsid w:val="000470F1"/>
    <w:rsid w:val="00050167"/>
    <w:rsid w:val="00050356"/>
    <w:rsid w:val="000508A4"/>
    <w:rsid w:val="00050B32"/>
    <w:rsid w:val="00050D8F"/>
    <w:rsid w:val="00050DAA"/>
    <w:rsid w:val="00051060"/>
    <w:rsid w:val="00051085"/>
    <w:rsid w:val="000510B4"/>
    <w:rsid w:val="000512A0"/>
    <w:rsid w:val="0005149D"/>
    <w:rsid w:val="0005156D"/>
    <w:rsid w:val="00051666"/>
    <w:rsid w:val="00051A96"/>
    <w:rsid w:val="00051F80"/>
    <w:rsid w:val="000520C8"/>
    <w:rsid w:val="0005232D"/>
    <w:rsid w:val="00052434"/>
    <w:rsid w:val="0005255F"/>
    <w:rsid w:val="0005272E"/>
    <w:rsid w:val="00052741"/>
    <w:rsid w:val="0005281F"/>
    <w:rsid w:val="0005287C"/>
    <w:rsid w:val="00052935"/>
    <w:rsid w:val="00052AC0"/>
    <w:rsid w:val="00052E3F"/>
    <w:rsid w:val="00052FBC"/>
    <w:rsid w:val="00053A89"/>
    <w:rsid w:val="0005426D"/>
    <w:rsid w:val="00054878"/>
    <w:rsid w:val="00054C2E"/>
    <w:rsid w:val="00054C69"/>
    <w:rsid w:val="000554AA"/>
    <w:rsid w:val="000558D1"/>
    <w:rsid w:val="00055C87"/>
    <w:rsid w:val="00055E08"/>
    <w:rsid w:val="00056684"/>
    <w:rsid w:val="00056922"/>
    <w:rsid w:val="00056983"/>
    <w:rsid w:val="00056BE2"/>
    <w:rsid w:val="00056DC4"/>
    <w:rsid w:val="00056E1F"/>
    <w:rsid w:val="00056ED1"/>
    <w:rsid w:val="00057834"/>
    <w:rsid w:val="00060875"/>
    <w:rsid w:val="000608FD"/>
    <w:rsid w:val="000609A2"/>
    <w:rsid w:val="00060B82"/>
    <w:rsid w:val="00060E4F"/>
    <w:rsid w:val="00060E70"/>
    <w:rsid w:val="000613E7"/>
    <w:rsid w:val="0006197B"/>
    <w:rsid w:val="00061A1C"/>
    <w:rsid w:val="00061AF5"/>
    <w:rsid w:val="00061DB6"/>
    <w:rsid w:val="00062064"/>
    <w:rsid w:val="000625F7"/>
    <w:rsid w:val="00062650"/>
    <w:rsid w:val="00062F2F"/>
    <w:rsid w:val="000630EB"/>
    <w:rsid w:val="00063167"/>
    <w:rsid w:val="00063311"/>
    <w:rsid w:val="0006384B"/>
    <w:rsid w:val="00063985"/>
    <w:rsid w:val="000639DF"/>
    <w:rsid w:val="00063A3A"/>
    <w:rsid w:val="00063BA5"/>
    <w:rsid w:val="00063C23"/>
    <w:rsid w:val="00063C88"/>
    <w:rsid w:val="00063CC4"/>
    <w:rsid w:val="00063F44"/>
    <w:rsid w:val="00063FE3"/>
    <w:rsid w:val="0006406E"/>
    <w:rsid w:val="0006420B"/>
    <w:rsid w:val="0006422B"/>
    <w:rsid w:val="00064269"/>
    <w:rsid w:val="0006454A"/>
    <w:rsid w:val="00064599"/>
    <w:rsid w:val="00064A30"/>
    <w:rsid w:val="00064A78"/>
    <w:rsid w:val="000650CB"/>
    <w:rsid w:val="000650D5"/>
    <w:rsid w:val="0006531D"/>
    <w:rsid w:val="00065374"/>
    <w:rsid w:val="00065408"/>
    <w:rsid w:val="00065DD7"/>
    <w:rsid w:val="000665A4"/>
    <w:rsid w:val="000665F1"/>
    <w:rsid w:val="00066802"/>
    <w:rsid w:val="00066CD5"/>
    <w:rsid w:val="00066F5D"/>
    <w:rsid w:val="00067BF6"/>
    <w:rsid w:val="00067C28"/>
    <w:rsid w:val="000704AA"/>
    <w:rsid w:val="00070B84"/>
    <w:rsid w:val="00070CF4"/>
    <w:rsid w:val="000715AE"/>
    <w:rsid w:val="000715CB"/>
    <w:rsid w:val="00071847"/>
    <w:rsid w:val="00071963"/>
    <w:rsid w:val="00071B67"/>
    <w:rsid w:val="00071BA0"/>
    <w:rsid w:val="00071BDA"/>
    <w:rsid w:val="00071D1F"/>
    <w:rsid w:val="00072199"/>
    <w:rsid w:val="00072539"/>
    <w:rsid w:val="0007284B"/>
    <w:rsid w:val="00072A22"/>
    <w:rsid w:val="00072C8F"/>
    <w:rsid w:val="00072DC0"/>
    <w:rsid w:val="00072E82"/>
    <w:rsid w:val="00073235"/>
    <w:rsid w:val="00073267"/>
    <w:rsid w:val="00073339"/>
    <w:rsid w:val="00073376"/>
    <w:rsid w:val="00073636"/>
    <w:rsid w:val="0007379A"/>
    <w:rsid w:val="00073882"/>
    <w:rsid w:val="000739E5"/>
    <w:rsid w:val="00073A8D"/>
    <w:rsid w:val="00073EC5"/>
    <w:rsid w:val="00074ABF"/>
    <w:rsid w:val="00074F92"/>
    <w:rsid w:val="000759C5"/>
    <w:rsid w:val="00075A7C"/>
    <w:rsid w:val="00075C24"/>
    <w:rsid w:val="00075F50"/>
    <w:rsid w:val="000767C7"/>
    <w:rsid w:val="000768BB"/>
    <w:rsid w:val="00076A45"/>
    <w:rsid w:val="00076A70"/>
    <w:rsid w:val="00076F32"/>
    <w:rsid w:val="00077247"/>
    <w:rsid w:val="000774DB"/>
    <w:rsid w:val="00077880"/>
    <w:rsid w:val="0007789D"/>
    <w:rsid w:val="00077D75"/>
    <w:rsid w:val="00077F92"/>
    <w:rsid w:val="0008033F"/>
    <w:rsid w:val="00080450"/>
    <w:rsid w:val="00080706"/>
    <w:rsid w:val="00080986"/>
    <w:rsid w:val="000809D5"/>
    <w:rsid w:val="00080BC1"/>
    <w:rsid w:val="00080C78"/>
    <w:rsid w:val="00081342"/>
    <w:rsid w:val="0008168D"/>
    <w:rsid w:val="00081CBE"/>
    <w:rsid w:val="000821BD"/>
    <w:rsid w:val="000822EA"/>
    <w:rsid w:val="0008244A"/>
    <w:rsid w:val="0008260B"/>
    <w:rsid w:val="00082712"/>
    <w:rsid w:val="00082977"/>
    <w:rsid w:val="00082A02"/>
    <w:rsid w:val="00082C5A"/>
    <w:rsid w:val="00082CDD"/>
    <w:rsid w:val="00082DBE"/>
    <w:rsid w:val="00082E66"/>
    <w:rsid w:val="00082EC5"/>
    <w:rsid w:val="00083498"/>
    <w:rsid w:val="0008367E"/>
    <w:rsid w:val="000838C2"/>
    <w:rsid w:val="00084106"/>
    <w:rsid w:val="000845C9"/>
    <w:rsid w:val="00084C1C"/>
    <w:rsid w:val="00084CE9"/>
    <w:rsid w:val="00084D5C"/>
    <w:rsid w:val="00084F83"/>
    <w:rsid w:val="00085282"/>
    <w:rsid w:val="00085400"/>
    <w:rsid w:val="00085981"/>
    <w:rsid w:val="00085C31"/>
    <w:rsid w:val="0008612D"/>
    <w:rsid w:val="000861FA"/>
    <w:rsid w:val="00086491"/>
    <w:rsid w:val="000868BD"/>
    <w:rsid w:val="000869F6"/>
    <w:rsid w:val="00086D44"/>
    <w:rsid w:val="00086DB8"/>
    <w:rsid w:val="00086ED1"/>
    <w:rsid w:val="00087784"/>
    <w:rsid w:val="00087F4E"/>
    <w:rsid w:val="00090146"/>
    <w:rsid w:val="00090330"/>
    <w:rsid w:val="000903F9"/>
    <w:rsid w:val="000905F4"/>
    <w:rsid w:val="000905F9"/>
    <w:rsid w:val="00090904"/>
    <w:rsid w:val="00090AA3"/>
    <w:rsid w:val="00090BB9"/>
    <w:rsid w:val="00090BD2"/>
    <w:rsid w:val="00090DDE"/>
    <w:rsid w:val="00090EF8"/>
    <w:rsid w:val="00091296"/>
    <w:rsid w:val="00091363"/>
    <w:rsid w:val="00091667"/>
    <w:rsid w:val="000917C7"/>
    <w:rsid w:val="00091989"/>
    <w:rsid w:val="00091A2F"/>
    <w:rsid w:val="00091DBC"/>
    <w:rsid w:val="00092116"/>
    <w:rsid w:val="000926FE"/>
    <w:rsid w:val="000928E2"/>
    <w:rsid w:val="00092A35"/>
    <w:rsid w:val="00092CFA"/>
    <w:rsid w:val="000933E6"/>
    <w:rsid w:val="000937B3"/>
    <w:rsid w:val="0009386C"/>
    <w:rsid w:val="000939B9"/>
    <w:rsid w:val="00093C9A"/>
    <w:rsid w:val="00093CE9"/>
    <w:rsid w:val="00093DC4"/>
    <w:rsid w:val="000940A3"/>
    <w:rsid w:val="00094295"/>
    <w:rsid w:val="00094878"/>
    <w:rsid w:val="00094977"/>
    <w:rsid w:val="00094ACE"/>
    <w:rsid w:val="00094DBD"/>
    <w:rsid w:val="00095BD5"/>
    <w:rsid w:val="00096B92"/>
    <w:rsid w:val="00096BD5"/>
    <w:rsid w:val="00096EBE"/>
    <w:rsid w:val="0009782E"/>
    <w:rsid w:val="00097AAC"/>
    <w:rsid w:val="000A0146"/>
    <w:rsid w:val="000A051D"/>
    <w:rsid w:val="000A0790"/>
    <w:rsid w:val="000A07CB"/>
    <w:rsid w:val="000A0B72"/>
    <w:rsid w:val="000A0C9C"/>
    <w:rsid w:val="000A0D18"/>
    <w:rsid w:val="000A1298"/>
    <w:rsid w:val="000A13F7"/>
    <w:rsid w:val="000A1508"/>
    <w:rsid w:val="000A1A78"/>
    <w:rsid w:val="000A1D85"/>
    <w:rsid w:val="000A225A"/>
    <w:rsid w:val="000A2278"/>
    <w:rsid w:val="000A2445"/>
    <w:rsid w:val="000A272A"/>
    <w:rsid w:val="000A2BD0"/>
    <w:rsid w:val="000A2C9E"/>
    <w:rsid w:val="000A32AA"/>
    <w:rsid w:val="000A3454"/>
    <w:rsid w:val="000A375A"/>
    <w:rsid w:val="000A39F4"/>
    <w:rsid w:val="000A3AAF"/>
    <w:rsid w:val="000A3BF8"/>
    <w:rsid w:val="000A3E60"/>
    <w:rsid w:val="000A3F8D"/>
    <w:rsid w:val="000A4DF3"/>
    <w:rsid w:val="000A546E"/>
    <w:rsid w:val="000A54AD"/>
    <w:rsid w:val="000A5581"/>
    <w:rsid w:val="000A55B4"/>
    <w:rsid w:val="000A5CE8"/>
    <w:rsid w:val="000A5DB5"/>
    <w:rsid w:val="000A5F85"/>
    <w:rsid w:val="000A6005"/>
    <w:rsid w:val="000A612B"/>
    <w:rsid w:val="000A6388"/>
    <w:rsid w:val="000A656C"/>
    <w:rsid w:val="000A6664"/>
    <w:rsid w:val="000A6C01"/>
    <w:rsid w:val="000A7356"/>
    <w:rsid w:val="000A77C8"/>
    <w:rsid w:val="000A7943"/>
    <w:rsid w:val="000A7D0A"/>
    <w:rsid w:val="000B0260"/>
    <w:rsid w:val="000B0364"/>
    <w:rsid w:val="000B06C4"/>
    <w:rsid w:val="000B0993"/>
    <w:rsid w:val="000B0D47"/>
    <w:rsid w:val="000B0F0F"/>
    <w:rsid w:val="000B1434"/>
    <w:rsid w:val="000B164F"/>
    <w:rsid w:val="000B1DB4"/>
    <w:rsid w:val="000B1F56"/>
    <w:rsid w:val="000B2189"/>
    <w:rsid w:val="000B21CB"/>
    <w:rsid w:val="000B23EA"/>
    <w:rsid w:val="000B2416"/>
    <w:rsid w:val="000B2675"/>
    <w:rsid w:val="000B274D"/>
    <w:rsid w:val="000B2DCA"/>
    <w:rsid w:val="000B2E4B"/>
    <w:rsid w:val="000B30A2"/>
    <w:rsid w:val="000B3610"/>
    <w:rsid w:val="000B3727"/>
    <w:rsid w:val="000B3A66"/>
    <w:rsid w:val="000B3CA5"/>
    <w:rsid w:val="000B4253"/>
    <w:rsid w:val="000B4A87"/>
    <w:rsid w:val="000B4BDC"/>
    <w:rsid w:val="000B4CAD"/>
    <w:rsid w:val="000B4D9E"/>
    <w:rsid w:val="000B508C"/>
    <w:rsid w:val="000B525C"/>
    <w:rsid w:val="000B5C7B"/>
    <w:rsid w:val="000B5D81"/>
    <w:rsid w:val="000B63E1"/>
    <w:rsid w:val="000B688F"/>
    <w:rsid w:val="000B6A3F"/>
    <w:rsid w:val="000B7431"/>
    <w:rsid w:val="000B75AA"/>
    <w:rsid w:val="000B7990"/>
    <w:rsid w:val="000B7A2F"/>
    <w:rsid w:val="000B7B78"/>
    <w:rsid w:val="000B7DFE"/>
    <w:rsid w:val="000B7E34"/>
    <w:rsid w:val="000B7EE2"/>
    <w:rsid w:val="000B7EE7"/>
    <w:rsid w:val="000B7F5D"/>
    <w:rsid w:val="000C0364"/>
    <w:rsid w:val="000C0493"/>
    <w:rsid w:val="000C04A2"/>
    <w:rsid w:val="000C04C1"/>
    <w:rsid w:val="000C0684"/>
    <w:rsid w:val="000C09D1"/>
    <w:rsid w:val="000C0CCE"/>
    <w:rsid w:val="000C108F"/>
    <w:rsid w:val="000C10BA"/>
    <w:rsid w:val="000C14EF"/>
    <w:rsid w:val="000C1599"/>
    <w:rsid w:val="000C1714"/>
    <w:rsid w:val="000C1747"/>
    <w:rsid w:val="000C1AFE"/>
    <w:rsid w:val="000C226B"/>
    <w:rsid w:val="000C2D22"/>
    <w:rsid w:val="000C2EC3"/>
    <w:rsid w:val="000C32A4"/>
    <w:rsid w:val="000C3899"/>
    <w:rsid w:val="000C3CDE"/>
    <w:rsid w:val="000C4137"/>
    <w:rsid w:val="000C432A"/>
    <w:rsid w:val="000C4404"/>
    <w:rsid w:val="000C44CA"/>
    <w:rsid w:val="000C51FC"/>
    <w:rsid w:val="000C52C0"/>
    <w:rsid w:val="000C53B8"/>
    <w:rsid w:val="000C5503"/>
    <w:rsid w:val="000C5752"/>
    <w:rsid w:val="000C5878"/>
    <w:rsid w:val="000C5A70"/>
    <w:rsid w:val="000C5D0A"/>
    <w:rsid w:val="000C5F36"/>
    <w:rsid w:val="000C61C5"/>
    <w:rsid w:val="000C62C8"/>
    <w:rsid w:val="000C63DF"/>
    <w:rsid w:val="000C651F"/>
    <w:rsid w:val="000C6D10"/>
    <w:rsid w:val="000C6F09"/>
    <w:rsid w:val="000C7211"/>
    <w:rsid w:val="000C7395"/>
    <w:rsid w:val="000C769F"/>
    <w:rsid w:val="000C7935"/>
    <w:rsid w:val="000C7C2F"/>
    <w:rsid w:val="000C7C44"/>
    <w:rsid w:val="000C7F6A"/>
    <w:rsid w:val="000D0128"/>
    <w:rsid w:val="000D02CC"/>
    <w:rsid w:val="000D04F4"/>
    <w:rsid w:val="000D1217"/>
    <w:rsid w:val="000D1300"/>
    <w:rsid w:val="000D13CD"/>
    <w:rsid w:val="000D180A"/>
    <w:rsid w:val="000D186C"/>
    <w:rsid w:val="000D18A1"/>
    <w:rsid w:val="000D18A2"/>
    <w:rsid w:val="000D1C4C"/>
    <w:rsid w:val="000D2118"/>
    <w:rsid w:val="000D2BCF"/>
    <w:rsid w:val="000D2D78"/>
    <w:rsid w:val="000D2D89"/>
    <w:rsid w:val="000D2E96"/>
    <w:rsid w:val="000D2EB6"/>
    <w:rsid w:val="000D2F66"/>
    <w:rsid w:val="000D3024"/>
    <w:rsid w:val="000D3076"/>
    <w:rsid w:val="000D328F"/>
    <w:rsid w:val="000D3317"/>
    <w:rsid w:val="000D33CE"/>
    <w:rsid w:val="000D34EB"/>
    <w:rsid w:val="000D35AA"/>
    <w:rsid w:val="000D3799"/>
    <w:rsid w:val="000D3855"/>
    <w:rsid w:val="000D3AD0"/>
    <w:rsid w:val="000D3B89"/>
    <w:rsid w:val="000D3E93"/>
    <w:rsid w:val="000D41C4"/>
    <w:rsid w:val="000D4203"/>
    <w:rsid w:val="000D4324"/>
    <w:rsid w:val="000D4462"/>
    <w:rsid w:val="000D46E8"/>
    <w:rsid w:val="000D47D1"/>
    <w:rsid w:val="000D4AB6"/>
    <w:rsid w:val="000D4D6A"/>
    <w:rsid w:val="000D4DFE"/>
    <w:rsid w:val="000D4E1A"/>
    <w:rsid w:val="000D4F8C"/>
    <w:rsid w:val="000D4FCE"/>
    <w:rsid w:val="000D50CD"/>
    <w:rsid w:val="000D5513"/>
    <w:rsid w:val="000D5925"/>
    <w:rsid w:val="000D5A53"/>
    <w:rsid w:val="000D5AF8"/>
    <w:rsid w:val="000D5EDA"/>
    <w:rsid w:val="000D60AA"/>
    <w:rsid w:val="000D63E0"/>
    <w:rsid w:val="000D6684"/>
    <w:rsid w:val="000D6840"/>
    <w:rsid w:val="000D6A64"/>
    <w:rsid w:val="000D6FFB"/>
    <w:rsid w:val="000D708E"/>
    <w:rsid w:val="000D7A06"/>
    <w:rsid w:val="000E02D8"/>
    <w:rsid w:val="000E073C"/>
    <w:rsid w:val="000E09A4"/>
    <w:rsid w:val="000E0B6A"/>
    <w:rsid w:val="000E0D09"/>
    <w:rsid w:val="000E0E6B"/>
    <w:rsid w:val="000E125E"/>
    <w:rsid w:val="000E1439"/>
    <w:rsid w:val="000E145B"/>
    <w:rsid w:val="000E1520"/>
    <w:rsid w:val="000E160C"/>
    <w:rsid w:val="000E1C9D"/>
    <w:rsid w:val="000E1D12"/>
    <w:rsid w:val="000E1DA2"/>
    <w:rsid w:val="000E21A2"/>
    <w:rsid w:val="000E2864"/>
    <w:rsid w:val="000E2A18"/>
    <w:rsid w:val="000E2A84"/>
    <w:rsid w:val="000E3144"/>
    <w:rsid w:val="000E362B"/>
    <w:rsid w:val="000E36F3"/>
    <w:rsid w:val="000E398C"/>
    <w:rsid w:val="000E3D82"/>
    <w:rsid w:val="000E3E96"/>
    <w:rsid w:val="000E405F"/>
    <w:rsid w:val="000E455E"/>
    <w:rsid w:val="000E4943"/>
    <w:rsid w:val="000E4B45"/>
    <w:rsid w:val="000E4D70"/>
    <w:rsid w:val="000E4FC7"/>
    <w:rsid w:val="000E50DC"/>
    <w:rsid w:val="000E5466"/>
    <w:rsid w:val="000E54CB"/>
    <w:rsid w:val="000E551B"/>
    <w:rsid w:val="000E5DA6"/>
    <w:rsid w:val="000E5E5C"/>
    <w:rsid w:val="000E5EAC"/>
    <w:rsid w:val="000E6179"/>
    <w:rsid w:val="000E63DD"/>
    <w:rsid w:val="000E6891"/>
    <w:rsid w:val="000E6A1B"/>
    <w:rsid w:val="000E6C55"/>
    <w:rsid w:val="000E7851"/>
    <w:rsid w:val="000E7969"/>
    <w:rsid w:val="000E7A82"/>
    <w:rsid w:val="000E7AC3"/>
    <w:rsid w:val="000E7B84"/>
    <w:rsid w:val="000E7E2F"/>
    <w:rsid w:val="000E7E95"/>
    <w:rsid w:val="000F0975"/>
    <w:rsid w:val="000F0C54"/>
    <w:rsid w:val="000F0D08"/>
    <w:rsid w:val="000F0F95"/>
    <w:rsid w:val="000F1319"/>
    <w:rsid w:val="000F18E1"/>
    <w:rsid w:val="000F1CE2"/>
    <w:rsid w:val="000F1FA8"/>
    <w:rsid w:val="000F204E"/>
    <w:rsid w:val="000F219E"/>
    <w:rsid w:val="000F236B"/>
    <w:rsid w:val="000F285B"/>
    <w:rsid w:val="000F2D65"/>
    <w:rsid w:val="000F318C"/>
    <w:rsid w:val="000F3B50"/>
    <w:rsid w:val="000F426F"/>
    <w:rsid w:val="000F49C6"/>
    <w:rsid w:val="000F4C0D"/>
    <w:rsid w:val="000F4CB0"/>
    <w:rsid w:val="000F508A"/>
    <w:rsid w:val="000F50C5"/>
    <w:rsid w:val="000F5888"/>
    <w:rsid w:val="000F5F2C"/>
    <w:rsid w:val="000F5FC9"/>
    <w:rsid w:val="000F640C"/>
    <w:rsid w:val="000F66F8"/>
    <w:rsid w:val="000F6C6C"/>
    <w:rsid w:val="000F6CE1"/>
    <w:rsid w:val="000F6D1C"/>
    <w:rsid w:val="000F7361"/>
    <w:rsid w:val="000F74C1"/>
    <w:rsid w:val="000F76EF"/>
    <w:rsid w:val="000F7A58"/>
    <w:rsid w:val="000F7C32"/>
    <w:rsid w:val="000F7D32"/>
    <w:rsid w:val="000F7FD2"/>
    <w:rsid w:val="00100186"/>
    <w:rsid w:val="001001F0"/>
    <w:rsid w:val="00100281"/>
    <w:rsid w:val="00100570"/>
    <w:rsid w:val="001005AA"/>
    <w:rsid w:val="0010124A"/>
    <w:rsid w:val="00101616"/>
    <w:rsid w:val="001016C4"/>
    <w:rsid w:val="001018D1"/>
    <w:rsid w:val="001019F6"/>
    <w:rsid w:val="00101DAF"/>
    <w:rsid w:val="00101EA6"/>
    <w:rsid w:val="0010227A"/>
    <w:rsid w:val="001024C0"/>
    <w:rsid w:val="001024FE"/>
    <w:rsid w:val="001025B4"/>
    <w:rsid w:val="0010271E"/>
    <w:rsid w:val="00102752"/>
    <w:rsid w:val="00102ACE"/>
    <w:rsid w:val="00102C26"/>
    <w:rsid w:val="00103470"/>
    <w:rsid w:val="0010377A"/>
    <w:rsid w:val="00103FE2"/>
    <w:rsid w:val="0010407C"/>
    <w:rsid w:val="0010420B"/>
    <w:rsid w:val="0010430F"/>
    <w:rsid w:val="001047AE"/>
    <w:rsid w:val="00104932"/>
    <w:rsid w:val="00104FA4"/>
    <w:rsid w:val="001053AD"/>
    <w:rsid w:val="00105426"/>
    <w:rsid w:val="001059C5"/>
    <w:rsid w:val="0010618E"/>
    <w:rsid w:val="001061AB"/>
    <w:rsid w:val="001064DF"/>
    <w:rsid w:val="001064E2"/>
    <w:rsid w:val="00106705"/>
    <w:rsid w:val="00106CAC"/>
    <w:rsid w:val="00106D47"/>
    <w:rsid w:val="00106D5A"/>
    <w:rsid w:val="00106D75"/>
    <w:rsid w:val="00107317"/>
    <w:rsid w:val="0010739A"/>
    <w:rsid w:val="0010739D"/>
    <w:rsid w:val="00107D38"/>
    <w:rsid w:val="00107E45"/>
    <w:rsid w:val="00107F0B"/>
    <w:rsid w:val="001106E0"/>
    <w:rsid w:val="00110763"/>
    <w:rsid w:val="00110830"/>
    <w:rsid w:val="0011092D"/>
    <w:rsid w:val="00110A0A"/>
    <w:rsid w:val="00110A66"/>
    <w:rsid w:val="00110BC9"/>
    <w:rsid w:val="0011109C"/>
    <w:rsid w:val="0011120F"/>
    <w:rsid w:val="00111444"/>
    <w:rsid w:val="00111A9D"/>
    <w:rsid w:val="00111FD8"/>
    <w:rsid w:val="00112A67"/>
    <w:rsid w:val="001131C7"/>
    <w:rsid w:val="00113200"/>
    <w:rsid w:val="001134B2"/>
    <w:rsid w:val="00113789"/>
    <w:rsid w:val="00113AE8"/>
    <w:rsid w:val="00113F2B"/>
    <w:rsid w:val="001140D8"/>
    <w:rsid w:val="00114234"/>
    <w:rsid w:val="00114341"/>
    <w:rsid w:val="00114763"/>
    <w:rsid w:val="001147F1"/>
    <w:rsid w:val="00114A80"/>
    <w:rsid w:val="00114A88"/>
    <w:rsid w:val="0011532F"/>
    <w:rsid w:val="001155C9"/>
    <w:rsid w:val="001158F0"/>
    <w:rsid w:val="00115A2A"/>
    <w:rsid w:val="00115A5F"/>
    <w:rsid w:val="00115EDC"/>
    <w:rsid w:val="00115F3B"/>
    <w:rsid w:val="00116DD5"/>
    <w:rsid w:val="00116F9A"/>
    <w:rsid w:val="00116FF7"/>
    <w:rsid w:val="00117220"/>
    <w:rsid w:val="00117291"/>
    <w:rsid w:val="0011747B"/>
    <w:rsid w:val="00117514"/>
    <w:rsid w:val="001176B4"/>
    <w:rsid w:val="001178D8"/>
    <w:rsid w:val="00117C27"/>
    <w:rsid w:val="00117D72"/>
    <w:rsid w:val="00120EA6"/>
    <w:rsid w:val="001214B2"/>
    <w:rsid w:val="001214FB"/>
    <w:rsid w:val="00121513"/>
    <w:rsid w:val="001217CB"/>
    <w:rsid w:val="00121BB9"/>
    <w:rsid w:val="00121CF0"/>
    <w:rsid w:val="00121E37"/>
    <w:rsid w:val="00121E6A"/>
    <w:rsid w:val="00121EDC"/>
    <w:rsid w:val="00122253"/>
    <w:rsid w:val="001222C5"/>
    <w:rsid w:val="00122AAE"/>
    <w:rsid w:val="00122BFE"/>
    <w:rsid w:val="0012306C"/>
    <w:rsid w:val="0012321E"/>
    <w:rsid w:val="001234D1"/>
    <w:rsid w:val="00123707"/>
    <w:rsid w:val="0012392C"/>
    <w:rsid w:val="00123994"/>
    <w:rsid w:val="00123BAF"/>
    <w:rsid w:val="00123CF1"/>
    <w:rsid w:val="00123F1D"/>
    <w:rsid w:val="001246F3"/>
    <w:rsid w:val="001248B5"/>
    <w:rsid w:val="00124B78"/>
    <w:rsid w:val="00124D5D"/>
    <w:rsid w:val="00124EA4"/>
    <w:rsid w:val="00124EF1"/>
    <w:rsid w:val="00125163"/>
    <w:rsid w:val="00125441"/>
    <w:rsid w:val="00125600"/>
    <w:rsid w:val="00125879"/>
    <w:rsid w:val="00125C85"/>
    <w:rsid w:val="00125D53"/>
    <w:rsid w:val="00125E32"/>
    <w:rsid w:val="00125FE7"/>
    <w:rsid w:val="0012607A"/>
    <w:rsid w:val="001262BE"/>
    <w:rsid w:val="00126943"/>
    <w:rsid w:val="00126C31"/>
    <w:rsid w:val="00126D0C"/>
    <w:rsid w:val="00126DE3"/>
    <w:rsid w:val="00126EFA"/>
    <w:rsid w:val="00127363"/>
    <w:rsid w:val="001273C4"/>
    <w:rsid w:val="00127CA9"/>
    <w:rsid w:val="001302CC"/>
    <w:rsid w:val="001303E2"/>
    <w:rsid w:val="0013042C"/>
    <w:rsid w:val="00130648"/>
    <w:rsid w:val="0013069F"/>
    <w:rsid w:val="00130AD5"/>
    <w:rsid w:val="00130D24"/>
    <w:rsid w:val="00130DB8"/>
    <w:rsid w:val="0013111A"/>
    <w:rsid w:val="00131140"/>
    <w:rsid w:val="00131895"/>
    <w:rsid w:val="00131915"/>
    <w:rsid w:val="001320D4"/>
    <w:rsid w:val="001324EC"/>
    <w:rsid w:val="001327C8"/>
    <w:rsid w:val="00133128"/>
    <w:rsid w:val="001333E5"/>
    <w:rsid w:val="00133825"/>
    <w:rsid w:val="00133A8D"/>
    <w:rsid w:val="001341F5"/>
    <w:rsid w:val="0013468D"/>
    <w:rsid w:val="001346B4"/>
    <w:rsid w:val="001349E0"/>
    <w:rsid w:val="0013524E"/>
    <w:rsid w:val="001353E6"/>
    <w:rsid w:val="00135525"/>
    <w:rsid w:val="00135585"/>
    <w:rsid w:val="00135773"/>
    <w:rsid w:val="00135812"/>
    <w:rsid w:val="001358F1"/>
    <w:rsid w:val="00135C7E"/>
    <w:rsid w:val="00135D1B"/>
    <w:rsid w:val="00135E02"/>
    <w:rsid w:val="00135EF5"/>
    <w:rsid w:val="0013708B"/>
    <w:rsid w:val="001372D7"/>
    <w:rsid w:val="00137777"/>
    <w:rsid w:val="00137928"/>
    <w:rsid w:val="00137B1B"/>
    <w:rsid w:val="00137CA8"/>
    <w:rsid w:val="00137F23"/>
    <w:rsid w:val="00140185"/>
    <w:rsid w:val="00140573"/>
    <w:rsid w:val="00140654"/>
    <w:rsid w:val="00140B25"/>
    <w:rsid w:val="00140C12"/>
    <w:rsid w:val="00140D15"/>
    <w:rsid w:val="00140DFF"/>
    <w:rsid w:val="00140E14"/>
    <w:rsid w:val="00140F50"/>
    <w:rsid w:val="00141210"/>
    <w:rsid w:val="001412E5"/>
    <w:rsid w:val="001415B8"/>
    <w:rsid w:val="00141714"/>
    <w:rsid w:val="0014188E"/>
    <w:rsid w:val="00141D60"/>
    <w:rsid w:val="0014200D"/>
    <w:rsid w:val="0014252D"/>
    <w:rsid w:val="0014254D"/>
    <w:rsid w:val="00142882"/>
    <w:rsid w:val="001428F3"/>
    <w:rsid w:val="001429FA"/>
    <w:rsid w:val="00142BE7"/>
    <w:rsid w:val="00142FAB"/>
    <w:rsid w:val="00143063"/>
    <w:rsid w:val="001431A4"/>
    <w:rsid w:val="001433BE"/>
    <w:rsid w:val="00143A51"/>
    <w:rsid w:val="00143A58"/>
    <w:rsid w:val="00143DB1"/>
    <w:rsid w:val="00143DDC"/>
    <w:rsid w:val="001442F1"/>
    <w:rsid w:val="001444F3"/>
    <w:rsid w:val="0014499A"/>
    <w:rsid w:val="00144A0B"/>
    <w:rsid w:val="00144D58"/>
    <w:rsid w:val="0014524F"/>
    <w:rsid w:val="00145259"/>
    <w:rsid w:val="001453D5"/>
    <w:rsid w:val="00145631"/>
    <w:rsid w:val="00145798"/>
    <w:rsid w:val="001458BC"/>
    <w:rsid w:val="00145A91"/>
    <w:rsid w:val="00145AE0"/>
    <w:rsid w:val="00145CFD"/>
    <w:rsid w:val="001465EA"/>
    <w:rsid w:val="00146C81"/>
    <w:rsid w:val="00146CD6"/>
    <w:rsid w:val="0014710C"/>
    <w:rsid w:val="0014750D"/>
    <w:rsid w:val="001477CA"/>
    <w:rsid w:val="001479B1"/>
    <w:rsid w:val="00147BE1"/>
    <w:rsid w:val="00147BFF"/>
    <w:rsid w:val="00147F5E"/>
    <w:rsid w:val="00147FB2"/>
    <w:rsid w:val="00150300"/>
    <w:rsid w:val="0015033A"/>
    <w:rsid w:val="001503B1"/>
    <w:rsid w:val="00150675"/>
    <w:rsid w:val="00151095"/>
    <w:rsid w:val="0015178B"/>
    <w:rsid w:val="00151799"/>
    <w:rsid w:val="00151ABF"/>
    <w:rsid w:val="00151D89"/>
    <w:rsid w:val="00152000"/>
    <w:rsid w:val="00152100"/>
    <w:rsid w:val="001525DB"/>
    <w:rsid w:val="0015301D"/>
    <w:rsid w:val="001530D6"/>
    <w:rsid w:val="00153514"/>
    <w:rsid w:val="00153BBF"/>
    <w:rsid w:val="00153C4D"/>
    <w:rsid w:val="00153FD2"/>
    <w:rsid w:val="00154482"/>
    <w:rsid w:val="001544FF"/>
    <w:rsid w:val="00154913"/>
    <w:rsid w:val="00154A3C"/>
    <w:rsid w:val="00154B49"/>
    <w:rsid w:val="00154CB3"/>
    <w:rsid w:val="001550E8"/>
    <w:rsid w:val="00155135"/>
    <w:rsid w:val="0015522A"/>
    <w:rsid w:val="001555D6"/>
    <w:rsid w:val="001557DC"/>
    <w:rsid w:val="00156084"/>
    <w:rsid w:val="00156859"/>
    <w:rsid w:val="0015692D"/>
    <w:rsid w:val="00156B8F"/>
    <w:rsid w:val="00156D16"/>
    <w:rsid w:val="00156DC4"/>
    <w:rsid w:val="0015712D"/>
    <w:rsid w:val="00157BEF"/>
    <w:rsid w:val="00157DCC"/>
    <w:rsid w:val="001602D5"/>
    <w:rsid w:val="001603E3"/>
    <w:rsid w:val="001603FF"/>
    <w:rsid w:val="00160452"/>
    <w:rsid w:val="00160761"/>
    <w:rsid w:val="00160B25"/>
    <w:rsid w:val="00160D13"/>
    <w:rsid w:val="00160E43"/>
    <w:rsid w:val="00161324"/>
    <w:rsid w:val="00161B4A"/>
    <w:rsid w:val="00161B8B"/>
    <w:rsid w:val="00161F00"/>
    <w:rsid w:val="00162196"/>
    <w:rsid w:val="0016230E"/>
    <w:rsid w:val="0016247E"/>
    <w:rsid w:val="001624A7"/>
    <w:rsid w:val="00162928"/>
    <w:rsid w:val="00162B88"/>
    <w:rsid w:val="0016314A"/>
    <w:rsid w:val="00163F13"/>
    <w:rsid w:val="00164176"/>
    <w:rsid w:val="001645B3"/>
    <w:rsid w:val="001645B4"/>
    <w:rsid w:val="001647C1"/>
    <w:rsid w:val="00164EDF"/>
    <w:rsid w:val="00165002"/>
    <w:rsid w:val="00165382"/>
    <w:rsid w:val="001654F6"/>
    <w:rsid w:val="00165813"/>
    <w:rsid w:val="001661E6"/>
    <w:rsid w:val="0016686F"/>
    <w:rsid w:val="0016793D"/>
    <w:rsid w:val="00167B2A"/>
    <w:rsid w:val="00167C20"/>
    <w:rsid w:val="00167C57"/>
    <w:rsid w:val="00167E78"/>
    <w:rsid w:val="001702C4"/>
    <w:rsid w:val="001703EA"/>
    <w:rsid w:val="001705B7"/>
    <w:rsid w:val="0017093A"/>
    <w:rsid w:val="00170CD1"/>
    <w:rsid w:val="00170CEB"/>
    <w:rsid w:val="00171806"/>
    <w:rsid w:val="001719B3"/>
    <w:rsid w:val="00171A53"/>
    <w:rsid w:val="00171AD0"/>
    <w:rsid w:val="00171B8C"/>
    <w:rsid w:val="00171C95"/>
    <w:rsid w:val="00171CFA"/>
    <w:rsid w:val="00171FC7"/>
    <w:rsid w:val="001728A5"/>
    <w:rsid w:val="00172D3B"/>
    <w:rsid w:val="00172FA1"/>
    <w:rsid w:val="00173048"/>
    <w:rsid w:val="0017367D"/>
    <w:rsid w:val="00173B1C"/>
    <w:rsid w:val="00174A82"/>
    <w:rsid w:val="00174B99"/>
    <w:rsid w:val="00174C1E"/>
    <w:rsid w:val="00174CBB"/>
    <w:rsid w:val="00175429"/>
    <w:rsid w:val="001755CA"/>
    <w:rsid w:val="00175691"/>
    <w:rsid w:val="00175AFF"/>
    <w:rsid w:val="00176082"/>
    <w:rsid w:val="00176377"/>
    <w:rsid w:val="00176716"/>
    <w:rsid w:val="0017688C"/>
    <w:rsid w:val="00176BA6"/>
    <w:rsid w:val="00176C84"/>
    <w:rsid w:val="00177969"/>
    <w:rsid w:val="00177987"/>
    <w:rsid w:val="00177A89"/>
    <w:rsid w:val="00177BE4"/>
    <w:rsid w:val="00177FF7"/>
    <w:rsid w:val="00180102"/>
    <w:rsid w:val="00180295"/>
    <w:rsid w:val="00180A95"/>
    <w:rsid w:val="001810C7"/>
    <w:rsid w:val="001814EC"/>
    <w:rsid w:val="00181640"/>
    <w:rsid w:val="00181942"/>
    <w:rsid w:val="00181AB2"/>
    <w:rsid w:val="00181ADE"/>
    <w:rsid w:val="00181B0D"/>
    <w:rsid w:val="00181B39"/>
    <w:rsid w:val="00181D5D"/>
    <w:rsid w:val="00181DF1"/>
    <w:rsid w:val="00181F8D"/>
    <w:rsid w:val="001822C4"/>
    <w:rsid w:val="001827DE"/>
    <w:rsid w:val="00182C18"/>
    <w:rsid w:val="00182CD1"/>
    <w:rsid w:val="00182D1F"/>
    <w:rsid w:val="00182ED0"/>
    <w:rsid w:val="0018308E"/>
    <w:rsid w:val="0018337A"/>
    <w:rsid w:val="00183A45"/>
    <w:rsid w:val="00183B2F"/>
    <w:rsid w:val="00183E4D"/>
    <w:rsid w:val="00183FF4"/>
    <w:rsid w:val="00184148"/>
    <w:rsid w:val="00184507"/>
    <w:rsid w:val="0018480C"/>
    <w:rsid w:val="00184D6C"/>
    <w:rsid w:val="001850C0"/>
    <w:rsid w:val="00185497"/>
    <w:rsid w:val="00185544"/>
    <w:rsid w:val="001855F8"/>
    <w:rsid w:val="0018569C"/>
    <w:rsid w:val="00185A14"/>
    <w:rsid w:val="00185AAE"/>
    <w:rsid w:val="00185DC1"/>
    <w:rsid w:val="00185E19"/>
    <w:rsid w:val="00186246"/>
    <w:rsid w:val="00186377"/>
    <w:rsid w:val="001866BF"/>
    <w:rsid w:val="001868B5"/>
    <w:rsid w:val="00186A92"/>
    <w:rsid w:val="00186AA4"/>
    <w:rsid w:val="00186C9F"/>
    <w:rsid w:val="00187020"/>
    <w:rsid w:val="001870D1"/>
    <w:rsid w:val="001872F1"/>
    <w:rsid w:val="00187CF5"/>
    <w:rsid w:val="0019019A"/>
    <w:rsid w:val="001904BB"/>
    <w:rsid w:val="00190D6F"/>
    <w:rsid w:val="00190E47"/>
    <w:rsid w:val="00190E57"/>
    <w:rsid w:val="00191408"/>
    <w:rsid w:val="00191577"/>
    <w:rsid w:val="00192308"/>
    <w:rsid w:val="001924FA"/>
    <w:rsid w:val="001926D6"/>
    <w:rsid w:val="00192AA4"/>
    <w:rsid w:val="00192B76"/>
    <w:rsid w:val="00192F46"/>
    <w:rsid w:val="001930AF"/>
    <w:rsid w:val="001932BF"/>
    <w:rsid w:val="001937F6"/>
    <w:rsid w:val="00193AB1"/>
    <w:rsid w:val="00193B87"/>
    <w:rsid w:val="00193B99"/>
    <w:rsid w:val="00193DE2"/>
    <w:rsid w:val="00193E3B"/>
    <w:rsid w:val="00193E65"/>
    <w:rsid w:val="00193EC8"/>
    <w:rsid w:val="00194025"/>
    <w:rsid w:val="001941FC"/>
    <w:rsid w:val="0019425C"/>
    <w:rsid w:val="00195095"/>
    <w:rsid w:val="0019554C"/>
    <w:rsid w:val="00195712"/>
    <w:rsid w:val="001968FC"/>
    <w:rsid w:val="00196EED"/>
    <w:rsid w:val="00196F63"/>
    <w:rsid w:val="00196FD6"/>
    <w:rsid w:val="00197B72"/>
    <w:rsid w:val="00197CB9"/>
    <w:rsid w:val="00197EFD"/>
    <w:rsid w:val="001A0148"/>
    <w:rsid w:val="001A02FD"/>
    <w:rsid w:val="001A0D62"/>
    <w:rsid w:val="001A12A4"/>
    <w:rsid w:val="001A1623"/>
    <w:rsid w:val="001A1860"/>
    <w:rsid w:val="001A1C91"/>
    <w:rsid w:val="001A1E0A"/>
    <w:rsid w:val="001A286A"/>
    <w:rsid w:val="001A2CC1"/>
    <w:rsid w:val="001A2DB6"/>
    <w:rsid w:val="001A3113"/>
    <w:rsid w:val="001A31BB"/>
    <w:rsid w:val="001A3319"/>
    <w:rsid w:val="001A361C"/>
    <w:rsid w:val="001A41E3"/>
    <w:rsid w:val="001A43AC"/>
    <w:rsid w:val="001A4BD8"/>
    <w:rsid w:val="001A4FAC"/>
    <w:rsid w:val="001A561E"/>
    <w:rsid w:val="001A56B0"/>
    <w:rsid w:val="001A56F9"/>
    <w:rsid w:val="001A584C"/>
    <w:rsid w:val="001A589C"/>
    <w:rsid w:val="001A5972"/>
    <w:rsid w:val="001A5C3F"/>
    <w:rsid w:val="001A5EF8"/>
    <w:rsid w:val="001A652C"/>
    <w:rsid w:val="001A6B50"/>
    <w:rsid w:val="001A6B5E"/>
    <w:rsid w:val="001A6B84"/>
    <w:rsid w:val="001A6F8B"/>
    <w:rsid w:val="001A73C9"/>
    <w:rsid w:val="001A7C31"/>
    <w:rsid w:val="001B004D"/>
    <w:rsid w:val="001B0481"/>
    <w:rsid w:val="001B0934"/>
    <w:rsid w:val="001B0D83"/>
    <w:rsid w:val="001B1AD7"/>
    <w:rsid w:val="001B1E7C"/>
    <w:rsid w:val="001B25F4"/>
    <w:rsid w:val="001B279B"/>
    <w:rsid w:val="001B2A0B"/>
    <w:rsid w:val="001B2A7E"/>
    <w:rsid w:val="001B33AE"/>
    <w:rsid w:val="001B35B1"/>
    <w:rsid w:val="001B3955"/>
    <w:rsid w:val="001B3A2C"/>
    <w:rsid w:val="001B3A9D"/>
    <w:rsid w:val="001B3E0A"/>
    <w:rsid w:val="001B45BF"/>
    <w:rsid w:val="001B49CC"/>
    <w:rsid w:val="001B4CC7"/>
    <w:rsid w:val="001B4DDE"/>
    <w:rsid w:val="001B4E96"/>
    <w:rsid w:val="001B51C9"/>
    <w:rsid w:val="001B5D55"/>
    <w:rsid w:val="001B5EDE"/>
    <w:rsid w:val="001B5FFE"/>
    <w:rsid w:val="001B600A"/>
    <w:rsid w:val="001B601D"/>
    <w:rsid w:val="001B6869"/>
    <w:rsid w:val="001B6D1F"/>
    <w:rsid w:val="001B7309"/>
    <w:rsid w:val="001B734C"/>
    <w:rsid w:val="001B7522"/>
    <w:rsid w:val="001C0441"/>
    <w:rsid w:val="001C0511"/>
    <w:rsid w:val="001C05CA"/>
    <w:rsid w:val="001C0761"/>
    <w:rsid w:val="001C0AA1"/>
    <w:rsid w:val="001C0C73"/>
    <w:rsid w:val="001C0CEF"/>
    <w:rsid w:val="001C0D2D"/>
    <w:rsid w:val="001C0F86"/>
    <w:rsid w:val="001C1079"/>
    <w:rsid w:val="001C1200"/>
    <w:rsid w:val="001C1655"/>
    <w:rsid w:val="001C197E"/>
    <w:rsid w:val="001C1A17"/>
    <w:rsid w:val="001C2864"/>
    <w:rsid w:val="001C297C"/>
    <w:rsid w:val="001C2D9A"/>
    <w:rsid w:val="001C2DC3"/>
    <w:rsid w:val="001C2E1E"/>
    <w:rsid w:val="001C2E39"/>
    <w:rsid w:val="001C3014"/>
    <w:rsid w:val="001C30ED"/>
    <w:rsid w:val="001C3383"/>
    <w:rsid w:val="001C3A68"/>
    <w:rsid w:val="001C3B17"/>
    <w:rsid w:val="001C3C5F"/>
    <w:rsid w:val="001C3E29"/>
    <w:rsid w:val="001C4201"/>
    <w:rsid w:val="001C467D"/>
    <w:rsid w:val="001C4A9A"/>
    <w:rsid w:val="001C4BF5"/>
    <w:rsid w:val="001C4E63"/>
    <w:rsid w:val="001C506A"/>
    <w:rsid w:val="001C52C7"/>
    <w:rsid w:val="001C58AF"/>
    <w:rsid w:val="001C5DE0"/>
    <w:rsid w:val="001C62B6"/>
    <w:rsid w:val="001C69A9"/>
    <w:rsid w:val="001C69AC"/>
    <w:rsid w:val="001C6A22"/>
    <w:rsid w:val="001C6D80"/>
    <w:rsid w:val="001C75A6"/>
    <w:rsid w:val="001C7B87"/>
    <w:rsid w:val="001D0548"/>
    <w:rsid w:val="001D07EA"/>
    <w:rsid w:val="001D08EE"/>
    <w:rsid w:val="001D0AA4"/>
    <w:rsid w:val="001D102B"/>
    <w:rsid w:val="001D152F"/>
    <w:rsid w:val="001D1546"/>
    <w:rsid w:val="001D169C"/>
    <w:rsid w:val="001D1AD6"/>
    <w:rsid w:val="001D1CC7"/>
    <w:rsid w:val="001D1DDF"/>
    <w:rsid w:val="001D22EB"/>
    <w:rsid w:val="001D2307"/>
    <w:rsid w:val="001D269C"/>
    <w:rsid w:val="001D3018"/>
    <w:rsid w:val="001D3179"/>
    <w:rsid w:val="001D396E"/>
    <w:rsid w:val="001D3A9B"/>
    <w:rsid w:val="001D3AA3"/>
    <w:rsid w:val="001D3F23"/>
    <w:rsid w:val="001D4366"/>
    <w:rsid w:val="001D48F3"/>
    <w:rsid w:val="001D4C4C"/>
    <w:rsid w:val="001D5263"/>
    <w:rsid w:val="001D5380"/>
    <w:rsid w:val="001D53A0"/>
    <w:rsid w:val="001D565B"/>
    <w:rsid w:val="001D5676"/>
    <w:rsid w:val="001D62B4"/>
    <w:rsid w:val="001D6423"/>
    <w:rsid w:val="001D646C"/>
    <w:rsid w:val="001D6758"/>
    <w:rsid w:val="001D697C"/>
    <w:rsid w:val="001D6BA0"/>
    <w:rsid w:val="001D6C21"/>
    <w:rsid w:val="001D733E"/>
    <w:rsid w:val="001D76FF"/>
    <w:rsid w:val="001D7A0B"/>
    <w:rsid w:val="001D7B2F"/>
    <w:rsid w:val="001D7B73"/>
    <w:rsid w:val="001D7CCE"/>
    <w:rsid w:val="001D7D4A"/>
    <w:rsid w:val="001D7EC5"/>
    <w:rsid w:val="001E009C"/>
    <w:rsid w:val="001E025C"/>
    <w:rsid w:val="001E0C2D"/>
    <w:rsid w:val="001E0D09"/>
    <w:rsid w:val="001E0EA2"/>
    <w:rsid w:val="001E0EBE"/>
    <w:rsid w:val="001E0ED0"/>
    <w:rsid w:val="001E12AE"/>
    <w:rsid w:val="001E12E4"/>
    <w:rsid w:val="001E170A"/>
    <w:rsid w:val="001E17C1"/>
    <w:rsid w:val="001E1B6F"/>
    <w:rsid w:val="001E1C7B"/>
    <w:rsid w:val="001E1FD1"/>
    <w:rsid w:val="001E1FED"/>
    <w:rsid w:val="001E25DF"/>
    <w:rsid w:val="001E287C"/>
    <w:rsid w:val="001E28D2"/>
    <w:rsid w:val="001E2DFB"/>
    <w:rsid w:val="001E31F3"/>
    <w:rsid w:val="001E32B9"/>
    <w:rsid w:val="001E3578"/>
    <w:rsid w:val="001E3645"/>
    <w:rsid w:val="001E384A"/>
    <w:rsid w:val="001E3946"/>
    <w:rsid w:val="001E3963"/>
    <w:rsid w:val="001E3AA0"/>
    <w:rsid w:val="001E4080"/>
    <w:rsid w:val="001E4482"/>
    <w:rsid w:val="001E4BD6"/>
    <w:rsid w:val="001E4F09"/>
    <w:rsid w:val="001E5397"/>
    <w:rsid w:val="001E54C8"/>
    <w:rsid w:val="001E55CD"/>
    <w:rsid w:val="001E56E9"/>
    <w:rsid w:val="001E58B5"/>
    <w:rsid w:val="001E5913"/>
    <w:rsid w:val="001E5BF0"/>
    <w:rsid w:val="001E5CC8"/>
    <w:rsid w:val="001E66FC"/>
    <w:rsid w:val="001E6EA9"/>
    <w:rsid w:val="001E705F"/>
    <w:rsid w:val="001E709D"/>
    <w:rsid w:val="001E71F5"/>
    <w:rsid w:val="001E74CA"/>
    <w:rsid w:val="001E791D"/>
    <w:rsid w:val="001E7B56"/>
    <w:rsid w:val="001F0369"/>
    <w:rsid w:val="001F069E"/>
    <w:rsid w:val="001F0799"/>
    <w:rsid w:val="001F094F"/>
    <w:rsid w:val="001F0FDD"/>
    <w:rsid w:val="001F11EB"/>
    <w:rsid w:val="001F199A"/>
    <w:rsid w:val="001F1C68"/>
    <w:rsid w:val="001F1C78"/>
    <w:rsid w:val="001F1CC2"/>
    <w:rsid w:val="001F2819"/>
    <w:rsid w:val="001F289A"/>
    <w:rsid w:val="001F301C"/>
    <w:rsid w:val="001F3576"/>
    <w:rsid w:val="001F3A7B"/>
    <w:rsid w:val="001F3ECF"/>
    <w:rsid w:val="001F44A0"/>
    <w:rsid w:val="001F5116"/>
    <w:rsid w:val="001F579B"/>
    <w:rsid w:val="001F61E5"/>
    <w:rsid w:val="001F622B"/>
    <w:rsid w:val="001F62C0"/>
    <w:rsid w:val="001F686A"/>
    <w:rsid w:val="001F6CF7"/>
    <w:rsid w:val="001F6E99"/>
    <w:rsid w:val="001F7690"/>
    <w:rsid w:val="001F7AF8"/>
    <w:rsid w:val="0020001C"/>
    <w:rsid w:val="0020018B"/>
    <w:rsid w:val="002002F1"/>
    <w:rsid w:val="00200315"/>
    <w:rsid w:val="002003A2"/>
    <w:rsid w:val="00200440"/>
    <w:rsid w:val="0020044D"/>
    <w:rsid w:val="00200DE0"/>
    <w:rsid w:val="00201555"/>
    <w:rsid w:val="002016B4"/>
    <w:rsid w:val="0020172E"/>
    <w:rsid w:val="00201A06"/>
    <w:rsid w:val="00201A92"/>
    <w:rsid w:val="00201E80"/>
    <w:rsid w:val="00201F04"/>
    <w:rsid w:val="00201F8B"/>
    <w:rsid w:val="0020228D"/>
    <w:rsid w:val="002023A3"/>
    <w:rsid w:val="00202B0D"/>
    <w:rsid w:val="00202B51"/>
    <w:rsid w:val="00202CDD"/>
    <w:rsid w:val="002037D6"/>
    <w:rsid w:val="00203947"/>
    <w:rsid w:val="00203C89"/>
    <w:rsid w:val="00203D8B"/>
    <w:rsid w:val="00203DD7"/>
    <w:rsid w:val="00203F4B"/>
    <w:rsid w:val="002040D5"/>
    <w:rsid w:val="002048E2"/>
    <w:rsid w:val="00205121"/>
    <w:rsid w:val="00205356"/>
    <w:rsid w:val="00205A91"/>
    <w:rsid w:val="00205BF2"/>
    <w:rsid w:val="00205D93"/>
    <w:rsid w:val="00205E54"/>
    <w:rsid w:val="002064C3"/>
    <w:rsid w:val="002064E4"/>
    <w:rsid w:val="00206886"/>
    <w:rsid w:val="002068C1"/>
    <w:rsid w:val="00206C27"/>
    <w:rsid w:val="00207278"/>
    <w:rsid w:val="00207AAF"/>
    <w:rsid w:val="00207B1E"/>
    <w:rsid w:val="00207B7F"/>
    <w:rsid w:val="00207C1C"/>
    <w:rsid w:val="00210407"/>
    <w:rsid w:val="00210BE4"/>
    <w:rsid w:val="00210C5E"/>
    <w:rsid w:val="002111AE"/>
    <w:rsid w:val="00211DCE"/>
    <w:rsid w:val="002120D8"/>
    <w:rsid w:val="0021216A"/>
    <w:rsid w:val="0021231F"/>
    <w:rsid w:val="00212330"/>
    <w:rsid w:val="0021273B"/>
    <w:rsid w:val="0021294E"/>
    <w:rsid w:val="00212D8E"/>
    <w:rsid w:val="00212E6A"/>
    <w:rsid w:val="00212E8B"/>
    <w:rsid w:val="00212EE0"/>
    <w:rsid w:val="00212EFC"/>
    <w:rsid w:val="0021311F"/>
    <w:rsid w:val="00213374"/>
    <w:rsid w:val="002133C9"/>
    <w:rsid w:val="0021352C"/>
    <w:rsid w:val="00213743"/>
    <w:rsid w:val="0021376A"/>
    <w:rsid w:val="0021388F"/>
    <w:rsid w:val="00213CA2"/>
    <w:rsid w:val="00213EA5"/>
    <w:rsid w:val="00213ECD"/>
    <w:rsid w:val="00213EED"/>
    <w:rsid w:val="0021402C"/>
    <w:rsid w:val="00214665"/>
    <w:rsid w:val="00214861"/>
    <w:rsid w:val="002149FF"/>
    <w:rsid w:val="00214BDD"/>
    <w:rsid w:val="00214C6A"/>
    <w:rsid w:val="00214F43"/>
    <w:rsid w:val="00214F7B"/>
    <w:rsid w:val="002151CA"/>
    <w:rsid w:val="00215875"/>
    <w:rsid w:val="002158D8"/>
    <w:rsid w:val="00215BBA"/>
    <w:rsid w:val="00215C54"/>
    <w:rsid w:val="002161EB"/>
    <w:rsid w:val="0021639E"/>
    <w:rsid w:val="002165BB"/>
    <w:rsid w:val="00216D21"/>
    <w:rsid w:val="0021757E"/>
    <w:rsid w:val="00217A8E"/>
    <w:rsid w:val="00220029"/>
    <w:rsid w:val="0022035F"/>
    <w:rsid w:val="002207FF"/>
    <w:rsid w:val="00220A74"/>
    <w:rsid w:val="00220CBB"/>
    <w:rsid w:val="0022114B"/>
    <w:rsid w:val="002217FB"/>
    <w:rsid w:val="002219B8"/>
    <w:rsid w:val="00221CFF"/>
    <w:rsid w:val="002221F6"/>
    <w:rsid w:val="00222419"/>
    <w:rsid w:val="00222570"/>
    <w:rsid w:val="002226F6"/>
    <w:rsid w:val="00222A28"/>
    <w:rsid w:val="0022318A"/>
    <w:rsid w:val="0022337B"/>
    <w:rsid w:val="00223420"/>
    <w:rsid w:val="00223476"/>
    <w:rsid w:val="0022359D"/>
    <w:rsid w:val="002238C9"/>
    <w:rsid w:val="00224CA7"/>
    <w:rsid w:val="0022525A"/>
    <w:rsid w:val="0022537D"/>
    <w:rsid w:val="00225A26"/>
    <w:rsid w:val="00225A29"/>
    <w:rsid w:val="00225B70"/>
    <w:rsid w:val="00225C5E"/>
    <w:rsid w:val="00225DA7"/>
    <w:rsid w:val="00225FEC"/>
    <w:rsid w:val="00226063"/>
    <w:rsid w:val="002264CB"/>
    <w:rsid w:val="002265DA"/>
    <w:rsid w:val="002266B7"/>
    <w:rsid w:val="00226F2E"/>
    <w:rsid w:val="0022719F"/>
    <w:rsid w:val="0022768B"/>
    <w:rsid w:val="0022772D"/>
    <w:rsid w:val="00227788"/>
    <w:rsid w:val="00227CE6"/>
    <w:rsid w:val="00227DC8"/>
    <w:rsid w:val="0023007B"/>
    <w:rsid w:val="0023012E"/>
    <w:rsid w:val="002301AA"/>
    <w:rsid w:val="0023050C"/>
    <w:rsid w:val="002305E3"/>
    <w:rsid w:val="00230718"/>
    <w:rsid w:val="00230999"/>
    <w:rsid w:val="00231674"/>
    <w:rsid w:val="00231B9E"/>
    <w:rsid w:val="0023205F"/>
    <w:rsid w:val="002320F9"/>
    <w:rsid w:val="0023225E"/>
    <w:rsid w:val="002324E2"/>
    <w:rsid w:val="00232586"/>
    <w:rsid w:val="00232730"/>
    <w:rsid w:val="0023297A"/>
    <w:rsid w:val="00232ABC"/>
    <w:rsid w:val="00232C74"/>
    <w:rsid w:val="00233065"/>
    <w:rsid w:val="002336CB"/>
    <w:rsid w:val="002339E3"/>
    <w:rsid w:val="00233ADB"/>
    <w:rsid w:val="002349F9"/>
    <w:rsid w:val="00234D1D"/>
    <w:rsid w:val="002351F0"/>
    <w:rsid w:val="002352B5"/>
    <w:rsid w:val="002354CA"/>
    <w:rsid w:val="002359D8"/>
    <w:rsid w:val="00235BBB"/>
    <w:rsid w:val="00235ECB"/>
    <w:rsid w:val="002360B8"/>
    <w:rsid w:val="0023643C"/>
    <w:rsid w:val="002368EB"/>
    <w:rsid w:val="00236A7B"/>
    <w:rsid w:val="00236D26"/>
    <w:rsid w:val="002371C0"/>
    <w:rsid w:val="00237C35"/>
    <w:rsid w:val="00240168"/>
    <w:rsid w:val="0024027B"/>
    <w:rsid w:val="002407F1"/>
    <w:rsid w:val="00240933"/>
    <w:rsid w:val="0024098F"/>
    <w:rsid w:val="00240D9D"/>
    <w:rsid w:val="00240E92"/>
    <w:rsid w:val="002411BC"/>
    <w:rsid w:val="00241E85"/>
    <w:rsid w:val="00242183"/>
    <w:rsid w:val="002422FA"/>
    <w:rsid w:val="002423BF"/>
    <w:rsid w:val="002425A9"/>
    <w:rsid w:val="002425EC"/>
    <w:rsid w:val="00242920"/>
    <w:rsid w:val="00242BED"/>
    <w:rsid w:val="00242D36"/>
    <w:rsid w:val="00242FE6"/>
    <w:rsid w:val="00243503"/>
    <w:rsid w:val="00243530"/>
    <w:rsid w:val="002436A2"/>
    <w:rsid w:val="002436E9"/>
    <w:rsid w:val="0024380D"/>
    <w:rsid w:val="00243AC8"/>
    <w:rsid w:val="00243BEE"/>
    <w:rsid w:val="00243D0B"/>
    <w:rsid w:val="002440A5"/>
    <w:rsid w:val="00244153"/>
    <w:rsid w:val="00244533"/>
    <w:rsid w:val="00244875"/>
    <w:rsid w:val="00244DAC"/>
    <w:rsid w:val="00245217"/>
    <w:rsid w:val="00245CC6"/>
    <w:rsid w:val="002460D6"/>
    <w:rsid w:val="002465C9"/>
    <w:rsid w:val="00246BCE"/>
    <w:rsid w:val="00246D31"/>
    <w:rsid w:val="00247672"/>
    <w:rsid w:val="00247D3A"/>
    <w:rsid w:val="00247F76"/>
    <w:rsid w:val="002509F3"/>
    <w:rsid w:val="00250AD3"/>
    <w:rsid w:val="00250E0F"/>
    <w:rsid w:val="00251081"/>
    <w:rsid w:val="0025138F"/>
    <w:rsid w:val="002516B3"/>
    <w:rsid w:val="00251E8F"/>
    <w:rsid w:val="0025242F"/>
    <w:rsid w:val="002528E9"/>
    <w:rsid w:val="00252B9B"/>
    <w:rsid w:val="00252BAA"/>
    <w:rsid w:val="00252D88"/>
    <w:rsid w:val="00252E96"/>
    <w:rsid w:val="002530FF"/>
    <w:rsid w:val="0025353D"/>
    <w:rsid w:val="002536E5"/>
    <w:rsid w:val="0025381D"/>
    <w:rsid w:val="00253941"/>
    <w:rsid w:val="00253E75"/>
    <w:rsid w:val="002540E4"/>
    <w:rsid w:val="00254906"/>
    <w:rsid w:val="00254D43"/>
    <w:rsid w:val="00254E52"/>
    <w:rsid w:val="002556C0"/>
    <w:rsid w:val="00255B28"/>
    <w:rsid w:val="00255C7C"/>
    <w:rsid w:val="00255F4E"/>
    <w:rsid w:val="00256AA2"/>
    <w:rsid w:val="00256C93"/>
    <w:rsid w:val="002571C8"/>
    <w:rsid w:val="00257377"/>
    <w:rsid w:val="002579B5"/>
    <w:rsid w:val="00257A4F"/>
    <w:rsid w:val="002600CB"/>
    <w:rsid w:val="002604D1"/>
    <w:rsid w:val="00260574"/>
    <w:rsid w:val="002611B2"/>
    <w:rsid w:val="002615A7"/>
    <w:rsid w:val="00261CCC"/>
    <w:rsid w:val="00261E92"/>
    <w:rsid w:val="00262145"/>
    <w:rsid w:val="002628B7"/>
    <w:rsid w:val="00262AC8"/>
    <w:rsid w:val="00262D58"/>
    <w:rsid w:val="00262DBC"/>
    <w:rsid w:val="00262FC1"/>
    <w:rsid w:val="0026304E"/>
    <w:rsid w:val="0026308E"/>
    <w:rsid w:val="0026326C"/>
    <w:rsid w:val="00263458"/>
    <w:rsid w:val="00263ED4"/>
    <w:rsid w:val="002644DF"/>
    <w:rsid w:val="0026453B"/>
    <w:rsid w:val="002648F6"/>
    <w:rsid w:val="00264CC5"/>
    <w:rsid w:val="00264E3C"/>
    <w:rsid w:val="002652B5"/>
    <w:rsid w:val="002655A7"/>
    <w:rsid w:val="0026653C"/>
    <w:rsid w:val="00266582"/>
    <w:rsid w:val="00266619"/>
    <w:rsid w:val="00266665"/>
    <w:rsid w:val="002666EA"/>
    <w:rsid w:val="0026699D"/>
    <w:rsid w:val="00266B0C"/>
    <w:rsid w:val="00267163"/>
    <w:rsid w:val="00267262"/>
    <w:rsid w:val="0026730F"/>
    <w:rsid w:val="00267381"/>
    <w:rsid w:val="002676C1"/>
    <w:rsid w:val="002679CF"/>
    <w:rsid w:val="00267A95"/>
    <w:rsid w:val="00267DDC"/>
    <w:rsid w:val="002706BF"/>
    <w:rsid w:val="00270782"/>
    <w:rsid w:val="002707B7"/>
    <w:rsid w:val="002711DC"/>
    <w:rsid w:val="002718FF"/>
    <w:rsid w:val="00271AD3"/>
    <w:rsid w:val="00271AF4"/>
    <w:rsid w:val="00271E8A"/>
    <w:rsid w:val="002720B6"/>
    <w:rsid w:val="002722D1"/>
    <w:rsid w:val="002722D6"/>
    <w:rsid w:val="00272585"/>
    <w:rsid w:val="00272ACF"/>
    <w:rsid w:val="00272D38"/>
    <w:rsid w:val="00273148"/>
    <w:rsid w:val="00273362"/>
    <w:rsid w:val="002735E7"/>
    <w:rsid w:val="002737C0"/>
    <w:rsid w:val="00273978"/>
    <w:rsid w:val="00273AE5"/>
    <w:rsid w:val="00273B16"/>
    <w:rsid w:val="00273B9D"/>
    <w:rsid w:val="00273D00"/>
    <w:rsid w:val="00274085"/>
    <w:rsid w:val="002740F9"/>
    <w:rsid w:val="00274733"/>
    <w:rsid w:val="00274872"/>
    <w:rsid w:val="00274895"/>
    <w:rsid w:val="00274A67"/>
    <w:rsid w:val="00274F96"/>
    <w:rsid w:val="00275321"/>
    <w:rsid w:val="002757EE"/>
    <w:rsid w:val="00275DD6"/>
    <w:rsid w:val="0027625C"/>
    <w:rsid w:val="0027645A"/>
    <w:rsid w:val="002766A9"/>
    <w:rsid w:val="002767F8"/>
    <w:rsid w:val="002768CD"/>
    <w:rsid w:val="00276CC7"/>
    <w:rsid w:val="00276D3C"/>
    <w:rsid w:val="00276FDE"/>
    <w:rsid w:val="00277981"/>
    <w:rsid w:val="00277AF6"/>
    <w:rsid w:val="00277D37"/>
    <w:rsid w:val="00277DD8"/>
    <w:rsid w:val="00277FA2"/>
    <w:rsid w:val="0028006E"/>
    <w:rsid w:val="002806AF"/>
    <w:rsid w:val="00280763"/>
    <w:rsid w:val="00280826"/>
    <w:rsid w:val="00280A78"/>
    <w:rsid w:val="00280A91"/>
    <w:rsid w:val="00280CDB"/>
    <w:rsid w:val="00280E58"/>
    <w:rsid w:val="00281055"/>
    <w:rsid w:val="00281742"/>
    <w:rsid w:val="00281909"/>
    <w:rsid w:val="00281F58"/>
    <w:rsid w:val="0028223F"/>
    <w:rsid w:val="002826E9"/>
    <w:rsid w:val="00282782"/>
    <w:rsid w:val="0028281C"/>
    <w:rsid w:val="00282D87"/>
    <w:rsid w:val="00282D90"/>
    <w:rsid w:val="002832EB"/>
    <w:rsid w:val="002845AC"/>
    <w:rsid w:val="002845D9"/>
    <w:rsid w:val="0028492C"/>
    <w:rsid w:val="00284FD8"/>
    <w:rsid w:val="00284FDB"/>
    <w:rsid w:val="0028571D"/>
    <w:rsid w:val="00285AD1"/>
    <w:rsid w:val="00285AD5"/>
    <w:rsid w:val="00285BAA"/>
    <w:rsid w:val="0028613C"/>
    <w:rsid w:val="0028652F"/>
    <w:rsid w:val="0028655C"/>
    <w:rsid w:val="00286D2F"/>
    <w:rsid w:val="00286F45"/>
    <w:rsid w:val="00287043"/>
    <w:rsid w:val="0028737E"/>
    <w:rsid w:val="00287626"/>
    <w:rsid w:val="00287657"/>
    <w:rsid w:val="00287A58"/>
    <w:rsid w:val="00287C1A"/>
    <w:rsid w:val="00287DC9"/>
    <w:rsid w:val="002902F6"/>
    <w:rsid w:val="00290ADF"/>
    <w:rsid w:val="00290C1A"/>
    <w:rsid w:val="00290ECA"/>
    <w:rsid w:val="002910F9"/>
    <w:rsid w:val="00291227"/>
    <w:rsid w:val="00291322"/>
    <w:rsid w:val="002915CD"/>
    <w:rsid w:val="002915EA"/>
    <w:rsid w:val="0029187F"/>
    <w:rsid w:val="0029196A"/>
    <w:rsid w:val="00291C3D"/>
    <w:rsid w:val="00292039"/>
    <w:rsid w:val="0029235B"/>
    <w:rsid w:val="00292470"/>
    <w:rsid w:val="002925AF"/>
    <w:rsid w:val="00292832"/>
    <w:rsid w:val="002929B8"/>
    <w:rsid w:val="00293364"/>
    <w:rsid w:val="00293865"/>
    <w:rsid w:val="002939E7"/>
    <w:rsid w:val="00293A95"/>
    <w:rsid w:val="00293DC0"/>
    <w:rsid w:val="00293FDA"/>
    <w:rsid w:val="00294042"/>
    <w:rsid w:val="0029507C"/>
    <w:rsid w:val="002950E0"/>
    <w:rsid w:val="00295460"/>
    <w:rsid w:val="002955B5"/>
    <w:rsid w:val="00295A7F"/>
    <w:rsid w:val="00295D83"/>
    <w:rsid w:val="002960E5"/>
    <w:rsid w:val="0029641C"/>
    <w:rsid w:val="00296467"/>
    <w:rsid w:val="0029649D"/>
    <w:rsid w:val="002968E0"/>
    <w:rsid w:val="0029690D"/>
    <w:rsid w:val="00296CD6"/>
    <w:rsid w:val="00297460"/>
    <w:rsid w:val="002975DA"/>
    <w:rsid w:val="002976AF"/>
    <w:rsid w:val="002977F8"/>
    <w:rsid w:val="00297E4B"/>
    <w:rsid w:val="00297EB7"/>
    <w:rsid w:val="002A00C2"/>
    <w:rsid w:val="002A01F3"/>
    <w:rsid w:val="002A0439"/>
    <w:rsid w:val="002A0700"/>
    <w:rsid w:val="002A0A46"/>
    <w:rsid w:val="002A0ACD"/>
    <w:rsid w:val="002A0AEB"/>
    <w:rsid w:val="002A0BE7"/>
    <w:rsid w:val="002A0C0B"/>
    <w:rsid w:val="002A0C34"/>
    <w:rsid w:val="002A106A"/>
    <w:rsid w:val="002A1CFA"/>
    <w:rsid w:val="002A215C"/>
    <w:rsid w:val="002A2594"/>
    <w:rsid w:val="002A26C5"/>
    <w:rsid w:val="002A2B94"/>
    <w:rsid w:val="002A2D19"/>
    <w:rsid w:val="002A2E3F"/>
    <w:rsid w:val="002A2E63"/>
    <w:rsid w:val="002A30AC"/>
    <w:rsid w:val="002A3293"/>
    <w:rsid w:val="002A33CC"/>
    <w:rsid w:val="002A34E6"/>
    <w:rsid w:val="002A375F"/>
    <w:rsid w:val="002A3766"/>
    <w:rsid w:val="002A38D0"/>
    <w:rsid w:val="002A3910"/>
    <w:rsid w:val="002A398B"/>
    <w:rsid w:val="002A3C59"/>
    <w:rsid w:val="002A3E86"/>
    <w:rsid w:val="002A41AA"/>
    <w:rsid w:val="002A4415"/>
    <w:rsid w:val="002A4D05"/>
    <w:rsid w:val="002A5195"/>
    <w:rsid w:val="002A5EBF"/>
    <w:rsid w:val="002A5F93"/>
    <w:rsid w:val="002A613A"/>
    <w:rsid w:val="002A63B4"/>
    <w:rsid w:val="002A63EB"/>
    <w:rsid w:val="002A69BC"/>
    <w:rsid w:val="002A6B8E"/>
    <w:rsid w:val="002A6B91"/>
    <w:rsid w:val="002A6C02"/>
    <w:rsid w:val="002A6D11"/>
    <w:rsid w:val="002A7385"/>
    <w:rsid w:val="002A745F"/>
    <w:rsid w:val="002A75B6"/>
    <w:rsid w:val="002A7917"/>
    <w:rsid w:val="002A7B09"/>
    <w:rsid w:val="002B01FE"/>
    <w:rsid w:val="002B0221"/>
    <w:rsid w:val="002B076C"/>
    <w:rsid w:val="002B0853"/>
    <w:rsid w:val="002B0AFB"/>
    <w:rsid w:val="002B0BD1"/>
    <w:rsid w:val="002B0EBA"/>
    <w:rsid w:val="002B0EF3"/>
    <w:rsid w:val="002B0F0C"/>
    <w:rsid w:val="002B10E8"/>
    <w:rsid w:val="002B15E2"/>
    <w:rsid w:val="002B1FD7"/>
    <w:rsid w:val="002B25F7"/>
    <w:rsid w:val="002B28C0"/>
    <w:rsid w:val="002B2A84"/>
    <w:rsid w:val="002B2CF4"/>
    <w:rsid w:val="002B2EF6"/>
    <w:rsid w:val="002B2FEE"/>
    <w:rsid w:val="002B31A1"/>
    <w:rsid w:val="002B3676"/>
    <w:rsid w:val="002B3829"/>
    <w:rsid w:val="002B3964"/>
    <w:rsid w:val="002B3A81"/>
    <w:rsid w:val="002B3C11"/>
    <w:rsid w:val="002B3E7D"/>
    <w:rsid w:val="002B45D0"/>
    <w:rsid w:val="002B476D"/>
    <w:rsid w:val="002B481D"/>
    <w:rsid w:val="002B489F"/>
    <w:rsid w:val="002B5288"/>
    <w:rsid w:val="002B54BA"/>
    <w:rsid w:val="002B56F7"/>
    <w:rsid w:val="002B5F63"/>
    <w:rsid w:val="002B5FE2"/>
    <w:rsid w:val="002B6198"/>
    <w:rsid w:val="002B63E8"/>
    <w:rsid w:val="002B63F5"/>
    <w:rsid w:val="002B6500"/>
    <w:rsid w:val="002B65B2"/>
    <w:rsid w:val="002B68AD"/>
    <w:rsid w:val="002B6AE7"/>
    <w:rsid w:val="002B6D8D"/>
    <w:rsid w:val="002B6EC6"/>
    <w:rsid w:val="002B71EE"/>
    <w:rsid w:val="002B7219"/>
    <w:rsid w:val="002B73A2"/>
    <w:rsid w:val="002B77AA"/>
    <w:rsid w:val="002B791F"/>
    <w:rsid w:val="002C04D4"/>
    <w:rsid w:val="002C04E2"/>
    <w:rsid w:val="002C0564"/>
    <w:rsid w:val="002C05CC"/>
    <w:rsid w:val="002C079C"/>
    <w:rsid w:val="002C0825"/>
    <w:rsid w:val="002C086E"/>
    <w:rsid w:val="002C08B7"/>
    <w:rsid w:val="002C12C8"/>
    <w:rsid w:val="002C148E"/>
    <w:rsid w:val="002C14E9"/>
    <w:rsid w:val="002C1695"/>
    <w:rsid w:val="002C179B"/>
    <w:rsid w:val="002C1A7B"/>
    <w:rsid w:val="002C1E5C"/>
    <w:rsid w:val="002C1F68"/>
    <w:rsid w:val="002C222A"/>
    <w:rsid w:val="002C2447"/>
    <w:rsid w:val="002C27CA"/>
    <w:rsid w:val="002C2957"/>
    <w:rsid w:val="002C2CC5"/>
    <w:rsid w:val="002C2CCE"/>
    <w:rsid w:val="002C2FFB"/>
    <w:rsid w:val="002C354D"/>
    <w:rsid w:val="002C375C"/>
    <w:rsid w:val="002C3B4B"/>
    <w:rsid w:val="002C40F8"/>
    <w:rsid w:val="002C4198"/>
    <w:rsid w:val="002C42C9"/>
    <w:rsid w:val="002C42E8"/>
    <w:rsid w:val="002C4639"/>
    <w:rsid w:val="002C4FEA"/>
    <w:rsid w:val="002C532B"/>
    <w:rsid w:val="002C539A"/>
    <w:rsid w:val="002C5B95"/>
    <w:rsid w:val="002C5DD4"/>
    <w:rsid w:val="002C5EE4"/>
    <w:rsid w:val="002C5FD8"/>
    <w:rsid w:val="002C64FB"/>
    <w:rsid w:val="002C659B"/>
    <w:rsid w:val="002C65A2"/>
    <w:rsid w:val="002C6936"/>
    <w:rsid w:val="002C6AAC"/>
    <w:rsid w:val="002C6AEC"/>
    <w:rsid w:val="002C6E73"/>
    <w:rsid w:val="002C706C"/>
    <w:rsid w:val="002C741B"/>
    <w:rsid w:val="002C774A"/>
    <w:rsid w:val="002C79F2"/>
    <w:rsid w:val="002D01C7"/>
    <w:rsid w:val="002D0203"/>
    <w:rsid w:val="002D0490"/>
    <w:rsid w:val="002D0ABC"/>
    <w:rsid w:val="002D0D5F"/>
    <w:rsid w:val="002D0DA8"/>
    <w:rsid w:val="002D0E9A"/>
    <w:rsid w:val="002D180F"/>
    <w:rsid w:val="002D1B59"/>
    <w:rsid w:val="002D207C"/>
    <w:rsid w:val="002D2081"/>
    <w:rsid w:val="002D2319"/>
    <w:rsid w:val="002D271D"/>
    <w:rsid w:val="002D2760"/>
    <w:rsid w:val="002D2CF7"/>
    <w:rsid w:val="002D2D7D"/>
    <w:rsid w:val="002D33C7"/>
    <w:rsid w:val="002D3694"/>
    <w:rsid w:val="002D395E"/>
    <w:rsid w:val="002D3ADB"/>
    <w:rsid w:val="002D3EFB"/>
    <w:rsid w:val="002D4230"/>
    <w:rsid w:val="002D44DB"/>
    <w:rsid w:val="002D4A50"/>
    <w:rsid w:val="002D4AB1"/>
    <w:rsid w:val="002D4B34"/>
    <w:rsid w:val="002D4DBB"/>
    <w:rsid w:val="002D557B"/>
    <w:rsid w:val="002D5C43"/>
    <w:rsid w:val="002D5C5E"/>
    <w:rsid w:val="002D5FF0"/>
    <w:rsid w:val="002D6233"/>
    <w:rsid w:val="002D62D4"/>
    <w:rsid w:val="002D63F2"/>
    <w:rsid w:val="002D654D"/>
    <w:rsid w:val="002D6DF1"/>
    <w:rsid w:val="002D7010"/>
    <w:rsid w:val="002D7351"/>
    <w:rsid w:val="002D76C8"/>
    <w:rsid w:val="002D7722"/>
    <w:rsid w:val="002D7924"/>
    <w:rsid w:val="002D7A50"/>
    <w:rsid w:val="002D7C2B"/>
    <w:rsid w:val="002D7DEF"/>
    <w:rsid w:val="002E00ED"/>
    <w:rsid w:val="002E0526"/>
    <w:rsid w:val="002E09E9"/>
    <w:rsid w:val="002E0C15"/>
    <w:rsid w:val="002E1456"/>
    <w:rsid w:val="002E1515"/>
    <w:rsid w:val="002E253F"/>
    <w:rsid w:val="002E255D"/>
    <w:rsid w:val="002E266A"/>
    <w:rsid w:val="002E288D"/>
    <w:rsid w:val="002E2D57"/>
    <w:rsid w:val="002E2E09"/>
    <w:rsid w:val="002E3709"/>
    <w:rsid w:val="002E39EC"/>
    <w:rsid w:val="002E3A74"/>
    <w:rsid w:val="002E3ACE"/>
    <w:rsid w:val="002E3B0C"/>
    <w:rsid w:val="002E3E7C"/>
    <w:rsid w:val="002E3F3C"/>
    <w:rsid w:val="002E3FAD"/>
    <w:rsid w:val="002E4097"/>
    <w:rsid w:val="002E4562"/>
    <w:rsid w:val="002E4C40"/>
    <w:rsid w:val="002E4D55"/>
    <w:rsid w:val="002E50C5"/>
    <w:rsid w:val="002E5149"/>
    <w:rsid w:val="002E52FB"/>
    <w:rsid w:val="002E5632"/>
    <w:rsid w:val="002E56E1"/>
    <w:rsid w:val="002E5748"/>
    <w:rsid w:val="002E5944"/>
    <w:rsid w:val="002E595C"/>
    <w:rsid w:val="002E5D5F"/>
    <w:rsid w:val="002E5F0C"/>
    <w:rsid w:val="002E631C"/>
    <w:rsid w:val="002E646C"/>
    <w:rsid w:val="002E64A2"/>
    <w:rsid w:val="002E69E1"/>
    <w:rsid w:val="002E6B7F"/>
    <w:rsid w:val="002E6D72"/>
    <w:rsid w:val="002E72B0"/>
    <w:rsid w:val="002E74E2"/>
    <w:rsid w:val="002E7549"/>
    <w:rsid w:val="002E7842"/>
    <w:rsid w:val="002E7B38"/>
    <w:rsid w:val="002F0C38"/>
    <w:rsid w:val="002F10F0"/>
    <w:rsid w:val="002F1124"/>
    <w:rsid w:val="002F143D"/>
    <w:rsid w:val="002F16DB"/>
    <w:rsid w:val="002F1956"/>
    <w:rsid w:val="002F1C32"/>
    <w:rsid w:val="002F1C4F"/>
    <w:rsid w:val="002F1CA9"/>
    <w:rsid w:val="002F2195"/>
    <w:rsid w:val="002F2314"/>
    <w:rsid w:val="002F2617"/>
    <w:rsid w:val="002F27A6"/>
    <w:rsid w:val="002F2838"/>
    <w:rsid w:val="002F2BBF"/>
    <w:rsid w:val="002F2FA9"/>
    <w:rsid w:val="002F3005"/>
    <w:rsid w:val="002F334F"/>
    <w:rsid w:val="002F3930"/>
    <w:rsid w:val="002F3998"/>
    <w:rsid w:val="002F3D8D"/>
    <w:rsid w:val="002F3D91"/>
    <w:rsid w:val="002F440B"/>
    <w:rsid w:val="002F44D3"/>
    <w:rsid w:val="002F465D"/>
    <w:rsid w:val="002F46E8"/>
    <w:rsid w:val="002F47BB"/>
    <w:rsid w:val="002F4A37"/>
    <w:rsid w:val="002F4D91"/>
    <w:rsid w:val="002F514D"/>
    <w:rsid w:val="002F5782"/>
    <w:rsid w:val="002F5B62"/>
    <w:rsid w:val="002F5CAF"/>
    <w:rsid w:val="002F5F9B"/>
    <w:rsid w:val="002F5FF9"/>
    <w:rsid w:val="002F64D0"/>
    <w:rsid w:val="002F6679"/>
    <w:rsid w:val="002F6788"/>
    <w:rsid w:val="002F68E5"/>
    <w:rsid w:val="002F7A15"/>
    <w:rsid w:val="002F7AEA"/>
    <w:rsid w:val="002F7BCB"/>
    <w:rsid w:val="003004ED"/>
    <w:rsid w:val="00300593"/>
    <w:rsid w:val="003006F8"/>
    <w:rsid w:val="00300710"/>
    <w:rsid w:val="00300D04"/>
    <w:rsid w:val="00300F77"/>
    <w:rsid w:val="003010CF"/>
    <w:rsid w:val="00301230"/>
    <w:rsid w:val="00301265"/>
    <w:rsid w:val="0030136D"/>
    <w:rsid w:val="00301419"/>
    <w:rsid w:val="00301B40"/>
    <w:rsid w:val="00301BB7"/>
    <w:rsid w:val="00302A29"/>
    <w:rsid w:val="00302AEA"/>
    <w:rsid w:val="00302E30"/>
    <w:rsid w:val="0030338B"/>
    <w:rsid w:val="00303758"/>
    <w:rsid w:val="003037E2"/>
    <w:rsid w:val="00303D54"/>
    <w:rsid w:val="00303F5C"/>
    <w:rsid w:val="00304296"/>
    <w:rsid w:val="0030469D"/>
    <w:rsid w:val="00304778"/>
    <w:rsid w:val="00304861"/>
    <w:rsid w:val="003053AF"/>
    <w:rsid w:val="00305621"/>
    <w:rsid w:val="00305765"/>
    <w:rsid w:val="003057C8"/>
    <w:rsid w:val="003059BD"/>
    <w:rsid w:val="003059CE"/>
    <w:rsid w:val="00305C27"/>
    <w:rsid w:val="003060DC"/>
    <w:rsid w:val="0030624A"/>
    <w:rsid w:val="0030651C"/>
    <w:rsid w:val="003069A5"/>
    <w:rsid w:val="003069DD"/>
    <w:rsid w:val="00306BC8"/>
    <w:rsid w:val="00306C3C"/>
    <w:rsid w:val="00306CF3"/>
    <w:rsid w:val="00306F6C"/>
    <w:rsid w:val="003072EF"/>
    <w:rsid w:val="00307479"/>
    <w:rsid w:val="003079EF"/>
    <w:rsid w:val="00307FB9"/>
    <w:rsid w:val="00310008"/>
    <w:rsid w:val="003104A6"/>
    <w:rsid w:val="0031076B"/>
    <w:rsid w:val="00310C5D"/>
    <w:rsid w:val="00310F06"/>
    <w:rsid w:val="003112FE"/>
    <w:rsid w:val="003115A5"/>
    <w:rsid w:val="00312133"/>
    <w:rsid w:val="003122EE"/>
    <w:rsid w:val="003122F3"/>
    <w:rsid w:val="00312327"/>
    <w:rsid w:val="00312782"/>
    <w:rsid w:val="0031303D"/>
    <w:rsid w:val="003130E5"/>
    <w:rsid w:val="00313404"/>
    <w:rsid w:val="00313426"/>
    <w:rsid w:val="00313480"/>
    <w:rsid w:val="00313AAB"/>
    <w:rsid w:val="00313DFD"/>
    <w:rsid w:val="00313E18"/>
    <w:rsid w:val="00314A41"/>
    <w:rsid w:val="00314C45"/>
    <w:rsid w:val="00314C87"/>
    <w:rsid w:val="00314E6E"/>
    <w:rsid w:val="00314E9E"/>
    <w:rsid w:val="003155E0"/>
    <w:rsid w:val="00315B89"/>
    <w:rsid w:val="00315C77"/>
    <w:rsid w:val="00315ED4"/>
    <w:rsid w:val="00315EEC"/>
    <w:rsid w:val="00315F37"/>
    <w:rsid w:val="00315F39"/>
    <w:rsid w:val="00316596"/>
    <w:rsid w:val="0031687B"/>
    <w:rsid w:val="00316F10"/>
    <w:rsid w:val="00316F4B"/>
    <w:rsid w:val="003174B3"/>
    <w:rsid w:val="003174D9"/>
    <w:rsid w:val="00317898"/>
    <w:rsid w:val="00317C36"/>
    <w:rsid w:val="00317E0E"/>
    <w:rsid w:val="00320025"/>
    <w:rsid w:val="00320120"/>
    <w:rsid w:val="0032057D"/>
    <w:rsid w:val="00320CBA"/>
    <w:rsid w:val="00320F9A"/>
    <w:rsid w:val="0032145A"/>
    <w:rsid w:val="003215BC"/>
    <w:rsid w:val="00321705"/>
    <w:rsid w:val="003219E1"/>
    <w:rsid w:val="00321E22"/>
    <w:rsid w:val="00321E71"/>
    <w:rsid w:val="0032213E"/>
    <w:rsid w:val="00322151"/>
    <w:rsid w:val="003223EC"/>
    <w:rsid w:val="00322661"/>
    <w:rsid w:val="00322832"/>
    <w:rsid w:val="00322A9D"/>
    <w:rsid w:val="00322E68"/>
    <w:rsid w:val="00323033"/>
    <w:rsid w:val="0032374D"/>
    <w:rsid w:val="00323901"/>
    <w:rsid w:val="00323AEB"/>
    <w:rsid w:val="00323BFA"/>
    <w:rsid w:val="00323D1A"/>
    <w:rsid w:val="00323D36"/>
    <w:rsid w:val="00324172"/>
    <w:rsid w:val="0032459B"/>
    <w:rsid w:val="0032483C"/>
    <w:rsid w:val="00324D3A"/>
    <w:rsid w:val="00324D6F"/>
    <w:rsid w:val="00324EEC"/>
    <w:rsid w:val="00326AD1"/>
    <w:rsid w:val="00326AFF"/>
    <w:rsid w:val="00327A7D"/>
    <w:rsid w:val="00327ABF"/>
    <w:rsid w:val="00327CF4"/>
    <w:rsid w:val="00327F60"/>
    <w:rsid w:val="00330069"/>
    <w:rsid w:val="00330693"/>
    <w:rsid w:val="00330BD2"/>
    <w:rsid w:val="00330C5F"/>
    <w:rsid w:val="00330EB8"/>
    <w:rsid w:val="003313E3"/>
    <w:rsid w:val="003314A6"/>
    <w:rsid w:val="0033173B"/>
    <w:rsid w:val="0033180A"/>
    <w:rsid w:val="00331C24"/>
    <w:rsid w:val="00331CAB"/>
    <w:rsid w:val="00332049"/>
    <w:rsid w:val="00332F68"/>
    <w:rsid w:val="0033352A"/>
    <w:rsid w:val="00333BC6"/>
    <w:rsid w:val="00333F0E"/>
    <w:rsid w:val="00334216"/>
    <w:rsid w:val="003343B8"/>
    <w:rsid w:val="0033450C"/>
    <w:rsid w:val="003346E0"/>
    <w:rsid w:val="003347A7"/>
    <w:rsid w:val="003349E9"/>
    <w:rsid w:val="00334F6B"/>
    <w:rsid w:val="0033520B"/>
    <w:rsid w:val="003352DB"/>
    <w:rsid w:val="003354C7"/>
    <w:rsid w:val="0033648B"/>
    <w:rsid w:val="00336A6A"/>
    <w:rsid w:val="00336B1A"/>
    <w:rsid w:val="00336BBD"/>
    <w:rsid w:val="00336FDA"/>
    <w:rsid w:val="0033707D"/>
    <w:rsid w:val="00337118"/>
    <w:rsid w:val="00337205"/>
    <w:rsid w:val="0033770F"/>
    <w:rsid w:val="00337A85"/>
    <w:rsid w:val="00337B19"/>
    <w:rsid w:val="00337B98"/>
    <w:rsid w:val="00337F75"/>
    <w:rsid w:val="003408F6"/>
    <w:rsid w:val="003408F9"/>
    <w:rsid w:val="00341142"/>
    <w:rsid w:val="0034123A"/>
    <w:rsid w:val="0034140E"/>
    <w:rsid w:val="00341568"/>
    <w:rsid w:val="0034179F"/>
    <w:rsid w:val="00341A6A"/>
    <w:rsid w:val="00341AB6"/>
    <w:rsid w:val="00341D5F"/>
    <w:rsid w:val="0034200F"/>
    <w:rsid w:val="0034225B"/>
    <w:rsid w:val="00342C30"/>
    <w:rsid w:val="00342D5D"/>
    <w:rsid w:val="003430E6"/>
    <w:rsid w:val="003431DA"/>
    <w:rsid w:val="00343F86"/>
    <w:rsid w:val="00344025"/>
    <w:rsid w:val="00344340"/>
    <w:rsid w:val="0034466C"/>
    <w:rsid w:val="003446B5"/>
    <w:rsid w:val="00344B62"/>
    <w:rsid w:val="00344BB4"/>
    <w:rsid w:val="00344F04"/>
    <w:rsid w:val="00345746"/>
    <w:rsid w:val="003457DC"/>
    <w:rsid w:val="00345C99"/>
    <w:rsid w:val="00346391"/>
    <w:rsid w:val="0034667F"/>
    <w:rsid w:val="003467A2"/>
    <w:rsid w:val="00346ADC"/>
    <w:rsid w:val="00346CF3"/>
    <w:rsid w:val="00346E68"/>
    <w:rsid w:val="003474D7"/>
    <w:rsid w:val="003478E7"/>
    <w:rsid w:val="00347A7C"/>
    <w:rsid w:val="00347D27"/>
    <w:rsid w:val="00347EC2"/>
    <w:rsid w:val="003503D2"/>
    <w:rsid w:val="00350586"/>
    <w:rsid w:val="00350763"/>
    <w:rsid w:val="00350AF1"/>
    <w:rsid w:val="00350D63"/>
    <w:rsid w:val="00350E2D"/>
    <w:rsid w:val="00350F4E"/>
    <w:rsid w:val="00351191"/>
    <w:rsid w:val="00351265"/>
    <w:rsid w:val="003519E4"/>
    <w:rsid w:val="00351CD8"/>
    <w:rsid w:val="00351FE9"/>
    <w:rsid w:val="00352213"/>
    <w:rsid w:val="003529C5"/>
    <w:rsid w:val="00352F3A"/>
    <w:rsid w:val="00352F69"/>
    <w:rsid w:val="0035318D"/>
    <w:rsid w:val="0035329D"/>
    <w:rsid w:val="0035375B"/>
    <w:rsid w:val="00353833"/>
    <w:rsid w:val="003540C2"/>
    <w:rsid w:val="003544BF"/>
    <w:rsid w:val="003546C7"/>
    <w:rsid w:val="00354FD0"/>
    <w:rsid w:val="003552B0"/>
    <w:rsid w:val="0035578C"/>
    <w:rsid w:val="003558F2"/>
    <w:rsid w:val="00355BE7"/>
    <w:rsid w:val="00355E73"/>
    <w:rsid w:val="003565A5"/>
    <w:rsid w:val="003569DE"/>
    <w:rsid w:val="00356C10"/>
    <w:rsid w:val="00357397"/>
    <w:rsid w:val="0035743D"/>
    <w:rsid w:val="00357444"/>
    <w:rsid w:val="0035769A"/>
    <w:rsid w:val="00357773"/>
    <w:rsid w:val="00357778"/>
    <w:rsid w:val="003601B4"/>
    <w:rsid w:val="0036040E"/>
    <w:rsid w:val="0036073D"/>
    <w:rsid w:val="003608B4"/>
    <w:rsid w:val="00360A50"/>
    <w:rsid w:val="00360A94"/>
    <w:rsid w:val="00360AD5"/>
    <w:rsid w:val="00360D87"/>
    <w:rsid w:val="00361313"/>
    <w:rsid w:val="00361743"/>
    <w:rsid w:val="00361825"/>
    <w:rsid w:val="00362100"/>
    <w:rsid w:val="00362378"/>
    <w:rsid w:val="0036281D"/>
    <w:rsid w:val="0036290B"/>
    <w:rsid w:val="00363100"/>
    <w:rsid w:val="00363589"/>
    <w:rsid w:val="00363B21"/>
    <w:rsid w:val="00363BDF"/>
    <w:rsid w:val="00363E87"/>
    <w:rsid w:val="00364233"/>
    <w:rsid w:val="003645C3"/>
    <w:rsid w:val="00364600"/>
    <w:rsid w:val="00364640"/>
    <w:rsid w:val="00364C63"/>
    <w:rsid w:val="00365279"/>
    <w:rsid w:val="003652EB"/>
    <w:rsid w:val="003652F1"/>
    <w:rsid w:val="00365CA3"/>
    <w:rsid w:val="00365D8D"/>
    <w:rsid w:val="00365D9B"/>
    <w:rsid w:val="00366514"/>
    <w:rsid w:val="00366586"/>
    <w:rsid w:val="003666B9"/>
    <w:rsid w:val="00366796"/>
    <w:rsid w:val="003668E1"/>
    <w:rsid w:val="00366ACF"/>
    <w:rsid w:val="00366BD2"/>
    <w:rsid w:val="00366CE1"/>
    <w:rsid w:val="003671CE"/>
    <w:rsid w:val="00367370"/>
    <w:rsid w:val="003674B8"/>
    <w:rsid w:val="003675F2"/>
    <w:rsid w:val="00367879"/>
    <w:rsid w:val="00367A98"/>
    <w:rsid w:val="00367C92"/>
    <w:rsid w:val="00367CBD"/>
    <w:rsid w:val="00367F95"/>
    <w:rsid w:val="00370787"/>
    <w:rsid w:val="00370871"/>
    <w:rsid w:val="00370A78"/>
    <w:rsid w:val="00370C30"/>
    <w:rsid w:val="00370EDC"/>
    <w:rsid w:val="00370FF5"/>
    <w:rsid w:val="003711D3"/>
    <w:rsid w:val="003712E5"/>
    <w:rsid w:val="00371460"/>
    <w:rsid w:val="00371484"/>
    <w:rsid w:val="00371A84"/>
    <w:rsid w:val="00371CD5"/>
    <w:rsid w:val="00371FA1"/>
    <w:rsid w:val="003723D4"/>
    <w:rsid w:val="00372C7F"/>
    <w:rsid w:val="00372D7E"/>
    <w:rsid w:val="00373051"/>
    <w:rsid w:val="00373408"/>
    <w:rsid w:val="00373A5B"/>
    <w:rsid w:val="00373C1F"/>
    <w:rsid w:val="00373E8E"/>
    <w:rsid w:val="00373F93"/>
    <w:rsid w:val="00374541"/>
    <w:rsid w:val="003747D4"/>
    <w:rsid w:val="00374982"/>
    <w:rsid w:val="00374BB8"/>
    <w:rsid w:val="00375205"/>
    <w:rsid w:val="003752CE"/>
    <w:rsid w:val="003756EE"/>
    <w:rsid w:val="00375869"/>
    <w:rsid w:val="00375AAB"/>
    <w:rsid w:val="00375EF7"/>
    <w:rsid w:val="003764C0"/>
    <w:rsid w:val="00376648"/>
    <w:rsid w:val="0037666E"/>
    <w:rsid w:val="0037672B"/>
    <w:rsid w:val="003769B7"/>
    <w:rsid w:val="00376B3C"/>
    <w:rsid w:val="00376BE2"/>
    <w:rsid w:val="00376BF1"/>
    <w:rsid w:val="00376C4C"/>
    <w:rsid w:val="00376C7C"/>
    <w:rsid w:val="00377334"/>
    <w:rsid w:val="0037738A"/>
    <w:rsid w:val="00377778"/>
    <w:rsid w:val="003778C9"/>
    <w:rsid w:val="00377CC2"/>
    <w:rsid w:val="00377E7C"/>
    <w:rsid w:val="00377EC5"/>
    <w:rsid w:val="00380473"/>
    <w:rsid w:val="003805A2"/>
    <w:rsid w:val="003806EF"/>
    <w:rsid w:val="00380733"/>
    <w:rsid w:val="00380815"/>
    <w:rsid w:val="00380B96"/>
    <w:rsid w:val="0038179A"/>
    <w:rsid w:val="00381BDD"/>
    <w:rsid w:val="00381E99"/>
    <w:rsid w:val="00382187"/>
    <w:rsid w:val="0038272D"/>
    <w:rsid w:val="00382A87"/>
    <w:rsid w:val="00382BF8"/>
    <w:rsid w:val="003831B4"/>
    <w:rsid w:val="003832FC"/>
    <w:rsid w:val="003833C7"/>
    <w:rsid w:val="00383E39"/>
    <w:rsid w:val="003841A1"/>
    <w:rsid w:val="003842A3"/>
    <w:rsid w:val="0038436D"/>
    <w:rsid w:val="00384427"/>
    <w:rsid w:val="0038469C"/>
    <w:rsid w:val="0038498E"/>
    <w:rsid w:val="00384F92"/>
    <w:rsid w:val="0038502F"/>
    <w:rsid w:val="003854DB"/>
    <w:rsid w:val="003854F1"/>
    <w:rsid w:val="00385558"/>
    <w:rsid w:val="0038576A"/>
    <w:rsid w:val="00385AB7"/>
    <w:rsid w:val="003862A8"/>
    <w:rsid w:val="00386F36"/>
    <w:rsid w:val="0038700D"/>
    <w:rsid w:val="00387391"/>
    <w:rsid w:val="003876B0"/>
    <w:rsid w:val="00387BC1"/>
    <w:rsid w:val="00390077"/>
    <w:rsid w:val="0039021F"/>
    <w:rsid w:val="00390528"/>
    <w:rsid w:val="00390555"/>
    <w:rsid w:val="0039081B"/>
    <w:rsid w:val="00390960"/>
    <w:rsid w:val="00390CA7"/>
    <w:rsid w:val="00390E49"/>
    <w:rsid w:val="00390FED"/>
    <w:rsid w:val="00391C36"/>
    <w:rsid w:val="00391D4F"/>
    <w:rsid w:val="00391EA8"/>
    <w:rsid w:val="00392140"/>
    <w:rsid w:val="00392727"/>
    <w:rsid w:val="0039322D"/>
    <w:rsid w:val="003932A5"/>
    <w:rsid w:val="00393367"/>
    <w:rsid w:val="00393371"/>
    <w:rsid w:val="0039385F"/>
    <w:rsid w:val="003938BD"/>
    <w:rsid w:val="00393B17"/>
    <w:rsid w:val="00394450"/>
    <w:rsid w:val="003948F3"/>
    <w:rsid w:val="00394C8B"/>
    <w:rsid w:val="00394D13"/>
    <w:rsid w:val="00395143"/>
    <w:rsid w:val="003951CF"/>
    <w:rsid w:val="003955EF"/>
    <w:rsid w:val="00396366"/>
    <w:rsid w:val="003964BE"/>
    <w:rsid w:val="00396624"/>
    <w:rsid w:val="003967AC"/>
    <w:rsid w:val="003968D1"/>
    <w:rsid w:val="00396B7F"/>
    <w:rsid w:val="0039725D"/>
    <w:rsid w:val="0039746B"/>
    <w:rsid w:val="00397593"/>
    <w:rsid w:val="00397636"/>
    <w:rsid w:val="003A00F3"/>
    <w:rsid w:val="003A033C"/>
    <w:rsid w:val="003A049A"/>
    <w:rsid w:val="003A0F28"/>
    <w:rsid w:val="003A1538"/>
    <w:rsid w:val="003A22ED"/>
    <w:rsid w:val="003A232F"/>
    <w:rsid w:val="003A23AF"/>
    <w:rsid w:val="003A26F7"/>
    <w:rsid w:val="003A2B36"/>
    <w:rsid w:val="003A315E"/>
    <w:rsid w:val="003A3704"/>
    <w:rsid w:val="003A38AB"/>
    <w:rsid w:val="003A3A4F"/>
    <w:rsid w:val="003A3CCA"/>
    <w:rsid w:val="003A3D98"/>
    <w:rsid w:val="003A445A"/>
    <w:rsid w:val="003A4B01"/>
    <w:rsid w:val="003A4EF1"/>
    <w:rsid w:val="003A53F4"/>
    <w:rsid w:val="003A5498"/>
    <w:rsid w:val="003A54B0"/>
    <w:rsid w:val="003A5603"/>
    <w:rsid w:val="003A5820"/>
    <w:rsid w:val="003A5868"/>
    <w:rsid w:val="003A5BA2"/>
    <w:rsid w:val="003A5DDD"/>
    <w:rsid w:val="003A5E12"/>
    <w:rsid w:val="003A5FFD"/>
    <w:rsid w:val="003A62CB"/>
    <w:rsid w:val="003A63CF"/>
    <w:rsid w:val="003A6692"/>
    <w:rsid w:val="003A67E8"/>
    <w:rsid w:val="003A6B06"/>
    <w:rsid w:val="003A6F23"/>
    <w:rsid w:val="003A74EA"/>
    <w:rsid w:val="003A7523"/>
    <w:rsid w:val="003A7673"/>
    <w:rsid w:val="003A7C8F"/>
    <w:rsid w:val="003A7E35"/>
    <w:rsid w:val="003B0625"/>
    <w:rsid w:val="003B0858"/>
    <w:rsid w:val="003B0C69"/>
    <w:rsid w:val="003B0E38"/>
    <w:rsid w:val="003B20DA"/>
    <w:rsid w:val="003B29A8"/>
    <w:rsid w:val="003B2A31"/>
    <w:rsid w:val="003B2B7D"/>
    <w:rsid w:val="003B2FDD"/>
    <w:rsid w:val="003B3003"/>
    <w:rsid w:val="003B3267"/>
    <w:rsid w:val="003B3720"/>
    <w:rsid w:val="003B3DE8"/>
    <w:rsid w:val="003B40C2"/>
    <w:rsid w:val="003B4101"/>
    <w:rsid w:val="003B4146"/>
    <w:rsid w:val="003B4303"/>
    <w:rsid w:val="003B4A5B"/>
    <w:rsid w:val="003B4B50"/>
    <w:rsid w:val="003B4B69"/>
    <w:rsid w:val="003B4B78"/>
    <w:rsid w:val="003B4D1D"/>
    <w:rsid w:val="003B5131"/>
    <w:rsid w:val="003B54B6"/>
    <w:rsid w:val="003B559E"/>
    <w:rsid w:val="003B5731"/>
    <w:rsid w:val="003B599D"/>
    <w:rsid w:val="003B5ABD"/>
    <w:rsid w:val="003B5AD6"/>
    <w:rsid w:val="003B5DCB"/>
    <w:rsid w:val="003B5F3E"/>
    <w:rsid w:val="003B5FA9"/>
    <w:rsid w:val="003B6124"/>
    <w:rsid w:val="003B61A6"/>
    <w:rsid w:val="003B65CF"/>
    <w:rsid w:val="003B67E3"/>
    <w:rsid w:val="003B6AD0"/>
    <w:rsid w:val="003B6DCA"/>
    <w:rsid w:val="003B6E18"/>
    <w:rsid w:val="003B714A"/>
    <w:rsid w:val="003B759A"/>
    <w:rsid w:val="003B790D"/>
    <w:rsid w:val="003B7FCC"/>
    <w:rsid w:val="003C0C17"/>
    <w:rsid w:val="003C0C38"/>
    <w:rsid w:val="003C0CB9"/>
    <w:rsid w:val="003C0E23"/>
    <w:rsid w:val="003C1038"/>
    <w:rsid w:val="003C1115"/>
    <w:rsid w:val="003C11EE"/>
    <w:rsid w:val="003C12E2"/>
    <w:rsid w:val="003C136B"/>
    <w:rsid w:val="003C13C4"/>
    <w:rsid w:val="003C140B"/>
    <w:rsid w:val="003C143C"/>
    <w:rsid w:val="003C188E"/>
    <w:rsid w:val="003C1F10"/>
    <w:rsid w:val="003C1FBA"/>
    <w:rsid w:val="003C22EA"/>
    <w:rsid w:val="003C27F9"/>
    <w:rsid w:val="003C31E6"/>
    <w:rsid w:val="003C3442"/>
    <w:rsid w:val="003C36B2"/>
    <w:rsid w:val="003C36F6"/>
    <w:rsid w:val="003C39D4"/>
    <w:rsid w:val="003C3A6B"/>
    <w:rsid w:val="003C431B"/>
    <w:rsid w:val="003C4B2C"/>
    <w:rsid w:val="003C4E43"/>
    <w:rsid w:val="003C4F76"/>
    <w:rsid w:val="003C5130"/>
    <w:rsid w:val="003C5158"/>
    <w:rsid w:val="003C5237"/>
    <w:rsid w:val="003C5960"/>
    <w:rsid w:val="003C5EA9"/>
    <w:rsid w:val="003C61BF"/>
    <w:rsid w:val="003C6276"/>
    <w:rsid w:val="003C6937"/>
    <w:rsid w:val="003C6B79"/>
    <w:rsid w:val="003C6B7D"/>
    <w:rsid w:val="003C7350"/>
    <w:rsid w:val="003C75A6"/>
    <w:rsid w:val="003C7731"/>
    <w:rsid w:val="003C7A14"/>
    <w:rsid w:val="003C7A70"/>
    <w:rsid w:val="003C7B1D"/>
    <w:rsid w:val="003C7D58"/>
    <w:rsid w:val="003C7EBC"/>
    <w:rsid w:val="003C7EF3"/>
    <w:rsid w:val="003D02AA"/>
    <w:rsid w:val="003D0724"/>
    <w:rsid w:val="003D07C2"/>
    <w:rsid w:val="003D0969"/>
    <w:rsid w:val="003D0BAD"/>
    <w:rsid w:val="003D0DF5"/>
    <w:rsid w:val="003D0EE8"/>
    <w:rsid w:val="003D0F14"/>
    <w:rsid w:val="003D0F5C"/>
    <w:rsid w:val="003D11C6"/>
    <w:rsid w:val="003D1B55"/>
    <w:rsid w:val="003D2114"/>
    <w:rsid w:val="003D22D1"/>
    <w:rsid w:val="003D2ABD"/>
    <w:rsid w:val="003D2B41"/>
    <w:rsid w:val="003D2DA1"/>
    <w:rsid w:val="003D3331"/>
    <w:rsid w:val="003D34FC"/>
    <w:rsid w:val="003D3562"/>
    <w:rsid w:val="003D3C67"/>
    <w:rsid w:val="003D41FD"/>
    <w:rsid w:val="003D4224"/>
    <w:rsid w:val="003D42F3"/>
    <w:rsid w:val="003D42FB"/>
    <w:rsid w:val="003D435A"/>
    <w:rsid w:val="003D436A"/>
    <w:rsid w:val="003D4477"/>
    <w:rsid w:val="003D45CD"/>
    <w:rsid w:val="003D47E3"/>
    <w:rsid w:val="003D4930"/>
    <w:rsid w:val="003D5146"/>
    <w:rsid w:val="003D543E"/>
    <w:rsid w:val="003D54CE"/>
    <w:rsid w:val="003D562E"/>
    <w:rsid w:val="003D5B24"/>
    <w:rsid w:val="003D5CE8"/>
    <w:rsid w:val="003D5FBF"/>
    <w:rsid w:val="003D6180"/>
    <w:rsid w:val="003D745D"/>
    <w:rsid w:val="003D781D"/>
    <w:rsid w:val="003D795B"/>
    <w:rsid w:val="003D7EF3"/>
    <w:rsid w:val="003D7F5B"/>
    <w:rsid w:val="003E0125"/>
    <w:rsid w:val="003E03F7"/>
    <w:rsid w:val="003E0648"/>
    <w:rsid w:val="003E07A7"/>
    <w:rsid w:val="003E0D55"/>
    <w:rsid w:val="003E0D7C"/>
    <w:rsid w:val="003E0EE1"/>
    <w:rsid w:val="003E0FCA"/>
    <w:rsid w:val="003E11FF"/>
    <w:rsid w:val="003E14C6"/>
    <w:rsid w:val="003E179F"/>
    <w:rsid w:val="003E17ED"/>
    <w:rsid w:val="003E1827"/>
    <w:rsid w:val="003E18AF"/>
    <w:rsid w:val="003E1A47"/>
    <w:rsid w:val="003E1B16"/>
    <w:rsid w:val="003E1C24"/>
    <w:rsid w:val="003E1FF0"/>
    <w:rsid w:val="003E2992"/>
    <w:rsid w:val="003E2A15"/>
    <w:rsid w:val="003E2D79"/>
    <w:rsid w:val="003E2E57"/>
    <w:rsid w:val="003E2ED7"/>
    <w:rsid w:val="003E30E8"/>
    <w:rsid w:val="003E31F7"/>
    <w:rsid w:val="003E365A"/>
    <w:rsid w:val="003E3736"/>
    <w:rsid w:val="003E391A"/>
    <w:rsid w:val="003E3F0F"/>
    <w:rsid w:val="003E4265"/>
    <w:rsid w:val="003E44CB"/>
    <w:rsid w:val="003E4794"/>
    <w:rsid w:val="003E5452"/>
    <w:rsid w:val="003E55C9"/>
    <w:rsid w:val="003E561D"/>
    <w:rsid w:val="003E60B1"/>
    <w:rsid w:val="003E626D"/>
    <w:rsid w:val="003E6272"/>
    <w:rsid w:val="003E6476"/>
    <w:rsid w:val="003E6698"/>
    <w:rsid w:val="003E686C"/>
    <w:rsid w:val="003E68BE"/>
    <w:rsid w:val="003E6D7D"/>
    <w:rsid w:val="003E72F9"/>
    <w:rsid w:val="003E7374"/>
    <w:rsid w:val="003E7463"/>
    <w:rsid w:val="003E7878"/>
    <w:rsid w:val="003E7C79"/>
    <w:rsid w:val="003E7E49"/>
    <w:rsid w:val="003E7F7D"/>
    <w:rsid w:val="003F099D"/>
    <w:rsid w:val="003F0FE3"/>
    <w:rsid w:val="003F169D"/>
    <w:rsid w:val="003F1732"/>
    <w:rsid w:val="003F17A9"/>
    <w:rsid w:val="003F1AF9"/>
    <w:rsid w:val="003F1BC5"/>
    <w:rsid w:val="003F1C21"/>
    <w:rsid w:val="003F1CAD"/>
    <w:rsid w:val="003F1CE5"/>
    <w:rsid w:val="003F248F"/>
    <w:rsid w:val="003F27A5"/>
    <w:rsid w:val="003F2811"/>
    <w:rsid w:val="003F2B77"/>
    <w:rsid w:val="003F2C1C"/>
    <w:rsid w:val="003F2E17"/>
    <w:rsid w:val="003F2FD7"/>
    <w:rsid w:val="003F30D0"/>
    <w:rsid w:val="003F3676"/>
    <w:rsid w:val="003F3AF3"/>
    <w:rsid w:val="003F3FCA"/>
    <w:rsid w:val="003F4073"/>
    <w:rsid w:val="003F4092"/>
    <w:rsid w:val="003F4D1A"/>
    <w:rsid w:val="003F5101"/>
    <w:rsid w:val="003F5119"/>
    <w:rsid w:val="003F51D6"/>
    <w:rsid w:val="003F5AE6"/>
    <w:rsid w:val="003F5C1D"/>
    <w:rsid w:val="003F5C8F"/>
    <w:rsid w:val="003F5D56"/>
    <w:rsid w:val="003F60C2"/>
    <w:rsid w:val="003F693C"/>
    <w:rsid w:val="003F6D36"/>
    <w:rsid w:val="003F6F94"/>
    <w:rsid w:val="003F7224"/>
    <w:rsid w:val="003F75E2"/>
    <w:rsid w:val="003F7658"/>
    <w:rsid w:val="003F7692"/>
    <w:rsid w:val="003F7727"/>
    <w:rsid w:val="003F7786"/>
    <w:rsid w:val="003F7946"/>
    <w:rsid w:val="003F7E35"/>
    <w:rsid w:val="003F7F2D"/>
    <w:rsid w:val="004000E4"/>
    <w:rsid w:val="00400154"/>
    <w:rsid w:val="004002DE"/>
    <w:rsid w:val="004007FC"/>
    <w:rsid w:val="00400811"/>
    <w:rsid w:val="004009F5"/>
    <w:rsid w:val="00400E5F"/>
    <w:rsid w:val="004010FE"/>
    <w:rsid w:val="004012BA"/>
    <w:rsid w:val="004014C3"/>
    <w:rsid w:val="004015BF"/>
    <w:rsid w:val="004019EA"/>
    <w:rsid w:val="00401B0D"/>
    <w:rsid w:val="00401BFB"/>
    <w:rsid w:val="00401EEF"/>
    <w:rsid w:val="00401F9E"/>
    <w:rsid w:val="00402028"/>
    <w:rsid w:val="00402140"/>
    <w:rsid w:val="004023B8"/>
    <w:rsid w:val="00402B7A"/>
    <w:rsid w:val="00402CE8"/>
    <w:rsid w:val="00402DD9"/>
    <w:rsid w:val="00402FBA"/>
    <w:rsid w:val="0040306F"/>
    <w:rsid w:val="00403204"/>
    <w:rsid w:val="004036A2"/>
    <w:rsid w:val="0040389F"/>
    <w:rsid w:val="004038F8"/>
    <w:rsid w:val="00403926"/>
    <w:rsid w:val="00403C41"/>
    <w:rsid w:val="00403D3D"/>
    <w:rsid w:val="00403E59"/>
    <w:rsid w:val="00404037"/>
    <w:rsid w:val="00404277"/>
    <w:rsid w:val="00404428"/>
    <w:rsid w:val="00404BE7"/>
    <w:rsid w:val="00404C3F"/>
    <w:rsid w:val="00404D13"/>
    <w:rsid w:val="00404E5E"/>
    <w:rsid w:val="00404E68"/>
    <w:rsid w:val="0040566E"/>
    <w:rsid w:val="00405BF0"/>
    <w:rsid w:val="004060C4"/>
    <w:rsid w:val="0040615B"/>
    <w:rsid w:val="00406DB2"/>
    <w:rsid w:val="00407068"/>
    <w:rsid w:val="0040770C"/>
    <w:rsid w:val="00410AAE"/>
    <w:rsid w:val="00410EE4"/>
    <w:rsid w:val="00411746"/>
    <w:rsid w:val="00411CA1"/>
    <w:rsid w:val="0041218A"/>
    <w:rsid w:val="004127A2"/>
    <w:rsid w:val="00412BEB"/>
    <w:rsid w:val="00412D83"/>
    <w:rsid w:val="0041313B"/>
    <w:rsid w:val="004135BF"/>
    <w:rsid w:val="0041388D"/>
    <w:rsid w:val="00413A22"/>
    <w:rsid w:val="00413B4A"/>
    <w:rsid w:val="00413C7F"/>
    <w:rsid w:val="004144C3"/>
    <w:rsid w:val="004146D6"/>
    <w:rsid w:val="00414907"/>
    <w:rsid w:val="0041490F"/>
    <w:rsid w:val="00414AAC"/>
    <w:rsid w:val="00414D38"/>
    <w:rsid w:val="00414E37"/>
    <w:rsid w:val="00414E86"/>
    <w:rsid w:val="004158A2"/>
    <w:rsid w:val="00415B61"/>
    <w:rsid w:val="00415BAD"/>
    <w:rsid w:val="00415CF2"/>
    <w:rsid w:val="0041656C"/>
    <w:rsid w:val="004166D2"/>
    <w:rsid w:val="00416A1E"/>
    <w:rsid w:val="00416A79"/>
    <w:rsid w:val="00416C2B"/>
    <w:rsid w:val="00416DF4"/>
    <w:rsid w:val="00417060"/>
    <w:rsid w:val="00417061"/>
    <w:rsid w:val="0041715E"/>
    <w:rsid w:val="00417ABE"/>
    <w:rsid w:val="00417E7C"/>
    <w:rsid w:val="00420060"/>
    <w:rsid w:val="0042014A"/>
    <w:rsid w:val="0042103B"/>
    <w:rsid w:val="00421094"/>
    <w:rsid w:val="00421129"/>
    <w:rsid w:val="0042127A"/>
    <w:rsid w:val="0042187F"/>
    <w:rsid w:val="004218D9"/>
    <w:rsid w:val="004225F6"/>
    <w:rsid w:val="00422AE2"/>
    <w:rsid w:val="00422C81"/>
    <w:rsid w:val="00422D79"/>
    <w:rsid w:val="0042356F"/>
    <w:rsid w:val="0042364C"/>
    <w:rsid w:val="00423821"/>
    <w:rsid w:val="004239FE"/>
    <w:rsid w:val="00423F03"/>
    <w:rsid w:val="00424137"/>
    <w:rsid w:val="00424419"/>
    <w:rsid w:val="004247D4"/>
    <w:rsid w:val="00424955"/>
    <w:rsid w:val="00424E90"/>
    <w:rsid w:val="0042535D"/>
    <w:rsid w:val="00425616"/>
    <w:rsid w:val="004257D3"/>
    <w:rsid w:val="00425DA5"/>
    <w:rsid w:val="00426080"/>
    <w:rsid w:val="00426279"/>
    <w:rsid w:val="0042636F"/>
    <w:rsid w:val="0042651B"/>
    <w:rsid w:val="00426CFD"/>
    <w:rsid w:val="00426F73"/>
    <w:rsid w:val="0042705E"/>
    <w:rsid w:val="00427321"/>
    <w:rsid w:val="00427AC6"/>
    <w:rsid w:val="00430005"/>
    <w:rsid w:val="004300C6"/>
    <w:rsid w:val="00430240"/>
    <w:rsid w:val="00430477"/>
    <w:rsid w:val="00430489"/>
    <w:rsid w:val="004308BC"/>
    <w:rsid w:val="00430AD2"/>
    <w:rsid w:val="00430CE3"/>
    <w:rsid w:val="00430D0C"/>
    <w:rsid w:val="004313CF"/>
    <w:rsid w:val="004315DC"/>
    <w:rsid w:val="00431A0C"/>
    <w:rsid w:val="00432B0C"/>
    <w:rsid w:val="00432BF4"/>
    <w:rsid w:val="00432F6D"/>
    <w:rsid w:val="004331B2"/>
    <w:rsid w:val="00433336"/>
    <w:rsid w:val="00433806"/>
    <w:rsid w:val="004339CF"/>
    <w:rsid w:val="00433AB3"/>
    <w:rsid w:val="00433D24"/>
    <w:rsid w:val="00433D8E"/>
    <w:rsid w:val="00434342"/>
    <w:rsid w:val="00434716"/>
    <w:rsid w:val="00434B1C"/>
    <w:rsid w:val="00434DF9"/>
    <w:rsid w:val="00434F31"/>
    <w:rsid w:val="00434F7E"/>
    <w:rsid w:val="00435294"/>
    <w:rsid w:val="00435408"/>
    <w:rsid w:val="004355EC"/>
    <w:rsid w:val="00435DD8"/>
    <w:rsid w:val="00435EF3"/>
    <w:rsid w:val="004360A8"/>
    <w:rsid w:val="004362EC"/>
    <w:rsid w:val="00436DEC"/>
    <w:rsid w:val="00437147"/>
    <w:rsid w:val="004376D0"/>
    <w:rsid w:val="00437915"/>
    <w:rsid w:val="004379A5"/>
    <w:rsid w:val="00437B2F"/>
    <w:rsid w:val="00437B60"/>
    <w:rsid w:val="00437CC1"/>
    <w:rsid w:val="00437DE4"/>
    <w:rsid w:val="00440114"/>
    <w:rsid w:val="00440136"/>
    <w:rsid w:val="00440404"/>
    <w:rsid w:val="0044045C"/>
    <w:rsid w:val="004404CD"/>
    <w:rsid w:val="004413BA"/>
    <w:rsid w:val="0044168C"/>
    <w:rsid w:val="0044183A"/>
    <w:rsid w:val="00441845"/>
    <w:rsid w:val="00441D63"/>
    <w:rsid w:val="00441E71"/>
    <w:rsid w:val="00442150"/>
    <w:rsid w:val="004422F6"/>
    <w:rsid w:val="0044279A"/>
    <w:rsid w:val="00442D28"/>
    <w:rsid w:val="00442E18"/>
    <w:rsid w:val="00442FF4"/>
    <w:rsid w:val="0044366C"/>
    <w:rsid w:val="0044374E"/>
    <w:rsid w:val="00443ADB"/>
    <w:rsid w:val="00444187"/>
    <w:rsid w:val="00444444"/>
    <w:rsid w:val="004446C5"/>
    <w:rsid w:val="004449C4"/>
    <w:rsid w:val="004450D5"/>
    <w:rsid w:val="004459C1"/>
    <w:rsid w:val="00445A94"/>
    <w:rsid w:val="00446207"/>
    <w:rsid w:val="00446856"/>
    <w:rsid w:val="00446E3B"/>
    <w:rsid w:val="00447016"/>
    <w:rsid w:val="00447139"/>
    <w:rsid w:val="00447850"/>
    <w:rsid w:val="00450506"/>
    <w:rsid w:val="00450967"/>
    <w:rsid w:val="00450B91"/>
    <w:rsid w:val="00450CB7"/>
    <w:rsid w:val="00450EC4"/>
    <w:rsid w:val="004512F6"/>
    <w:rsid w:val="004514A1"/>
    <w:rsid w:val="00451AE4"/>
    <w:rsid w:val="00451B2B"/>
    <w:rsid w:val="00451FDB"/>
    <w:rsid w:val="00451FE7"/>
    <w:rsid w:val="00452169"/>
    <w:rsid w:val="00452746"/>
    <w:rsid w:val="004527D8"/>
    <w:rsid w:val="00452AC9"/>
    <w:rsid w:val="00452F32"/>
    <w:rsid w:val="00452FDE"/>
    <w:rsid w:val="004534F3"/>
    <w:rsid w:val="00453971"/>
    <w:rsid w:val="00453A9C"/>
    <w:rsid w:val="00453B14"/>
    <w:rsid w:val="00453EE4"/>
    <w:rsid w:val="004543CC"/>
    <w:rsid w:val="00454474"/>
    <w:rsid w:val="00454565"/>
    <w:rsid w:val="00454F96"/>
    <w:rsid w:val="00455076"/>
    <w:rsid w:val="004552CC"/>
    <w:rsid w:val="004553C6"/>
    <w:rsid w:val="00455D88"/>
    <w:rsid w:val="00455DF3"/>
    <w:rsid w:val="00455E5A"/>
    <w:rsid w:val="004561E3"/>
    <w:rsid w:val="0045688E"/>
    <w:rsid w:val="00456EB7"/>
    <w:rsid w:val="00457516"/>
    <w:rsid w:val="0046021B"/>
    <w:rsid w:val="004603ED"/>
    <w:rsid w:val="00460891"/>
    <w:rsid w:val="00460A55"/>
    <w:rsid w:val="00460D57"/>
    <w:rsid w:val="00460E43"/>
    <w:rsid w:val="00460FD0"/>
    <w:rsid w:val="00461747"/>
    <w:rsid w:val="00461B43"/>
    <w:rsid w:val="00461BA6"/>
    <w:rsid w:val="00461D04"/>
    <w:rsid w:val="00462004"/>
    <w:rsid w:val="0046266A"/>
    <w:rsid w:val="004626DA"/>
    <w:rsid w:val="00462725"/>
    <w:rsid w:val="00462965"/>
    <w:rsid w:val="00462D15"/>
    <w:rsid w:val="00462D78"/>
    <w:rsid w:val="00462D7B"/>
    <w:rsid w:val="00462EBA"/>
    <w:rsid w:val="00462F0B"/>
    <w:rsid w:val="004630DA"/>
    <w:rsid w:val="004631A5"/>
    <w:rsid w:val="004631D2"/>
    <w:rsid w:val="0046335C"/>
    <w:rsid w:val="00463536"/>
    <w:rsid w:val="00463658"/>
    <w:rsid w:val="00463863"/>
    <w:rsid w:val="004639A8"/>
    <w:rsid w:val="004639BC"/>
    <w:rsid w:val="00463B7F"/>
    <w:rsid w:val="00463C24"/>
    <w:rsid w:val="004640D7"/>
    <w:rsid w:val="00464828"/>
    <w:rsid w:val="0046483A"/>
    <w:rsid w:val="00464A01"/>
    <w:rsid w:val="00464FCB"/>
    <w:rsid w:val="00465442"/>
    <w:rsid w:val="00465625"/>
    <w:rsid w:val="0046657C"/>
    <w:rsid w:val="0046661D"/>
    <w:rsid w:val="00466B37"/>
    <w:rsid w:val="00466B3D"/>
    <w:rsid w:val="00467094"/>
    <w:rsid w:val="004672CC"/>
    <w:rsid w:val="00467586"/>
    <w:rsid w:val="004679F5"/>
    <w:rsid w:val="00467B9D"/>
    <w:rsid w:val="00467CB7"/>
    <w:rsid w:val="00467D24"/>
    <w:rsid w:val="00470265"/>
    <w:rsid w:val="004705ED"/>
    <w:rsid w:val="004707F1"/>
    <w:rsid w:val="00470BB4"/>
    <w:rsid w:val="00471016"/>
    <w:rsid w:val="0047105E"/>
    <w:rsid w:val="00471675"/>
    <w:rsid w:val="004718CA"/>
    <w:rsid w:val="00471E82"/>
    <w:rsid w:val="00472769"/>
    <w:rsid w:val="00472770"/>
    <w:rsid w:val="00472895"/>
    <w:rsid w:val="00472BA1"/>
    <w:rsid w:val="00472BDE"/>
    <w:rsid w:val="00472EA0"/>
    <w:rsid w:val="00472F8D"/>
    <w:rsid w:val="0047340E"/>
    <w:rsid w:val="0047367C"/>
    <w:rsid w:val="004738ED"/>
    <w:rsid w:val="004739C7"/>
    <w:rsid w:val="00473E00"/>
    <w:rsid w:val="00473E18"/>
    <w:rsid w:val="00473EC8"/>
    <w:rsid w:val="00473F50"/>
    <w:rsid w:val="00474303"/>
    <w:rsid w:val="00474515"/>
    <w:rsid w:val="00474639"/>
    <w:rsid w:val="00474763"/>
    <w:rsid w:val="004753DE"/>
    <w:rsid w:val="004757AC"/>
    <w:rsid w:val="00475845"/>
    <w:rsid w:val="00475D5D"/>
    <w:rsid w:val="0047687F"/>
    <w:rsid w:val="004768B3"/>
    <w:rsid w:val="00476B3A"/>
    <w:rsid w:val="00476C6D"/>
    <w:rsid w:val="00476E96"/>
    <w:rsid w:val="00476EE9"/>
    <w:rsid w:val="00477519"/>
    <w:rsid w:val="00477CC0"/>
    <w:rsid w:val="00477D37"/>
    <w:rsid w:val="00477F52"/>
    <w:rsid w:val="004809E2"/>
    <w:rsid w:val="004810F0"/>
    <w:rsid w:val="0048132B"/>
    <w:rsid w:val="00481428"/>
    <w:rsid w:val="00481526"/>
    <w:rsid w:val="0048157D"/>
    <w:rsid w:val="00482144"/>
    <w:rsid w:val="0048226E"/>
    <w:rsid w:val="0048227C"/>
    <w:rsid w:val="004825DC"/>
    <w:rsid w:val="00482802"/>
    <w:rsid w:val="00482CB1"/>
    <w:rsid w:val="00482CFE"/>
    <w:rsid w:val="00482D5C"/>
    <w:rsid w:val="00482E9A"/>
    <w:rsid w:val="0048320A"/>
    <w:rsid w:val="00483381"/>
    <w:rsid w:val="00483A86"/>
    <w:rsid w:val="00483B9F"/>
    <w:rsid w:val="00483E41"/>
    <w:rsid w:val="00483FA8"/>
    <w:rsid w:val="0048411A"/>
    <w:rsid w:val="004841B6"/>
    <w:rsid w:val="00484381"/>
    <w:rsid w:val="004844C1"/>
    <w:rsid w:val="00484E00"/>
    <w:rsid w:val="00484F13"/>
    <w:rsid w:val="00485AC4"/>
    <w:rsid w:val="00485B21"/>
    <w:rsid w:val="00485BD4"/>
    <w:rsid w:val="00486375"/>
    <w:rsid w:val="004864B6"/>
    <w:rsid w:val="004864D4"/>
    <w:rsid w:val="004866E7"/>
    <w:rsid w:val="00486A64"/>
    <w:rsid w:val="00486C36"/>
    <w:rsid w:val="00486D61"/>
    <w:rsid w:val="00486F70"/>
    <w:rsid w:val="004871B9"/>
    <w:rsid w:val="00487B53"/>
    <w:rsid w:val="004900F4"/>
    <w:rsid w:val="0049030D"/>
    <w:rsid w:val="004907C5"/>
    <w:rsid w:val="00490C25"/>
    <w:rsid w:val="00490C56"/>
    <w:rsid w:val="004914B6"/>
    <w:rsid w:val="00491532"/>
    <w:rsid w:val="0049156F"/>
    <w:rsid w:val="00491AB0"/>
    <w:rsid w:val="00491ADB"/>
    <w:rsid w:val="0049206E"/>
    <w:rsid w:val="00492A52"/>
    <w:rsid w:val="00492AF5"/>
    <w:rsid w:val="00492BEF"/>
    <w:rsid w:val="00492C76"/>
    <w:rsid w:val="00492F6D"/>
    <w:rsid w:val="00492FD5"/>
    <w:rsid w:val="00493145"/>
    <w:rsid w:val="0049374A"/>
    <w:rsid w:val="00493C60"/>
    <w:rsid w:val="00493C8F"/>
    <w:rsid w:val="00493ED0"/>
    <w:rsid w:val="004941DB"/>
    <w:rsid w:val="004941FF"/>
    <w:rsid w:val="004942D1"/>
    <w:rsid w:val="004945A5"/>
    <w:rsid w:val="004950AE"/>
    <w:rsid w:val="00495240"/>
    <w:rsid w:val="0049525C"/>
    <w:rsid w:val="00495274"/>
    <w:rsid w:val="004954B4"/>
    <w:rsid w:val="00495829"/>
    <w:rsid w:val="0049596E"/>
    <w:rsid w:val="00495AB5"/>
    <w:rsid w:val="00495B32"/>
    <w:rsid w:val="00495D86"/>
    <w:rsid w:val="004962BE"/>
    <w:rsid w:val="004964E8"/>
    <w:rsid w:val="00496BCA"/>
    <w:rsid w:val="00496D07"/>
    <w:rsid w:val="00496D1B"/>
    <w:rsid w:val="00496E91"/>
    <w:rsid w:val="0049722F"/>
    <w:rsid w:val="00497726"/>
    <w:rsid w:val="00497F8B"/>
    <w:rsid w:val="004A0100"/>
    <w:rsid w:val="004A01C6"/>
    <w:rsid w:val="004A03DA"/>
    <w:rsid w:val="004A05DA"/>
    <w:rsid w:val="004A07BB"/>
    <w:rsid w:val="004A14A5"/>
    <w:rsid w:val="004A196F"/>
    <w:rsid w:val="004A1E9A"/>
    <w:rsid w:val="004A2325"/>
    <w:rsid w:val="004A2C15"/>
    <w:rsid w:val="004A31A3"/>
    <w:rsid w:val="004A378E"/>
    <w:rsid w:val="004A37C5"/>
    <w:rsid w:val="004A3FD8"/>
    <w:rsid w:val="004A4130"/>
    <w:rsid w:val="004A4259"/>
    <w:rsid w:val="004A4454"/>
    <w:rsid w:val="004A4471"/>
    <w:rsid w:val="004A52C5"/>
    <w:rsid w:val="004A5770"/>
    <w:rsid w:val="004A5844"/>
    <w:rsid w:val="004A5927"/>
    <w:rsid w:val="004A59AC"/>
    <w:rsid w:val="004A5A00"/>
    <w:rsid w:val="004A5C3A"/>
    <w:rsid w:val="004A66A8"/>
    <w:rsid w:val="004A66AF"/>
    <w:rsid w:val="004A66EE"/>
    <w:rsid w:val="004A7775"/>
    <w:rsid w:val="004A77EB"/>
    <w:rsid w:val="004A7F00"/>
    <w:rsid w:val="004B0295"/>
    <w:rsid w:val="004B0315"/>
    <w:rsid w:val="004B0C08"/>
    <w:rsid w:val="004B0D1E"/>
    <w:rsid w:val="004B0D63"/>
    <w:rsid w:val="004B0DF4"/>
    <w:rsid w:val="004B0EBA"/>
    <w:rsid w:val="004B1699"/>
    <w:rsid w:val="004B1DB2"/>
    <w:rsid w:val="004B2036"/>
    <w:rsid w:val="004B2310"/>
    <w:rsid w:val="004B26BB"/>
    <w:rsid w:val="004B2863"/>
    <w:rsid w:val="004B29B9"/>
    <w:rsid w:val="004B2F82"/>
    <w:rsid w:val="004B32E9"/>
    <w:rsid w:val="004B33C3"/>
    <w:rsid w:val="004B3AD1"/>
    <w:rsid w:val="004B3C53"/>
    <w:rsid w:val="004B41D8"/>
    <w:rsid w:val="004B46F9"/>
    <w:rsid w:val="004B4E8B"/>
    <w:rsid w:val="004B4F36"/>
    <w:rsid w:val="004B5157"/>
    <w:rsid w:val="004B5171"/>
    <w:rsid w:val="004B5508"/>
    <w:rsid w:val="004B5593"/>
    <w:rsid w:val="004B5774"/>
    <w:rsid w:val="004B5806"/>
    <w:rsid w:val="004B591F"/>
    <w:rsid w:val="004B5992"/>
    <w:rsid w:val="004B5AE2"/>
    <w:rsid w:val="004B5B32"/>
    <w:rsid w:val="004B5D5B"/>
    <w:rsid w:val="004B67C6"/>
    <w:rsid w:val="004B6876"/>
    <w:rsid w:val="004B6984"/>
    <w:rsid w:val="004B69FC"/>
    <w:rsid w:val="004B6AB7"/>
    <w:rsid w:val="004B6B40"/>
    <w:rsid w:val="004B6DAC"/>
    <w:rsid w:val="004B6E15"/>
    <w:rsid w:val="004B744D"/>
    <w:rsid w:val="004B7679"/>
    <w:rsid w:val="004B78DF"/>
    <w:rsid w:val="004B79B1"/>
    <w:rsid w:val="004B7A12"/>
    <w:rsid w:val="004B7A6B"/>
    <w:rsid w:val="004B7CC8"/>
    <w:rsid w:val="004C0747"/>
    <w:rsid w:val="004C1057"/>
    <w:rsid w:val="004C13E3"/>
    <w:rsid w:val="004C1804"/>
    <w:rsid w:val="004C1DA1"/>
    <w:rsid w:val="004C215E"/>
    <w:rsid w:val="004C2A04"/>
    <w:rsid w:val="004C2E66"/>
    <w:rsid w:val="004C2E67"/>
    <w:rsid w:val="004C3060"/>
    <w:rsid w:val="004C3219"/>
    <w:rsid w:val="004C3427"/>
    <w:rsid w:val="004C39CD"/>
    <w:rsid w:val="004C3E23"/>
    <w:rsid w:val="004C4115"/>
    <w:rsid w:val="004C454A"/>
    <w:rsid w:val="004C47A3"/>
    <w:rsid w:val="004C4AAB"/>
    <w:rsid w:val="004C4B96"/>
    <w:rsid w:val="004C4CC8"/>
    <w:rsid w:val="004C4DF1"/>
    <w:rsid w:val="004C4EE6"/>
    <w:rsid w:val="004C4F45"/>
    <w:rsid w:val="004C5A84"/>
    <w:rsid w:val="004C5E79"/>
    <w:rsid w:val="004C5E9D"/>
    <w:rsid w:val="004C5F58"/>
    <w:rsid w:val="004C609C"/>
    <w:rsid w:val="004C617B"/>
    <w:rsid w:val="004C65BB"/>
    <w:rsid w:val="004C6788"/>
    <w:rsid w:val="004C6A7F"/>
    <w:rsid w:val="004C6B15"/>
    <w:rsid w:val="004C6C69"/>
    <w:rsid w:val="004C6CA6"/>
    <w:rsid w:val="004C746A"/>
    <w:rsid w:val="004C7B75"/>
    <w:rsid w:val="004D005A"/>
    <w:rsid w:val="004D01B8"/>
    <w:rsid w:val="004D05C5"/>
    <w:rsid w:val="004D09BD"/>
    <w:rsid w:val="004D0C04"/>
    <w:rsid w:val="004D0C0F"/>
    <w:rsid w:val="004D10A9"/>
    <w:rsid w:val="004D123A"/>
    <w:rsid w:val="004D12B5"/>
    <w:rsid w:val="004D143F"/>
    <w:rsid w:val="004D17A5"/>
    <w:rsid w:val="004D19C8"/>
    <w:rsid w:val="004D1B2C"/>
    <w:rsid w:val="004D2074"/>
    <w:rsid w:val="004D2445"/>
    <w:rsid w:val="004D2C2F"/>
    <w:rsid w:val="004D2C77"/>
    <w:rsid w:val="004D2EC0"/>
    <w:rsid w:val="004D37F7"/>
    <w:rsid w:val="004D3A0B"/>
    <w:rsid w:val="004D3DAC"/>
    <w:rsid w:val="004D41D4"/>
    <w:rsid w:val="004D43E1"/>
    <w:rsid w:val="004D43FA"/>
    <w:rsid w:val="004D4B86"/>
    <w:rsid w:val="004D50FF"/>
    <w:rsid w:val="004D53A0"/>
    <w:rsid w:val="004D5506"/>
    <w:rsid w:val="004D58FA"/>
    <w:rsid w:val="004D5C14"/>
    <w:rsid w:val="004D6133"/>
    <w:rsid w:val="004D61AC"/>
    <w:rsid w:val="004D6276"/>
    <w:rsid w:val="004D64BC"/>
    <w:rsid w:val="004D64E0"/>
    <w:rsid w:val="004D6547"/>
    <w:rsid w:val="004D6B89"/>
    <w:rsid w:val="004D6C03"/>
    <w:rsid w:val="004D727B"/>
    <w:rsid w:val="004D7325"/>
    <w:rsid w:val="004D775B"/>
    <w:rsid w:val="004D7A16"/>
    <w:rsid w:val="004D7C52"/>
    <w:rsid w:val="004E050F"/>
    <w:rsid w:val="004E1130"/>
    <w:rsid w:val="004E13AC"/>
    <w:rsid w:val="004E15CD"/>
    <w:rsid w:val="004E162C"/>
    <w:rsid w:val="004E17B9"/>
    <w:rsid w:val="004E1AF7"/>
    <w:rsid w:val="004E2005"/>
    <w:rsid w:val="004E24C7"/>
    <w:rsid w:val="004E25AE"/>
    <w:rsid w:val="004E2FE2"/>
    <w:rsid w:val="004E3141"/>
    <w:rsid w:val="004E3375"/>
    <w:rsid w:val="004E3411"/>
    <w:rsid w:val="004E3835"/>
    <w:rsid w:val="004E389B"/>
    <w:rsid w:val="004E39FE"/>
    <w:rsid w:val="004E45C4"/>
    <w:rsid w:val="004E4722"/>
    <w:rsid w:val="004E4D39"/>
    <w:rsid w:val="004E504F"/>
    <w:rsid w:val="004E5198"/>
    <w:rsid w:val="004E579C"/>
    <w:rsid w:val="004E5856"/>
    <w:rsid w:val="004E596C"/>
    <w:rsid w:val="004E598D"/>
    <w:rsid w:val="004E5A45"/>
    <w:rsid w:val="004E60A2"/>
    <w:rsid w:val="004E64D3"/>
    <w:rsid w:val="004E6B35"/>
    <w:rsid w:val="004E6D3E"/>
    <w:rsid w:val="004E7433"/>
    <w:rsid w:val="004E75C8"/>
    <w:rsid w:val="004E76BE"/>
    <w:rsid w:val="004E7766"/>
    <w:rsid w:val="004E788D"/>
    <w:rsid w:val="004E78A0"/>
    <w:rsid w:val="004E7A29"/>
    <w:rsid w:val="004E7E74"/>
    <w:rsid w:val="004E7F71"/>
    <w:rsid w:val="004F0317"/>
    <w:rsid w:val="004F04A4"/>
    <w:rsid w:val="004F07BA"/>
    <w:rsid w:val="004F0BB5"/>
    <w:rsid w:val="004F0C9C"/>
    <w:rsid w:val="004F0F4D"/>
    <w:rsid w:val="004F1C5F"/>
    <w:rsid w:val="004F23A5"/>
    <w:rsid w:val="004F249F"/>
    <w:rsid w:val="004F25F8"/>
    <w:rsid w:val="004F3637"/>
    <w:rsid w:val="004F36F1"/>
    <w:rsid w:val="004F3970"/>
    <w:rsid w:val="004F3A7D"/>
    <w:rsid w:val="004F3EFC"/>
    <w:rsid w:val="004F44A3"/>
    <w:rsid w:val="004F4859"/>
    <w:rsid w:val="004F4A78"/>
    <w:rsid w:val="004F58AF"/>
    <w:rsid w:val="004F5BD5"/>
    <w:rsid w:val="004F6159"/>
    <w:rsid w:val="004F61B0"/>
    <w:rsid w:val="004F61DA"/>
    <w:rsid w:val="004F628E"/>
    <w:rsid w:val="004F6685"/>
    <w:rsid w:val="004F66DF"/>
    <w:rsid w:val="004F68DD"/>
    <w:rsid w:val="004F6977"/>
    <w:rsid w:val="004F6AD0"/>
    <w:rsid w:val="004F6B50"/>
    <w:rsid w:val="004F7712"/>
    <w:rsid w:val="004F7813"/>
    <w:rsid w:val="004F7897"/>
    <w:rsid w:val="004F7BEA"/>
    <w:rsid w:val="004F7BF4"/>
    <w:rsid w:val="004F7E75"/>
    <w:rsid w:val="005000B5"/>
    <w:rsid w:val="0050071E"/>
    <w:rsid w:val="0050091A"/>
    <w:rsid w:val="00500CA3"/>
    <w:rsid w:val="00500FE1"/>
    <w:rsid w:val="00501000"/>
    <w:rsid w:val="0050107A"/>
    <w:rsid w:val="0050112F"/>
    <w:rsid w:val="00501472"/>
    <w:rsid w:val="005014FD"/>
    <w:rsid w:val="00501B2A"/>
    <w:rsid w:val="00501B61"/>
    <w:rsid w:val="00501BB1"/>
    <w:rsid w:val="00501D0C"/>
    <w:rsid w:val="00501FFC"/>
    <w:rsid w:val="0050217B"/>
    <w:rsid w:val="005021EC"/>
    <w:rsid w:val="0050232B"/>
    <w:rsid w:val="00502520"/>
    <w:rsid w:val="00502F65"/>
    <w:rsid w:val="00503454"/>
    <w:rsid w:val="005035C6"/>
    <w:rsid w:val="00503677"/>
    <w:rsid w:val="005038F6"/>
    <w:rsid w:val="00503C5B"/>
    <w:rsid w:val="00503E46"/>
    <w:rsid w:val="00503ECE"/>
    <w:rsid w:val="00503F66"/>
    <w:rsid w:val="005042C5"/>
    <w:rsid w:val="005044A8"/>
    <w:rsid w:val="005046EE"/>
    <w:rsid w:val="0050495B"/>
    <w:rsid w:val="005049C4"/>
    <w:rsid w:val="005049F5"/>
    <w:rsid w:val="00504D24"/>
    <w:rsid w:val="00505027"/>
    <w:rsid w:val="00505086"/>
    <w:rsid w:val="00505124"/>
    <w:rsid w:val="00505405"/>
    <w:rsid w:val="00505521"/>
    <w:rsid w:val="00505641"/>
    <w:rsid w:val="005062EA"/>
    <w:rsid w:val="0050633A"/>
    <w:rsid w:val="0050644D"/>
    <w:rsid w:val="0050669E"/>
    <w:rsid w:val="005067C5"/>
    <w:rsid w:val="005067ED"/>
    <w:rsid w:val="0050680D"/>
    <w:rsid w:val="00506878"/>
    <w:rsid w:val="005068F5"/>
    <w:rsid w:val="0050694B"/>
    <w:rsid w:val="00506AD7"/>
    <w:rsid w:val="00506D81"/>
    <w:rsid w:val="0050718B"/>
    <w:rsid w:val="005072E1"/>
    <w:rsid w:val="005073E6"/>
    <w:rsid w:val="00507419"/>
    <w:rsid w:val="00507781"/>
    <w:rsid w:val="00507ABE"/>
    <w:rsid w:val="00507D2C"/>
    <w:rsid w:val="00510347"/>
    <w:rsid w:val="005104D8"/>
    <w:rsid w:val="00510532"/>
    <w:rsid w:val="0051096D"/>
    <w:rsid w:val="00510EF4"/>
    <w:rsid w:val="005112E5"/>
    <w:rsid w:val="005116F2"/>
    <w:rsid w:val="005117B5"/>
    <w:rsid w:val="00511AD9"/>
    <w:rsid w:val="00511BF0"/>
    <w:rsid w:val="00511D3C"/>
    <w:rsid w:val="00511E17"/>
    <w:rsid w:val="00511F4B"/>
    <w:rsid w:val="0051205F"/>
    <w:rsid w:val="005121C1"/>
    <w:rsid w:val="00512694"/>
    <w:rsid w:val="00512964"/>
    <w:rsid w:val="00512E64"/>
    <w:rsid w:val="00512E7A"/>
    <w:rsid w:val="00513683"/>
    <w:rsid w:val="005139A6"/>
    <w:rsid w:val="005139BC"/>
    <w:rsid w:val="00513B61"/>
    <w:rsid w:val="00513B87"/>
    <w:rsid w:val="00513C4E"/>
    <w:rsid w:val="005142C9"/>
    <w:rsid w:val="0051452F"/>
    <w:rsid w:val="00514694"/>
    <w:rsid w:val="00514B70"/>
    <w:rsid w:val="00514BDE"/>
    <w:rsid w:val="00515330"/>
    <w:rsid w:val="00515406"/>
    <w:rsid w:val="005158DD"/>
    <w:rsid w:val="00515930"/>
    <w:rsid w:val="00515D3B"/>
    <w:rsid w:val="00515DA1"/>
    <w:rsid w:val="00516041"/>
    <w:rsid w:val="00516182"/>
    <w:rsid w:val="00516396"/>
    <w:rsid w:val="005164DE"/>
    <w:rsid w:val="00516CAF"/>
    <w:rsid w:val="00517666"/>
    <w:rsid w:val="00517CD1"/>
    <w:rsid w:val="00517D8C"/>
    <w:rsid w:val="00517EE2"/>
    <w:rsid w:val="00520095"/>
    <w:rsid w:val="005200E2"/>
    <w:rsid w:val="0052038C"/>
    <w:rsid w:val="00520681"/>
    <w:rsid w:val="005208D7"/>
    <w:rsid w:val="0052165C"/>
    <w:rsid w:val="00521E65"/>
    <w:rsid w:val="00521FAD"/>
    <w:rsid w:val="0052247F"/>
    <w:rsid w:val="0052270C"/>
    <w:rsid w:val="00522A4C"/>
    <w:rsid w:val="00522D56"/>
    <w:rsid w:val="00522EAE"/>
    <w:rsid w:val="00523152"/>
    <w:rsid w:val="005231D1"/>
    <w:rsid w:val="005238A4"/>
    <w:rsid w:val="00523C5D"/>
    <w:rsid w:val="00523C68"/>
    <w:rsid w:val="00523C99"/>
    <w:rsid w:val="00524358"/>
    <w:rsid w:val="0052455F"/>
    <w:rsid w:val="00524AEB"/>
    <w:rsid w:val="00524C71"/>
    <w:rsid w:val="00524E33"/>
    <w:rsid w:val="00525934"/>
    <w:rsid w:val="00525D45"/>
    <w:rsid w:val="00525F1A"/>
    <w:rsid w:val="005262A5"/>
    <w:rsid w:val="005265C4"/>
    <w:rsid w:val="00526F13"/>
    <w:rsid w:val="00526F9A"/>
    <w:rsid w:val="0052731A"/>
    <w:rsid w:val="0052745A"/>
    <w:rsid w:val="00527860"/>
    <w:rsid w:val="005278E7"/>
    <w:rsid w:val="00527959"/>
    <w:rsid w:val="00527970"/>
    <w:rsid w:val="00527D00"/>
    <w:rsid w:val="00527E51"/>
    <w:rsid w:val="00530106"/>
    <w:rsid w:val="005303A4"/>
    <w:rsid w:val="00530D38"/>
    <w:rsid w:val="00530FDA"/>
    <w:rsid w:val="005312E9"/>
    <w:rsid w:val="00531319"/>
    <w:rsid w:val="00531576"/>
    <w:rsid w:val="0053290B"/>
    <w:rsid w:val="005336CD"/>
    <w:rsid w:val="00533732"/>
    <w:rsid w:val="00533830"/>
    <w:rsid w:val="00533A02"/>
    <w:rsid w:val="00533E16"/>
    <w:rsid w:val="00534200"/>
    <w:rsid w:val="0053448E"/>
    <w:rsid w:val="00534492"/>
    <w:rsid w:val="0053459C"/>
    <w:rsid w:val="005345E0"/>
    <w:rsid w:val="00534EF8"/>
    <w:rsid w:val="00534F13"/>
    <w:rsid w:val="00534FEE"/>
    <w:rsid w:val="00535065"/>
    <w:rsid w:val="005350B7"/>
    <w:rsid w:val="00535262"/>
    <w:rsid w:val="00535438"/>
    <w:rsid w:val="005354F8"/>
    <w:rsid w:val="0053589D"/>
    <w:rsid w:val="005358B4"/>
    <w:rsid w:val="005358D5"/>
    <w:rsid w:val="00535B3F"/>
    <w:rsid w:val="0053625B"/>
    <w:rsid w:val="00536993"/>
    <w:rsid w:val="00536D4A"/>
    <w:rsid w:val="00536D8F"/>
    <w:rsid w:val="005370FC"/>
    <w:rsid w:val="00537E9D"/>
    <w:rsid w:val="00537F0B"/>
    <w:rsid w:val="0054004F"/>
    <w:rsid w:val="00540200"/>
    <w:rsid w:val="0054025E"/>
    <w:rsid w:val="0054069C"/>
    <w:rsid w:val="00540788"/>
    <w:rsid w:val="00540C86"/>
    <w:rsid w:val="00541412"/>
    <w:rsid w:val="005417EB"/>
    <w:rsid w:val="005420BF"/>
    <w:rsid w:val="00542174"/>
    <w:rsid w:val="00542244"/>
    <w:rsid w:val="00542570"/>
    <w:rsid w:val="005426AB"/>
    <w:rsid w:val="00542C3E"/>
    <w:rsid w:val="00542CA4"/>
    <w:rsid w:val="00542E81"/>
    <w:rsid w:val="005431DA"/>
    <w:rsid w:val="005434C0"/>
    <w:rsid w:val="0054356E"/>
    <w:rsid w:val="005436CA"/>
    <w:rsid w:val="005437EB"/>
    <w:rsid w:val="005440E8"/>
    <w:rsid w:val="005442FA"/>
    <w:rsid w:val="00544764"/>
    <w:rsid w:val="005448DA"/>
    <w:rsid w:val="005449BC"/>
    <w:rsid w:val="005453FB"/>
    <w:rsid w:val="005454FE"/>
    <w:rsid w:val="0054554A"/>
    <w:rsid w:val="0054574A"/>
    <w:rsid w:val="00545BAA"/>
    <w:rsid w:val="00545C12"/>
    <w:rsid w:val="005468A1"/>
    <w:rsid w:val="005468E2"/>
    <w:rsid w:val="00546F58"/>
    <w:rsid w:val="00547530"/>
    <w:rsid w:val="005475BB"/>
    <w:rsid w:val="0054778B"/>
    <w:rsid w:val="00547BFA"/>
    <w:rsid w:val="00547F99"/>
    <w:rsid w:val="00550305"/>
    <w:rsid w:val="00550601"/>
    <w:rsid w:val="0055069F"/>
    <w:rsid w:val="00550AB6"/>
    <w:rsid w:val="00550D8C"/>
    <w:rsid w:val="0055146C"/>
    <w:rsid w:val="00551C6A"/>
    <w:rsid w:val="0055231A"/>
    <w:rsid w:val="005524D4"/>
    <w:rsid w:val="00552AB4"/>
    <w:rsid w:val="00552DEC"/>
    <w:rsid w:val="00552F12"/>
    <w:rsid w:val="00552F6F"/>
    <w:rsid w:val="00553006"/>
    <w:rsid w:val="00553167"/>
    <w:rsid w:val="0055323C"/>
    <w:rsid w:val="0055339B"/>
    <w:rsid w:val="00553518"/>
    <w:rsid w:val="0055368A"/>
    <w:rsid w:val="005538C9"/>
    <w:rsid w:val="00553C17"/>
    <w:rsid w:val="00554620"/>
    <w:rsid w:val="005548C0"/>
    <w:rsid w:val="00554D5E"/>
    <w:rsid w:val="00554EF5"/>
    <w:rsid w:val="0055525A"/>
    <w:rsid w:val="00555630"/>
    <w:rsid w:val="00555DAC"/>
    <w:rsid w:val="00555EDF"/>
    <w:rsid w:val="00555F07"/>
    <w:rsid w:val="00556235"/>
    <w:rsid w:val="0055629E"/>
    <w:rsid w:val="00556319"/>
    <w:rsid w:val="00556472"/>
    <w:rsid w:val="00556C2A"/>
    <w:rsid w:val="00556D54"/>
    <w:rsid w:val="00557007"/>
    <w:rsid w:val="0055709F"/>
    <w:rsid w:val="005570A6"/>
    <w:rsid w:val="00557133"/>
    <w:rsid w:val="00557167"/>
    <w:rsid w:val="005572A7"/>
    <w:rsid w:val="005576B5"/>
    <w:rsid w:val="00557B92"/>
    <w:rsid w:val="005601D2"/>
    <w:rsid w:val="005602D3"/>
    <w:rsid w:val="005602E5"/>
    <w:rsid w:val="00560575"/>
    <w:rsid w:val="005606A5"/>
    <w:rsid w:val="005607E5"/>
    <w:rsid w:val="005609CB"/>
    <w:rsid w:val="00560A40"/>
    <w:rsid w:val="00560D53"/>
    <w:rsid w:val="00560E52"/>
    <w:rsid w:val="00560F1C"/>
    <w:rsid w:val="00560F26"/>
    <w:rsid w:val="005613FD"/>
    <w:rsid w:val="0056151E"/>
    <w:rsid w:val="00561D7A"/>
    <w:rsid w:val="00561DBB"/>
    <w:rsid w:val="00561EA8"/>
    <w:rsid w:val="005620E2"/>
    <w:rsid w:val="0056225F"/>
    <w:rsid w:val="005625A4"/>
    <w:rsid w:val="00562F1B"/>
    <w:rsid w:val="00562F9F"/>
    <w:rsid w:val="00562FFA"/>
    <w:rsid w:val="00563043"/>
    <w:rsid w:val="005631A9"/>
    <w:rsid w:val="005632E8"/>
    <w:rsid w:val="00563335"/>
    <w:rsid w:val="00563502"/>
    <w:rsid w:val="005636B6"/>
    <w:rsid w:val="0056395B"/>
    <w:rsid w:val="00563D45"/>
    <w:rsid w:val="00564592"/>
    <w:rsid w:val="0056466E"/>
    <w:rsid w:val="005646B8"/>
    <w:rsid w:val="0056476D"/>
    <w:rsid w:val="00564D27"/>
    <w:rsid w:val="00565EDD"/>
    <w:rsid w:val="00566331"/>
    <w:rsid w:val="00566715"/>
    <w:rsid w:val="00566EAD"/>
    <w:rsid w:val="005673C2"/>
    <w:rsid w:val="00567517"/>
    <w:rsid w:val="00567821"/>
    <w:rsid w:val="00567A5A"/>
    <w:rsid w:val="00567AFD"/>
    <w:rsid w:val="00567C20"/>
    <w:rsid w:val="00567CC7"/>
    <w:rsid w:val="00567E1B"/>
    <w:rsid w:val="00570445"/>
    <w:rsid w:val="00570640"/>
    <w:rsid w:val="00571163"/>
    <w:rsid w:val="005711F8"/>
    <w:rsid w:val="00571267"/>
    <w:rsid w:val="0057159D"/>
    <w:rsid w:val="0057194A"/>
    <w:rsid w:val="00571C57"/>
    <w:rsid w:val="00571FDB"/>
    <w:rsid w:val="00572113"/>
    <w:rsid w:val="00573362"/>
    <w:rsid w:val="005735DE"/>
    <w:rsid w:val="00574311"/>
    <w:rsid w:val="0057443A"/>
    <w:rsid w:val="005744F6"/>
    <w:rsid w:val="005745B8"/>
    <w:rsid w:val="00574605"/>
    <w:rsid w:val="00574ADC"/>
    <w:rsid w:val="00574BF8"/>
    <w:rsid w:val="005754D8"/>
    <w:rsid w:val="00575665"/>
    <w:rsid w:val="00575B1F"/>
    <w:rsid w:val="00575CAE"/>
    <w:rsid w:val="00575D08"/>
    <w:rsid w:val="00575EC9"/>
    <w:rsid w:val="00575EFE"/>
    <w:rsid w:val="005763F2"/>
    <w:rsid w:val="00576BBA"/>
    <w:rsid w:val="00576C2E"/>
    <w:rsid w:val="00576C8F"/>
    <w:rsid w:val="00576D65"/>
    <w:rsid w:val="00577570"/>
    <w:rsid w:val="005776D0"/>
    <w:rsid w:val="005777F9"/>
    <w:rsid w:val="0058046C"/>
    <w:rsid w:val="005804C2"/>
    <w:rsid w:val="005804D8"/>
    <w:rsid w:val="00580726"/>
    <w:rsid w:val="00581028"/>
    <w:rsid w:val="00581159"/>
    <w:rsid w:val="005811EC"/>
    <w:rsid w:val="005811F0"/>
    <w:rsid w:val="005814B7"/>
    <w:rsid w:val="00581514"/>
    <w:rsid w:val="005819DD"/>
    <w:rsid w:val="00581A83"/>
    <w:rsid w:val="00581B24"/>
    <w:rsid w:val="00581D41"/>
    <w:rsid w:val="00581EBA"/>
    <w:rsid w:val="00581FCA"/>
    <w:rsid w:val="00582508"/>
    <w:rsid w:val="00582613"/>
    <w:rsid w:val="0058272D"/>
    <w:rsid w:val="0058290E"/>
    <w:rsid w:val="0058294C"/>
    <w:rsid w:val="005829F4"/>
    <w:rsid w:val="00582FD0"/>
    <w:rsid w:val="005833DB"/>
    <w:rsid w:val="005834AA"/>
    <w:rsid w:val="00583965"/>
    <w:rsid w:val="00583DE0"/>
    <w:rsid w:val="00584196"/>
    <w:rsid w:val="00584479"/>
    <w:rsid w:val="00584679"/>
    <w:rsid w:val="00584736"/>
    <w:rsid w:val="0058480B"/>
    <w:rsid w:val="00584C79"/>
    <w:rsid w:val="00585799"/>
    <w:rsid w:val="00585864"/>
    <w:rsid w:val="0058637B"/>
    <w:rsid w:val="0058640F"/>
    <w:rsid w:val="0058672B"/>
    <w:rsid w:val="00586DE4"/>
    <w:rsid w:val="00586E4A"/>
    <w:rsid w:val="0058726E"/>
    <w:rsid w:val="0058782A"/>
    <w:rsid w:val="00587888"/>
    <w:rsid w:val="00587C9E"/>
    <w:rsid w:val="005901D1"/>
    <w:rsid w:val="00590299"/>
    <w:rsid w:val="005903BD"/>
    <w:rsid w:val="00590688"/>
    <w:rsid w:val="00590695"/>
    <w:rsid w:val="00590933"/>
    <w:rsid w:val="00590FE7"/>
    <w:rsid w:val="00591206"/>
    <w:rsid w:val="005913CD"/>
    <w:rsid w:val="0059199C"/>
    <w:rsid w:val="00591A6D"/>
    <w:rsid w:val="00591C4E"/>
    <w:rsid w:val="00591D03"/>
    <w:rsid w:val="00591DEF"/>
    <w:rsid w:val="0059219E"/>
    <w:rsid w:val="005929F3"/>
    <w:rsid w:val="00592D90"/>
    <w:rsid w:val="00592EFB"/>
    <w:rsid w:val="00592FEF"/>
    <w:rsid w:val="0059316B"/>
    <w:rsid w:val="005932AF"/>
    <w:rsid w:val="00593423"/>
    <w:rsid w:val="0059346C"/>
    <w:rsid w:val="0059381D"/>
    <w:rsid w:val="00593AF2"/>
    <w:rsid w:val="00593CC5"/>
    <w:rsid w:val="0059446F"/>
    <w:rsid w:val="00594A22"/>
    <w:rsid w:val="00594BC6"/>
    <w:rsid w:val="00594F35"/>
    <w:rsid w:val="00595003"/>
    <w:rsid w:val="00595299"/>
    <w:rsid w:val="005953B5"/>
    <w:rsid w:val="00595478"/>
    <w:rsid w:val="0059576F"/>
    <w:rsid w:val="00595CD5"/>
    <w:rsid w:val="0059603E"/>
    <w:rsid w:val="00596058"/>
    <w:rsid w:val="00596642"/>
    <w:rsid w:val="0059665E"/>
    <w:rsid w:val="00596ADE"/>
    <w:rsid w:val="005972B0"/>
    <w:rsid w:val="0059751A"/>
    <w:rsid w:val="00597DD1"/>
    <w:rsid w:val="00597DFA"/>
    <w:rsid w:val="00597E3E"/>
    <w:rsid w:val="005A0180"/>
    <w:rsid w:val="005A0559"/>
    <w:rsid w:val="005A0630"/>
    <w:rsid w:val="005A064F"/>
    <w:rsid w:val="005A1230"/>
    <w:rsid w:val="005A125C"/>
    <w:rsid w:val="005A14BF"/>
    <w:rsid w:val="005A158B"/>
    <w:rsid w:val="005A1874"/>
    <w:rsid w:val="005A20E0"/>
    <w:rsid w:val="005A23F5"/>
    <w:rsid w:val="005A2494"/>
    <w:rsid w:val="005A2606"/>
    <w:rsid w:val="005A2610"/>
    <w:rsid w:val="005A2B76"/>
    <w:rsid w:val="005A2E15"/>
    <w:rsid w:val="005A30B5"/>
    <w:rsid w:val="005A35BC"/>
    <w:rsid w:val="005A35FF"/>
    <w:rsid w:val="005A3721"/>
    <w:rsid w:val="005A3CA9"/>
    <w:rsid w:val="005A3D7A"/>
    <w:rsid w:val="005A3FFC"/>
    <w:rsid w:val="005A4149"/>
    <w:rsid w:val="005A41F5"/>
    <w:rsid w:val="005A47CC"/>
    <w:rsid w:val="005A4CA3"/>
    <w:rsid w:val="005A4E83"/>
    <w:rsid w:val="005A5594"/>
    <w:rsid w:val="005A5831"/>
    <w:rsid w:val="005A5EC8"/>
    <w:rsid w:val="005A6353"/>
    <w:rsid w:val="005A6665"/>
    <w:rsid w:val="005A6A10"/>
    <w:rsid w:val="005A6E04"/>
    <w:rsid w:val="005A72AE"/>
    <w:rsid w:val="005A76A8"/>
    <w:rsid w:val="005A77EA"/>
    <w:rsid w:val="005A7A86"/>
    <w:rsid w:val="005A7F8F"/>
    <w:rsid w:val="005B0162"/>
    <w:rsid w:val="005B07E0"/>
    <w:rsid w:val="005B0CA0"/>
    <w:rsid w:val="005B154C"/>
    <w:rsid w:val="005B1CE6"/>
    <w:rsid w:val="005B20D8"/>
    <w:rsid w:val="005B265B"/>
    <w:rsid w:val="005B298D"/>
    <w:rsid w:val="005B2A33"/>
    <w:rsid w:val="005B2FD3"/>
    <w:rsid w:val="005B3045"/>
    <w:rsid w:val="005B3171"/>
    <w:rsid w:val="005B3496"/>
    <w:rsid w:val="005B35CA"/>
    <w:rsid w:val="005B35EC"/>
    <w:rsid w:val="005B3646"/>
    <w:rsid w:val="005B3957"/>
    <w:rsid w:val="005B3FD3"/>
    <w:rsid w:val="005B43AD"/>
    <w:rsid w:val="005B4507"/>
    <w:rsid w:val="005B46F5"/>
    <w:rsid w:val="005B475B"/>
    <w:rsid w:val="005B4B03"/>
    <w:rsid w:val="005B4B1E"/>
    <w:rsid w:val="005B4DA2"/>
    <w:rsid w:val="005B5346"/>
    <w:rsid w:val="005B591C"/>
    <w:rsid w:val="005B5CF6"/>
    <w:rsid w:val="005B5ED0"/>
    <w:rsid w:val="005B6169"/>
    <w:rsid w:val="005B6270"/>
    <w:rsid w:val="005B668B"/>
    <w:rsid w:val="005B673A"/>
    <w:rsid w:val="005B68CA"/>
    <w:rsid w:val="005B736E"/>
    <w:rsid w:val="005B7999"/>
    <w:rsid w:val="005B7AA4"/>
    <w:rsid w:val="005B7C71"/>
    <w:rsid w:val="005C02ED"/>
    <w:rsid w:val="005C03B3"/>
    <w:rsid w:val="005C0874"/>
    <w:rsid w:val="005C0949"/>
    <w:rsid w:val="005C099D"/>
    <w:rsid w:val="005C0C30"/>
    <w:rsid w:val="005C0D7A"/>
    <w:rsid w:val="005C0D82"/>
    <w:rsid w:val="005C19AE"/>
    <w:rsid w:val="005C20A8"/>
    <w:rsid w:val="005C22D9"/>
    <w:rsid w:val="005C240B"/>
    <w:rsid w:val="005C25AA"/>
    <w:rsid w:val="005C2831"/>
    <w:rsid w:val="005C2FB0"/>
    <w:rsid w:val="005C3162"/>
    <w:rsid w:val="005C3615"/>
    <w:rsid w:val="005C3E17"/>
    <w:rsid w:val="005C404F"/>
    <w:rsid w:val="005C4074"/>
    <w:rsid w:val="005C40F3"/>
    <w:rsid w:val="005C4181"/>
    <w:rsid w:val="005C4455"/>
    <w:rsid w:val="005C44A6"/>
    <w:rsid w:val="005C4640"/>
    <w:rsid w:val="005C4ED5"/>
    <w:rsid w:val="005C512F"/>
    <w:rsid w:val="005C5191"/>
    <w:rsid w:val="005C5316"/>
    <w:rsid w:val="005C5428"/>
    <w:rsid w:val="005C5685"/>
    <w:rsid w:val="005C5790"/>
    <w:rsid w:val="005C66C9"/>
    <w:rsid w:val="005C6BD2"/>
    <w:rsid w:val="005C6CF4"/>
    <w:rsid w:val="005C7342"/>
    <w:rsid w:val="005C7403"/>
    <w:rsid w:val="005C7913"/>
    <w:rsid w:val="005C7C53"/>
    <w:rsid w:val="005C7FEF"/>
    <w:rsid w:val="005D00A2"/>
    <w:rsid w:val="005D0247"/>
    <w:rsid w:val="005D0795"/>
    <w:rsid w:val="005D08D2"/>
    <w:rsid w:val="005D0A84"/>
    <w:rsid w:val="005D0B1E"/>
    <w:rsid w:val="005D191A"/>
    <w:rsid w:val="005D193A"/>
    <w:rsid w:val="005D1AB6"/>
    <w:rsid w:val="005D1DC2"/>
    <w:rsid w:val="005D1DF1"/>
    <w:rsid w:val="005D1E74"/>
    <w:rsid w:val="005D2375"/>
    <w:rsid w:val="005D298E"/>
    <w:rsid w:val="005D29DE"/>
    <w:rsid w:val="005D2B8A"/>
    <w:rsid w:val="005D2D07"/>
    <w:rsid w:val="005D348B"/>
    <w:rsid w:val="005D3738"/>
    <w:rsid w:val="005D3F74"/>
    <w:rsid w:val="005D4113"/>
    <w:rsid w:val="005D4209"/>
    <w:rsid w:val="005D42C9"/>
    <w:rsid w:val="005D4391"/>
    <w:rsid w:val="005D4640"/>
    <w:rsid w:val="005D475E"/>
    <w:rsid w:val="005D4849"/>
    <w:rsid w:val="005D4C0A"/>
    <w:rsid w:val="005D4F93"/>
    <w:rsid w:val="005D511D"/>
    <w:rsid w:val="005D5812"/>
    <w:rsid w:val="005D5830"/>
    <w:rsid w:val="005D5AB7"/>
    <w:rsid w:val="005D5B22"/>
    <w:rsid w:val="005D5B49"/>
    <w:rsid w:val="005D5C54"/>
    <w:rsid w:val="005D5DED"/>
    <w:rsid w:val="005D5E96"/>
    <w:rsid w:val="005D5E9E"/>
    <w:rsid w:val="005D5EAF"/>
    <w:rsid w:val="005D65DC"/>
    <w:rsid w:val="005D6696"/>
    <w:rsid w:val="005D7636"/>
    <w:rsid w:val="005D772D"/>
    <w:rsid w:val="005D7835"/>
    <w:rsid w:val="005D7C36"/>
    <w:rsid w:val="005D7E75"/>
    <w:rsid w:val="005D7E9B"/>
    <w:rsid w:val="005E070F"/>
    <w:rsid w:val="005E07E6"/>
    <w:rsid w:val="005E094B"/>
    <w:rsid w:val="005E0A21"/>
    <w:rsid w:val="005E0F57"/>
    <w:rsid w:val="005E13BE"/>
    <w:rsid w:val="005E198E"/>
    <w:rsid w:val="005E1DA2"/>
    <w:rsid w:val="005E1F83"/>
    <w:rsid w:val="005E20FE"/>
    <w:rsid w:val="005E2411"/>
    <w:rsid w:val="005E2B8D"/>
    <w:rsid w:val="005E2C0A"/>
    <w:rsid w:val="005E2C47"/>
    <w:rsid w:val="005E312D"/>
    <w:rsid w:val="005E34AC"/>
    <w:rsid w:val="005E38DA"/>
    <w:rsid w:val="005E3C35"/>
    <w:rsid w:val="005E3CC8"/>
    <w:rsid w:val="005E3CEE"/>
    <w:rsid w:val="005E3E5D"/>
    <w:rsid w:val="005E3F0C"/>
    <w:rsid w:val="005E4190"/>
    <w:rsid w:val="005E48E4"/>
    <w:rsid w:val="005E4B1E"/>
    <w:rsid w:val="005E4B71"/>
    <w:rsid w:val="005E4BBA"/>
    <w:rsid w:val="005E4C39"/>
    <w:rsid w:val="005E5A62"/>
    <w:rsid w:val="005E5FCF"/>
    <w:rsid w:val="005E60E7"/>
    <w:rsid w:val="005E6321"/>
    <w:rsid w:val="005E6961"/>
    <w:rsid w:val="005E6CCA"/>
    <w:rsid w:val="005E74B6"/>
    <w:rsid w:val="005E75DD"/>
    <w:rsid w:val="005E78A5"/>
    <w:rsid w:val="005E7A41"/>
    <w:rsid w:val="005F08C3"/>
    <w:rsid w:val="005F0A12"/>
    <w:rsid w:val="005F14D4"/>
    <w:rsid w:val="005F1676"/>
    <w:rsid w:val="005F184B"/>
    <w:rsid w:val="005F1F67"/>
    <w:rsid w:val="005F20AE"/>
    <w:rsid w:val="005F21E7"/>
    <w:rsid w:val="005F2368"/>
    <w:rsid w:val="005F24BF"/>
    <w:rsid w:val="005F26F8"/>
    <w:rsid w:val="005F2A85"/>
    <w:rsid w:val="005F2B37"/>
    <w:rsid w:val="005F2C64"/>
    <w:rsid w:val="005F3012"/>
    <w:rsid w:val="005F3291"/>
    <w:rsid w:val="005F35E7"/>
    <w:rsid w:val="005F38B9"/>
    <w:rsid w:val="005F39B3"/>
    <w:rsid w:val="005F4029"/>
    <w:rsid w:val="005F4198"/>
    <w:rsid w:val="005F41DA"/>
    <w:rsid w:val="005F4488"/>
    <w:rsid w:val="005F48FA"/>
    <w:rsid w:val="005F4A40"/>
    <w:rsid w:val="005F4AE6"/>
    <w:rsid w:val="005F4CC5"/>
    <w:rsid w:val="005F53FF"/>
    <w:rsid w:val="005F543E"/>
    <w:rsid w:val="005F5963"/>
    <w:rsid w:val="005F5A5D"/>
    <w:rsid w:val="005F5C94"/>
    <w:rsid w:val="005F5D13"/>
    <w:rsid w:val="005F603D"/>
    <w:rsid w:val="005F6152"/>
    <w:rsid w:val="005F624D"/>
    <w:rsid w:val="005F62FB"/>
    <w:rsid w:val="005F65DD"/>
    <w:rsid w:val="005F6753"/>
    <w:rsid w:val="005F6999"/>
    <w:rsid w:val="005F6AD0"/>
    <w:rsid w:val="005F6AE2"/>
    <w:rsid w:val="005F6C75"/>
    <w:rsid w:val="005F715D"/>
    <w:rsid w:val="005F71F6"/>
    <w:rsid w:val="005F77C1"/>
    <w:rsid w:val="005F7A6D"/>
    <w:rsid w:val="005F7FAC"/>
    <w:rsid w:val="005F7FC4"/>
    <w:rsid w:val="0060006A"/>
    <w:rsid w:val="006000EE"/>
    <w:rsid w:val="0060025E"/>
    <w:rsid w:val="006002D6"/>
    <w:rsid w:val="006005DF"/>
    <w:rsid w:val="006007ED"/>
    <w:rsid w:val="00600F8C"/>
    <w:rsid w:val="006013CB"/>
    <w:rsid w:val="0060198D"/>
    <w:rsid w:val="00601B38"/>
    <w:rsid w:val="00602246"/>
    <w:rsid w:val="006022EE"/>
    <w:rsid w:val="00602301"/>
    <w:rsid w:val="00602371"/>
    <w:rsid w:val="0060285D"/>
    <w:rsid w:val="0060297F"/>
    <w:rsid w:val="00602F1B"/>
    <w:rsid w:val="00603EF9"/>
    <w:rsid w:val="00604026"/>
    <w:rsid w:val="006040D2"/>
    <w:rsid w:val="006041B0"/>
    <w:rsid w:val="006047CD"/>
    <w:rsid w:val="006048CF"/>
    <w:rsid w:val="00604AA8"/>
    <w:rsid w:val="00604DC3"/>
    <w:rsid w:val="00605330"/>
    <w:rsid w:val="0060578C"/>
    <w:rsid w:val="00605A2E"/>
    <w:rsid w:val="00605ECD"/>
    <w:rsid w:val="00606438"/>
    <w:rsid w:val="006064D5"/>
    <w:rsid w:val="00606927"/>
    <w:rsid w:val="00606ADE"/>
    <w:rsid w:val="00606B23"/>
    <w:rsid w:val="00607623"/>
    <w:rsid w:val="00607808"/>
    <w:rsid w:val="00607821"/>
    <w:rsid w:val="00607947"/>
    <w:rsid w:val="00607D01"/>
    <w:rsid w:val="00610286"/>
    <w:rsid w:val="0061071D"/>
    <w:rsid w:val="00610D9C"/>
    <w:rsid w:val="00610F82"/>
    <w:rsid w:val="006110D3"/>
    <w:rsid w:val="00611235"/>
    <w:rsid w:val="0061169D"/>
    <w:rsid w:val="00611A48"/>
    <w:rsid w:val="00611A56"/>
    <w:rsid w:val="00611DCA"/>
    <w:rsid w:val="00612283"/>
    <w:rsid w:val="0061234A"/>
    <w:rsid w:val="0061237F"/>
    <w:rsid w:val="006123B4"/>
    <w:rsid w:val="00612760"/>
    <w:rsid w:val="0061282A"/>
    <w:rsid w:val="00612B19"/>
    <w:rsid w:val="00612B53"/>
    <w:rsid w:val="00613152"/>
    <w:rsid w:val="006134AF"/>
    <w:rsid w:val="00613CDB"/>
    <w:rsid w:val="00614011"/>
    <w:rsid w:val="006145F1"/>
    <w:rsid w:val="0061485E"/>
    <w:rsid w:val="00614B96"/>
    <w:rsid w:val="006151AA"/>
    <w:rsid w:val="006151D6"/>
    <w:rsid w:val="006156BA"/>
    <w:rsid w:val="006156D1"/>
    <w:rsid w:val="006157B4"/>
    <w:rsid w:val="00615C8C"/>
    <w:rsid w:val="00615CBB"/>
    <w:rsid w:val="00615DB5"/>
    <w:rsid w:val="006161CC"/>
    <w:rsid w:val="00616545"/>
    <w:rsid w:val="00616A37"/>
    <w:rsid w:val="00616E9B"/>
    <w:rsid w:val="00617212"/>
    <w:rsid w:val="00617399"/>
    <w:rsid w:val="00617D48"/>
    <w:rsid w:val="00617EA4"/>
    <w:rsid w:val="00620316"/>
    <w:rsid w:val="00620518"/>
    <w:rsid w:val="00620849"/>
    <w:rsid w:val="00620AF2"/>
    <w:rsid w:val="00620E19"/>
    <w:rsid w:val="00620E6E"/>
    <w:rsid w:val="00620FF3"/>
    <w:rsid w:val="00621047"/>
    <w:rsid w:val="00621094"/>
    <w:rsid w:val="00621262"/>
    <w:rsid w:val="00621472"/>
    <w:rsid w:val="006214A4"/>
    <w:rsid w:val="00621761"/>
    <w:rsid w:val="006217EA"/>
    <w:rsid w:val="00621855"/>
    <w:rsid w:val="006221DA"/>
    <w:rsid w:val="006222BA"/>
    <w:rsid w:val="00622373"/>
    <w:rsid w:val="006225D8"/>
    <w:rsid w:val="00622770"/>
    <w:rsid w:val="00622CDA"/>
    <w:rsid w:val="00622CE3"/>
    <w:rsid w:val="006233F7"/>
    <w:rsid w:val="00623A96"/>
    <w:rsid w:val="00623E28"/>
    <w:rsid w:val="00623F66"/>
    <w:rsid w:val="0062408A"/>
    <w:rsid w:val="006240C6"/>
    <w:rsid w:val="00624302"/>
    <w:rsid w:val="0062448A"/>
    <w:rsid w:val="0062461F"/>
    <w:rsid w:val="0062465B"/>
    <w:rsid w:val="00624871"/>
    <w:rsid w:val="00624A70"/>
    <w:rsid w:val="00624E11"/>
    <w:rsid w:val="00624F89"/>
    <w:rsid w:val="00625AF2"/>
    <w:rsid w:val="00625B4D"/>
    <w:rsid w:val="00625CD3"/>
    <w:rsid w:val="00625D6C"/>
    <w:rsid w:val="00625D77"/>
    <w:rsid w:val="00625FF5"/>
    <w:rsid w:val="00626478"/>
    <w:rsid w:val="006267D5"/>
    <w:rsid w:val="00627416"/>
    <w:rsid w:val="006276EB"/>
    <w:rsid w:val="00627723"/>
    <w:rsid w:val="006279BA"/>
    <w:rsid w:val="00627B1D"/>
    <w:rsid w:val="00627DE8"/>
    <w:rsid w:val="006301F6"/>
    <w:rsid w:val="0063030F"/>
    <w:rsid w:val="00630828"/>
    <w:rsid w:val="00630910"/>
    <w:rsid w:val="00630A37"/>
    <w:rsid w:val="00630A98"/>
    <w:rsid w:val="006311E3"/>
    <w:rsid w:val="006313BF"/>
    <w:rsid w:val="00631635"/>
    <w:rsid w:val="006317FF"/>
    <w:rsid w:val="0063191B"/>
    <w:rsid w:val="006319F9"/>
    <w:rsid w:val="00632205"/>
    <w:rsid w:val="00632581"/>
    <w:rsid w:val="00632684"/>
    <w:rsid w:val="006328D5"/>
    <w:rsid w:val="00633145"/>
    <w:rsid w:val="006335D9"/>
    <w:rsid w:val="00633AF5"/>
    <w:rsid w:val="00633B81"/>
    <w:rsid w:val="00633CA5"/>
    <w:rsid w:val="006343AB"/>
    <w:rsid w:val="006347F1"/>
    <w:rsid w:val="00634807"/>
    <w:rsid w:val="00634ABB"/>
    <w:rsid w:val="00635A22"/>
    <w:rsid w:val="00635EEE"/>
    <w:rsid w:val="006361E1"/>
    <w:rsid w:val="00636868"/>
    <w:rsid w:val="00636957"/>
    <w:rsid w:val="006369DE"/>
    <w:rsid w:val="00636ACB"/>
    <w:rsid w:val="00636CBE"/>
    <w:rsid w:val="00636CE6"/>
    <w:rsid w:val="00636FF4"/>
    <w:rsid w:val="00637704"/>
    <w:rsid w:val="0063777D"/>
    <w:rsid w:val="00637886"/>
    <w:rsid w:val="006378AE"/>
    <w:rsid w:val="00637A18"/>
    <w:rsid w:val="00637FA7"/>
    <w:rsid w:val="006400F7"/>
    <w:rsid w:val="00640682"/>
    <w:rsid w:val="006406F9"/>
    <w:rsid w:val="006408EE"/>
    <w:rsid w:val="00640C27"/>
    <w:rsid w:val="00640EF1"/>
    <w:rsid w:val="006412F2"/>
    <w:rsid w:val="0064162F"/>
    <w:rsid w:val="006416EA"/>
    <w:rsid w:val="00641A7B"/>
    <w:rsid w:val="00641BEC"/>
    <w:rsid w:val="00641D34"/>
    <w:rsid w:val="00641F14"/>
    <w:rsid w:val="006424E8"/>
    <w:rsid w:val="0064262C"/>
    <w:rsid w:val="00642641"/>
    <w:rsid w:val="006428B1"/>
    <w:rsid w:val="006429E1"/>
    <w:rsid w:val="00642AFB"/>
    <w:rsid w:val="00643301"/>
    <w:rsid w:val="006437F5"/>
    <w:rsid w:val="00643A27"/>
    <w:rsid w:val="00643DB4"/>
    <w:rsid w:val="00643F0E"/>
    <w:rsid w:val="00644099"/>
    <w:rsid w:val="0064449D"/>
    <w:rsid w:val="0064476C"/>
    <w:rsid w:val="0064486F"/>
    <w:rsid w:val="006448B4"/>
    <w:rsid w:val="00644A81"/>
    <w:rsid w:val="00644AE3"/>
    <w:rsid w:val="00644B62"/>
    <w:rsid w:val="00644F2D"/>
    <w:rsid w:val="00645479"/>
    <w:rsid w:val="00645589"/>
    <w:rsid w:val="00645884"/>
    <w:rsid w:val="006458F9"/>
    <w:rsid w:val="00645D51"/>
    <w:rsid w:val="00645E86"/>
    <w:rsid w:val="00645F44"/>
    <w:rsid w:val="0064602B"/>
    <w:rsid w:val="00646110"/>
    <w:rsid w:val="006463B9"/>
    <w:rsid w:val="00646ED9"/>
    <w:rsid w:val="00646F34"/>
    <w:rsid w:val="0064724E"/>
    <w:rsid w:val="006473EB"/>
    <w:rsid w:val="00647713"/>
    <w:rsid w:val="00647907"/>
    <w:rsid w:val="00647A0E"/>
    <w:rsid w:val="00647B95"/>
    <w:rsid w:val="00647C2A"/>
    <w:rsid w:val="00647D38"/>
    <w:rsid w:val="00647E3C"/>
    <w:rsid w:val="00647EB8"/>
    <w:rsid w:val="00647F16"/>
    <w:rsid w:val="006506EA"/>
    <w:rsid w:val="00650BDA"/>
    <w:rsid w:val="006512FA"/>
    <w:rsid w:val="00651573"/>
    <w:rsid w:val="0065160F"/>
    <w:rsid w:val="00651618"/>
    <w:rsid w:val="006516C3"/>
    <w:rsid w:val="0065175E"/>
    <w:rsid w:val="006518EE"/>
    <w:rsid w:val="00651CEE"/>
    <w:rsid w:val="00652080"/>
    <w:rsid w:val="006520BA"/>
    <w:rsid w:val="00652566"/>
    <w:rsid w:val="00652E9C"/>
    <w:rsid w:val="00653223"/>
    <w:rsid w:val="006532FE"/>
    <w:rsid w:val="00653E00"/>
    <w:rsid w:val="00653FA8"/>
    <w:rsid w:val="0065424F"/>
    <w:rsid w:val="0065496E"/>
    <w:rsid w:val="00654AAE"/>
    <w:rsid w:val="00654B30"/>
    <w:rsid w:val="00654C78"/>
    <w:rsid w:val="0065532A"/>
    <w:rsid w:val="006553AD"/>
    <w:rsid w:val="006553E2"/>
    <w:rsid w:val="00655796"/>
    <w:rsid w:val="006557C2"/>
    <w:rsid w:val="00655C2E"/>
    <w:rsid w:val="00655CC9"/>
    <w:rsid w:val="00655D0C"/>
    <w:rsid w:val="00655DB6"/>
    <w:rsid w:val="006563F3"/>
    <w:rsid w:val="00656561"/>
    <w:rsid w:val="00656C5F"/>
    <w:rsid w:val="006573E1"/>
    <w:rsid w:val="00657B36"/>
    <w:rsid w:val="00657DB6"/>
    <w:rsid w:val="00660454"/>
    <w:rsid w:val="00660727"/>
    <w:rsid w:val="006608AB"/>
    <w:rsid w:val="006608CF"/>
    <w:rsid w:val="00660AF9"/>
    <w:rsid w:val="00660B0E"/>
    <w:rsid w:val="00661261"/>
    <w:rsid w:val="00661538"/>
    <w:rsid w:val="00661579"/>
    <w:rsid w:val="0066168F"/>
    <w:rsid w:val="0066172B"/>
    <w:rsid w:val="006619FD"/>
    <w:rsid w:val="00661C17"/>
    <w:rsid w:val="00661D1C"/>
    <w:rsid w:val="00661DE7"/>
    <w:rsid w:val="00661E80"/>
    <w:rsid w:val="0066214B"/>
    <w:rsid w:val="0066227F"/>
    <w:rsid w:val="006626E4"/>
    <w:rsid w:val="00662A3B"/>
    <w:rsid w:val="00662A53"/>
    <w:rsid w:val="00662BB8"/>
    <w:rsid w:val="00662F0C"/>
    <w:rsid w:val="00663116"/>
    <w:rsid w:val="00663477"/>
    <w:rsid w:val="006635D2"/>
    <w:rsid w:val="0066478A"/>
    <w:rsid w:val="006648A9"/>
    <w:rsid w:val="00664943"/>
    <w:rsid w:val="00664948"/>
    <w:rsid w:val="00664A0C"/>
    <w:rsid w:val="00664FD1"/>
    <w:rsid w:val="006650A6"/>
    <w:rsid w:val="00665179"/>
    <w:rsid w:val="006656C0"/>
    <w:rsid w:val="006657A0"/>
    <w:rsid w:val="00665AD0"/>
    <w:rsid w:val="00665C2A"/>
    <w:rsid w:val="00665F5A"/>
    <w:rsid w:val="00666286"/>
    <w:rsid w:val="00666777"/>
    <w:rsid w:val="00666ADE"/>
    <w:rsid w:val="00666F9E"/>
    <w:rsid w:val="00667172"/>
    <w:rsid w:val="00667482"/>
    <w:rsid w:val="00667626"/>
    <w:rsid w:val="006677FE"/>
    <w:rsid w:val="0067002D"/>
    <w:rsid w:val="0067045C"/>
    <w:rsid w:val="006705BD"/>
    <w:rsid w:val="00671824"/>
    <w:rsid w:val="00671A4F"/>
    <w:rsid w:val="00671C1E"/>
    <w:rsid w:val="00671FA3"/>
    <w:rsid w:val="00672186"/>
    <w:rsid w:val="006722B0"/>
    <w:rsid w:val="00672447"/>
    <w:rsid w:val="00672A82"/>
    <w:rsid w:val="00672D16"/>
    <w:rsid w:val="00673001"/>
    <w:rsid w:val="006732C6"/>
    <w:rsid w:val="006734CD"/>
    <w:rsid w:val="00673BD6"/>
    <w:rsid w:val="00673CA8"/>
    <w:rsid w:val="0067412B"/>
    <w:rsid w:val="006743F5"/>
    <w:rsid w:val="006744CC"/>
    <w:rsid w:val="00674C10"/>
    <w:rsid w:val="006752AD"/>
    <w:rsid w:val="006755E5"/>
    <w:rsid w:val="0067565F"/>
    <w:rsid w:val="00675F14"/>
    <w:rsid w:val="006760BC"/>
    <w:rsid w:val="006761C1"/>
    <w:rsid w:val="0067660A"/>
    <w:rsid w:val="00676774"/>
    <w:rsid w:val="00676860"/>
    <w:rsid w:val="006768D6"/>
    <w:rsid w:val="00676B3F"/>
    <w:rsid w:val="00676D0E"/>
    <w:rsid w:val="00676E45"/>
    <w:rsid w:val="00676E94"/>
    <w:rsid w:val="00677167"/>
    <w:rsid w:val="006773AA"/>
    <w:rsid w:val="006773E1"/>
    <w:rsid w:val="0067745C"/>
    <w:rsid w:val="0067766E"/>
    <w:rsid w:val="00677E78"/>
    <w:rsid w:val="00680017"/>
    <w:rsid w:val="0068028A"/>
    <w:rsid w:val="00680EE9"/>
    <w:rsid w:val="006818E1"/>
    <w:rsid w:val="00681AA6"/>
    <w:rsid w:val="00681D25"/>
    <w:rsid w:val="00681E2D"/>
    <w:rsid w:val="00681EB5"/>
    <w:rsid w:val="00682631"/>
    <w:rsid w:val="0068293B"/>
    <w:rsid w:val="006830F3"/>
    <w:rsid w:val="00683359"/>
    <w:rsid w:val="0068350A"/>
    <w:rsid w:val="00683B6E"/>
    <w:rsid w:val="00683CE2"/>
    <w:rsid w:val="00684137"/>
    <w:rsid w:val="006844BB"/>
    <w:rsid w:val="0068461F"/>
    <w:rsid w:val="00684EF5"/>
    <w:rsid w:val="00685742"/>
    <w:rsid w:val="00686302"/>
    <w:rsid w:val="006863C5"/>
    <w:rsid w:val="0068708A"/>
    <w:rsid w:val="00687106"/>
    <w:rsid w:val="006873F6"/>
    <w:rsid w:val="006876E2"/>
    <w:rsid w:val="00687C72"/>
    <w:rsid w:val="00690358"/>
    <w:rsid w:val="0069040E"/>
    <w:rsid w:val="0069066E"/>
    <w:rsid w:val="006907D5"/>
    <w:rsid w:val="006908D6"/>
    <w:rsid w:val="00690FEE"/>
    <w:rsid w:val="0069111F"/>
    <w:rsid w:val="006914F3"/>
    <w:rsid w:val="006918F1"/>
    <w:rsid w:val="00691F46"/>
    <w:rsid w:val="0069265B"/>
    <w:rsid w:val="00692C39"/>
    <w:rsid w:val="00693109"/>
    <w:rsid w:val="00693363"/>
    <w:rsid w:val="00693786"/>
    <w:rsid w:val="006937BC"/>
    <w:rsid w:val="006939FE"/>
    <w:rsid w:val="00693CA3"/>
    <w:rsid w:val="00693EB9"/>
    <w:rsid w:val="0069441A"/>
    <w:rsid w:val="0069531E"/>
    <w:rsid w:val="006953FB"/>
    <w:rsid w:val="0069549A"/>
    <w:rsid w:val="006955B9"/>
    <w:rsid w:val="006956E1"/>
    <w:rsid w:val="006956E5"/>
    <w:rsid w:val="00695731"/>
    <w:rsid w:val="00695928"/>
    <w:rsid w:val="00695BAF"/>
    <w:rsid w:val="00695BF5"/>
    <w:rsid w:val="00695DDE"/>
    <w:rsid w:val="00695EE2"/>
    <w:rsid w:val="00695FAA"/>
    <w:rsid w:val="00696025"/>
    <w:rsid w:val="0069631A"/>
    <w:rsid w:val="00696330"/>
    <w:rsid w:val="006963D0"/>
    <w:rsid w:val="00696594"/>
    <w:rsid w:val="00696C06"/>
    <w:rsid w:val="0069711F"/>
    <w:rsid w:val="0069723C"/>
    <w:rsid w:val="006972D3"/>
    <w:rsid w:val="00697396"/>
    <w:rsid w:val="006973D0"/>
    <w:rsid w:val="0069744D"/>
    <w:rsid w:val="0069761E"/>
    <w:rsid w:val="006977C5"/>
    <w:rsid w:val="00697AEE"/>
    <w:rsid w:val="00697D1A"/>
    <w:rsid w:val="00697D5F"/>
    <w:rsid w:val="00697D60"/>
    <w:rsid w:val="00697F8E"/>
    <w:rsid w:val="006A03A4"/>
    <w:rsid w:val="006A03A9"/>
    <w:rsid w:val="006A048D"/>
    <w:rsid w:val="006A064A"/>
    <w:rsid w:val="006A0875"/>
    <w:rsid w:val="006A0BDA"/>
    <w:rsid w:val="006A13EB"/>
    <w:rsid w:val="006A181F"/>
    <w:rsid w:val="006A1828"/>
    <w:rsid w:val="006A187D"/>
    <w:rsid w:val="006A1A69"/>
    <w:rsid w:val="006A1FF0"/>
    <w:rsid w:val="006A24E1"/>
    <w:rsid w:val="006A2612"/>
    <w:rsid w:val="006A28F3"/>
    <w:rsid w:val="006A2D78"/>
    <w:rsid w:val="006A3919"/>
    <w:rsid w:val="006A3C75"/>
    <w:rsid w:val="006A433F"/>
    <w:rsid w:val="006A4478"/>
    <w:rsid w:val="006A491E"/>
    <w:rsid w:val="006A5313"/>
    <w:rsid w:val="006A55B2"/>
    <w:rsid w:val="006A5814"/>
    <w:rsid w:val="006A5D71"/>
    <w:rsid w:val="006A5D94"/>
    <w:rsid w:val="006A5E81"/>
    <w:rsid w:val="006A5F72"/>
    <w:rsid w:val="006A61BE"/>
    <w:rsid w:val="006A6907"/>
    <w:rsid w:val="006A6B9A"/>
    <w:rsid w:val="006A6D61"/>
    <w:rsid w:val="006A6FE4"/>
    <w:rsid w:val="006A717D"/>
    <w:rsid w:val="006A788D"/>
    <w:rsid w:val="006A7B29"/>
    <w:rsid w:val="006A7BB3"/>
    <w:rsid w:val="006A7BD7"/>
    <w:rsid w:val="006B0074"/>
    <w:rsid w:val="006B0450"/>
    <w:rsid w:val="006B0A4F"/>
    <w:rsid w:val="006B0D16"/>
    <w:rsid w:val="006B0DFF"/>
    <w:rsid w:val="006B1078"/>
    <w:rsid w:val="006B13EB"/>
    <w:rsid w:val="006B1915"/>
    <w:rsid w:val="006B1EA0"/>
    <w:rsid w:val="006B20D9"/>
    <w:rsid w:val="006B262D"/>
    <w:rsid w:val="006B27C9"/>
    <w:rsid w:val="006B2901"/>
    <w:rsid w:val="006B2D6C"/>
    <w:rsid w:val="006B2FAD"/>
    <w:rsid w:val="006B300B"/>
    <w:rsid w:val="006B342A"/>
    <w:rsid w:val="006B37A0"/>
    <w:rsid w:val="006B3C28"/>
    <w:rsid w:val="006B3FC9"/>
    <w:rsid w:val="006B40C1"/>
    <w:rsid w:val="006B4155"/>
    <w:rsid w:val="006B4342"/>
    <w:rsid w:val="006B469C"/>
    <w:rsid w:val="006B476E"/>
    <w:rsid w:val="006B4AA3"/>
    <w:rsid w:val="006B4B98"/>
    <w:rsid w:val="006B519B"/>
    <w:rsid w:val="006B52E6"/>
    <w:rsid w:val="006B52E7"/>
    <w:rsid w:val="006B5463"/>
    <w:rsid w:val="006B5611"/>
    <w:rsid w:val="006B590A"/>
    <w:rsid w:val="006B5A83"/>
    <w:rsid w:val="006B5ECD"/>
    <w:rsid w:val="006B5F2E"/>
    <w:rsid w:val="006B696D"/>
    <w:rsid w:val="006B6B82"/>
    <w:rsid w:val="006B6BC7"/>
    <w:rsid w:val="006B7AAE"/>
    <w:rsid w:val="006B7C8A"/>
    <w:rsid w:val="006C0016"/>
    <w:rsid w:val="006C0024"/>
    <w:rsid w:val="006C002A"/>
    <w:rsid w:val="006C03BC"/>
    <w:rsid w:val="006C0851"/>
    <w:rsid w:val="006C0BD6"/>
    <w:rsid w:val="006C0DE1"/>
    <w:rsid w:val="006C135F"/>
    <w:rsid w:val="006C148F"/>
    <w:rsid w:val="006C210B"/>
    <w:rsid w:val="006C2265"/>
    <w:rsid w:val="006C22DC"/>
    <w:rsid w:val="006C26E1"/>
    <w:rsid w:val="006C2A5F"/>
    <w:rsid w:val="006C32CB"/>
    <w:rsid w:val="006C3627"/>
    <w:rsid w:val="006C3878"/>
    <w:rsid w:val="006C3890"/>
    <w:rsid w:val="006C3D19"/>
    <w:rsid w:val="006C3E25"/>
    <w:rsid w:val="006C4425"/>
    <w:rsid w:val="006C4623"/>
    <w:rsid w:val="006C46F6"/>
    <w:rsid w:val="006C4764"/>
    <w:rsid w:val="006C4FF1"/>
    <w:rsid w:val="006C549F"/>
    <w:rsid w:val="006C551E"/>
    <w:rsid w:val="006C55B7"/>
    <w:rsid w:val="006C587D"/>
    <w:rsid w:val="006C5910"/>
    <w:rsid w:val="006C5A5F"/>
    <w:rsid w:val="006C5B34"/>
    <w:rsid w:val="006C61BA"/>
    <w:rsid w:val="006C63B0"/>
    <w:rsid w:val="006C64DA"/>
    <w:rsid w:val="006C6DE3"/>
    <w:rsid w:val="006C6E3B"/>
    <w:rsid w:val="006C7242"/>
    <w:rsid w:val="006C750C"/>
    <w:rsid w:val="006C7C22"/>
    <w:rsid w:val="006C7C53"/>
    <w:rsid w:val="006C7D5D"/>
    <w:rsid w:val="006D0012"/>
    <w:rsid w:val="006D012A"/>
    <w:rsid w:val="006D06DB"/>
    <w:rsid w:val="006D0A24"/>
    <w:rsid w:val="006D1229"/>
    <w:rsid w:val="006D16C9"/>
    <w:rsid w:val="006D1886"/>
    <w:rsid w:val="006D2953"/>
    <w:rsid w:val="006D2AE7"/>
    <w:rsid w:val="006D2F8E"/>
    <w:rsid w:val="006D30E1"/>
    <w:rsid w:val="006D377C"/>
    <w:rsid w:val="006D38E5"/>
    <w:rsid w:val="006D3E62"/>
    <w:rsid w:val="006D455A"/>
    <w:rsid w:val="006D4B7D"/>
    <w:rsid w:val="006D53A1"/>
    <w:rsid w:val="006D55A5"/>
    <w:rsid w:val="006D574D"/>
    <w:rsid w:val="006D5788"/>
    <w:rsid w:val="006D587E"/>
    <w:rsid w:val="006D5B30"/>
    <w:rsid w:val="006D646E"/>
    <w:rsid w:val="006D659B"/>
    <w:rsid w:val="006D65D0"/>
    <w:rsid w:val="006D669C"/>
    <w:rsid w:val="006D6992"/>
    <w:rsid w:val="006D6D2F"/>
    <w:rsid w:val="006D6F77"/>
    <w:rsid w:val="006D6FE2"/>
    <w:rsid w:val="006D7A60"/>
    <w:rsid w:val="006D7BDE"/>
    <w:rsid w:val="006D7C45"/>
    <w:rsid w:val="006D7FDC"/>
    <w:rsid w:val="006D7FDD"/>
    <w:rsid w:val="006E021D"/>
    <w:rsid w:val="006E04A8"/>
    <w:rsid w:val="006E0862"/>
    <w:rsid w:val="006E08C2"/>
    <w:rsid w:val="006E0BCF"/>
    <w:rsid w:val="006E0CB9"/>
    <w:rsid w:val="006E0D2C"/>
    <w:rsid w:val="006E0D78"/>
    <w:rsid w:val="006E0EB6"/>
    <w:rsid w:val="006E1047"/>
    <w:rsid w:val="006E1210"/>
    <w:rsid w:val="006E1379"/>
    <w:rsid w:val="006E152C"/>
    <w:rsid w:val="006E15AC"/>
    <w:rsid w:val="006E163F"/>
    <w:rsid w:val="006E1646"/>
    <w:rsid w:val="006E16FF"/>
    <w:rsid w:val="006E185A"/>
    <w:rsid w:val="006E1B95"/>
    <w:rsid w:val="006E1E46"/>
    <w:rsid w:val="006E1F21"/>
    <w:rsid w:val="006E2311"/>
    <w:rsid w:val="006E2496"/>
    <w:rsid w:val="006E277E"/>
    <w:rsid w:val="006E2798"/>
    <w:rsid w:val="006E2D55"/>
    <w:rsid w:val="006E2EA3"/>
    <w:rsid w:val="006E328F"/>
    <w:rsid w:val="006E34C0"/>
    <w:rsid w:val="006E3562"/>
    <w:rsid w:val="006E358B"/>
    <w:rsid w:val="006E3820"/>
    <w:rsid w:val="006E4178"/>
    <w:rsid w:val="006E429A"/>
    <w:rsid w:val="006E4401"/>
    <w:rsid w:val="006E4617"/>
    <w:rsid w:val="006E49C8"/>
    <w:rsid w:val="006E4CB9"/>
    <w:rsid w:val="006E4D5F"/>
    <w:rsid w:val="006E505D"/>
    <w:rsid w:val="006E50E6"/>
    <w:rsid w:val="006E54C5"/>
    <w:rsid w:val="006E5AED"/>
    <w:rsid w:val="006E5AF0"/>
    <w:rsid w:val="006E5EA8"/>
    <w:rsid w:val="006E5ED1"/>
    <w:rsid w:val="006E60B9"/>
    <w:rsid w:val="006E60D0"/>
    <w:rsid w:val="006E6397"/>
    <w:rsid w:val="006E65D3"/>
    <w:rsid w:val="006E67C4"/>
    <w:rsid w:val="006E6A0B"/>
    <w:rsid w:val="006E6E33"/>
    <w:rsid w:val="006E700F"/>
    <w:rsid w:val="006E7140"/>
    <w:rsid w:val="006E74E2"/>
    <w:rsid w:val="006E76D5"/>
    <w:rsid w:val="006E77E8"/>
    <w:rsid w:val="006E78B9"/>
    <w:rsid w:val="006E79F0"/>
    <w:rsid w:val="006E7A8D"/>
    <w:rsid w:val="006E7CCB"/>
    <w:rsid w:val="006E7FAE"/>
    <w:rsid w:val="006F01B1"/>
    <w:rsid w:val="006F04A7"/>
    <w:rsid w:val="006F04C3"/>
    <w:rsid w:val="006F065C"/>
    <w:rsid w:val="006F088A"/>
    <w:rsid w:val="006F08DA"/>
    <w:rsid w:val="006F0A3B"/>
    <w:rsid w:val="006F1283"/>
    <w:rsid w:val="006F1309"/>
    <w:rsid w:val="006F138C"/>
    <w:rsid w:val="006F16DC"/>
    <w:rsid w:val="006F1929"/>
    <w:rsid w:val="006F1A58"/>
    <w:rsid w:val="006F1F09"/>
    <w:rsid w:val="006F24FD"/>
    <w:rsid w:val="006F256C"/>
    <w:rsid w:val="006F258C"/>
    <w:rsid w:val="006F2687"/>
    <w:rsid w:val="006F2CF7"/>
    <w:rsid w:val="006F2E70"/>
    <w:rsid w:val="006F2F03"/>
    <w:rsid w:val="006F305F"/>
    <w:rsid w:val="006F36A0"/>
    <w:rsid w:val="006F3B9A"/>
    <w:rsid w:val="006F3C47"/>
    <w:rsid w:val="006F3D84"/>
    <w:rsid w:val="006F3F56"/>
    <w:rsid w:val="006F4227"/>
    <w:rsid w:val="006F4365"/>
    <w:rsid w:val="006F459D"/>
    <w:rsid w:val="006F4686"/>
    <w:rsid w:val="006F4984"/>
    <w:rsid w:val="006F4E75"/>
    <w:rsid w:val="006F5623"/>
    <w:rsid w:val="006F5683"/>
    <w:rsid w:val="006F5796"/>
    <w:rsid w:val="006F59D6"/>
    <w:rsid w:val="006F5B5F"/>
    <w:rsid w:val="006F5E63"/>
    <w:rsid w:val="006F5EC6"/>
    <w:rsid w:val="006F6078"/>
    <w:rsid w:val="006F669F"/>
    <w:rsid w:val="006F6931"/>
    <w:rsid w:val="006F6A37"/>
    <w:rsid w:val="006F6EBF"/>
    <w:rsid w:val="006F7156"/>
    <w:rsid w:val="006F7245"/>
    <w:rsid w:val="006F729A"/>
    <w:rsid w:val="006F73F4"/>
    <w:rsid w:val="006F7CB7"/>
    <w:rsid w:val="006F7F1B"/>
    <w:rsid w:val="00700393"/>
    <w:rsid w:val="007003F5"/>
    <w:rsid w:val="00700446"/>
    <w:rsid w:val="007005FE"/>
    <w:rsid w:val="00700AC0"/>
    <w:rsid w:val="00700BCE"/>
    <w:rsid w:val="00700EE3"/>
    <w:rsid w:val="007018D7"/>
    <w:rsid w:val="00701DA9"/>
    <w:rsid w:val="00702535"/>
    <w:rsid w:val="00702542"/>
    <w:rsid w:val="00703668"/>
    <w:rsid w:val="00703779"/>
    <w:rsid w:val="00703AB2"/>
    <w:rsid w:val="00703B1C"/>
    <w:rsid w:val="0070413A"/>
    <w:rsid w:val="007041C8"/>
    <w:rsid w:val="0070423B"/>
    <w:rsid w:val="0070435D"/>
    <w:rsid w:val="00704447"/>
    <w:rsid w:val="007046A6"/>
    <w:rsid w:val="00704B0B"/>
    <w:rsid w:val="00704B5C"/>
    <w:rsid w:val="00704BC0"/>
    <w:rsid w:val="00704CEC"/>
    <w:rsid w:val="00704D5E"/>
    <w:rsid w:val="00704FAF"/>
    <w:rsid w:val="0070513A"/>
    <w:rsid w:val="007052C4"/>
    <w:rsid w:val="007052C7"/>
    <w:rsid w:val="00705415"/>
    <w:rsid w:val="00705661"/>
    <w:rsid w:val="007061DF"/>
    <w:rsid w:val="00706403"/>
    <w:rsid w:val="0070641C"/>
    <w:rsid w:val="00706A35"/>
    <w:rsid w:val="00706BAD"/>
    <w:rsid w:val="00706F25"/>
    <w:rsid w:val="00707114"/>
    <w:rsid w:val="00707184"/>
    <w:rsid w:val="007071FC"/>
    <w:rsid w:val="00707294"/>
    <w:rsid w:val="00707432"/>
    <w:rsid w:val="007077E0"/>
    <w:rsid w:val="007079EF"/>
    <w:rsid w:val="00707A72"/>
    <w:rsid w:val="00707B0B"/>
    <w:rsid w:val="00707C25"/>
    <w:rsid w:val="00707FC9"/>
    <w:rsid w:val="0071000F"/>
    <w:rsid w:val="007100E2"/>
    <w:rsid w:val="00710155"/>
    <w:rsid w:val="00710832"/>
    <w:rsid w:val="00710844"/>
    <w:rsid w:val="007108D1"/>
    <w:rsid w:val="00710D77"/>
    <w:rsid w:val="00711197"/>
    <w:rsid w:val="00711376"/>
    <w:rsid w:val="00711470"/>
    <w:rsid w:val="00711689"/>
    <w:rsid w:val="007118C1"/>
    <w:rsid w:val="007119D8"/>
    <w:rsid w:val="00711A18"/>
    <w:rsid w:val="00711B4D"/>
    <w:rsid w:val="00711DAC"/>
    <w:rsid w:val="00712097"/>
    <w:rsid w:val="0071212A"/>
    <w:rsid w:val="0071213B"/>
    <w:rsid w:val="00712253"/>
    <w:rsid w:val="007122D0"/>
    <w:rsid w:val="00712431"/>
    <w:rsid w:val="00712678"/>
    <w:rsid w:val="00712E0D"/>
    <w:rsid w:val="007131C8"/>
    <w:rsid w:val="007136B7"/>
    <w:rsid w:val="0071395E"/>
    <w:rsid w:val="00713C52"/>
    <w:rsid w:val="00713EF0"/>
    <w:rsid w:val="00714078"/>
    <w:rsid w:val="007140CB"/>
    <w:rsid w:val="007143E4"/>
    <w:rsid w:val="00714551"/>
    <w:rsid w:val="007149A0"/>
    <w:rsid w:val="00714F24"/>
    <w:rsid w:val="00715384"/>
    <w:rsid w:val="00716195"/>
    <w:rsid w:val="00716216"/>
    <w:rsid w:val="00716257"/>
    <w:rsid w:val="0071637F"/>
    <w:rsid w:val="007165A0"/>
    <w:rsid w:val="00716A6F"/>
    <w:rsid w:val="00716B51"/>
    <w:rsid w:val="00716BD3"/>
    <w:rsid w:val="00716C5E"/>
    <w:rsid w:val="00716EBD"/>
    <w:rsid w:val="007172B4"/>
    <w:rsid w:val="007176B3"/>
    <w:rsid w:val="00720159"/>
    <w:rsid w:val="007201B1"/>
    <w:rsid w:val="00720277"/>
    <w:rsid w:val="00720876"/>
    <w:rsid w:val="00720C09"/>
    <w:rsid w:val="00720DB7"/>
    <w:rsid w:val="00721032"/>
    <w:rsid w:val="00721094"/>
    <w:rsid w:val="007212BE"/>
    <w:rsid w:val="00721CDA"/>
    <w:rsid w:val="00722090"/>
    <w:rsid w:val="0072266E"/>
    <w:rsid w:val="007229AE"/>
    <w:rsid w:val="00722B87"/>
    <w:rsid w:val="00722E7D"/>
    <w:rsid w:val="00722F59"/>
    <w:rsid w:val="007232EC"/>
    <w:rsid w:val="00723373"/>
    <w:rsid w:val="0072338D"/>
    <w:rsid w:val="00723C3B"/>
    <w:rsid w:val="00723EB3"/>
    <w:rsid w:val="00723FCD"/>
    <w:rsid w:val="007242CA"/>
    <w:rsid w:val="007244E6"/>
    <w:rsid w:val="0072464B"/>
    <w:rsid w:val="00724779"/>
    <w:rsid w:val="00724983"/>
    <w:rsid w:val="00724A30"/>
    <w:rsid w:val="00725599"/>
    <w:rsid w:val="0072577E"/>
    <w:rsid w:val="00725F55"/>
    <w:rsid w:val="00726515"/>
    <w:rsid w:val="00726A1E"/>
    <w:rsid w:val="00726BA2"/>
    <w:rsid w:val="00726CA1"/>
    <w:rsid w:val="00726DDC"/>
    <w:rsid w:val="00727607"/>
    <w:rsid w:val="0072772F"/>
    <w:rsid w:val="00727862"/>
    <w:rsid w:val="007279E2"/>
    <w:rsid w:val="00727D38"/>
    <w:rsid w:val="00727D7F"/>
    <w:rsid w:val="00727D8E"/>
    <w:rsid w:val="007301DF"/>
    <w:rsid w:val="00730894"/>
    <w:rsid w:val="00730911"/>
    <w:rsid w:val="00730C7A"/>
    <w:rsid w:val="00731083"/>
    <w:rsid w:val="0073118F"/>
    <w:rsid w:val="00731674"/>
    <w:rsid w:val="00731C5A"/>
    <w:rsid w:val="00731F25"/>
    <w:rsid w:val="00731FFE"/>
    <w:rsid w:val="0073213F"/>
    <w:rsid w:val="00732351"/>
    <w:rsid w:val="0073354A"/>
    <w:rsid w:val="00733941"/>
    <w:rsid w:val="00733F01"/>
    <w:rsid w:val="00734011"/>
    <w:rsid w:val="00734EB2"/>
    <w:rsid w:val="0073541D"/>
    <w:rsid w:val="007356AA"/>
    <w:rsid w:val="0073591D"/>
    <w:rsid w:val="00735AD7"/>
    <w:rsid w:val="00736FAB"/>
    <w:rsid w:val="007371CD"/>
    <w:rsid w:val="00737362"/>
    <w:rsid w:val="0073743B"/>
    <w:rsid w:val="00737543"/>
    <w:rsid w:val="00737973"/>
    <w:rsid w:val="00737D4E"/>
    <w:rsid w:val="007400F6"/>
    <w:rsid w:val="00740369"/>
    <w:rsid w:val="0074042B"/>
    <w:rsid w:val="00740525"/>
    <w:rsid w:val="007405FD"/>
    <w:rsid w:val="00740640"/>
    <w:rsid w:val="007408CD"/>
    <w:rsid w:val="00740F1E"/>
    <w:rsid w:val="00740F40"/>
    <w:rsid w:val="00740F4B"/>
    <w:rsid w:val="00741176"/>
    <w:rsid w:val="007415D5"/>
    <w:rsid w:val="007416A8"/>
    <w:rsid w:val="007418FE"/>
    <w:rsid w:val="0074199E"/>
    <w:rsid w:val="00741DDF"/>
    <w:rsid w:val="00742247"/>
    <w:rsid w:val="00742565"/>
    <w:rsid w:val="007427A1"/>
    <w:rsid w:val="007428AF"/>
    <w:rsid w:val="00742902"/>
    <w:rsid w:val="00742E41"/>
    <w:rsid w:val="00742F82"/>
    <w:rsid w:val="00742FAB"/>
    <w:rsid w:val="007434B6"/>
    <w:rsid w:val="00743EC4"/>
    <w:rsid w:val="00744493"/>
    <w:rsid w:val="00744555"/>
    <w:rsid w:val="0074468B"/>
    <w:rsid w:val="007449D9"/>
    <w:rsid w:val="00744AEB"/>
    <w:rsid w:val="00744C31"/>
    <w:rsid w:val="00744E75"/>
    <w:rsid w:val="00745565"/>
    <w:rsid w:val="007456E9"/>
    <w:rsid w:val="00745836"/>
    <w:rsid w:val="00745843"/>
    <w:rsid w:val="00745A51"/>
    <w:rsid w:val="00745E07"/>
    <w:rsid w:val="00745EB5"/>
    <w:rsid w:val="0074615F"/>
    <w:rsid w:val="0074685C"/>
    <w:rsid w:val="00746974"/>
    <w:rsid w:val="007469DC"/>
    <w:rsid w:val="00746FEA"/>
    <w:rsid w:val="007471F6"/>
    <w:rsid w:val="00747376"/>
    <w:rsid w:val="0074745B"/>
    <w:rsid w:val="0074751E"/>
    <w:rsid w:val="00747962"/>
    <w:rsid w:val="00747C9D"/>
    <w:rsid w:val="0075008B"/>
    <w:rsid w:val="00750445"/>
    <w:rsid w:val="0075051B"/>
    <w:rsid w:val="00750999"/>
    <w:rsid w:val="00751160"/>
    <w:rsid w:val="007513FC"/>
    <w:rsid w:val="0075142B"/>
    <w:rsid w:val="00751465"/>
    <w:rsid w:val="007514CB"/>
    <w:rsid w:val="0075151D"/>
    <w:rsid w:val="00751A06"/>
    <w:rsid w:val="00751D2F"/>
    <w:rsid w:val="00752019"/>
    <w:rsid w:val="00752AB8"/>
    <w:rsid w:val="00752C99"/>
    <w:rsid w:val="00753128"/>
    <w:rsid w:val="00753141"/>
    <w:rsid w:val="0075318C"/>
    <w:rsid w:val="007531F1"/>
    <w:rsid w:val="007537FC"/>
    <w:rsid w:val="00753A7C"/>
    <w:rsid w:val="00753D9E"/>
    <w:rsid w:val="00753F70"/>
    <w:rsid w:val="0075405E"/>
    <w:rsid w:val="007542B5"/>
    <w:rsid w:val="007542C4"/>
    <w:rsid w:val="00754531"/>
    <w:rsid w:val="00754539"/>
    <w:rsid w:val="0075460A"/>
    <w:rsid w:val="00754990"/>
    <w:rsid w:val="00754C57"/>
    <w:rsid w:val="00754E01"/>
    <w:rsid w:val="00754F1D"/>
    <w:rsid w:val="00755326"/>
    <w:rsid w:val="007557A5"/>
    <w:rsid w:val="00755916"/>
    <w:rsid w:val="00755C3E"/>
    <w:rsid w:val="00755CB7"/>
    <w:rsid w:val="00755D76"/>
    <w:rsid w:val="0075610A"/>
    <w:rsid w:val="00756166"/>
    <w:rsid w:val="00756215"/>
    <w:rsid w:val="0075627E"/>
    <w:rsid w:val="0075630F"/>
    <w:rsid w:val="007563A4"/>
    <w:rsid w:val="0075658B"/>
    <w:rsid w:val="007566AA"/>
    <w:rsid w:val="00756824"/>
    <w:rsid w:val="007569E5"/>
    <w:rsid w:val="00756A00"/>
    <w:rsid w:val="00756BE2"/>
    <w:rsid w:val="00756E1F"/>
    <w:rsid w:val="00756EF0"/>
    <w:rsid w:val="00757361"/>
    <w:rsid w:val="0075747D"/>
    <w:rsid w:val="007574B0"/>
    <w:rsid w:val="00757BA2"/>
    <w:rsid w:val="00757BD6"/>
    <w:rsid w:val="00760653"/>
    <w:rsid w:val="00761308"/>
    <w:rsid w:val="007617CB"/>
    <w:rsid w:val="00761CAB"/>
    <w:rsid w:val="00761D8C"/>
    <w:rsid w:val="007627F5"/>
    <w:rsid w:val="0076284E"/>
    <w:rsid w:val="00762D88"/>
    <w:rsid w:val="00762DA2"/>
    <w:rsid w:val="00762E16"/>
    <w:rsid w:val="007638C3"/>
    <w:rsid w:val="007638EB"/>
    <w:rsid w:val="007639CA"/>
    <w:rsid w:val="007639DF"/>
    <w:rsid w:val="00763EB4"/>
    <w:rsid w:val="00763F3D"/>
    <w:rsid w:val="00763FB2"/>
    <w:rsid w:val="00764329"/>
    <w:rsid w:val="007644B6"/>
    <w:rsid w:val="007646D2"/>
    <w:rsid w:val="007648E9"/>
    <w:rsid w:val="00764BF3"/>
    <w:rsid w:val="00764CE9"/>
    <w:rsid w:val="00765182"/>
    <w:rsid w:val="007654E3"/>
    <w:rsid w:val="00765504"/>
    <w:rsid w:val="00765660"/>
    <w:rsid w:val="00765AB1"/>
    <w:rsid w:val="00765D44"/>
    <w:rsid w:val="00765D55"/>
    <w:rsid w:val="00765F50"/>
    <w:rsid w:val="00766014"/>
    <w:rsid w:val="0076601B"/>
    <w:rsid w:val="00766606"/>
    <w:rsid w:val="0076698C"/>
    <w:rsid w:val="00766A32"/>
    <w:rsid w:val="00766AAD"/>
    <w:rsid w:val="00766CCB"/>
    <w:rsid w:val="00766FAB"/>
    <w:rsid w:val="0076720F"/>
    <w:rsid w:val="0076778B"/>
    <w:rsid w:val="00767A52"/>
    <w:rsid w:val="00767B5B"/>
    <w:rsid w:val="00767F87"/>
    <w:rsid w:val="00767FE1"/>
    <w:rsid w:val="0077009D"/>
    <w:rsid w:val="00770167"/>
    <w:rsid w:val="00770531"/>
    <w:rsid w:val="00770AD0"/>
    <w:rsid w:val="00770F71"/>
    <w:rsid w:val="00770FD1"/>
    <w:rsid w:val="00771062"/>
    <w:rsid w:val="00771454"/>
    <w:rsid w:val="007715CC"/>
    <w:rsid w:val="007716BF"/>
    <w:rsid w:val="007717EA"/>
    <w:rsid w:val="00771BA4"/>
    <w:rsid w:val="0077212E"/>
    <w:rsid w:val="00772B77"/>
    <w:rsid w:val="00772E67"/>
    <w:rsid w:val="00773125"/>
    <w:rsid w:val="0077335D"/>
    <w:rsid w:val="007733A7"/>
    <w:rsid w:val="0077352B"/>
    <w:rsid w:val="00773C3B"/>
    <w:rsid w:val="00773E87"/>
    <w:rsid w:val="00773F7B"/>
    <w:rsid w:val="0077418B"/>
    <w:rsid w:val="007743DB"/>
    <w:rsid w:val="007748EC"/>
    <w:rsid w:val="00774926"/>
    <w:rsid w:val="00775A1C"/>
    <w:rsid w:val="00775A26"/>
    <w:rsid w:val="00776092"/>
    <w:rsid w:val="007761EB"/>
    <w:rsid w:val="00776201"/>
    <w:rsid w:val="00776237"/>
    <w:rsid w:val="0077655F"/>
    <w:rsid w:val="00776777"/>
    <w:rsid w:val="0077738B"/>
    <w:rsid w:val="007774C4"/>
    <w:rsid w:val="0077775B"/>
    <w:rsid w:val="007777E1"/>
    <w:rsid w:val="00777842"/>
    <w:rsid w:val="007778A3"/>
    <w:rsid w:val="00777B36"/>
    <w:rsid w:val="00777D5A"/>
    <w:rsid w:val="00780048"/>
    <w:rsid w:val="007801CD"/>
    <w:rsid w:val="00780685"/>
    <w:rsid w:val="00780A9C"/>
    <w:rsid w:val="00780BDD"/>
    <w:rsid w:val="00780DEE"/>
    <w:rsid w:val="00780FD4"/>
    <w:rsid w:val="007814C5"/>
    <w:rsid w:val="00781691"/>
    <w:rsid w:val="00781B83"/>
    <w:rsid w:val="00781CDC"/>
    <w:rsid w:val="00781E39"/>
    <w:rsid w:val="00782195"/>
    <w:rsid w:val="007822AD"/>
    <w:rsid w:val="007823E9"/>
    <w:rsid w:val="007828FA"/>
    <w:rsid w:val="00782FFB"/>
    <w:rsid w:val="00783178"/>
    <w:rsid w:val="0078331F"/>
    <w:rsid w:val="007833D7"/>
    <w:rsid w:val="0078341F"/>
    <w:rsid w:val="0078351D"/>
    <w:rsid w:val="007835FD"/>
    <w:rsid w:val="00783607"/>
    <w:rsid w:val="00783896"/>
    <w:rsid w:val="007839F9"/>
    <w:rsid w:val="00783C0F"/>
    <w:rsid w:val="00783C3E"/>
    <w:rsid w:val="00783DF7"/>
    <w:rsid w:val="007840E2"/>
    <w:rsid w:val="00784773"/>
    <w:rsid w:val="00784A69"/>
    <w:rsid w:val="00784E8E"/>
    <w:rsid w:val="0078502D"/>
    <w:rsid w:val="0078510A"/>
    <w:rsid w:val="0078518F"/>
    <w:rsid w:val="0078589C"/>
    <w:rsid w:val="00785A42"/>
    <w:rsid w:val="00785A74"/>
    <w:rsid w:val="007860B3"/>
    <w:rsid w:val="007864A3"/>
    <w:rsid w:val="00786595"/>
    <w:rsid w:val="00786A56"/>
    <w:rsid w:val="00786B89"/>
    <w:rsid w:val="00786D4C"/>
    <w:rsid w:val="00786D70"/>
    <w:rsid w:val="00786E35"/>
    <w:rsid w:val="00786E58"/>
    <w:rsid w:val="00787189"/>
    <w:rsid w:val="007877DE"/>
    <w:rsid w:val="00787A5D"/>
    <w:rsid w:val="00787B32"/>
    <w:rsid w:val="0079023C"/>
    <w:rsid w:val="00790313"/>
    <w:rsid w:val="0079057F"/>
    <w:rsid w:val="00790588"/>
    <w:rsid w:val="00790CC2"/>
    <w:rsid w:val="00790F71"/>
    <w:rsid w:val="00791280"/>
    <w:rsid w:val="007913A7"/>
    <w:rsid w:val="007914F7"/>
    <w:rsid w:val="00791845"/>
    <w:rsid w:val="0079295F"/>
    <w:rsid w:val="00792AC3"/>
    <w:rsid w:val="007935C0"/>
    <w:rsid w:val="00793A11"/>
    <w:rsid w:val="00793AC3"/>
    <w:rsid w:val="00794001"/>
    <w:rsid w:val="0079411C"/>
    <w:rsid w:val="0079437E"/>
    <w:rsid w:val="007947E1"/>
    <w:rsid w:val="0079487B"/>
    <w:rsid w:val="00794BA2"/>
    <w:rsid w:val="00794D12"/>
    <w:rsid w:val="00794E38"/>
    <w:rsid w:val="00794FDB"/>
    <w:rsid w:val="007955E2"/>
    <w:rsid w:val="00795841"/>
    <w:rsid w:val="00795AB3"/>
    <w:rsid w:val="00795ACC"/>
    <w:rsid w:val="00795AEA"/>
    <w:rsid w:val="00795B32"/>
    <w:rsid w:val="00795BB2"/>
    <w:rsid w:val="00796207"/>
    <w:rsid w:val="0079670B"/>
    <w:rsid w:val="00797213"/>
    <w:rsid w:val="00797239"/>
    <w:rsid w:val="0079772E"/>
    <w:rsid w:val="00797789"/>
    <w:rsid w:val="00797CDE"/>
    <w:rsid w:val="007A0085"/>
    <w:rsid w:val="007A0392"/>
    <w:rsid w:val="007A04F4"/>
    <w:rsid w:val="007A095D"/>
    <w:rsid w:val="007A09D2"/>
    <w:rsid w:val="007A0B02"/>
    <w:rsid w:val="007A0FF0"/>
    <w:rsid w:val="007A157C"/>
    <w:rsid w:val="007A1C6E"/>
    <w:rsid w:val="007A1DE6"/>
    <w:rsid w:val="007A20BD"/>
    <w:rsid w:val="007A21E3"/>
    <w:rsid w:val="007A22D9"/>
    <w:rsid w:val="007A2341"/>
    <w:rsid w:val="007A24AA"/>
    <w:rsid w:val="007A2B96"/>
    <w:rsid w:val="007A2D51"/>
    <w:rsid w:val="007A315D"/>
    <w:rsid w:val="007A34D4"/>
    <w:rsid w:val="007A3520"/>
    <w:rsid w:val="007A3C14"/>
    <w:rsid w:val="007A3C29"/>
    <w:rsid w:val="007A40FA"/>
    <w:rsid w:val="007A45BE"/>
    <w:rsid w:val="007A49EE"/>
    <w:rsid w:val="007A4A4E"/>
    <w:rsid w:val="007A4DD5"/>
    <w:rsid w:val="007A50B8"/>
    <w:rsid w:val="007A5114"/>
    <w:rsid w:val="007A5173"/>
    <w:rsid w:val="007A5F32"/>
    <w:rsid w:val="007A6124"/>
    <w:rsid w:val="007A615D"/>
    <w:rsid w:val="007A61A1"/>
    <w:rsid w:val="007A66F4"/>
    <w:rsid w:val="007A6D11"/>
    <w:rsid w:val="007A6EF7"/>
    <w:rsid w:val="007A7187"/>
    <w:rsid w:val="007A71CD"/>
    <w:rsid w:val="007A73DC"/>
    <w:rsid w:val="007A7436"/>
    <w:rsid w:val="007A7960"/>
    <w:rsid w:val="007A7DD8"/>
    <w:rsid w:val="007B0448"/>
    <w:rsid w:val="007B0482"/>
    <w:rsid w:val="007B0527"/>
    <w:rsid w:val="007B094F"/>
    <w:rsid w:val="007B0BFC"/>
    <w:rsid w:val="007B0E8E"/>
    <w:rsid w:val="007B135A"/>
    <w:rsid w:val="007B139D"/>
    <w:rsid w:val="007B162D"/>
    <w:rsid w:val="007B16A5"/>
    <w:rsid w:val="007B1A8F"/>
    <w:rsid w:val="007B1BA0"/>
    <w:rsid w:val="007B1DC8"/>
    <w:rsid w:val="007B25A2"/>
    <w:rsid w:val="007B2812"/>
    <w:rsid w:val="007B29FE"/>
    <w:rsid w:val="007B2BF6"/>
    <w:rsid w:val="007B2C4F"/>
    <w:rsid w:val="007B2FEE"/>
    <w:rsid w:val="007B32E8"/>
    <w:rsid w:val="007B378B"/>
    <w:rsid w:val="007B3B3C"/>
    <w:rsid w:val="007B3F87"/>
    <w:rsid w:val="007B41F6"/>
    <w:rsid w:val="007B4370"/>
    <w:rsid w:val="007B4435"/>
    <w:rsid w:val="007B49EF"/>
    <w:rsid w:val="007B4B4F"/>
    <w:rsid w:val="007B509E"/>
    <w:rsid w:val="007B52D6"/>
    <w:rsid w:val="007B5518"/>
    <w:rsid w:val="007B5729"/>
    <w:rsid w:val="007B582E"/>
    <w:rsid w:val="007B592B"/>
    <w:rsid w:val="007B5C3D"/>
    <w:rsid w:val="007B5C45"/>
    <w:rsid w:val="007B5C5E"/>
    <w:rsid w:val="007B5E99"/>
    <w:rsid w:val="007B631E"/>
    <w:rsid w:val="007B67D6"/>
    <w:rsid w:val="007B6A3B"/>
    <w:rsid w:val="007B6D02"/>
    <w:rsid w:val="007B6E94"/>
    <w:rsid w:val="007B72A2"/>
    <w:rsid w:val="007B7366"/>
    <w:rsid w:val="007B74BB"/>
    <w:rsid w:val="007B74E0"/>
    <w:rsid w:val="007B7B13"/>
    <w:rsid w:val="007B7BCB"/>
    <w:rsid w:val="007B7EDF"/>
    <w:rsid w:val="007C015B"/>
    <w:rsid w:val="007C0437"/>
    <w:rsid w:val="007C0E29"/>
    <w:rsid w:val="007C102E"/>
    <w:rsid w:val="007C1130"/>
    <w:rsid w:val="007C1555"/>
    <w:rsid w:val="007C1643"/>
    <w:rsid w:val="007C1751"/>
    <w:rsid w:val="007C1936"/>
    <w:rsid w:val="007C1B18"/>
    <w:rsid w:val="007C1DBF"/>
    <w:rsid w:val="007C1E8A"/>
    <w:rsid w:val="007C24BE"/>
    <w:rsid w:val="007C27B3"/>
    <w:rsid w:val="007C289D"/>
    <w:rsid w:val="007C2A0D"/>
    <w:rsid w:val="007C2CDD"/>
    <w:rsid w:val="007C2DBB"/>
    <w:rsid w:val="007C2ED7"/>
    <w:rsid w:val="007C2F5C"/>
    <w:rsid w:val="007C33AB"/>
    <w:rsid w:val="007C354F"/>
    <w:rsid w:val="007C3682"/>
    <w:rsid w:val="007C3716"/>
    <w:rsid w:val="007C37CF"/>
    <w:rsid w:val="007C3A98"/>
    <w:rsid w:val="007C3EBB"/>
    <w:rsid w:val="007C4194"/>
    <w:rsid w:val="007C4243"/>
    <w:rsid w:val="007C4838"/>
    <w:rsid w:val="007C4938"/>
    <w:rsid w:val="007C49AB"/>
    <w:rsid w:val="007C4BBB"/>
    <w:rsid w:val="007C4F0E"/>
    <w:rsid w:val="007C5163"/>
    <w:rsid w:val="007C51A9"/>
    <w:rsid w:val="007C567F"/>
    <w:rsid w:val="007C56B1"/>
    <w:rsid w:val="007C5ACF"/>
    <w:rsid w:val="007C5F86"/>
    <w:rsid w:val="007C5F92"/>
    <w:rsid w:val="007C6003"/>
    <w:rsid w:val="007C6126"/>
    <w:rsid w:val="007C68A4"/>
    <w:rsid w:val="007C6B7C"/>
    <w:rsid w:val="007C71EC"/>
    <w:rsid w:val="007C76DA"/>
    <w:rsid w:val="007C76F5"/>
    <w:rsid w:val="007C7922"/>
    <w:rsid w:val="007C7978"/>
    <w:rsid w:val="007C79DF"/>
    <w:rsid w:val="007C7B63"/>
    <w:rsid w:val="007D01C4"/>
    <w:rsid w:val="007D0235"/>
    <w:rsid w:val="007D02A1"/>
    <w:rsid w:val="007D0B01"/>
    <w:rsid w:val="007D0BE2"/>
    <w:rsid w:val="007D0DE3"/>
    <w:rsid w:val="007D0EC1"/>
    <w:rsid w:val="007D0EE3"/>
    <w:rsid w:val="007D1133"/>
    <w:rsid w:val="007D127C"/>
    <w:rsid w:val="007D139F"/>
    <w:rsid w:val="007D18C0"/>
    <w:rsid w:val="007D1B64"/>
    <w:rsid w:val="007D24A5"/>
    <w:rsid w:val="007D2548"/>
    <w:rsid w:val="007D2B25"/>
    <w:rsid w:val="007D2B77"/>
    <w:rsid w:val="007D2D76"/>
    <w:rsid w:val="007D31C6"/>
    <w:rsid w:val="007D36B1"/>
    <w:rsid w:val="007D3AD9"/>
    <w:rsid w:val="007D3C05"/>
    <w:rsid w:val="007D4CD2"/>
    <w:rsid w:val="007D4D09"/>
    <w:rsid w:val="007D568C"/>
    <w:rsid w:val="007D586B"/>
    <w:rsid w:val="007D661A"/>
    <w:rsid w:val="007D6FFC"/>
    <w:rsid w:val="007D71D8"/>
    <w:rsid w:val="007D7290"/>
    <w:rsid w:val="007D746C"/>
    <w:rsid w:val="007D7D96"/>
    <w:rsid w:val="007E012C"/>
    <w:rsid w:val="007E0648"/>
    <w:rsid w:val="007E0766"/>
    <w:rsid w:val="007E0F24"/>
    <w:rsid w:val="007E104E"/>
    <w:rsid w:val="007E1130"/>
    <w:rsid w:val="007E11BD"/>
    <w:rsid w:val="007E1292"/>
    <w:rsid w:val="007E153C"/>
    <w:rsid w:val="007E1846"/>
    <w:rsid w:val="007E2268"/>
    <w:rsid w:val="007E25E5"/>
    <w:rsid w:val="007E2709"/>
    <w:rsid w:val="007E28C5"/>
    <w:rsid w:val="007E28D9"/>
    <w:rsid w:val="007E2929"/>
    <w:rsid w:val="007E2B12"/>
    <w:rsid w:val="007E2E38"/>
    <w:rsid w:val="007E3168"/>
    <w:rsid w:val="007E3688"/>
    <w:rsid w:val="007E3D35"/>
    <w:rsid w:val="007E41E7"/>
    <w:rsid w:val="007E4217"/>
    <w:rsid w:val="007E44F7"/>
    <w:rsid w:val="007E475F"/>
    <w:rsid w:val="007E4A02"/>
    <w:rsid w:val="007E4CAD"/>
    <w:rsid w:val="007E4CD8"/>
    <w:rsid w:val="007E5398"/>
    <w:rsid w:val="007E55E7"/>
    <w:rsid w:val="007E5AB6"/>
    <w:rsid w:val="007E5B5C"/>
    <w:rsid w:val="007E5DC5"/>
    <w:rsid w:val="007E5F88"/>
    <w:rsid w:val="007E6256"/>
    <w:rsid w:val="007E6554"/>
    <w:rsid w:val="007E6768"/>
    <w:rsid w:val="007E745E"/>
    <w:rsid w:val="007E7679"/>
    <w:rsid w:val="007E78A7"/>
    <w:rsid w:val="007E78AD"/>
    <w:rsid w:val="007F025C"/>
    <w:rsid w:val="007F0650"/>
    <w:rsid w:val="007F074A"/>
    <w:rsid w:val="007F08A3"/>
    <w:rsid w:val="007F0F8E"/>
    <w:rsid w:val="007F1416"/>
    <w:rsid w:val="007F1445"/>
    <w:rsid w:val="007F1524"/>
    <w:rsid w:val="007F1890"/>
    <w:rsid w:val="007F1CA4"/>
    <w:rsid w:val="007F1E89"/>
    <w:rsid w:val="007F2221"/>
    <w:rsid w:val="007F241E"/>
    <w:rsid w:val="007F2651"/>
    <w:rsid w:val="007F26F8"/>
    <w:rsid w:val="007F28F0"/>
    <w:rsid w:val="007F29D5"/>
    <w:rsid w:val="007F33F1"/>
    <w:rsid w:val="007F361A"/>
    <w:rsid w:val="007F37CA"/>
    <w:rsid w:val="007F3B52"/>
    <w:rsid w:val="007F3B75"/>
    <w:rsid w:val="007F3C34"/>
    <w:rsid w:val="007F452A"/>
    <w:rsid w:val="007F455B"/>
    <w:rsid w:val="007F471E"/>
    <w:rsid w:val="007F498C"/>
    <w:rsid w:val="007F51C5"/>
    <w:rsid w:val="007F52CC"/>
    <w:rsid w:val="007F5411"/>
    <w:rsid w:val="007F5901"/>
    <w:rsid w:val="007F5DFD"/>
    <w:rsid w:val="007F5EC8"/>
    <w:rsid w:val="007F6405"/>
    <w:rsid w:val="007F6DD2"/>
    <w:rsid w:val="007F6E1D"/>
    <w:rsid w:val="007F6EF6"/>
    <w:rsid w:val="007F7181"/>
    <w:rsid w:val="007F739E"/>
    <w:rsid w:val="007F740E"/>
    <w:rsid w:val="007F7859"/>
    <w:rsid w:val="007F7930"/>
    <w:rsid w:val="007F7AF9"/>
    <w:rsid w:val="007F7B4C"/>
    <w:rsid w:val="007F7BEC"/>
    <w:rsid w:val="007F7DCE"/>
    <w:rsid w:val="0080059D"/>
    <w:rsid w:val="008006A6"/>
    <w:rsid w:val="0080079D"/>
    <w:rsid w:val="008007A7"/>
    <w:rsid w:val="00800950"/>
    <w:rsid w:val="00800BFA"/>
    <w:rsid w:val="0080150F"/>
    <w:rsid w:val="00801B4E"/>
    <w:rsid w:val="00801B6F"/>
    <w:rsid w:val="00801C9E"/>
    <w:rsid w:val="00801EAC"/>
    <w:rsid w:val="00802162"/>
    <w:rsid w:val="00802348"/>
    <w:rsid w:val="00802540"/>
    <w:rsid w:val="00802AC3"/>
    <w:rsid w:val="00802B90"/>
    <w:rsid w:val="00802BE7"/>
    <w:rsid w:val="00802CD8"/>
    <w:rsid w:val="0080378E"/>
    <w:rsid w:val="008044F8"/>
    <w:rsid w:val="00804596"/>
    <w:rsid w:val="008049FB"/>
    <w:rsid w:val="00804DE6"/>
    <w:rsid w:val="00805170"/>
    <w:rsid w:val="00805277"/>
    <w:rsid w:val="008052C6"/>
    <w:rsid w:val="0080543C"/>
    <w:rsid w:val="00805DDF"/>
    <w:rsid w:val="00805F35"/>
    <w:rsid w:val="0080609E"/>
    <w:rsid w:val="00806305"/>
    <w:rsid w:val="008063BB"/>
    <w:rsid w:val="008069B7"/>
    <w:rsid w:val="00806A36"/>
    <w:rsid w:val="00806D42"/>
    <w:rsid w:val="008070F0"/>
    <w:rsid w:val="00807246"/>
    <w:rsid w:val="00807336"/>
    <w:rsid w:val="008073A2"/>
    <w:rsid w:val="00807665"/>
    <w:rsid w:val="0081021B"/>
    <w:rsid w:val="0081074A"/>
    <w:rsid w:val="008109FF"/>
    <w:rsid w:val="00810C52"/>
    <w:rsid w:val="00810ECD"/>
    <w:rsid w:val="00811340"/>
    <w:rsid w:val="008120C8"/>
    <w:rsid w:val="00812226"/>
    <w:rsid w:val="00812421"/>
    <w:rsid w:val="008124A7"/>
    <w:rsid w:val="00812EF1"/>
    <w:rsid w:val="00812F17"/>
    <w:rsid w:val="00813420"/>
    <w:rsid w:val="008134C1"/>
    <w:rsid w:val="00813608"/>
    <w:rsid w:val="00813CFD"/>
    <w:rsid w:val="00813DA4"/>
    <w:rsid w:val="00813DC8"/>
    <w:rsid w:val="00814151"/>
    <w:rsid w:val="008144C7"/>
    <w:rsid w:val="00814536"/>
    <w:rsid w:val="008149DB"/>
    <w:rsid w:val="00815404"/>
    <w:rsid w:val="0081556B"/>
    <w:rsid w:val="00815579"/>
    <w:rsid w:val="0081586A"/>
    <w:rsid w:val="00815882"/>
    <w:rsid w:val="008159B0"/>
    <w:rsid w:val="00816291"/>
    <w:rsid w:val="008163AF"/>
    <w:rsid w:val="00816510"/>
    <w:rsid w:val="00816893"/>
    <w:rsid w:val="00816A21"/>
    <w:rsid w:val="008170B6"/>
    <w:rsid w:val="008174FD"/>
    <w:rsid w:val="00817790"/>
    <w:rsid w:val="008201FA"/>
    <w:rsid w:val="008209D1"/>
    <w:rsid w:val="00820C28"/>
    <w:rsid w:val="00820E1B"/>
    <w:rsid w:val="00820FC4"/>
    <w:rsid w:val="00821574"/>
    <w:rsid w:val="008216D5"/>
    <w:rsid w:val="0082190D"/>
    <w:rsid w:val="00821BBC"/>
    <w:rsid w:val="008220B1"/>
    <w:rsid w:val="008226EB"/>
    <w:rsid w:val="00822AA7"/>
    <w:rsid w:val="00822B75"/>
    <w:rsid w:val="00823105"/>
    <w:rsid w:val="00823195"/>
    <w:rsid w:val="0082361C"/>
    <w:rsid w:val="00823871"/>
    <w:rsid w:val="00823922"/>
    <w:rsid w:val="00823C17"/>
    <w:rsid w:val="00823D71"/>
    <w:rsid w:val="00823F8E"/>
    <w:rsid w:val="008245C2"/>
    <w:rsid w:val="008245E5"/>
    <w:rsid w:val="00824DBA"/>
    <w:rsid w:val="00825028"/>
    <w:rsid w:val="008250B0"/>
    <w:rsid w:val="00826020"/>
    <w:rsid w:val="0082624D"/>
    <w:rsid w:val="00826259"/>
    <w:rsid w:val="00826B43"/>
    <w:rsid w:val="00826E84"/>
    <w:rsid w:val="00826FBE"/>
    <w:rsid w:val="008273BE"/>
    <w:rsid w:val="0082741F"/>
    <w:rsid w:val="008275A1"/>
    <w:rsid w:val="008275B4"/>
    <w:rsid w:val="008275E9"/>
    <w:rsid w:val="00827683"/>
    <w:rsid w:val="0082792D"/>
    <w:rsid w:val="00830231"/>
    <w:rsid w:val="00830630"/>
    <w:rsid w:val="00830B55"/>
    <w:rsid w:val="00830CB4"/>
    <w:rsid w:val="00830F13"/>
    <w:rsid w:val="00830F16"/>
    <w:rsid w:val="008313FC"/>
    <w:rsid w:val="008317EB"/>
    <w:rsid w:val="008318A2"/>
    <w:rsid w:val="008318C0"/>
    <w:rsid w:val="00831DE1"/>
    <w:rsid w:val="0083213C"/>
    <w:rsid w:val="00832450"/>
    <w:rsid w:val="008328F3"/>
    <w:rsid w:val="00832B43"/>
    <w:rsid w:val="00832BC9"/>
    <w:rsid w:val="00832C0F"/>
    <w:rsid w:val="00833223"/>
    <w:rsid w:val="00833236"/>
    <w:rsid w:val="0083328D"/>
    <w:rsid w:val="008335D9"/>
    <w:rsid w:val="00833627"/>
    <w:rsid w:val="00833C6B"/>
    <w:rsid w:val="008344DE"/>
    <w:rsid w:val="008344F3"/>
    <w:rsid w:val="0083477B"/>
    <w:rsid w:val="00834837"/>
    <w:rsid w:val="00834D75"/>
    <w:rsid w:val="00835007"/>
    <w:rsid w:val="0083515B"/>
    <w:rsid w:val="0083564D"/>
    <w:rsid w:val="00835B9E"/>
    <w:rsid w:val="00835CE6"/>
    <w:rsid w:val="00835FD8"/>
    <w:rsid w:val="008361AE"/>
    <w:rsid w:val="0083667E"/>
    <w:rsid w:val="00836986"/>
    <w:rsid w:val="00837530"/>
    <w:rsid w:val="00837532"/>
    <w:rsid w:val="00837A97"/>
    <w:rsid w:val="00837E1C"/>
    <w:rsid w:val="008401DC"/>
    <w:rsid w:val="008402B3"/>
    <w:rsid w:val="00840347"/>
    <w:rsid w:val="008405D8"/>
    <w:rsid w:val="00840728"/>
    <w:rsid w:val="00840861"/>
    <w:rsid w:val="00840D7E"/>
    <w:rsid w:val="00840E66"/>
    <w:rsid w:val="00840F85"/>
    <w:rsid w:val="0084100A"/>
    <w:rsid w:val="00841114"/>
    <w:rsid w:val="0084117C"/>
    <w:rsid w:val="00841746"/>
    <w:rsid w:val="00841BEA"/>
    <w:rsid w:val="00841D0C"/>
    <w:rsid w:val="00841D97"/>
    <w:rsid w:val="00841E38"/>
    <w:rsid w:val="00841F0D"/>
    <w:rsid w:val="00842430"/>
    <w:rsid w:val="008425FC"/>
    <w:rsid w:val="00842655"/>
    <w:rsid w:val="008428ED"/>
    <w:rsid w:val="00842971"/>
    <w:rsid w:val="00842989"/>
    <w:rsid w:val="00842BF3"/>
    <w:rsid w:val="00842C07"/>
    <w:rsid w:val="008431E2"/>
    <w:rsid w:val="008435C1"/>
    <w:rsid w:val="00843713"/>
    <w:rsid w:val="0084383F"/>
    <w:rsid w:val="008438D3"/>
    <w:rsid w:val="00843B05"/>
    <w:rsid w:val="00843B8B"/>
    <w:rsid w:val="008449BD"/>
    <w:rsid w:val="00844B7C"/>
    <w:rsid w:val="00844E8D"/>
    <w:rsid w:val="0084518B"/>
    <w:rsid w:val="00845418"/>
    <w:rsid w:val="00845ACA"/>
    <w:rsid w:val="008463F5"/>
    <w:rsid w:val="00847142"/>
    <w:rsid w:val="008471A5"/>
    <w:rsid w:val="008476FA"/>
    <w:rsid w:val="00847AF1"/>
    <w:rsid w:val="00847E30"/>
    <w:rsid w:val="008501C0"/>
    <w:rsid w:val="008501CC"/>
    <w:rsid w:val="00850633"/>
    <w:rsid w:val="00850AEA"/>
    <w:rsid w:val="00850E3A"/>
    <w:rsid w:val="00851159"/>
    <w:rsid w:val="00851862"/>
    <w:rsid w:val="008519CD"/>
    <w:rsid w:val="00851C6D"/>
    <w:rsid w:val="008524A6"/>
    <w:rsid w:val="0085254A"/>
    <w:rsid w:val="008525A8"/>
    <w:rsid w:val="008525F7"/>
    <w:rsid w:val="00852FF0"/>
    <w:rsid w:val="00853716"/>
    <w:rsid w:val="0085373B"/>
    <w:rsid w:val="00853D47"/>
    <w:rsid w:val="00853EFF"/>
    <w:rsid w:val="00854165"/>
    <w:rsid w:val="0085444E"/>
    <w:rsid w:val="008547B2"/>
    <w:rsid w:val="00854DB1"/>
    <w:rsid w:val="00854E2C"/>
    <w:rsid w:val="00854E8A"/>
    <w:rsid w:val="008553E9"/>
    <w:rsid w:val="00855414"/>
    <w:rsid w:val="0085564D"/>
    <w:rsid w:val="00855E6A"/>
    <w:rsid w:val="00855E6E"/>
    <w:rsid w:val="00855F2D"/>
    <w:rsid w:val="00855FAC"/>
    <w:rsid w:val="00856211"/>
    <w:rsid w:val="00856764"/>
    <w:rsid w:val="008568DF"/>
    <w:rsid w:val="00856C1F"/>
    <w:rsid w:val="00856F56"/>
    <w:rsid w:val="008570FC"/>
    <w:rsid w:val="0085719A"/>
    <w:rsid w:val="008571EC"/>
    <w:rsid w:val="008572FD"/>
    <w:rsid w:val="008575D7"/>
    <w:rsid w:val="008576AE"/>
    <w:rsid w:val="00857A76"/>
    <w:rsid w:val="00857AC1"/>
    <w:rsid w:val="00857CBD"/>
    <w:rsid w:val="008602E9"/>
    <w:rsid w:val="00860321"/>
    <w:rsid w:val="008604FF"/>
    <w:rsid w:val="00860B3B"/>
    <w:rsid w:val="00860E40"/>
    <w:rsid w:val="00860F04"/>
    <w:rsid w:val="008614CF"/>
    <w:rsid w:val="008616C3"/>
    <w:rsid w:val="00861831"/>
    <w:rsid w:val="008618E1"/>
    <w:rsid w:val="008618E3"/>
    <w:rsid w:val="008619AC"/>
    <w:rsid w:val="00861BCB"/>
    <w:rsid w:val="00861C76"/>
    <w:rsid w:val="00862415"/>
    <w:rsid w:val="00862425"/>
    <w:rsid w:val="008624F3"/>
    <w:rsid w:val="00862718"/>
    <w:rsid w:val="008627FB"/>
    <w:rsid w:val="00862A16"/>
    <w:rsid w:val="00862D8B"/>
    <w:rsid w:val="00863379"/>
    <w:rsid w:val="00863465"/>
    <w:rsid w:val="00863AD3"/>
    <w:rsid w:val="00864659"/>
    <w:rsid w:val="00864895"/>
    <w:rsid w:val="0086498D"/>
    <w:rsid w:val="008649D5"/>
    <w:rsid w:val="00864B08"/>
    <w:rsid w:val="00864E85"/>
    <w:rsid w:val="0086521C"/>
    <w:rsid w:val="00865672"/>
    <w:rsid w:val="008658EB"/>
    <w:rsid w:val="0086593E"/>
    <w:rsid w:val="00865A2A"/>
    <w:rsid w:val="008660C7"/>
    <w:rsid w:val="008663C0"/>
    <w:rsid w:val="0086663B"/>
    <w:rsid w:val="00866677"/>
    <w:rsid w:val="0086698C"/>
    <w:rsid w:val="00866FFE"/>
    <w:rsid w:val="0086737B"/>
    <w:rsid w:val="00867543"/>
    <w:rsid w:val="00867B01"/>
    <w:rsid w:val="00867F7A"/>
    <w:rsid w:val="00870191"/>
    <w:rsid w:val="0087034F"/>
    <w:rsid w:val="00870390"/>
    <w:rsid w:val="0087046E"/>
    <w:rsid w:val="00870D03"/>
    <w:rsid w:val="00870E07"/>
    <w:rsid w:val="008713DF"/>
    <w:rsid w:val="00871674"/>
    <w:rsid w:val="008716A6"/>
    <w:rsid w:val="008716BD"/>
    <w:rsid w:val="00871938"/>
    <w:rsid w:val="00871988"/>
    <w:rsid w:val="00871AB1"/>
    <w:rsid w:val="00871D20"/>
    <w:rsid w:val="00871E5E"/>
    <w:rsid w:val="00871F1D"/>
    <w:rsid w:val="00871F61"/>
    <w:rsid w:val="008728FC"/>
    <w:rsid w:val="008730B1"/>
    <w:rsid w:val="00873267"/>
    <w:rsid w:val="00873463"/>
    <w:rsid w:val="008734B4"/>
    <w:rsid w:val="00873ADA"/>
    <w:rsid w:val="00873AFA"/>
    <w:rsid w:val="00873C70"/>
    <w:rsid w:val="00873DE9"/>
    <w:rsid w:val="00873F5D"/>
    <w:rsid w:val="008740DD"/>
    <w:rsid w:val="00874681"/>
    <w:rsid w:val="008746FF"/>
    <w:rsid w:val="00874CED"/>
    <w:rsid w:val="00875081"/>
    <w:rsid w:val="0087517A"/>
    <w:rsid w:val="008757DF"/>
    <w:rsid w:val="0087581D"/>
    <w:rsid w:val="00875CFC"/>
    <w:rsid w:val="00875D09"/>
    <w:rsid w:val="0087619C"/>
    <w:rsid w:val="00876784"/>
    <w:rsid w:val="00876DE2"/>
    <w:rsid w:val="00876E57"/>
    <w:rsid w:val="00877700"/>
    <w:rsid w:val="008806FF"/>
    <w:rsid w:val="008808FE"/>
    <w:rsid w:val="00880A12"/>
    <w:rsid w:val="00881344"/>
    <w:rsid w:val="008813E6"/>
    <w:rsid w:val="00881472"/>
    <w:rsid w:val="008816E0"/>
    <w:rsid w:val="00881882"/>
    <w:rsid w:val="00881BFC"/>
    <w:rsid w:val="00881DFB"/>
    <w:rsid w:val="00882446"/>
    <w:rsid w:val="008824B8"/>
    <w:rsid w:val="008825AA"/>
    <w:rsid w:val="00882CD9"/>
    <w:rsid w:val="00883066"/>
    <w:rsid w:val="00883330"/>
    <w:rsid w:val="008833AC"/>
    <w:rsid w:val="0088384D"/>
    <w:rsid w:val="00883B31"/>
    <w:rsid w:val="00883CC6"/>
    <w:rsid w:val="00883E14"/>
    <w:rsid w:val="008840EC"/>
    <w:rsid w:val="00884585"/>
    <w:rsid w:val="00884621"/>
    <w:rsid w:val="008849FD"/>
    <w:rsid w:val="00884A02"/>
    <w:rsid w:val="00884C4C"/>
    <w:rsid w:val="00884CE3"/>
    <w:rsid w:val="00884D06"/>
    <w:rsid w:val="00884EA1"/>
    <w:rsid w:val="00885907"/>
    <w:rsid w:val="00885C63"/>
    <w:rsid w:val="00885D1A"/>
    <w:rsid w:val="00886296"/>
    <w:rsid w:val="008864A4"/>
    <w:rsid w:val="008864FF"/>
    <w:rsid w:val="008866BC"/>
    <w:rsid w:val="008866C4"/>
    <w:rsid w:val="00886935"/>
    <w:rsid w:val="0088698C"/>
    <w:rsid w:val="008869C6"/>
    <w:rsid w:val="00886DA6"/>
    <w:rsid w:val="00886EBB"/>
    <w:rsid w:val="00886EBC"/>
    <w:rsid w:val="0088742A"/>
    <w:rsid w:val="00887DB9"/>
    <w:rsid w:val="00887F9B"/>
    <w:rsid w:val="00890144"/>
    <w:rsid w:val="008903BA"/>
    <w:rsid w:val="008906AD"/>
    <w:rsid w:val="00890725"/>
    <w:rsid w:val="008907A8"/>
    <w:rsid w:val="00890961"/>
    <w:rsid w:val="00890B35"/>
    <w:rsid w:val="00890D2F"/>
    <w:rsid w:val="00890ED2"/>
    <w:rsid w:val="00890EDC"/>
    <w:rsid w:val="008911D3"/>
    <w:rsid w:val="008916E3"/>
    <w:rsid w:val="008918AA"/>
    <w:rsid w:val="00891BF9"/>
    <w:rsid w:val="00891CBD"/>
    <w:rsid w:val="00891ED4"/>
    <w:rsid w:val="008922AA"/>
    <w:rsid w:val="008924B1"/>
    <w:rsid w:val="00892C3F"/>
    <w:rsid w:val="00893260"/>
    <w:rsid w:val="0089337B"/>
    <w:rsid w:val="00893ED8"/>
    <w:rsid w:val="00893F9B"/>
    <w:rsid w:val="0089428C"/>
    <w:rsid w:val="008945D1"/>
    <w:rsid w:val="00894612"/>
    <w:rsid w:val="00894A7B"/>
    <w:rsid w:val="00894AE4"/>
    <w:rsid w:val="00894C0A"/>
    <w:rsid w:val="00894D2B"/>
    <w:rsid w:val="00894E83"/>
    <w:rsid w:val="00894F8D"/>
    <w:rsid w:val="00894FB1"/>
    <w:rsid w:val="00894FE6"/>
    <w:rsid w:val="0089502D"/>
    <w:rsid w:val="008954B4"/>
    <w:rsid w:val="00895826"/>
    <w:rsid w:val="00895CD3"/>
    <w:rsid w:val="00895FF0"/>
    <w:rsid w:val="0089638A"/>
    <w:rsid w:val="00896997"/>
    <w:rsid w:val="00896D37"/>
    <w:rsid w:val="00896D5F"/>
    <w:rsid w:val="00896D68"/>
    <w:rsid w:val="00897698"/>
    <w:rsid w:val="00897729"/>
    <w:rsid w:val="00897DD9"/>
    <w:rsid w:val="008A0043"/>
    <w:rsid w:val="008A0448"/>
    <w:rsid w:val="008A0846"/>
    <w:rsid w:val="008A090B"/>
    <w:rsid w:val="008A0C03"/>
    <w:rsid w:val="008A0DAE"/>
    <w:rsid w:val="008A0DFB"/>
    <w:rsid w:val="008A1E16"/>
    <w:rsid w:val="008A2042"/>
    <w:rsid w:val="008A2119"/>
    <w:rsid w:val="008A2207"/>
    <w:rsid w:val="008A23B2"/>
    <w:rsid w:val="008A2494"/>
    <w:rsid w:val="008A2675"/>
    <w:rsid w:val="008A2711"/>
    <w:rsid w:val="008A2899"/>
    <w:rsid w:val="008A2BC9"/>
    <w:rsid w:val="008A2F20"/>
    <w:rsid w:val="008A31CB"/>
    <w:rsid w:val="008A369C"/>
    <w:rsid w:val="008A387C"/>
    <w:rsid w:val="008A3C61"/>
    <w:rsid w:val="008A3CBD"/>
    <w:rsid w:val="008A3FCE"/>
    <w:rsid w:val="008A4272"/>
    <w:rsid w:val="008A42D3"/>
    <w:rsid w:val="008A46A4"/>
    <w:rsid w:val="008A46E2"/>
    <w:rsid w:val="008A472B"/>
    <w:rsid w:val="008A4B18"/>
    <w:rsid w:val="008A4C08"/>
    <w:rsid w:val="008A4C54"/>
    <w:rsid w:val="008A4EC7"/>
    <w:rsid w:val="008A5654"/>
    <w:rsid w:val="008A5BEB"/>
    <w:rsid w:val="008A6055"/>
    <w:rsid w:val="008A60FA"/>
    <w:rsid w:val="008A6152"/>
    <w:rsid w:val="008A63B6"/>
    <w:rsid w:val="008A689B"/>
    <w:rsid w:val="008A6D0E"/>
    <w:rsid w:val="008A7129"/>
    <w:rsid w:val="008A7177"/>
    <w:rsid w:val="008A71E9"/>
    <w:rsid w:val="008A744D"/>
    <w:rsid w:val="008A74FD"/>
    <w:rsid w:val="008A7AFB"/>
    <w:rsid w:val="008B064D"/>
    <w:rsid w:val="008B128C"/>
    <w:rsid w:val="008B1441"/>
    <w:rsid w:val="008B1969"/>
    <w:rsid w:val="008B19B9"/>
    <w:rsid w:val="008B1C31"/>
    <w:rsid w:val="008B1E69"/>
    <w:rsid w:val="008B2529"/>
    <w:rsid w:val="008B27F3"/>
    <w:rsid w:val="008B2875"/>
    <w:rsid w:val="008B35DC"/>
    <w:rsid w:val="008B38F1"/>
    <w:rsid w:val="008B3AC6"/>
    <w:rsid w:val="008B3B23"/>
    <w:rsid w:val="008B3C04"/>
    <w:rsid w:val="008B3D09"/>
    <w:rsid w:val="008B3D53"/>
    <w:rsid w:val="008B44C6"/>
    <w:rsid w:val="008B4586"/>
    <w:rsid w:val="008B4725"/>
    <w:rsid w:val="008B488C"/>
    <w:rsid w:val="008B4F56"/>
    <w:rsid w:val="008B5AE3"/>
    <w:rsid w:val="008B5BEE"/>
    <w:rsid w:val="008B5EA0"/>
    <w:rsid w:val="008B6116"/>
    <w:rsid w:val="008B6700"/>
    <w:rsid w:val="008B6A65"/>
    <w:rsid w:val="008B6BDB"/>
    <w:rsid w:val="008B6E35"/>
    <w:rsid w:val="008B6EBE"/>
    <w:rsid w:val="008B77D8"/>
    <w:rsid w:val="008B7920"/>
    <w:rsid w:val="008B7924"/>
    <w:rsid w:val="008B7D94"/>
    <w:rsid w:val="008C02A9"/>
    <w:rsid w:val="008C055C"/>
    <w:rsid w:val="008C0862"/>
    <w:rsid w:val="008C08B5"/>
    <w:rsid w:val="008C0B48"/>
    <w:rsid w:val="008C0D07"/>
    <w:rsid w:val="008C18D4"/>
    <w:rsid w:val="008C1957"/>
    <w:rsid w:val="008C1B95"/>
    <w:rsid w:val="008C1C59"/>
    <w:rsid w:val="008C1D3A"/>
    <w:rsid w:val="008C2178"/>
    <w:rsid w:val="008C22D5"/>
    <w:rsid w:val="008C28FC"/>
    <w:rsid w:val="008C29E6"/>
    <w:rsid w:val="008C2CCD"/>
    <w:rsid w:val="008C3211"/>
    <w:rsid w:val="008C34E5"/>
    <w:rsid w:val="008C36EB"/>
    <w:rsid w:val="008C39B8"/>
    <w:rsid w:val="008C3EB2"/>
    <w:rsid w:val="008C4120"/>
    <w:rsid w:val="008C4345"/>
    <w:rsid w:val="008C486F"/>
    <w:rsid w:val="008C4B1A"/>
    <w:rsid w:val="008C4B70"/>
    <w:rsid w:val="008C4B97"/>
    <w:rsid w:val="008C4CC5"/>
    <w:rsid w:val="008C5204"/>
    <w:rsid w:val="008C5284"/>
    <w:rsid w:val="008C5B06"/>
    <w:rsid w:val="008C67ED"/>
    <w:rsid w:val="008C691C"/>
    <w:rsid w:val="008C6FB1"/>
    <w:rsid w:val="008C6FBF"/>
    <w:rsid w:val="008C7152"/>
    <w:rsid w:val="008C7346"/>
    <w:rsid w:val="008C73BD"/>
    <w:rsid w:val="008C7695"/>
    <w:rsid w:val="008C76A6"/>
    <w:rsid w:val="008C7857"/>
    <w:rsid w:val="008C796F"/>
    <w:rsid w:val="008C7C39"/>
    <w:rsid w:val="008C7D6B"/>
    <w:rsid w:val="008C7F58"/>
    <w:rsid w:val="008D0055"/>
    <w:rsid w:val="008D0349"/>
    <w:rsid w:val="008D0D22"/>
    <w:rsid w:val="008D0D70"/>
    <w:rsid w:val="008D0F60"/>
    <w:rsid w:val="008D0F82"/>
    <w:rsid w:val="008D17F0"/>
    <w:rsid w:val="008D18E7"/>
    <w:rsid w:val="008D1B94"/>
    <w:rsid w:val="008D1C8F"/>
    <w:rsid w:val="008D20D9"/>
    <w:rsid w:val="008D26B0"/>
    <w:rsid w:val="008D2CF5"/>
    <w:rsid w:val="008D34B0"/>
    <w:rsid w:val="008D3500"/>
    <w:rsid w:val="008D37C8"/>
    <w:rsid w:val="008D3C50"/>
    <w:rsid w:val="008D403E"/>
    <w:rsid w:val="008D4376"/>
    <w:rsid w:val="008D47E9"/>
    <w:rsid w:val="008D48BE"/>
    <w:rsid w:val="008D4D07"/>
    <w:rsid w:val="008D4D6E"/>
    <w:rsid w:val="008D5093"/>
    <w:rsid w:val="008D5FF0"/>
    <w:rsid w:val="008D619E"/>
    <w:rsid w:val="008D6551"/>
    <w:rsid w:val="008D66D1"/>
    <w:rsid w:val="008D67C7"/>
    <w:rsid w:val="008D68AF"/>
    <w:rsid w:val="008D6C74"/>
    <w:rsid w:val="008D77C9"/>
    <w:rsid w:val="008D78EB"/>
    <w:rsid w:val="008D7922"/>
    <w:rsid w:val="008D7BA9"/>
    <w:rsid w:val="008D7C3B"/>
    <w:rsid w:val="008D7E1F"/>
    <w:rsid w:val="008E013C"/>
    <w:rsid w:val="008E01A2"/>
    <w:rsid w:val="008E01FE"/>
    <w:rsid w:val="008E027F"/>
    <w:rsid w:val="008E0445"/>
    <w:rsid w:val="008E051E"/>
    <w:rsid w:val="008E0528"/>
    <w:rsid w:val="008E0588"/>
    <w:rsid w:val="008E0A26"/>
    <w:rsid w:val="008E0B00"/>
    <w:rsid w:val="008E0E48"/>
    <w:rsid w:val="008E108E"/>
    <w:rsid w:val="008E143B"/>
    <w:rsid w:val="008E157C"/>
    <w:rsid w:val="008E1758"/>
    <w:rsid w:val="008E188F"/>
    <w:rsid w:val="008E1CD1"/>
    <w:rsid w:val="008E20FB"/>
    <w:rsid w:val="008E22DE"/>
    <w:rsid w:val="008E25C6"/>
    <w:rsid w:val="008E2631"/>
    <w:rsid w:val="008E2C6A"/>
    <w:rsid w:val="008E2C95"/>
    <w:rsid w:val="008E2E85"/>
    <w:rsid w:val="008E357B"/>
    <w:rsid w:val="008E362B"/>
    <w:rsid w:val="008E3634"/>
    <w:rsid w:val="008E3923"/>
    <w:rsid w:val="008E39A1"/>
    <w:rsid w:val="008E3C93"/>
    <w:rsid w:val="008E3D7E"/>
    <w:rsid w:val="008E3EEA"/>
    <w:rsid w:val="008E4B19"/>
    <w:rsid w:val="008E4D7F"/>
    <w:rsid w:val="008E514D"/>
    <w:rsid w:val="008E5171"/>
    <w:rsid w:val="008E5884"/>
    <w:rsid w:val="008E59D0"/>
    <w:rsid w:val="008E5BA9"/>
    <w:rsid w:val="008E5D4D"/>
    <w:rsid w:val="008E62D9"/>
    <w:rsid w:val="008E634E"/>
    <w:rsid w:val="008E689F"/>
    <w:rsid w:val="008E6941"/>
    <w:rsid w:val="008E6D91"/>
    <w:rsid w:val="008E6DA4"/>
    <w:rsid w:val="008E6EA3"/>
    <w:rsid w:val="008E7822"/>
    <w:rsid w:val="008E7A21"/>
    <w:rsid w:val="008E7D93"/>
    <w:rsid w:val="008E7DD1"/>
    <w:rsid w:val="008E7FA1"/>
    <w:rsid w:val="008F0170"/>
    <w:rsid w:val="008F01F6"/>
    <w:rsid w:val="008F0582"/>
    <w:rsid w:val="008F0739"/>
    <w:rsid w:val="008F087B"/>
    <w:rsid w:val="008F08D8"/>
    <w:rsid w:val="008F0DA6"/>
    <w:rsid w:val="008F1171"/>
    <w:rsid w:val="008F183A"/>
    <w:rsid w:val="008F1E5E"/>
    <w:rsid w:val="008F1F82"/>
    <w:rsid w:val="008F2162"/>
    <w:rsid w:val="008F23B2"/>
    <w:rsid w:val="008F2674"/>
    <w:rsid w:val="008F2BF2"/>
    <w:rsid w:val="008F2EBF"/>
    <w:rsid w:val="008F3030"/>
    <w:rsid w:val="008F3819"/>
    <w:rsid w:val="008F38D3"/>
    <w:rsid w:val="008F3A72"/>
    <w:rsid w:val="008F3D0C"/>
    <w:rsid w:val="008F4DDD"/>
    <w:rsid w:val="008F4E3A"/>
    <w:rsid w:val="008F53B5"/>
    <w:rsid w:val="008F53FC"/>
    <w:rsid w:val="008F59A8"/>
    <w:rsid w:val="008F5DC3"/>
    <w:rsid w:val="008F6137"/>
    <w:rsid w:val="008F63DB"/>
    <w:rsid w:val="008F64F5"/>
    <w:rsid w:val="008F6732"/>
    <w:rsid w:val="008F6840"/>
    <w:rsid w:val="008F6BB3"/>
    <w:rsid w:val="008F7067"/>
    <w:rsid w:val="008F72B5"/>
    <w:rsid w:val="008F734B"/>
    <w:rsid w:val="008F76B2"/>
    <w:rsid w:val="008F7C28"/>
    <w:rsid w:val="0090004B"/>
    <w:rsid w:val="00900077"/>
    <w:rsid w:val="00900432"/>
    <w:rsid w:val="00900479"/>
    <w:rsid w:val="0090047B"/>
    <w:rsid w:val="009007E2"/>
    <w:rsid w:val="00900D33"/>
    <w:rsid w:val="00900ED8"/>
    <w:rsid w:val="0090153B"/>
    <w:rsid w:val="009015E1"/>
    <w:rsid w:val="0090193D"/>
    <w:rsid w:val="00901A5E"/>
    <w:rsid w:val="00901C9B"/>
    <w:rsid w:val="00901CEC"/>
    <w:rsid w:val="009026BC"/>
    <w:rsid w:val="00902EAE"/>
    <w:rsid w:val="00903492"/>
    <w:rsid w:val="00903645"/>
    <w:rsid w:val="009039EC"/>
    <w:rsid w:val="00903F4D"/>
    <w:rsid w:val="00904075"/>
    <w:rsid w:val="009044CC"/>
    <w:rsid w:val="00904757"/>
    <w:rsid w:val="009047DF"/>
    <w:rsid w:val="009048CB"/>
    <w:rsid w:val="009057F7"/>
    <w:rsid w:val="0090597B"/>
    <w:rsid w:val="009059F8"/>
    <w:rsid w:val="00905BBB"/>
    <w:rsid w:val="00905D0F"/>
    <w:rsid w:val="00906712"/>
    <w:rsid w:val="009068E0"/>
    <w:rsid w:val="00906B04"/>
    <w:rsid w:val="00906FD2"/>
    <w:rsid w:val="009071F6"/>
    <w:rsid w:val="009074B6"/>
    <w:rsid w:val="009076FF"/>
    <w:rsid w:val="00907B2B"/>
    <w:rsid w:val="00907B4C"/>
    <w:rsid w:val="00907BDB"/>
    <w:rsid w:val="00907D32"/>
    <w:rsid w:val="00907D7A"/>
    <w:rsid w:val="00907DE3"/>
    <w:rsid w:val="00907E5B"/>
    <w:rsid w:val="00907E6F"/>
    <w:rsid w:val="009107AD"/>
    <w:rsid w:val="00910BA0"/>
    <w:rsid w:val="009116A9"/>
    <w:rsid w:val="00911A6B"/>
    <w:rsid w:val="00911D4E"/>
    <w:rsid w:val="00912297"/>
    <w:rsid w:val="009125F6"/>
    <w:rsid w:val="00912A72"/>
    <w:rsid w:val="00913620"/>
    <w:rsid w:val="00913849"/>
    <w:rsid w:val="00913D35"/>
    <w:rsid w:val="009142A9"/>
    <w:rsid w:val="0091466B"/>
    <w:rsid w:val="00914C6D"/>
    <w:rsid w:val="00914D0F"/>
    <w:rsid w:val="00914D94"/>
    <w:rsid w:val="00914EE5"/>
    <w:rsid w:val="00915102"/>
    <w:rsid w:val="009155B0"/>
    <w:rsid w:val="009156A4"/>
    <w:rsid w:val="00915890"/>
    <w:rsid w:val="00916303"/>
    <w:rsid w:val="009165F1"/>
    <w:rsid w:val="0091728B"/>
    <w:rsid w:val="00917C28"/>
    <w:rsid w:val="0092005F"/>
    <w:rsid w:val="00920452"/>
    <w:rsid w:val="0092050E"/>
    <w:rsid w:val="00920974"/>
    <w:rsid w:val="00920AC1"/>
    <w:rsid w:val="00920FC9"/>
    <w:rsid w:val="00921376"/>
    <w:rsid w:val="00921632"/>
    <w:rsid w:val="009217F8"/>
    <w:rsid w:val="00921EC2"/>
    <w:rsid w:val="00922135"/>
    <w:rsid w:val="009223B4"/>
    <w:rsid w:val="009224E1"/>
    <w:rsid w:val="009224FC"/>
    <w:rsid w:val="009228AB"/>
    <w:rsid w:val="00922B1B"/>
    <w:rsid w:val="00922B5D"/>
    <w:rsid w:val="00923234"/>
    <w:rsid w:val="00923333"/>
    <w:rsid w:val="009233D6"/>
    <w:rsid w:val="0092378F"/>
    <w:rsid w:val="009237BA"/>
    <w:rsid w:val="00923847"/>
    <w:rsid w:val="00923955"/>
    <w:rsid w:val="00924076"/>
    <w:rsid w:val="0092410F"/>
    <w:rsid w:val="00924562"/>
    <w:rsid w:val="00924CDC"/>
    <w:rsid w:val="00924D47"/>
    <w:rsid w:val="00924E75"/>
    <w:rsid w:val="009251E2"/>
    <w:rsid w:val="0092533D"/>
    <w:rsid w:val="0092555D"/>
    <w:rsid w:val="00925928"/>
    <w:rsid w:val="0092595C"/>
    <w:rsid w:val="009259DB"/>
    <w:rsid w:val="00925B5F"/>
    <w:rsid w:val="00925C4B"/>
    <w:rsid w:val="009260E1"/>
    <w:rsid w:val="00926418"/>
    <w:rsid w:val="0092648A"/>
    <w:rsid w:val="009265E3"/>
    <w:rsid w:val="0092669A"/>
    <w:rsid w:val="009269D7"/>
    <w:rsid w:val="00926DA5"/>
    <w:rsid w:val="00926E97"/>
    <w:rsid w:val="00926EAB"/>
    <w:rsid w:val="00926F72"/>
    <w:rsid w:val="0092709A"/>
    <w:rsid w:val="00927166"/>
    <w:rsid w:val="009279A3"/>
    <w:rsid w:val="00927B2E"/>
    <w:rsid w:val="00927D8B"/>
    <w:rsid w:val="00927EBA"/>
    <w:rsid w:val="009303B3"/>
    <w:rsid w:val="0093078D"/>
    <w:rsid w:val="009309BB"/>
    <w:rsid w:val="00930A95"/>
    <w:rsid w:val="00930B6E"/>
    <w:rsid w:val="00930D5A"/>
    <w:rsid w:val="00931165"/>
    <w:rsid w:val="0093135D"/>
    <w:rsid w:val="009314C1"/>
    <w:rsid w:val="0093156D"/>
    <w:rsid w:val="009316B4"/>
    <w:rsid w:val="00931929"/>
    <w:rsid w:val="009319BE"/>
    <w:rsid w:val="00931A98"/>
    <w:rsid w:val="00931F07"/>
    <w:rsid w:val="00931FBD"/>
    <w:rsid w:val="00932174"/>
    <w:rsid w:val="00932536"/>
    <w:rsid w:val="00932665"/>
    <w:rsid w:val="009326E5"/>
    <w:rsid w:val="0093291D"/>
    <w:rsid w:val="009329AA"/>
    <w:rsid w:val="00932D37"/>
    <w:rsid w:val="00932D67"/>
    <w:rsid w:val="00933170"/>
    <w:rsid w:val="0093324D"/>
    <w:rsid w:val="00933649"/>
    <w:rsid w:val="0093381F"/>
    <w:rsid w:val="00933F36"/>
    <w:rsid w:val="0093407D"/>
    <w:rsid w:val="009340C4"/>
    <w:rsid w:val="0093426A"/>
    <w:rsid w:val="009343AD"/>
    <w:rsid w:val="009344FF"/>
    <w:rsid w:val="009349F4"/>
    <w:rsid w:val="00934E3A"/>
    <w:rsid w:val="009351C4"/>
    <w:rsid w:val="009355AB"/>
    <w:rsid w:val="00935624"/>
    <w:rsid w:val="00935713"/>
    <w:rsid w:val="00935729"/>
    <w:rsid w:val="00935857"/>
    <w:rsid w:val="009358AB"/>
    <w:rsid w:val="0093592F"/>
    <w:rsid w:val="00935A20"/>
    <w:rsid w:val="00935B41"/>
    <w:rsid w:val="00935B72"/>
    <w:rsid w:val="00935C78"/>
    <w:rsid w:val="00935CEF"/>
    <w:rsid w:val="00935D43"/>
    <w:rsid w:val="00935F5C"/>
    <w:rsid w:val="00936513"/>
    <w:rsid w:val="00936C20"/>
    <w:rsid w:val="00936DF0"/>
    <w:rsid w:val="00937034"/>
    <w:rsid w:val="009375FC"/>
    <w:rsid w:val="00937640"/>
    <w:rsid w:val="009377F7"/>
    <w:rsid w:val="0094001A"/>
    <w:rsid w:val="0094055E"/>
    <w:rsid w:val="0094056C"/>
    <w:rsid w:val="009407D0"/>
    <w:rsid w:val="00940C9E"/>
    <w:rsid w:val="00940CD6"/>
    <w:rsid w:val="00940EDE"/>
    <w:rsid w:val="0094126F"/>
    <w:rsid w:val="00941750"/>
    <w:rsid w:val="00941BA9"/>
    <w:rsid w:val="00941C1B"/>
    <w:rsid w:val="00941D18"/>
    <w:rsid w:val="00941F81"/>
    <w:rsid w:val="009425EF"/>
    <w:rsid w:val="00942F31"/>
    <w:rsid w:val="0094318D"/>
    <w:rsid w:val="009433DA"/>
    <w:rsid w:val="009433DC"/>
    <w:rsid w:val="009435DC"/>
    <w:rsid w:val="00943B6C"/>
    <w:rsid w:val="00943C39"/>
    <w:rsid w:val="00943D2D"/>
    <w:rsid w:val="00943D76"/>
    <w:rsid w:val="00943E45"/>
    <w:rsid w:val="00943FD8"/>
    <w:rsid w:val="009448D7"/>
    <w:rsid w:val="00944E6D"/>
    <w:rsid w:val="00945004"/>
    <w:rsid w:val="009455E7"/>
    <w:rsid w:val="0094572E"/>
    <w:rsid w:val="00945CF7"/>
    <w:rsid w:val="00945D23"/>
    <w:rsid w:val="00945F53"/>
    <w:rsid w:val="00945FA3"/>
    <w:rsid w:val="00946212"/>
    <w:rsid w:val="0094657B"/>
    <w:rsid w:val="0094660C"/>
    <w:rsid w:val="00946871"/>
    <w:rsid w:val="00946BD6"/>
    <w:rsid w:val="00946D8D"/>
    <w:rsid w:val="0094715E"/>
    <w:rsid w:val="009471CF"/>
    <w:rsid w:val="0094756B"/>
    <w:rsid w:val="0094758F"/>
    <w:rsid w:val="0094782E"/>
    <w:rsid w:val="0095003D"/>
    <w:rsid w:val="009500E4"/>
    <w:rsid w:val="00950556"/>
    <w:rsid w:val="0095076F"/>
    <w:rsid w:val="009507A5"/>
    <w:rsid w:val="00950828"/>
    <w:rsid w:val="00950FEE"/>
    <w:rsid w:val="009510E8"/>
    <w:rsid w:val="009511E5"/>
    <w:rsid w:val="00951458"/>
    <w:rsid w:val="009517A5"/>
    <w:rsid w:val="0095189F"/>
    <w:rsid w:val="009518C6"/>
    <w:rsid w:val="00951A10"/>
    <w:rsid w:val="00951B30"/>
    <w:rsid w:val="00951B6B"/>
    <w:rsid w:val="00951C08"/>
    <w:rsid w:val="00951DC0"/>
    <w:rsid w:val="00951E0E"/>
    <w:rsid w:val="00951FC7"/>
    <w:rsid w:val="00952117"/>
    <w:rsid w:val="009523DD"/>
    <w:rsid w:val="0095258C"/>
    <w:rsid w:val="009526E8"/>
    <w:rsid w:val="00952A62"/>
    <w:rsid w:val="00952C44"/>
    <w:rsid w:val="00952F07"/>
    <w:rsid w:val="00952F14"/>
    <w:rsid w:val="009530EE"/>
    <w:rsid w:val="009537B9"/>
    <w:rsid w:val="0095400C"/>
    <w:rsid w:val="0095412E"/>
    <w:rsid w:val="0095424F"/>
    <w:rsid w:val="00954383"/>
    <w:rsid w:val="00954627"/>
    <w:rsid w:val="00954702"/>
    <w:rsid w:val="00954D79"/>
    <w:rsid w:val="00954F27"/>
    <w:rsid w:val="00955021"/>
    <w:rsid w:val="00955520"/>
    <w:rsid w:val="00955A8C"/>
    <w:rsid w:val="00955C58"/>
    <w:rsid w:val="00955DD1"/>
    <w:rsid w:val="00956075"/>
    <w:rsid w:val="009560FA"/>
    <w:rsid w:val="00956A6B"/>
    <w:rsid w:val="00956C1B"/>
    <w:rsid w:val="00956C49"/>
    <w:rsid w:val="00956C9B"/>
    <w:rsid w:val="00956E2D"/>
    <w:rsid w:val="0095719C"/>
    <w:rsid w:val="009573F8"/>
    <w:rsid w:val="00957422"/>
    <w:rsid w:val="00957782"/>
    <w:rsid w:val="00957817"/>
    <w:rsid w:val="00957A48"/>
    <w:rsid w:val="00957D0E"/>
    <w:rsid w:val="00957F85"/>
    <w:rsid w:val="00957FC8"/>
    <w:rsid w:val="009602A3"/>
    <w:rsid w:val="0096068A"/>
    <w:rsid w:val="009607A8"/>
    <w:rsid w:val="0096095E"/>
    <w:rsid w:val="0096097E"/>
    <w:rsid w:val="00960CE1"/>
    <w:rsid w:val="009613B1"/>
    <w:rsid w:val="00961D54"/>
    <w:rsid w:val="00962174"/>
    <w:rsid w:val="009626ED"/>
    <w:rsid w:val="00962983"/>
    <w:rsid w:val="00962BD7"/>
    <w:rsid w:val="00962C47"/>
    <w:rsid w:val="00962D04"/>
    <w:rsid w:val="00962D77"/>
    <w:rsid w:val="00963467"/>
    <w:rsid w:val="009639EA"/>
    <w:rsid w:val="00963A34"/>
    <w:rsid w:val="00963B2D"/>
    <w:rsid w:val="00963BFB"/>
    <w:rsid w:val="00964328"/>
    <w:rsid w:val="009644F6"/>
    <w:rsid w:val="009648F3"/>
    <w:rsid w:val="00964C6C"/>
    <w:rsid w:val="00965358"/>
    <w:rsid w:val="00965492"/>
    <w:rsid w:val="009655B6"/>
    <w:rsid w:val="00965B8C"/>
    <w:rsid w:val="00966102"/>
    <w:rsid w:val="00966A65"/>
    <w:rsid w:val="009674C5"/>
    <w:rsid w:val="00967A5E"/>
    <w:rsid w:val="00967B22"/>
    <w:rsid w:val="00967B4C"/>
    <w:rsid w:val="0097003E"/>
    <w:rsid w:val="00970750"/>
    <w:rsid w:val="00970E86"/>
    <w:rsid w:val="00971036"/>
    <w:rsid w:val="00971156"/>
    <w:rsid w:val="00971288"/>
    <w:rsid w:val="009714E9"/>
    <w:rsid w:val="009719A9"/>
    <w:rsid w:val="00971FD6"/>
    <w:rsid w:val="00972E99"/>
    <w:rsid w:val="0097300C"/>
    <w:rsid w:val="00973172"/>
    <w:rsid w:val="0097324D"/>
    <w:rsid w:val="009735B1"/>
    <w:rsid w:val="00973F9C"/>
    <w:rsid w:val="0097408F"/>
    <w:rsid w:val="009744A9"/>
    <w:rsid w:val="0097461F"/>
    <w:rsid w:val="00974685"/>
    <w:rsid w:val="009746A5"/>
    <w:rsid w:val="009746CA"/>
    <w:rsid w:val="009747A1"/>
    <w:rsid w:val="00974B74"/>
    <w:rsid w:val="00974DDE"/>
    <w:rsid w:val="00975056"/>
    <w:rsid w:val="009752F1"/>
    <w:rsid w:val="0097600A"/>
    <w:rsid w:val="009761A3"/>
    <w:rsid w:val="0097693B"/>
    <w:rsid w:val="00976D2D"/>
    <w:rsid w:val="00976DD6"/>
    <w:rsid w:val="00976E63"/>
    <w:rsid w:val="00976F8D"/>
    <w:rsid w:val="0097763E"/>
    <w:rsid w:val="009776DC"/>
    <w:rsid w:val="00977A49"/>
    <w:rsid w:val="00977A6D"/>
    <w:rsid w:val="00977EC4"/>
    <w:rsid w:val="009801FC"/>
    <w:rsid w:val="009805D7"/>
    <w:rsid w:val="009806B5"/>
    <w:rsid w:val="009807C8"/>
    <w:rsid w:val="00980B59"/>
    <w:rsid w:val="00980F11"/>
    <w:rsid w:val="00980FCC"/>
    <w:rsid w:val="0098123D"/>
    <w:rsid w:val="00981331"/>
    <w:rsid w:val="00981758"/>
    <w:rsid w:val="00982602"/>
    <w:rsid w:val="00982702"/>
    <w:rsid w:val="009829C9"/>
    <w:rsid w:val="009830F5"/>
    <w:rsid w:val="00983211"/>
    <w:rsid w:val="009834C9"/>
    <w:rsid w:val="009834E3"/>
    <w:rsid w:val="0098358A"/>
    <w:rsid w:val="0098394C"/>
    <w:rsid w:val="00983AEB"/>
    <w:rsid w:val="00984110"/>
    <w:rsid w:val="009842B9"/>
    <w:rsid w:val="00984380"/>
    <w:rsid w:val="00984575"/>
    <w:rsid w:val="009852B0"/>
    <w:rsid w:val="00985364"/>
    <w:rsid w:val="00985494"/>
    <w:rsid w:val="00985BB5"/>
    <w:rsid w:val="00985BFB"/>
    <w:rsid w:val="00985C23"/>
    <w:rsid w:val="00985D99"/>
    <w:rsid w:val="00985EBB"/>
    <w:rsid w:val="00985F8E"/>
    <w:rsid w:val="00985F8F"/>
    <w:rsid w:val="00986010"/>
    <w:rsid w:val="0098603D"/>
    <w:rsid w:val="0098627B"/>
    <w:rsid w:val="0098672E"/>
    <w:rsid w:val="00986B0D"/>
    <w:rsid w:val="00986B15"/>
    <w:rsid w:val="00986CDD"/>
    <w:rsid w:val="00986DE6"/>
    <w:rsid w:val="00986E02"/>
    <w:rsid w:val="009872E5"/>
    <w:rsid w:val="00987BC6"/>
    <w:rsid w:val="00987F06"/>
    <w:rsid w:val="009900AC"/>
    <w:rsid w:val="00990249"/>
    <w:rsid w:val="0099058F"/>
    <w:rsid w:val="00990904"/>
    <w:rsid w:val="0099140C"/>
    <w:rsid w:val="009914A7"/>
    <w:rsid w:val="00991A6E"/>
    <w:rsid w:val="00991AD5"/>
    <w:rsid w:val="00991EB1"/>
    <w:rsid w:val="00991ED7"/>
    <w:rsid w:val="009921BD"/>
    <w:rsid w:val="009924AD"/>
    <w:rsid w:val="0099269E"/>
    <w:rsid w:val="009926BF"/>
    <w:rsid w:val="009927CF"/>
    <w:rsid w:val="009929BE"/>
    <w:rsid w:val="009929E8"/>
    <w:rsid w:val="00992CED"/>
    <w:rsid w:val="00992F4E"/>
    <w:rsid w:val="00993347"/>
    <w:rsid w:val="00993442"/>
    <w:rsid w:val="009934D2"/>
    <w:rsid w:val="0099369C"/>
    <w:rsid w:val="009938C4"/>
    <w:rsid w:val="00993B2D"/>
    <w:rsid w:val="00993D42"/>
    <w:rsid w:val="0099413B"/>
    <w:rsid w:val="00994180"/>
    <w:rsid w:val="00994296"/>
    <w:rsid w:val="00994945"/>
    <w:rsid w:val="00995028"/>
    <w:rsid w:val="009950E2"/>
    <w:rsid w:val="0099566C"/>
    <w:rsid w:val="00995764"/>
    <w:rsid w:val="00995D63"/>
    <w:rsid w:val="009961D3"/>
    <w:rsid w:val="00996503"/>
    <w:rsid w:val="009965FA"/>
    <w:rsid w:val="009967DE"/>
    <w:rsid w:val="00996B16"/>
    <w:rsid w:val="00996D15"/>
    <w:rsid w:val="009970BF"/>
    <w:rsid w:val="009979D1"/>
    <w:rsid w:val="009A05BD"/>
    <w:rsid w:val="009A05C1"/>
    <w:rsid w:val="009A0C00"/>
    <w:rsid w:val="009A12FE"/>
    <w:rsid w:val="009A166D"/>
    <w:rsid w:val="009A177D"/>
    <w:rsid w:val="009A17A9"/>
    <w:rsid w:val="009A17E2"/>
    <w:rsid w:val="009A19DA"/>
    <w:rsid w:val="009A220C"/>
    <w:rsid w:val="009A2506"/>
    <w:rsid w:val="009A2789"/>
    <w:rsid w:val="009A2D65"/>
    <w:rsid w:val="009A3234"/>
    <w:rsid w:val="009A33C7"/>
    <w:rsid w:val="009A3655"/>
    <w:rsid w:val="009A3731"/>
    <w:rsid w:val="009A3FAA"/>
    <w:rsid w:val="009A3FB1"/>
    <w:rsid w:val="009A3FE2"/>
    <w:rsid w:val="009A413A"/>
    <w:rsid w:val="009A43F1"/>
    <w:rsid w:val="009A4845"/>
    <w:rsid w:val="009A4C72"/>
    <w:rsid w:val="009A4CB7"/>
    <w:rsid w:val="009A4E7A"/>
    <w:rsid w:val="009A4EBF"/>
    <w:rsid w:val="009A4FDD"/>
    <w:rsid w:val="009A572C"/>
    <w:rsid w:val="009A5857"/>
    <w:rsid w:val="009A5B4F"/>
    <w:rsid w:val="009A5FA0"/>
    <w:rsid w:val="009A647E"/>
    <w:rsid w:val="009A658C"/>
    <w:rsid w:val="009A6B8D"/>
    <w:rsid w:val="009A6D55"/>
    <w:rsid w:val="009A6E65"/>
    <w:rsid w:val="009A6F9B"/>
    <w:rsid w:val="009A7074"/>
    <w:rsid w:val="009A733C"/>
    <w:rsid w:val="009A7431"/>
    <w:rsid w:val="009A75C2"/>
    <w:rsid w:val="009A76F8"/>
    <w:rsid w:val="009A7AA9"/>
    <w:rsid w:val="009B011B"/>
    <w:rsid w:val="009B06D6"/>
    <w:rsid w:val="009B075E"/>
    <w:rsid w:val="009B0AAB"/>
    <w:rsid w:val="009B0CA6"/>
    <w:rsid w:val="009B1079"/>
    <w:rsid w:val="009B12F1"/>
    <w:rsid w:val="009B1313"/>
    <w:rsid w:val="009B19FF"/>
    <w:rsid w:val="009B1D08"/>
    <w:rsid w:val="009B1D79"/>
    <w:rsid w:val="009B1E8B"/>
    <w:rsid w:val="009B2072"/>
    <w:rsid w:val="009B24F9"/>
    <w:rsid w:val="009B2DF0"/>
    <w:rsid w:val="009B2F12"/>
    <w:rsid w:val="009B32A7"/>
    <w:rsid w:val="009B36DD"/>
    <w:rsid w:val="009B3948"/>
    <w:rsid w:val="009B3A93"/>
    <w:rsid w:val="009B3F50"/>
    <w:rsid w:val="009B3F53"/>
    <w:rsid w:val="009B42A0"/>
    <w:rsid w:val="009B479D"/>
    <w:rsid w:val="009B4E03"/>
    <w:rsid w:val="009B5175"/>
    <w:rsid w:val="009B52AF"/>
    <w:rsid w:val="009B52D6"/>
    <w:rsid w:val="009B558E"/>
    <w:rsid w:val="009B6306"/>
    <w:rsid w:val="009B6CBC"/>
    <w:rsid w:val="009B6D4A"/>
    <w:rsid w:val="009B70AD"/>
    <w:rsid w:val="009B73DC"/>
    <w:rsid w:val="009B74DC"/>
    <w:rsid w:val="009B781C"/>
    <w:rsid w:val="009B7DCC"/>
    <w:rsid w:val="009B7F96"/>
    <w:rsid w:val="009C0122"/>
    <w:rsid w:val="009C02BD"/>
    <w:rsid w:val="009C0A89"/>
    <w:rsid w:val="009C0B3B"/>
    <w:rsid w:val="009C1087"/>
    <w:rsid w:val="009C1793"/>
    <w:rsid w:val="009C18D2"/>
    <w:rsid w:val="009C2205"/>
    <w:rsid w:val="009C244C"/>
    <w:rsid w:val="009C28F6"/>
    <w:rsid w:val="009C2DAA"/>
    <w:rsid w:val="009C3433"/>
    <w:rsid w:val="009C38B7"/>
    <w:rsid w:val="009C3A15"/>
    <w:rsid w:val="009C3B98"/>
    <w:rsid w:val="009C3DE2"/>
    <w:rsid w:val="009C3EBD"/>
    <w:rsid w:val="009C4073"/>
    <w:rsid w:val="009C420B"/>
    <w:rsid w:val="009C442D"/>
    <w:rsid w:val="009C4430"/>
    <w:rsid w:val="009C4500"/>
    <w:rsid w:val="009C48ED"/>
    <w:rsid w:val="009C48F7"/>
    <w:rsid w:val="009C4A5B"/>
    <w:rsid w:val="009C4A78"/>
    <w:rsid w:val="009C4B21"/>
    <w:rsid w:val="009C5062"/>
    <w:rsid w:val="009C57E8"/>
    <w:rsid w:val="009C5B44"/>
    <w:rsid w:val="009C5C41"/>
    <w:rsid w:val="009C5EFA"/>
    <w:rsid w:val="009C60D3"/>
    <w:rsid w:val="009C6134"/>
    <w:rsid w:val="009C652D"/>
    <w:rsid w:val="009C6701"/>
    <w:rsid w:val="009C6856"/>
    <w:rsid w:val="009C6926"/>
    <w:rsid w:val="009C69CC"/>
    <w:rsid w:val="009C6A40"/>
    <w:rsid w:val="009C6BC9"/>
    <w:rsid w:val="009C6C3E"/>
    <w:rsid w:val="009C73FC"/>
    <w:rsid w:val="009C78B9"/>
    <w:rsid w:val="009D01BE"/>
    <w:rsid w:val="009D0A30"/>
    <w:rsid w:val="009D0E57"/>
    <w:rsid w:val="009D11F0"/>
    <w:rsid w:val="009D1320"/>
    <w:rsid w:val="009D1640"/>
    <w:rsid w:val="009D16AA"/>
    <w:rsid w:val="009D1E13"/>
    <w:rsid w:val="009D1FAC"/>
    <w:rsid w:val="009D2046"/>
    <w:rsid w:val="009D2399"/>
    <w:rsid w:val="009D31C7"/>
    <w:rsid w:val="009D3939"/>
    <w:rsid w:val="009D395A"/>
    <w:rsid w:val="009D3B7E"/>
    <w:rsid w:val="009D3CCB"/>
    <w:rsid w:val="009D3ED7"/>
    <w:rsid w:val="009D3FA2"/>
    <w:rsid w:val="009D4044"/>
    <w:rsid w:val="009D44E4"/>
    <w:rsid w:val="009D4699"/>
    <w:rsid w:val="009D4A35"/>
    <w:rsid w:val="009D4CBB"/>
    <w:rsid w:val="009D4FD8"/>
    <w:rsid w:val="009D5706"/>
    <w:rsid w:val="009D57A2"/>
    <w:rsid w:val="009D59BC"/>
    <w:rsid w:val="009D5A61"/>
    <w:rsid w:val="009D5B97"/>
    <w:rsid w:val="009D5B9E"/>
    <w:rsid w:val="009D5BE2"/>
    <w:rsid w:val="009D5F06"/>
    <w:rsid w:val="009D601E"/>
    <w:rsid w:val="009D6349"/>
    <w:rsid w:val="009D6A5C"/>
    <w:rsid w:val="009D6AD8"/>
    <w:rsid w:val="009D6DDB"/>
    <w:rsid w:val="009D7065"/>
    <w:rsid w:val="009D7541"/>
    <w:rsid w:val="009D7874"/>
    <w:rsid w:val="009D78B4"/>
    <w:rsid w:val="009D794F"/>
    <w:rsid w:val="009D7D11"/>
    <w:rsid w:val="009E0218"/>
    <w:rsid w:val="009E0288"/>
    <w:rsid w:val="009E059F"/>
    <w:rsid w:val="009E08E4"/>
    <w:rsid w:val="009E132F"/>
    <w:rsid w:val="009E1773"/>
    <w:rsid w:val="009E199D"/>
    <w:rsid w:val="009E1A38"/>
    <w:rsid w:val="009E1AAB"/>
    <w:rsid w:val="009E244F"/>
    <w:rsid w:val="009E2883"/>
    <w:rsid w:val="009E3082"/>
    <w:rsid w:val="009E316C"/>
    <w:rsid w:val="009E36B5"/>
    <w:rsid w:val="009E36BD"/>
    <w:rsid w:val="009E3B9D"/>
    <w:rsid w:val="009E3D15"/>
    <w:rsid w:val="009E3D6E"/>
    <w:rsid w:val="009E3D6F"/>
    <w:rsid w:val="009E4159"/>
    <w:rsid w:val="009E46A8"/>
    <w:rsid w:val="009E4989"/>
    <w:rsid w:val="009E4B50"/>
    <w:rsid w:val="009E4C64"/>
    <w:rsid w:val="009E5227"/>
    <w:rsid w:val="009E531A"/>
    <w:rsid w:val="009E5659"/>
    <w:rsid w:val="009E5C5B"/>
    <w:rsid w:val="009E5E3C"/>
    <w:rsid w:val="009E677A"/>
    <w:rsid w:val="009E6851"/>
    <w:rsid w:val="009E7661"/>
    <w:rsid w:val="009E7D97"/>
    <w:rsid w:val="009E7E98"/>
    <w:rsid w:val="009F02F7"/>
    <w:rsid w:val="009F08F1"/>
    <w:rsid w:val="009F08F9"/>
    <w:rsid w:val="009F115A"/>
    <w:rsid w:val="009F138D"/>
    <w:rsid w:val="009F176A"/>
    <w:rsid w:val="009F1E4D"/>
    <w:rsid w:val="009F21F6"/>
    <w:rsid w:val="009F2370"/>
    <w:rsid w:val="009F2D7A"/>
    <w:rsid w:val="009F2DEE"/>
    <w:rsid w:val="009F311E"/>
    <w:rsid w:val="009F370A"/>
    <w:rsid w:val="009F3D3D"/>
    <w:rsid w:val="009F4228"/>
    <w:rsid w:val="009F4283"/>
    <w:rsid w:val="009F521F"/>
    <w:rsid w:val="009F5431"/>
    <w:rsid w:val="009F5434"/>
    <w:rsid w:val="009F58F6"/>
    <w:rsid w:val="009F5D23"/>
    <w:rsid w:val="009F5F6F"/>
    <w:rsid w:val="009F6293"/>
    <w:rsid w:val="009F62A7"/>
    <w:rsid w:val="009F6635"/>
    <w:rsid w:val="009F66D8"/>
    <w:rsid w:val="009F67A0"/>
    <w:rsid w:val="009F690F"/>
    <w:rsid w:val="009F6AB1"/>
    <w:rsid w:val="009F6C45"/>
    <w:rsid w:val="009F7101"/>
    <w:rsid w:val="009F7411"/>
    <w:rsid w:val="009F7466"/>
    <w:rsid w:val="009F789B"/>
    <w:rsid w:val="009F795D"/>
    <w:rsid w:val="009F79F8"/>
    <w:rsid w:val="00A000B3"/>
    <w:rsid w:val="00A0032C"/>
    <w:rsid w:val="00A00492"/>
    <w:rsid w:val="00A005C8"/>
    <w:rsid w:val="00A00B1F"/>
    <w:rsid w:val="00A00B36"/>
    <w:rsid w:val="00A00E11"/>
    <w:rsid w:val="00A00FB5"/>
    <w:rsid w:val="00A01213"/>
    <w:rsid w:val="00A014B0"/>
    <w:rsid w:val="00A016AF"/>
    <w:rsid w:val="00A01931"/>
    <w:rsid w:val="00A01F01"/>
    <w:rsid w:val="00A022FB"/>
    <w:rsid w:val="00A023FD"/>
    <w:rsid w:val="00A0246E"/>
    <w:rsid w:val="00A027AD"/>
    <w:rsid w:val="00A02E39"/>
    <w:rsid w:val="00A0302C"/>
    <w:rsid w:val="00A032E9"/>
    <w:rsid w:val="00A0367A"/>
    <w:rsid w:val="00A03EF1"/>
    <w:rsid w:val="00A04345"/>
    <w:rsid w:val="00A04503"/>
    <w:rsid w:val="00A0487D"/>
    <w:rsid w:val="00A04D8C"/>
    <w:rsid w:val="00A04E5C"/>
    <w:rsid w:val="00A0555D"/>
    <w:rsid w:val="00A05A8D"/>
    <w:rsid w:val="00A05A9C"/>
    <w:rsid w:val="00A05ABF"/>
    <w:rsid w:val="00A05C96"/>
    <w:rsid w:val="00A06076"/>
    <w:rsid w:val="00A06098"/>
    <w:rsid w:val="00A06217"/>
    <w:rsid w:val="00A06A2C"/>
    <w:rsid w:val="00A06ACC"/>
    <w:rsid w:val="00A06BEC"/>
    <w:rsid w:val="00A07183"/>
    <w:rsid w:val="00A077E3"/>
    <w:rsid w:val="00A07D37"/>
    <w:rsid w:val="00A10262"/>
    <w:rsid w:val="00A102E6"/>
    <w:rsid w:val="00A10482"/>
    <w:rsid w:val="00A105D3"/>
    <w:rsid w:val="00A105E1"/>
    <w:rsid w:val="00A108F1"/>
    <w:rsid w:val="00A109E8"/>
    <w:rsid w:val="00A10A0F"/>
    <w:rsid w:val="00A10BEA"/>
    <w:rsid w:val="00A10E9F"/>
    <w:rsid w:val="00A10F5C"/>
    <w:rsid w:val="00A10FDF"/>
    <w:rsid w:val="00A1108D"/>
    <w:rsid w:val="00A117EF"/>
    <w:rsid w:val="00A119FD"/>
    <w:rsid w:val="00A11A9B"/>
    <w:rsid w:val="00A11AD6"/>
    <w:rsid w:val="00A11E56"/>
    <w:rsid w:val="00A11ECD"/>
    <w:rsid w:val="00A12062"/>
    <w:rsid w:val="00A12311"/>
    <w:rsid w:val="00A124D1"/>
    <w:rsid w:val="00A128A2"/>
    <w:rsid w:val="00A12A46"/>
    <w:rsid w:val="00A12E71"/>
    <w:rsid w:val="00A12ECD"/>
    <w:rsid w:val="00A12FB5"/>
    <w:rsid w:val="00A13071"/>
    <w:rsid w:val="00A1310B"/>
    <w:rsid w:val="00A131A0"/>
    <w:rsid w:val="00A135D9"/>
    <w:rsid w:val="00A136F1"/>
    <w:rsid w:val="00A1377D"/>
    <w:rsid w:val="00A13AE4"/>
    <w:rsid w:val="00A14007"/>
    <w:rsid w:val="00A14452"/>
    <w:rsid w:val="00A14849"/>
    <w:rsid w:val="00A14D65"/>
    <w:rsid w:val="00A14F24"/>
    <w:rsid w:val="00A1506F"/>
    <w:rsid w:val="00A158A7"/>
    <w:rsid w:val="00A15938"/>
    <w:rsid w:val="00A15B24"/>
    <w:rsid w:val="00A15B43"/>
    <w:rsid w:val="00A15BAF"/>
    <w:rsid w:val="00A15C79"/>
    <w:rsid w:val="00A15EF1"/>
    <w:rsid w:val="00A15FC1"/>
    <w:rsid w:val="00A16316"/>
    <w:rsid w:val="00A16726"/>
    <w:rsid w:val="00A167C0"/>
    <w:rsid w:val="00A16851"/>
    <w:rsid w:val="00A1694E"/>
    <w:rsid w:val="00A16ABE"/>
    <w:rsid w:val="00A16CDA"/>
    <w:rsid w:val="00A17191"/>
    <w:rsid w:val="00A17662"/>
    <w:rsid w:val="00A177D3"/>
    <w:rsid w:val="00A1785C"/>
    <w:rsid w:val="00A17A30"/>
    <w:rsid w:val="00A17CB0"/>
    <w:rsid w:val="00A20790"/>
    <w:rsid w:val="00A20833"/>
    <w:rsid w:val="00A20892"/>
    <w:rsid w:val="00A20B9A"/>
    <w:rsid w:val="00A20D15"/>
    <w:rsid w:val="00A20E83"/>
    <w:rsid w:val="00A20F9C"/>
    <w:rsid w:val="00A216C4"/>
    <w:rsid w:val="00A21793"/>
    <w:rsid w:val="00A21826"/>
    <w:rsid w:val="00A21833"/>
    <w:rsid w:val="00A225F8"/>
    <w:rsid w:val="00A228FB"/>
    <w:rsid w:val="00A22E63"/>
    <w:rsid w:val="00A22FA9"/>
    <w:rsid w:val="00A2303E"/>
    <w:rsid w:val="00A23605"/>
    <w:rsid w:val="00A23645"/>
    <w:rsid w:val="00A23713"/>
    <w:rsid w:val="00A23DD7"/>
    <w:rsid w:val="00A24624"/>
    <w:rsid w:val="00A24750"/>
    <w:rsid w:val="00A24782"/>
    <w:rsid w:val="00A24790"/>
    <w:rsid w:val="00A24A9D"/>
    <w:rsid w:val="00A24CB6"/>
    <w:rsid w:val="00A251AE"/>
    <w:rsid w:val="00A2532C"/>
    <w:rsid w:val="00A25AB2"/>
    <w:rsid w:val="00A25AE0"/>
    <w:rsid w:val="00A260C3"/>
    <w:rsid w:val="00A262AF"/>
    <w:rsid w:val="00A263EA"/>
    <w:rsid w:val="00A26B1D"/>
    <w:rsid w:val="00A27383"/>
    <w:rsid w:val="00A277E4"/>
    <w:rsid w:val="00A27876"/>
    <w:rsid w:val="00A27FE7"/>
    <w:rsid w:val="00A3057B"/>
    <w:rsid w:val="00A305AA"/>
    <w:rsid w:val="00A30EC5"/>
    <w:rsid w:val="00A314EE"/>
    <w:rsid w:val="00A31511"/>
    <w:rsid w:val="00A3176A"/>
    <w:rsid w:val="00A318A7"/>
    <w:rsid w:val="00A31D1F"/>
    <w:rsid w:val="00A31E69"/>
    <w:rsid w:val="00A31E6F"/>
    <w:rsid w:val="00A31EEE"/>
    <w:rsid w:val="00A31FF1"/>
    <w:rsid w:val="00A32225"/>
    <w:rsid w:val="00A32488"/>
    <w:rsid w:val="00A32593"/>
    <w:rsid w:val="00A329EC"/>
    <w:rsid w:val="00A32C4C"/>
    <w:rsid w:val="00A3323D"/>
    <w:rsid w:val="00A3397E"/>
    <w:rsid w:val="00A33CA1"/>
    <w:rsid w:val="00A33FDC"/>
    <w:rsid w:val="00A3402C"/>
    <w:rsid w:val="00A34888"/>
    <w:rsid w:val="00A34B92"/>
    <w:rsid w:val="00A34CB2"/>
    <w:rsid w:val="00A34EE4"/>
    <w:rsid w:val="00A34EF9"/>
    <w:rsid w:val="00A34F16"/>
    <w:rsid w:val="00A35424"/>
    <w:rsid w:val="00A357AA"/>
    <w:rsid w:val="00A35E1C"/>
    <w:rsid w:val="00A35FED"/>
    <w:rsid w:val="00A36EB9"/>
    <w:rsid w:val="00A37083"/>
    <w:rsid w:val="00A375FE"/>
    <w:rsid w:val="00A37AFF"/>
    <w:rsid w:val="00A37B8D"/>
    <w:rsid w:val="00A37C4B"/>
    <w:rsid w:val="00A37EEE"/>
    <w:rsid w:val="00A37FFA"/>
    <w:rsid w:val="00A40011"/>
    <w:rsid w:val="00A401C7"/>
    <w:rsid w:val="00A4045A"/>
    <w:rsid w:val="00A409BA"/>
    <w:rsid w:val="00A40A1B"/>
    <w:rsid w:val="00A40F4F"/>
    <w:rsid w:val="00A41491"/>
    <w:rsid w:val="00A41627"/>
    <w:rsid w:val="00A41DD2"/>
    <w:rsid w:val="00A41EA0"/>
    <w:rsid w:val="00A42013"/>
    <w:rsid w:val="00A4241F"/>
    <w:rsid w:val="00A42B64"/>
    <w:rsid w:val="00A42C0C"/>
    <w:rsid w:val="00A43630"/>
    <w:rsid w:val="00A443E2"/>
    <w:rsid w:val="00A447C1"/>
    <w:rsid w:val="00A447D3"/>
    <w:rsid w:val="00A45316"/>
    <w:rsid w:val="00A459C3"/>
    <w:rsid w:val="00A45CC1"/>
    <w:rsid w:val="00A45D02"/>
    <w:rsid w:val="00A46556"/>
    <w:rsid w:val="00A46F4F"/>
    <w:rsid w:val="00A47118"/>
    <w:rsid w:val="00A4727A"/>
    <w:rsid w:val="00A47352"/>
    <w:rsid w:val="00A473B0"/>
    <w:rsid w:val="00A47497"/>
    <w:rsid w:val="00A4761C"/>
    <w:rsid w:val="00A4798B"/>
    <w:rsid w:val="00A47E12"/>
    <w:rsid w:val="00A50050"/>
    <w:rsid w:val="00A5054E"/>
    <w:rsid w:val="00A50DEE"/>
    <w:rsid w:val="00A510A1"/>
    <w:rsid w:val="00A5140A"/>
    <w:rsid w:val="00A51688"/>
    <w:rsid w:val="00A517F7"/>
    <w:rsid w:val="00A51898"/>
    <w:rsid w:val="00A51B30"/>
    <w:rsid w:val="00A51D3A"/>
    <w:rsid w:val="00A5214D"/>
    <w:rsid w:val="00A52420"/>
    <w:rsid w:val="00A527E5"/>
    <w:rsid w:val="00A52965"/>
    <w:rsid w:val="00A529B5"/>
    <w:rsid w:val="00A52DA6"/>
    <w:rsid w:val="00A52ED8"/>
    <w:rsid w:val="00A5373C"/>
    <w:rsid w:val="00A537E0"/>
    <w:rsid w:val="00A53839"/>
    <w:rsid w:val="00A5391C"/>
    <w:rsid w:val="00A53949"/>
    <w:rsid w:val="00A53AFE"/>
    <w:rsid w:val="00A53B29"/>
    <w:rsid w:val="00A53B78"/>
    <w:rsid w:val="00A53E7C"/>
    <w:rsid w:val="00A54185"/>
    <w:rsid w:val="00A54935"/>
    <w:rsid w:val="00A54FCC"/>
    <w:rsid w:val="00A551F8"/>
    <w:rsid w:val="00A56962"/>
    <w:rsid w:val="00A569D8"/>
    <w:rsid w:val="00A56EE2"/>
    <w:rsid w:val="00A56F26"/>
    <w:rsid w:val="00A57081"/>
    <w:rsid w:val="00A570FC"/>
    <w:rsid w:val="00A572AC"/>
    <w:rsid w:val="00A57E00"/>
    <w:rsid w:val="00A6023F"/>
    <w:rsid w:val="00A6082B"/>
    <w:rsid w:val="00A60C14"/>
    <w:rsid w:val="00A61117"/>
    <w:rsid w:val="00A611C3"/>
    <w:rsid w:val="00A613A4"/>
    <w:rsid w:val="00A617FD"/>
    <w:rsid w:val="00A61B92"/>
    <w:rsid w:val="00A61D1E"/>
    <w:rsid w:val="00A61D6F"/>
    <w:rsid w:val="00A61E89"/>
    <w:rsid w:val="00A62015"/>
    <w:rsid w:val="00A62268"/>
    <w:rsid w:val="00A62E7B"/>
    <w:rsid w:val="00A63198"/>
    <w:rsid w:val="00A63295"/>
    <w:rsid w:val="00A63548"/>
    <w:rsid w:val="00A63948"/>
    <w:rsid w:val="00A639AA"/>
    <w:rsid w:val="00A63A56"/>
    <w:rsid w:val="00A63A5D"/>
    <w:rsid w:val="00A6400C"/>
    <w:rsid w:val="00A6420A"/>
    <w:rsid w:val="00A642C3"/>
    <w:rsid w:val="00A645C1"/>
    <w:rsid w:val="00A64833"/>
    <w:rsid w:val="00A64DEA"/>
    <w:rsid w:val="00A6509D"/>
    <w:rsid w:val="00A65152"/>
    <w:rsid w:val="00A651A1"/>
    <w:rsid w:val="00A653A5"/>
    <w:rsid w:val="00A6587E"/>
    <w:rsid w:val="00A65B80"/>
    <w:rsid w:val="00A65D65"/>
    <w:rsid w:val="00A65E2E"/>
    <w:rsid w:val="00A65EF0"/>
    <w:rsid w:val="00A65F08"/>
    <w:rsid w:val="00A6621A"/>
    <w:rsid w:val="00A662A0"/>
    <w:rsid w:val="00A66594"/>
    <w:rsid w:val="00A666D6"/>
    <w:rsid w:val="00A66C8E"/>
    <w:rsid w:val="00A66E6B"/>
    <w:rsid w:val="00A67016"/>
    <w:rsid w:val="00A6709C"/>
    <w:rsid w:val="00A67204"/>
    <w:rsid w:val="00A672BA"/>
    <w:rsid w:val="00A676EA"/>
    <w:rsid w:val="00A67943"/>
    <w:rsid w:val="00A67C74"/>
    <w:rsid w:val="00A67E0F"/>
    <w:rsid w:val="00A7018F"/>
    <w:rsid w:val="00A703B0"/>
    <w:rsid w:val="00A70403"/>
    <w:rsid w:val="00A70555"/>
    <w:rsid w:val="00A70602"/>
    <w:rsid w:val="00A709B8"/>
    <w:rsid w:val="00A70CB6"/>
    <w:rsid w:val="00A71307"/>
    <w:rsid w:val="00A71CB8"/>
    <w:rsid w:val="00A71D67"/>
    <w:rsid w:val="00A71E4D"/>
    <w:rsid w:val="00A720BC"/>
    <w:rsid w:val="00A721DB"/>
    <w:rsid w:val="00A72240"/>
    <w:rsid w:val="00A7233E"/>
    <w:rsid w:val="00A723EF"/>
    <w:rsid w:val="00A726BF"/>
    <w:rsid w:val="00A7273F"/>
    <w:rsid w:val="00A727F6"/>
    <w:rsid w:val="00A72A6B"/>
    <w:rsid w:val="00A72CBA"/>
    <w:rsid w:val="00A73057"/>
    <w:rsid w:val="00A73102"/>
    <w:rsid w:val="00A7319B"/>
    <w:rsid w:val="00A733C9"/>
    <w:rsid w:val="00A733E9"/>
    <w:rsid w:val="00A73401"/>
    <w:rsid w:val="00A73501"/>
    <w:rsid w:val="00A7359A"/>
    <w:rsid w:val="00A73C3F"/>
    <w:rsid w:val="00A74159"/>
    <w:rsid w:val="00A74304"/>
    <w:rsid w:val="00A743EB"/>
    <w:rsid w:val="00A74400"/>
    <w:rsid w:val="00A745BD"/>
    <w:rsid w:val="00A7463D"/>
    <w:rsid w:val="00A74752"/>
    <w:rsid w:val="00A7488D"/>
    <w:rsid w:val="00A74EA8"/>
    <w:rsid w:val="00A75007"/>
    <w:rsid w:val="00A75133"/>
    <w:rsid w:val="00A752FB"/>
    <w:rsid w:val="00A75358"/>
    <w:rsid w:val="00A756FC"/>
    <w:rsid w:val="00A757DD"/>
    <w:rsid w:val="00A75BEF"/>
    <w:rsid w:val="00A75C69"/>
    <w:rsid w:val="00A76018"/>
    <w:rsid w:val="00A7623E"/>
    <w:rsid w:val="00A7633F"/>
    <w:rsid w:val="00A769BD"/>
    <w:rsid w:val="00A77077"/>
    <w:rsid w:val="00A770E6"/>
    <w:rsid w:val="00A7724D"/>
    <w:rsid w:val="00A7746C"/>
    <w:rsid w:val="00A7755C"/>
    <w:rsid w:val="00A777FD"/>
    <w:rsid w:val="00A77B3F"/>
    <w:rsid w:val="00A77FA2"/>
    <w:rsid w:val="00A77FE4"/>
    <w:rsid w:val="00A80247"/>
    <w:rsid w:val="00A80931"/>
    <w:rsid w:val="00A80AA9"/>
    <w:rsid w:val="00A80E8E"/>
    <w:rsid w:val="00A81081"/>
    <w:rsid w:val="00A812D4"/>
    <w:rsid w:val="00A8161A"/>
    <w:rsid w:val="00A81C88"/>
    <w:rsid w:val="00A81E0C"/>
    <w:rsid w:val="00A82527"/>
    <w:rsid w:val="00A82924"/>
    <w:rsid w:val="00A82ABF"/>
    <w:rsid w:val="00A82C74"/>
    <w:rsid w:val="00A82FB7"/>
    <w:rsid w:val="00A83032"/>
    <w:rsid w:val="00A83135"/>
    <w:rsid w:val="00A83363"/>
    <w:rsid w:val="00A833AF"/>
    <w:rsid w:val="00A83472"/>
    <w:rsid w:val="00A8360A"/>
    <w:rsid w:val="00A83818"/>
    <w:rsid w:val="00A83BBA"/>
    <w:rsid w:val="00A83BDD"/>
    <w:rsid w:val="00A83F87"/>
    <w:rsid w:val="00A83FA6"/>
    <w:rsid w:val="00A842C4"/>
    <w:rsid w:val="00A845A6"/>
    <w:rsid w:val="00A84685"/>
    <w:rsid w:val="00A84714"/>
    <w:rsid w:val="00A84AC1"/>
    <w:rsid w:val="00A84DE1"/>
    <w:rsid w:val="00A84E0F"/>
    <w:rsid w:val="00A84ED3"/>
    <w:rsid w:val="00A8538C"/>
    <w:rsid w:val="00A85576"/>
    <w:rsid w:val="00A855CF"/>
    <w:rsid w:val="00A858D1"/>
    <w:rsid w:val="00A85B45"/>
    <w:rsid w:val="00A85C45"/>
    <w:rsid w:val="00A85F12"/>
    <w:rsid w:val="00A85F6C"/>
    <w:rsid w:val="00A8604F"/>
    <w:rsid w:val="00A8608A"/>
    <w:rsid w:val="00A861C0"/>
    <w:rsid w:val="00A865DD"/>
    <w:rsid w:val="00A86749"/>
    <w:rsid w:val="00A8687A"/>
    <w:rsid w:val="00A869E6"/>
    <w:rsid w:val="00A869F4"/>
    <w:rsid w:val="00A870E3"/>
    <w:rsid w:val="00A87209"/>
    <w:rsid w:val="00A8751F"/>
    <w:rsid w:val="00A877EF"/>
    <w:rsid w:val="00A87881"/>
    <w:rsid w:val="00A87A8D"/>
    <w:rsid w:val="00A87C93"/>
    <w:rsid w:val="00A87D9D"/>
    <w:rsid w:val="00A9008D"/>
    <w:rsid w:val="00A9012C"/>
    <w:rsid w:val="00A907AA"/>
    <w:rsid w:val="00A90ADB"/>
    <w:rsid w:val="00A90B8D"/>
    <w:rsid w:val="00A90F83"/>
    <w:rsid w:val="00A912A9"/>
    <w:rsid w:val="00A91528"/>
    <w:rsid w:val="00A918CC"/>
    <w:rsid w:val="00A91927"/>
    <w:rsid w:val="00A91B00"/>
    <w:rsid w:val="00A91B0E"/>
    <w:rsid w:val="00A91D57"/>
    <w:rsid w:val="00A91D93"/>
    <w:rsid w:val="00A91DAD"/>
    <w:rsid w:val="00A92016"/>
    <w:rsid w:val="00A923D3"/>
    <w:rsid w:val="00A927C9"/>
    <w:rsid w:val="00A9286F"/>
    <w:rsid w:val="00A92D00"/>
    <w:rsid w:val="00A932D0"/>
    <w:rsid w:val="00A9337A"/>
    <w:rsid w:val="00A93469"/>
    <w:rsid w:val="00A93800"/>
    <w:rsid w:val="00A93B36"/>
    <w:rsid w:val="00A93EB6"/>
    <w:rsid w:val="00A942D2"/>
    <w:rsid w:val="00A94324"/>
    <w:rsid w:val="00A94582"/>
    <w:rsid w:val="00A946B1"/>
    <w:rsid w:val="00A94775"/>
    <w:rsid w:val="00A947D1"/>
    <w:rsid w:val="00A94883"/>
    <w:rsid w:val="00A94CD7"/>
    <w:rsid w:val="00A955E0"/>
    <w:rsid w:val="00A957CD"/>
    <w:rsid w:val="00A959CB"/>
    <w:rsid w:val="00A95AF9"/>
    <w:rsid w:val="00A95BAD"/>
    <w:rsid w:val="00A95DC6"/>
    <w:rsid w:val="00A96029"/>
    <w:rsid w:val="00A96099"/>
    <w:rsid w:val="00A96134"/>
    <w:rsid w:val="00A963E8"/>
    <w:rsid w:val="00A9651B"/>
    <w:rsid w:val="00A967A7"/>
    <w:rsid w:val="00A96E6C"/>
    <w:rsid w:val="00A96EA1"/>
    <w:rsid w:val="00A9704F"/>
    <w:rsid w:val="00A9759C"/>
    <w:rsid w:val="00A97908"/>
    <w:rsid w:val="00A979E5"/>
    <w:rsid w:val="00A97A93"/>
    <w:rsid w:val="00A97DC7"/>
    <w:rsid w:val="00AA06C0"/>
    <w:rsid w:val="00AA0D7D"/>
    <w:rsid w:val="00AA100F"/>
    <w:rsid w:val="00AA147B"/>
    <w:rsid w:val="00AA18C0"/>
    <w:rsid w:val="00AA19F2"/>
    <w:rsid w:val="00AA1A63"/>
    <w:rsid w:val="00AA1B65"/>
    <w:rsid w:val="00AA1D6E"/>
    <w:rsid w:val="00AA29A0"/>
    <w:rsid w:val="00AA29FD"/>
    <w:rsid w:val="00AA2E2F"/>
    <w:rsid w:val="00AA3139"/>
    <w:rsid w:val="00AA3564"/>
    <w:rsid w:val="00AA3895"/>
    <w:rsid w:val="00AA3950"/>
    <w:rsid w:val="00AA3963"/>
    <w:rsid w:val="00AA3A3B"/>
    <w:rsid w:val="00AA4203"/>
    <w:rsid w:val="00AA42BE"/>
    <w:rsid w:val="00AA485B"/>
    <w:rsid w:val="00AA4A24"/>
    <w:rsid w:val="00AA59F4"/>
    <w:rsid w:val="00AA5BEF"/>
    <w:rsid w:val="00AA5D21"/>
    <w:rsid w:val="00AA6647"/>
    <w:rsid w:val="00AA69E5"/>
    <w:rsid w:val="00AA6A18"/>
    <w:rsid w:val="00AA6AD9"/>
    <w:rsid w:val="00AA6B93"/>
    <w:rsid w:val="00AA6C08"/>
    <w:rsid w:val="00AA6E48"/>
    <w:rsid w:val="00AA708D"/>
    <w:rsid w:val="00AA7489"/>
    <w:rsid w:val="00AA7543"/>
    <w:rsid w:val="00AB04A6"/>
    <w:rsid w:val="00AB06E2"/>
    <w:rsid w:val="00AB0809"/>
    <w:rsid w:val="00AB08E9"/>
    <w:rsid w:val="00AB0D12"/>
    <w:rsid w:val="00AB11A7"/>
    <w:rsid w:val="00AB13D9"/>
    <w:rsid w:val="00AB1406"/>
    <w:rsid w:val="00AB15BF"/>
    <w:rsid w:val="00AB18DA"/>
    <w:rsid w:val="00AB1CF4"/>
    <w:rsid w:val="00AB1E67"/>
    <w:rsid w:val="00AB1EEA"/>
    <w:rsid w:val="00AB2303"/>
    <w:rsid w:val="00AB2401"/>
    <w:rsid w:val="00AB247C"/>
    <w:rsid w:val="00AB2696"/>
    <w:rsid w:val="00AB27D8"/>
    <w:rsid w:val="00AB2973"/>
    <w:rsid w:val="00AB2A91"/>
    <w:rsid w:val="00AB2F38"/>
    <w:rsid w:val="00AB3315"/>
    <w:rsid w:val="00AB3795"/>
    <w:rsid w:val="00AB3803"/>
    <w:rsid w:val="00AB3883"/>
    <w:rsid w:val="00AB39CB"/>
    <w:rsid w:val="00AB3CB2"/>
    <w:rsid w:val="00AB3F76"/>
    <w:rsid w:val="00AB3F83"/>
    <w:rsid w:val="00AB40C6"/>
    <w:rsid w:val="00AB4720"/>
    <w:rsid w:val="00AB4900"/>
    <w:rsid w:val="00AB4AF0"/>
    <w:rsid w:val="00AB4C23"/>
    <w:rsid w:val="00AB4D16"/>
    <w:rsid w:val="00AB566D"/>
    <w:rsid w:val="00AB5797"/>
    <w:rsid w:val="00AB582A"/>
    <w:rsid w:val="00AB59F6"/>
    <w:rsid w:val="00AB5B1E"/>
    <w:rsid w:val="00AB68D3"/>
    <w:rsid w:val="00AB6B67"/>
    <w:rsid w:val="00AB6EB6"/>
    <w:rsid w:val="00AB74D8"/>
    <w:rsid w:val="00AB7586"/>
    <w:rsid w:val="00AB760F"/>
    <w:rsid w:val="00AB7AF5"/>
    <w:rsid w:val="00AB7CFF"/>
    <w:rsid w:val="00AB7FD6"/>
    <w:rsid w:val="00AC05D1"/>
    <w:rsid w:val="00AC05EA"/>
    <w:rsid w:val="00AC06A8"/>
    <w:rsid w:val="00AC0B8C"/>
    <w:rsid w:val="00AC0CB3"/>
    <w:rsid w:val="00AC0D6A"/>
    <w:rsid w:val="00AC0E85"/>
    <w:rsid w:val="00AC0FD0"/>
    <w:rsid w:val="00AC10F5"/>
    <w:rsid w:val="00AC12AB"/>
    <w:rsid w:val="00AC1300"/>
    <w:rsid w:val="00AC17F3"/>
    <w:rsid w:val="00AC1A19"/>
    <w:rsid w:val="00AC1DCE"/>
    <w:rsid w:val="00AC2179"/>
    <w:rsid w:val="00AC23A1"/>
    <w:rsid w:val="00AC26DE"/>
    <w:rsid w:val="00AC2842"/>
    <w:rsid w:val="00AC2D4B"/>
    <w:rsid w:val="00AC3351"/>
    <w:rsid w:val="00AC3933"/>
    <w:rsid w:val="00AC3B99"/>
    <w:rsid w:val="00AC3BF3"/>
    <w:rsid w:val="00AC3F54"/>
    <w:rsid w:val="00AC4410"/>
    <w:rsid w:val="00AC448A"/>
    <w:rsid w:val="00AC4581"/>
    <w:rsid w:val="00AC4811"/>
    <w:rsid w:val="00AC4B56"/>
    <w:rsid w:val="00AC4B8A"/>
    <w:rsid w:val="00AC519E"/>
    <w:rsid w:val="00AC5433"/>
    <w:rsid w:val="00AC5759"/>
    <w:rsid w:val="00AC588E"/>
    <w:rsid w:val="00AC5906"/>
    <w:rsid w:val="00AC5AB0"/>
    <w:rsid w:val="00AC5F0F"/>
    <w:rsid w:val="00AC5F58"/>
    <w:rsid w:val="00AC5FBA"/>
    <w:rsid w:val="00AC5FE4"/>
    <w:rsid w:val="00AC6012"/>
    <w:rsid w:val="00AC632B"/>
    <w:rsid w:val="00AC6B31"/>
    <w:rsid w:val="00AC6C1A"/>
    <w:rsid w:val="00AC6DAE"/>
    <w:rsid w:val="00AC6EB9"/>
    <w:rsid w:val="00AC70C8"/>
    <w:rsid w:val="00AC7210"/>
    <w:rsid w:val="00AC73FB"/>
    <w:rsid w:val="00AC7659"/>
    <w:rsid w:val="00AC7915"/>
    <w:rsid w:val="00AC7946"/>
    <w:rsid w:val="00AC7DF3"/>
    <w:rsid w:val="00AD01FA"/>
    <w:rsid w:val="00AD0652"/>
    <w:rsid w:val="00AD06B1"/>
    <w:rsid w:val="00AD0895"/>
    <w:rsid w:val="00AD0990"/>
    <w:rsid w:val="00AD09B2"/>
    <w:rsid w:val="00AD0A03"/>
    <w:rsid w:val="00AD0B11"/>
    <w:rsid w:val="00AD0CD3"/>
    <w:rsid w:val="00AD0D57"/>
    <w:rsid w:val="00AD14BF"/>
    <w:rsid w:val="00AD1654"/>
    <w:rsid w:val="00AD1BCF"/>
    <w:rsid w:val="00AD1E81"/>
    <w:rsid w:val="00AD1EC4"/>
    <w:rsid w:val="00AD210A"/>
    <w:rsid w:val="00AD230C"/>
    <w:rsid w:val="00AD265C"/>
    <w:rsid w:val="00AD287A"/>
    <w:rsid w:val="00AD2A88"/>
    <w:rsid w:val="00AD2B4E"/>
    <w:rsid w:val="00AD2DB5"/>
    <w:rsid w:val="00AD3232"/>
    <w:rsid w:val="00AD36BB"/>
    <w:rsid w:val="00AD38A5"/>
    <w:rsid w:val="00AD39AD"/>
    <w:rsid w:val="00AD3A4B"/>
    <w:rsid w:val="00AD3C72"/>
    <w:rsid w:val="00AD3CF2"/>
    <w:rsid w:val="00AD4244"/>
    <w:rsid w:val="00AD4368"/>
    <w:rsid w:val="00AD4771"/>
    <w:rsid w:val="00AD4805"/>
    <w:rsid w:val="00AD4D44"/>
    <w:rsid w:val="00AD57B8"/>
    <w:rsid w:val="00AD59EE"/>
    <w:rsid w:val="00AD5B03"/>
    <w:rsid w:val="00AD5CC0"/>
    <w:rsid w:val="00AD5DC1"/>
    <w:rsid w:val="00AD5E01"/>
    <w:rsid w:val="00AD602F"/>
    <w:rsid w:val="00AD60C4"/>
    <w:rsid w:val="00AD6301"/>
    <w:rsid w:val="00AD7052"/>
    <w:rsid w:val="00AD722C"/>
    <w:rsid w:val="00AD7494"/>
    <w:rsid w:val="00AD75CC"/>
    <w:rsid w:val="00AD7CC0"/>
    <w:rsid w:val="00AE0134"/>
    <w:rsid w:val="00AE01CA"/>
    <w:rsid w:val="00AE077E"/>
    <w:rsid w:val="00AE0832"/>
    <w:rsid w:val="00AE0A8A"/>
    <w:rsid w:val="00AE0D26"/>
    <w:rsid w:val="00AE0FEC"/>
    <w:rsid w:val="00AE10FF"/>
    <w:rsid w:val="00AE13F6"/>
    <w:rsid w:val="00AE1CBE"/>
    <w:rsid w:val="00AE2522"/>
    <w:rsid w:val="00AE2A59"/>
    <w:rsid w:val="00AE2CDB"/>
    <w:rsid w:val="00AE2EC6"/>
    <w:rsid w:val="00AE2ECD"/>
    <w:rsid w:val="00AE2F26"/>
    <w:rsid w:val="00AE32DD"/>
    <w:rsid w:val="00AE3374"/>
    <w:rsid w:val="00AE344F"/>
    <w:rsid w:val="00AE36E5"/>
    <w:rsid w:val="00AE387A"/>
    <w:rsid w:val="00AE3B48"/>
    <w:rsid w:val="00AE3CA0"/>
    <w:rsid w:val="00AE3EBC"/>
    <w:rsid w:val="00AE3F7D"/>
    <w:rsid w:val="00AE40EE"/>
    <w:rsid w:val="00AE4291"/>
    <w:rsid w:val="00AE4408"/>
    <w:rsid w:val="00AE46B1"/>
    <w:rsid w:val="00AE4EA5"/>
    <w:rsid w:val="00AE5075"/>
    <w:rsid w:val="00AE5191"/>
    <w:rsid w:val="00AE559D"/>
    <w:rsid w:val="00AE5AB5"/>
    <w:rsid w:val="00AE5E64"/>
    <w:rsid w:val="00AE67DF"/>
    <w:rsid w:val="00AE6EBF"/>
    <w:rsid w:val="00AE6F2F"/>
    <w:rsid w:val="00AE6FD9"/>
    <w:rsid w:val="00AE70F9"/>
    <w:rsid w:val="00AE7127"/>
    <w:rsid w:val="00AE718E"/>
    <w:rsid w:val="00AE7190"/>
    <w:rsid w:val="00AE7386"/>
    <w:rsid w:val="00AE7587"/>
    <w:rsid w:val="00AE77EA"/>
    <w:rsid w:val="00AE78AE"/>
    <w:rsid w:val="00AE7A7D"/>
    <w:rsid w:val="00AE7A83"/>
    <w:rsid w:val="00AE7D22"/>
    <w:rsid w:val="00AF068B"/>
    <w:rsid w:val="00AF06B8"/>
    <w:rsid w:val="00AF0AC4"/>
    <w:rsid w:val="00AF12EE"/>
    <w:rsid w:val="00AF13A7"/>
    <w:rsid w:val="00AF15AE"/>
    <w:rsid w:val="00AF16F1"/>
    <w:rsid w:val="00AF176E"/>
    <w:rsid w:val="00AF18C9"/>
    <w:rsid w:val="00AF1CA3"/>
    <w:rsid w:val="00AF2017"/>
    <w:rsid w:val="00AF22D4"/>
    <w:rsid w:val="00AF22DE"/>
    <w:rsid w:val="00AF310A"/>
    <w:rsid w:val="00AF3964"/>
    <w:rsid w:val="00AF3CBA"/>
    <w:rsid w:val="00AF3DAB"/>
    <w:rsid w:val="00AF400B"/>
    <w:rsid w:val="00AF4481"/>
    <w:rsid w:val="00AF4631"/>
    <w:rsid w:val="00AF4695"/>
    <w:rsid w:val="00AF4949"/>
    <w:rsid w:val="00AF49A6"/>
    <w:rsid w:val="00AF4A07"/>
    <w:rsid w:val="00AF4F99"/>
    <w:rsid w:val="00AF5012"/>
    <w:rsid w:val="00AF53AA"/>
    <w:rsid w:val="00AF5684"/>
    <w:rsid w:val="00AF5B46"/>
    <w:rsid w:val="00AF5B72"/>
    <w:rsid w:val="00AF5F7B"/>
    <w:rsid w:val="00AF640D"/>
    <w:rsid w:val="00AF6417"/>
    <w:rsid w:val="00AF676D"/>
    <w:rsid w:val="00AF6ABE"/>
    <w:rsid w:val="00AF6B60"/>
    <w:rsid w:val="00AF6DAB"/>
    <w:rsid w:val="00AF6EA1"/>
    <w:rsid w:val="00AF6FAD"/>
    <w:rsid w:val="00AF70BD"/>
    <w:rsid w:val="00AF7111"/>
    <w:rsid w:val="00AF73AF"/>
    <w:rsid w:val="00AF7468"/>
    <w:rsid w:val="00AF7A01"/>
    <w:rsid w:val="00AF7A84"/>
    <w:rsid w:val="00AF7D8B"/>
    <w:rsid w:val="00B00031"/>
    <w:rsid w:val="00B00586"/>
    <w:rsid w:val="00B00804"/>
    <w:rsid w:val="00B0080A"/>
    <w:rsid w:val="00B00844"/>
    <w:rsid w:val="00B009D1"/>
    <w:rsid w:val="00B00CFF"/>
    <w:rsid w:val="00B01390"/>
    <w:rsid w:val="00B0153B"/>
    <w:rsid w:val="00B01611"/>
    <w:rsid w:val="00B01696"/>
    <w:rsid w:val="00B017EA"/>
    <w:rsid w:val="00B01B95"/>
    <w:rsid w:val="00B01C16"/>
    <w:rsid w:val="00B01E6F"/>
    <w:rsid w:val="00B023C3"/>
    <w:rsid w:val="00B02575"/>
    <w:rsid w:val="00B02932"/>
    <w:rsid w:val="00B02AE1"/>
    <w:rsid w:val="00B02D23"/>
    <w:rsid w:val="00B02F34"/>
    <w:rsid w:val="00B0302A"/>
    <w:rsid w:val="00B036C9"/>
    <w:rsid w:val="00B039FA"/>
    <w:rsid w:val="00B0422C"/>
    <w:rsid w:val="00B05D1F"/>
    <w:rsid w:val="00B062FF"/>
    <w:rsid w:val="00B069E0"/>
    <w:rsid w:val="00B06BB9"/>
    <w:rsid w:val="00B06CC8"/>
    <w:rsid w:val="00B07373"/>
    <w:rsid w:val="00B079F5"/>
    <w:rsid w:val="00B07F50"/>
    <w:rsid w:val="00B105C0"/>
    <w:rsid w:val="00B10A9B"/>
    <w:rsid w:val="00B10B68"/>
    <w:rsid w:val="00B10D59"/>
    <w:rsid w:val="00B11948"/>
    <w:rsid w:val="00B119DE"/>
    <w:rsid w:val="00B11E4E"/>
    <w:rsid w:val="00B11F22"/>
    <w:rsid w:val="00B120E3"/>
    <w:rsid w:val="00B122A4"/>
    <w:rsid w:val="00B12FFF"/>
    <w:rsid w:val="00B130A6"/>
    <w:rsid w:val="00B13502"/>
    <w:rsid w:val="00B1354F"/>
    <w:rsid w:val="00B13715"/>
    <w:rsid w:val="00B138D7"/>
    <w:rsid w:val="00B13C1D"/>
    <w:rsid w:val="00B13D13"/>
    <w:rsid w:val="00B141B8"/>
    <w:rsid w:val="00B141EB"/>
    <w:rsid w:val="00B14A18"/>
    <w:rsid w:val="00B14A23"/>
    <w:rsid w:val="00B14E6C"/>
    <w:rsid w:val="00B14FB3"/>
    <w:rsid w:val="00B150AE"/>
    <w:rsid w:val="00B15175"/>
    <w:rsid w:val="00B1562B"/>
    <w:rsid w:val="00B15653"/>
    <w:rsid w:val="00B15B89"/>
    <w:rsid w:val="00B16022"/>
    <w:rsid w:val="00B16A52"/>
    <w:rsid w:val="00B16E4E"/>
    <w:rsid w:val="00B17078"/>
    <w:rsid w:val="00B171F3"/>
    <w:rsid w:val="00B17263"/>
    <w:rsid w:val="00B17A1D"/>
    <w:rsid w:val="00B17E43"/>
    <w:rsid w:val="00B20301"/>
    <w:rsid w:val="00B2070A"/>
    <w:rsid w:val="00B207B8"/>
    <w:rsid w:val="00B209A3"/>
    <w:rsid w:val="00B20DCF"/>
    <w:rsid w:val="00B21CED"/>
    <w:rsid w:val="00B21FF7"/>
    <w:rsid w:val="00B223D9"/>
    <w:rsid w:val="00B225CC"/>
    <w:rsid w:val="00B234B7"/>
    <w:rsid w:val="00B23880"/>
    <w:rsid w:val="00B23883"/>
    <w:rsid w:val="00B23B63"/>
    <w:rsid w:val="00B23BA1"/>
    <w:rsid w:val="00B23F6B"/>
    <w:rsid w:val="00B246CF"/>
    <w:rsid w:val="00B246E5"/>
    <w:rsid w:val="00B25032"/>
    <w:rsid w:val="00B25B9A"/>
    <w:rsid w:val="00B25C5E"/>
    <w:rsid w:val="00B25F6C"/>
    <w:rsid w:val="00B2613F"/>
    <w:rsid w:val="00B263E3"/>
    <w:rsid w:val="00B26987"/>
    <w:rsid w:val="00B269DF"/>
    <w:rsid w:val="00B27741"/>
    <w:rsid w:val="00B27757"/>
    <w:rsid w:val="00B27ABF"/>
    <w:rsid w:val="00B27B1A"/>
    <w:rsid w:val="00B27C71"/>
    <w:rsid w:val="00B27DB2"/>
    <w:rsid w:val="00B27DDB"/>
    <w:rsid w:val="00B30927"/>
    <w:rsid w:val="00B312E0"/>
    <w:rsid w:val="00B313E2"/>
    <w:rsid w:val="00B31977"/>
    <w:rsid w:val="00B31B2B"/>
    <w:rsid w:val="00B31E21"/>
    <w:rsid w:val="00B31FEF"/>
    <w:rsid w:val="00B320CB"/>
    <w:rsid w:val="00B322B5"/>
    <w:rsid w:val="00B327D5"/>
    <w:rsid w:val="00B32846"/>
    <w:rsid w:val="00B328EB"/>
    <w:rsid w:val="00B32CCC"/>
    <w:rsid w:val="00B32D19"/>
    <w:rsid w:val="00B32D34"/>
    <w:rsid w:val="00B3308F"/>
    <w:rsid w:val="00B3377E"/>
    <w:rsid w:val="00B3377F"/>
    <w:rsid w:val="00B337A6"/>
    <w:rsid w:val="00B337FA"/>
    <w:rsid w:val="00B33B17"/>
    <w:rsid w:val="00B33BD3"/>
    <w:rsid w:val="00B33EF9"/>
    <w:rsid w:val="00B340FA"/>
    <w:rsid w:val="00B34732"/>
    <w:rsid w:val="00B34747"/>
    <w:rsid w:val="00B34B3A"/>
    <w:rsid w:val="00B34BEF"/>
    <w:rsid w:val="00B34CC7"/>
    <w:rsid w:val="00B34D78"/>
    <w:rsid w:val="00B34F8A"/>
    <w:rsid w:val="00B3532B"/>
    <w:rsid w:val="00B35639"/>
    <w:rsid w:val="00B3569D"/>
    <w:rsid w:val="00B357E2"/>
    <w:rsid w:val="00B3596A"/>
    <w:rsid w:val="00B35D2D"/>
    <w:rsid w:val="00B35D30"/>
    <w:rsid w:val="00B3671B"/>
    <w:rsid w:val="00B36D39"/>
    <w:rsid w:val="00B36DA7"/>
    <w:rsid w:val="00B370C9"/>
    <w:rsid w:val="00B37247"/>
    <w:rsid w:val="00B372AC"/>
    <w:rsid w:val="00B3749A"/>
    <w:rsid w:val="00B375F2"/>
    <w:rsid w:val="00B37793"/>
    <w:rsid w:val="00B379BD"/>
    <w:rsid w:val="00B37A75"/>
    <w:rsid w:val="00B37B25"/>
    <w:rsid w:val="00B37D42"/>
    <w:rsid w:val="00B40008"/>
    <w:rsid w:val="00B40206"/>
    <w:rsid w:val="00B40233"/>
    <w:rsid w:val="00B4042E"/>
    <w:rsid w:val="00B40710"/>
    <w:rsid w:val="00B40879"/>
    <w:rsid w:val="00B4093F"/>
    <w:rsid w:val="00B40EEE"/>
    <w:rsid w:val="00B4176C"/>
    <w:rsid w:val="00B4181E"/>
    <w:rsid w:val="00B41983"/>
    <w:rsid w:val="00B41F07"/>
    <w:rsid w:val="00B42058"/>
    <w:rsid w:val="00B420D5"/>
    <w:rsid w:val="00B4212A"/>
    <w:rsid w:val="00B42238"/>
    <w:rsid w:val="00B42482"/>
    <w:rsid w:val="00B42638"/>
    <w:rsid w:val="00B426FF"/>
    <w:rsid w:val="00B42AF2"/>
    <w:rsid w:val="00B42C05"/>
    <w:rsid w:val="00B431B0"/>
    <w:rsid w:val="00B4320A"/>
    <w:rsid w:val="00B435E9"/>
    <w:rsid w:val="00B43B13"/>
    <w:rsid w:val="00B43BD7"/>
    <w:rsid w:val="00B43BDD"/>
    <w:rsid w:val="00B43ED7"/>
    <w:rsid w:val="00B44491"/>
    <w:rsid w:val="00B445A7"/>
    <w:rsid w:val="00B447BF"/>
    <w:rsid w:val="00B44AF2"/>
    <w:rsid w:val="00B44E6D"/>
    <w:rsid w:val="00B45265"/>
    <w:rsid w:val="00B45511"/>
    <w:rsid w:val="00B455F0"/>
    <w:rsid w:val="00B45C63"/>
    <w:rsid w:val="00B4672E"/>
    <w:rsid w:val="00B468D4"/>
    <w:rsid w:val="00B46BA7"/>
    <w:rsid w:val="00B46BD6"/>
    <w:rsid w:val="00B46DF2"/>
    <w:rsid w:val="00B47107"/>
    <w:rsid w:val="00B472AC"/>
    <w:rsid w:val="00B47561"/>
    <w:rsid w:val="00B476E6"/>
    <w:rsid w:val="00B479B0"/>
    <w:rsid w:val="00B500AA"/>
    <w:rsid w:val="00B50273"/>
    <w:rsid w:val="00B506CA"/>
    <w:rsid w:val="00B50732"/>
    <w:rsid w:val="00B5097F"/>
    <w:rsid w:val="00B50A0E"/>
    <w:rsid w:val="00B50CCC"/>
    <w:rsid w:val="00B5114E"/>
    <w:rsid w:val="00B514F1"/>
    <w:rsid w:val="00B518A1"/>
    <w:rsid w:val="00B51A2A"/>
    <w:rsid w:val="00B51BBA"/>
    <w:rsid w:val="00B5230E"/>
    <w:rsid w:val="00B523A9"/>
    <w:rsid w:val="00B52997"/>
    <w:rsid w:val="00B52DA8"/>
    <w:rsid w:val="00B530EA"/>
    <w:rsid w:val="00B534E0"/>
    <w:rsid w:val="00B536AA"/>
    <w:rsid w:val="00B538D3"/>
    <w:rsid w:val="00B53901"/>
    <w:rsid w:val="00B53B5F"/>
    <w:rsid w:val="00B53DD6"/>
    <w:rsid w:val="00B5410C"/>
    <w:rsid w:val="00B5411D"/>
    <w:rsid w:val="00B541E7"/>
    <w:rsid w:val="00B544C5"/>
    <w:rsid w:val="00B54D5E"/>
    <w:rsid w:val="00B550B8"/>
    <w:rsid w:val="00B55BB8"/>
    <w:rsid w:val="00B55DBC"/>
    <w:rsid w:val="00B55DF1"/>
    <w:rsid w:val="00B560D5"/>
    <w:rsid w:val="00B5610F"/>
    <w:rsid w:val="00B56341"/>
    <w:rsid w:val="00B5645E"/>
    <w:rsid w:val="00B568B4"/>
    <w:rsid w:val="00B56B5D"/>
    <w:rsid w:val="00B56DB3"/>
    <w:rsid w:val="00B56EFA"/>
    <w:rsid w:val="00B5713B"/>
    <w:rsid w:val="00B573CB"/>
    <w:rsid w:val="00B57731"/>
    <w:rsid w:val="00B57813"/>
    <w:rsid w:val="00B57F44"/>
    <w:rsid w:val="00B600D1"/>
    <w:rsid w:val="00B60116"/>
    <w:rsid w:val="00B605B1"/>
    <w:rsid w:val="00B610BD"/>
    <w:rsid w:val="00B61635"/>
    <w:rsid w:val="00B6183B"/>
    <w:rsid w:val="00B618D9"/>
    <w:rsid w:val="00B61EAB"/>
    <w:rsid w:val="00B6223C"/>
    <w:rsid w:val="00B6237C"/>
    <w:rsid w:val="00B626B0"/>
    <w:rsid w:val="00B630C4"/>
    <w:rsid w:val="00B6355A"/>
    <w:rsid w:val="00B639BA"/>
    <w:rsid w:val="00B63E72"/>
    <w:rsid w:val="00B64068"/>
    <w:rsid w:val="00B643D3"/>
    <w:rsid w:val="00B64501"/>
    <w:rsid w:val="00B64578"/>
    <w:rsid w:val="00B64880"/>
    <w:rsid w:val="00B6489A"/>
    <w:rsid w:val="00B64C00"/>
    <w:rsid w:val="00B64F5B"/>
    <w:rsid w:val="00B64FDC"/>
    <w:rsid w:val="00B65210"/>
    <w:rsid w:val="00B65326"/>
    <w:rsid w:val="00B65818"/>
    <w:rsid w:val="00B65BFD"/>
    <w:rsid w:val="00B65E4B"/>
    <w:rsid w:val="00B661D5"/>
    <w:rsid w:val="00B662A4"/>
    <w:rsid w:val="00B666BF"/>
    <w:rsid w:val="00B66BAB"/>
    <w:rsid w:val="00B66DDE"/>
    <w:rsid w:val="00B66EDE"/>
    <w:rsid w:val="00B670FC"/>
    <w:rsid w:val="00B671C2"/>
    <w:rsid w:val="00B67236"/>
    <w:rsid w:val="00B67349"/>
    <w:rsid w:val="00B6743B"/>
    <w:rsid w:val="00B6746E"/>
    <w:rsid w:val="00B674F1"/>
    <w:rsid w:val="00B676A2"/>
    <w:rsid w:val="00B67B46"/>
    <w:rsid w:val="00B67D34"/>
    <w:rsid w:val="00B70158"/>
    <w:rsid w:val="00B7020A"/>
    <w:rsid w:val="00B707DF"/>
    <w:rsid w:val="00B7123A"/>
    <w:rsid w:val="00B713A9"/>
    <w:rsid w:val="00B71493"/>
    <w:rsid w:val="00B71A2C"/>
    <w:rsid w:val="00B71CEC"/>
    <w:rsid w:val="00B71E44"/>
    <w:rsid w:val="00B71F7E"/>
    <w:rsid w:val="00B71FE7"/>
    <w:rsid w:val="00B7206C"/>
    <w:rsid w:val="00B72334"/>
    <w:rsid w:val="00B7256B"/>
    <w:rsid w:val="00B72722"/>
    <w:rsid w:val="00B72E7F"/>
    <w:rsid w:val="00B73437"/>
    <w:rsid w:val="00B73A57"/>
    <w:rsid w:val="00B73C77"/>
    <w:rsid w:val="00B741EA"/>
    <w:rsid w:val="00B74666"/>
    <w:rsid w:val="00B7480A"/>
    <w:rsid w:val="00B748B7"/>
    <w:rsid w:val="00B74E6E"/>
    <w:rsid w:val="00B750C1"/>
    <w:rsid w:val="00B751C7"/>
    <w:rsid w:val="00B7542E"/>
    <w:rsid w:val="00B7545D"/>
    <w:rsid w:val="00B76161"/>
    <w:rsid w:val="00B7634F"/>
    <w:rsid w:val="00B767BE"/>
    <w:rsid w:val="00B768AD"/>
    <w:rsid w:val="00B76959"/>
    <w:rsid w:val="00B76CA9"/>
    <w:rsid w:val="00B771AF"/>
    <w:rsid w:val="00B7748A"/>
    <w:rsid w:val="00B77586"/>
    <w:rsid w:val="00B77931"/>
    <w:rsid w:val="00B7795C"/>
    <w:rsid w:val="00B77C85"/>
    <w:rsid w:val="00B77CCB"/>
    <w:rsid w:val="00B77D34"/>
    <w:rsid w:val="00B77EC6"/>
    <w:rsid w:val="00B77F79"/>
    <w:rsid w:val="00B80256"/>
    <w:rsid w:val="00B8025C"/>
    <w:rsid w:val="00B803A9"/>
    <w:rsid w:val="00B80425"/>
    <w:rsid w:val="00B80655"/>
    <w:rsid w:val="00B806B0"/>
    <w:rsid w:val="00B808CC"/>
    <w:rsid w:val="00B80D15"/>
    <w:rsid w:val="00B80F57"/>
    <w:rsid w:val="00B810C6"/>
    <w:rsid w:val="00B81126"/>
    <w:rsid w:val="00B8151E"/>
    <w:rsid w:val="00B8197E"/>
    <w:rsid w:val="00B8261B"/>
    <w:rsid w:val="00B82ADE"/>
    <w:rsid w:val="00B82BCD"/>
    <w:rsid w:val="00B82F4E"/>
    <w:rsid w:val="00B8355D"/>
    <w:rsid w:val="00B83957"/>
    <w:rsid w:val="00B83B0F"/>
    <w:rsid w:val="00B83E15"/>
    <w:rsid w:val="00B83FA3"/>
    <w:rsid w:val="00B84671"/>
    <w:rsid w:val="00B84788"/>
    <w:rsid w:val="00B84CA0"/>
    <w:rsid w:val="00B8534F"/>
    <w:rsid w:val="00B85ACF"/>
    <w:rsid w:val="00B85C88"/>
    <w:rsid w:val="00B85D3E"/>
    <w:rsid w:val="00B85E53"/>
    <w:rsid w:val="00B85FF2"/>
    <w:rsid w:val="00B8618A"/>
    <w:rsid w:val="00B8623F"/>
    <w:rsid w:val="00B86553"/>
    <w:rsid w:val="00B86606"/>
    <w:rsid w:val="00B86B12"/>
    <w:rsid w:val="00B86EB6"/>
    <w:rsid w:val="00B86F66"/>
    <w:rsid w:val="00B87239"/>
    <w:rsid w:val="00B874BC"/>
    <w:rsid w:val="00B876F7"/>
    <w:rsid w:val="00B87AF1"/>
    <w:rsid w:val="00B87B2B"/>
    <w:rsid w:val="00B87D1B"/>
    <w:rsid w:val="00B901AB"/>
    <w:rsid w:val="00B90483"/>
    <w:rsid w:val="00B908D8"/>
    <w:rsid w:val="00B90D00"/>
    <w:rsid w:val="00B9102E"/>
    <w:rsid w:val="00B9118D"/>
    <w:rsid w:val="00B913FF"/>
    <w:rsid w:val="00B91507"/>
    <w:rsid w:val="00B91704"/>
    <w:rsid w:val="00B917FE"/>
    <w:rsid w:val="00B91C2F"/>
    <w:rsid w:val="00B91C5C"/>
    <w:rsid w:val="00B91E15"/>
    <w:rsid w:val="00B91E35"/>
    <w:rsid w:val="00B91FB1"/>
    <w:rsid w:val="00B92038"/>
    <w:rsid w:val="00B9227C"/>
    <w:rsid w:val="00B92548"/>
    <w:rsid w:val="00B92EE6"/>
    <w:rsid w:val="00B9311C"/>
    <w:rsid w:val="00B93674"/>
    <w:rsid w:val="00B93854"/>
    <w:rsid w:val="00B939F0"/>
    <w:rsid w:val="00B93B4D"/>
    <w:rsid w:val="00B940C0"/>
    <w:rsid w:val="00B94359"/>
    <w:rsid w:val="00B947B6"/>
    <w:rsid w:val="00B94BCD"/>
    <w:rsid w:val="00B94BE3"/>
    <w:rsid w:val="00B94CBB"/>
    <w:rsid w:val="00B9506E"/>
    <w:rsid w:val="00B952CB"/>
    <w:rsid w:val="00B95602"/>
    <w:rsid w:val="00B95A14"/>
    <w:rsid w:val="00B95DAF"/>
    <w:rsid w:val="00B9699C"/>
    <w:rsid w:val="00B96C9E"/>
    <w:rsid w:val="00B96DB8"/>
    <w:rsid w:val="00B970BA"/>
    <w:rsid w:val="00B971E2"/>
    <w:rsid w:val="00B9740D"/>
    <w:rsid w:val="00B974D5"/>
    <w:rsid w:val="00B97655"/>
    <w:rsid w:val="00B978FE"/>
    <w:rsid w:val="00B97CC7"/>
    <w:rsid w:val="00B97F1C"/>
    <w:rsid w:val="00B97FCB"/>
    <w:rsid w:val="00BA01BE"/>
    <w:rsid w:val="00BA05E6"/>
    <w:rsid w:val="00BA0A30"/>
    <w:rsid w:val="00BA0CBC"/>
    <w:rsid w:val="00BA0FA6"/>
    <w:rsid w:val="00BA137E"/>
    <w:rsid w:val="00BA1473"/>
    <w:rsid w:val="00BA14F6"/>
    <w:rsid w:val="00BA2099"/>
    <w:rsid w:val="00BA22B8"/>
    <w:rsid w:val="00BA262F"/>
    <w:rsid w:val="00BA2758"/>
    <w:rsid w:val="00BA2BF4"/>
    <w:rsid w:val="00BA3B8B"/>
    <w:rsid w:val="00BA3BD9"/>
    <w:rsid w:val="00BA3D05"/>
    <w:rsid w:val="00BA3D9B"/>
    <w:rsid w:val="00BA41FB"/>
    <w:rsid w:val="00BA4863"/>
    <w:rsid w:val="00BA4971"/>
    <w:rsid w:val="00BA4E34"/>
    <w:rsid w:val="00BA529E"/>
    <w:rsid w:val="00BA5C98"/>
    <w:rsid w:val="00BA5F24"/>
    <w:rsid w:val="00BA5F92"/>
    <w:rsid w:val="00BA63E8"/>
    <w:rsid w:val="00BA6858"/>
    <w:rsid w:val="00BA6AD8"/>
    <w:rsid w:val="00BA6CE7"/>
    <w:rsid w:val="00BA6F93"/>
    <w:rsid w:val="00BA6FCC"/>
    <w:rsid w:val="00BA75C4"/>
    <w:rsid w:val="00BA7A81"/>
    <w:rsid w:val="00BA7D0A"/>
    <w:rsid w:val="00BA7D2F"/>
    <w:rsid w:val="00BB0467"/>
    <w:rsid w:val="00BB0526"/>
    <w:rsid w:val="00BB0651"/>
    <w:rsid w:val="00BB078C"/>
    <w:rsid w:val="00BB0BBC"/>
    <w:rsid w:val="00BB0C8C"/>
    <w:rsid w:val="00BB0DE8"/>
    <w:rsid w:val="00BB1420"/>
    <w:rsid w:val="00BB1DDB"/>
    <w:rsid w:val="00BB1E16"/>
    <w:rsid w:val="00BB2063"/>
    <w:rsid w:val="00BB2112"/>
    <w:rsid w:val="00BB2128"/>
    <w:rsid w:val="00BB2160"/>
    <w:rsid w:val="00BB22FE"/>
    <w:rsid w:val="00BB2F53"/>
    <w:rsid w:val="00BB33FF"/>
    <w:rsid w:val="00BB381C"/>
    <w:rsid w:val="00BB3824"/>
    <w:rsid w:val="00BB3A85"/>
    <w:rsid w:val="00BB3AAD"/>
    <w:rsid w:val="00BB3DF5"/>
    <w:rsid w:val="00BB4368"/>
    <w:rsid w:val="00BB45F0"/>
    <w:rsid w:val="00BB4859"/>
    <w:rsid w:val="00BB49DC"/>
    <w:rsid w:val="00BB4C0D"/>
    <w:rsid w:val="00BB51C2"/>
    <w:rsid w:val="00BB52D9"/>
    <w:rsid w:val="00BB5372"/>
    <w:rsid w:val="00BB557E"/>
    <w:rsid w:val="00BB55E4"/>
    <w:rsid w:val="00BB5636"/>
    <w:rsid w:val="00BB5A70"/>
    <w:rsid w:val="00BB5AAA"/>
    <w:rsid w:val="00BB5AFF"/>
    <w:rsid w:val="00BB5C67"/>
    <w:rsid w:val="00BB5F8C"/>
    <w:rsid w:val="00BB6745"/>
    <w:rsid w:val="00BB6BDA"/>
    <w:rsid w:val="00BB6BEE"/>
    <w:rsid w:val="00BB6CA8"/>
    <w:rsid w:val="00BB6EAC"/>
    <w:rsid w:val="00BB71D2"/>
    <w:rsid w:val="00BB7375"/>
    <w:rsid w:val="00BB73FE"/>
    <w:rsid w:val="00BB75F4"/>
    <w:rsid w:val="00BB792E"/>
    <w:rsid w:val="00BB7A9C"/>
    <w:rsid w:val="00BB7CEB"/>
    <w:rsid w:val="00BC03A1"/>
    <w:rsid w:val="00BC09C7"/>
    <w:rsid w:val="00BC0AA1"/>
    <w:rsid w:val="00BC1483"/>
    <w:rsid w:val="00BC1528"/>
    <w:rsid w:val="00BC197D"/>
    <w:rsid w:val="00BC1CF9"/>
    <w:rsid w:val="00BC2123"/>
    <w:rsid w:val="00BC229D"/>
    <w:rsid w:val="00BC23B0"/>
    <w:rsid w:val="00BC2496"/>
    <w:rsid w:val="00BC25B4"/>
    <w:rsid w:val="00BC2645"/>
    <w:rsid w:val="00BC2708"/>
    <w:rsid w:val="00BC29CA"/>
    <w:rsid w:val="00BC2E95"/>
    <w:rsid w:val="00BC312C"/>
    <w:rsid w:val="00BC3166"/>
    <w:rsid w:val="00BC33AC"/>
    <w:rsid w:val="00BC34D9"/>
    <w:rsid w:val="00BC3888"/>
    <w:rsid w:val="00BC3AA0"/>
    <w:rsid w:val="00BC3B55"/>
    <w:rsid w:val="00BC4418"/>
    <w:rsid w:val="00BC47ED"/>
    <w:rsid w:val="00BC48BD"/>
    <w:rsid w:val="00BC4AED"/>
    <w:rsid w:val="00BC4CFC"/>
    <w:rsid w:val="00BC51B0"/>
    <w:rsid w:val="00BC541D"/>
    <w:rsid w:val="00BC5802"/>
    <w:rsid w:val="00BC5A7D"/>
    <w:rsid w:val="00BC5DC5"/>
    <w:rsid w:val="00BC60FF"/>
    <w:rsid w:val="00BC61E6"/>
    <w:rsid w:val="00BC6E38"/>
    <w:rsid w:val="00BC6ED8"/>
    <w:rsid w:val="00BC6F33"/>
    <w:rsid w:val="00BC6F5B"/>
    <w:rsid w:val="00BC706A"/>
    <w:rsid w:val="00BC743A"/>
    <w:rsid w:val="00BC766F"/>
    <w:rsid w:val="00BC792C"/>
    <w:rsid w:val="00BC7F22"/>
    <w:rsid w:val="00BD0137"/>
    <w:rsid w:val="00BD08A5"/>
    <w:rsid w:val="00BD0A30"/>
    <w:rsid w:val="00BD0A9F"/>
    <w:rsid w:val="00BD0CC3"/>
    <w:rsid w:val="00BD1004"/>
    <w:rsid w:val="00BD1037"/>
    <w:rsid w:val="00BD144C"/>
    <w:rsid w:val="00BD16D5"/>
    <w:rsid w:val="00BD1A07"/>
    <w:rsid w:val="00BD1C7D"/>
    <w:rsid w:val="00BD1F6C"/>
    <w:rsid w:val="00BD203A"/>
    <w:rsid w:val="00BD2618"/>
    <w:rsid w:val="00BD29B0"/>
    <w:rsid w:val="00BD2A14"/>
    <w:rsid w:val="00BD34A0"/>
    <w:rsid w:val="00BD3F22"/>
    <w:rsid w:val="00BD454E"/>
    <w:rsid w:val="00BD46A1"/>
    <w:rsid w:val="00BD486D"/>
    <w:rsid w:val="00BD489C"/>
    <w:rsid w:val="00BD49CE"/>
    <w:rsid w:val="00BD4F73"/>
    <w:rsid w:val="00BD52CD"/>
    <w:rsid w:val="00BD5BAD"/>
    <w:rsid w:val="00BD5BC6"/>
    <w:rsid w:val="00BD5E48"/>
    <w:rsid w:val="00BD63AB"/>
    <w:rsid w:val="00BD63B2"/>
    <w:rsid w:val="00BD66B6"/>
    <w:rsid w:val="00BD676F"/>
    <w:rsid w:val="00BD6910"/>
    <w:rsid w:val="00BD6B76"/>
    <w:rsid w:val="00BD6F74"/>
    <w:rsid w:val="00BD71B5"/>
    <w:rsid w:val="00BD7D42"/>
    <w:rsid w:val="00BD7D56"/>
    <w:rsid w:val="00BE043D"/>
    <w:rsid w:val="00BE0442"/>
    <w:rsid w:val="00BE0FE1"/>
    <w:rsid w:val="00BE125B"/>
    <w:rsid w:val="00BE1323"/>
    <w:rsid w:val="00BE17C8"/>
    <w:rsid w:val="00BE1A27"/>
    <w:rsid w:val="00BE2128"/>
    <w:rsid w:val="00BE238B"/>
    <w:rsid w:val="00BE31B3"/>
    <w:rsid w:val="00BE3A31"/>
    <w:rsid w:val="00BE4065"/>
    <w:rsid w:val="00BE416C"/>
    <w:rsid w:val="00BE4311"/>
    <w:rsid w:val="00BE4554"/>
    <w:rsid w:val="00BE4784"/>
    <w:rsid w:val="00BE4AB5"/>
    <w:rsid w:val="00BE4D5C"/>
    <w:rsid w:val="00BE4DA7"/>
    <w:rsid w:val="00BE4FC7"/>
    <w:rsid w:val="00BE5046"/>
    <w:rsid w:val="00BE5227"/>
    <w:rsid w:val="00BE5341"/>
    <w:rsid w:val="00BE5377"/>
    <w:rsid w:val="00BE5417"/>
    <w:rsid w:val="00BE54CE"/>
    <w:rsid w:val="00BE6008"/>
    <w:rsid w:val="00BE6AA9"/>
    <w:rsid w:val="00BE6DA7"/>
    <w:rsid w:val="00BE6E1D"/>
    <w:rsid w:val="00BE6F31"/>
    <w:rsid w:val="00BE74F1"/>
    <w:rsid w:val="00BE7541"/>
    <w:rsid w:val="00BE76EE"/>
    <w:rsid w:val="00BE777E"/>
    <w:rsid w:val="00BE77AD"/>
    <w:rsid w:val="00BE7977"/>
    <w:rsid w:val="00BE7CAA"/>
    <w:rsid w:val="00BE7E6B"/>
    <w:rsid w:val="00BF02AF"/>
    <w:rsid w:val="00BF05D1"/>
    <w:rsid w:val="00BF0967"/>
    <w:rsid w:val="00BF09E2"/>
    <w:rsid w:val="00BF0D47"/>
    <w:rsid w:val="00BF1142"/>
    <w:rsid w:val="00BF1371"/>
    <w:rsid w:val="00BF1483"/>
    <w:rsid w:val="00BF1552"/>
    <w:rsid w:val="00BF166A"/>
    <w:rsid w:val="00BF1670"/>
    <w:rsid w:val="00BF1771"/>
    <w:rsid w:val="00BF1A27"/>
    <w:rsid w:val="00BF22B2"/>
    <w:rsid w:val="00BF22BF"/>
    <w:rsid w:val="00BF260E"/>
    <w:rsid w:val="00BF2658"/>
    <w:rsid w:val="00BF2C67"/>
    <w:rsid w:val="00BF2D40"/>
    <w:rsid w:val="00BF319E"/>
    <w:rsid w:val="00BF3F0A"/>
    <w:rsid w:val="00BF3FD6"/>
    <w:rsid w:val="00BF40F9"/>
    <w:rsid w:val="00BF4583"/>
    <w:rsid w:val="00BF4B3F"/>
    <w:rsid w:val="00BF4BF9"/>
    <w:rsid w:val="00BF4D79"/>
    <w:rsid w:val="00BF5057"/>
    <w:rsid w:val="00BF53B4"/>
    <w:rsid w:val="00BF53D5"/>
    <w:rsid w:val="00BF5432"/>
    <w:rsid w:val="00BF56AA"/>
    <w:rsid w:val="00BF59F8"/>
    <w:rsid w:val="00BF5A18"/>
    <w:rsid w:val="00BF5C8B"/>
    <w:rsid w:val="00BF60E2"/>
    <w:rsid w:val="00BF672A"/>
    <w:rsid w:val="00BF697F"/>
    <w:rsid w:val="00BF69CD"/>
    <w:rsid w:val="00BF6AB2"/>
    <w:rsid w:val="00BF7090"/>
    <w:rsid w:val="00BF7199"/>
    <w:rsid w:val="00BF798A"/>
    <w:rsid w:val="00BF79B2"/>
    <w:rsid w:val="00BF7E58"/>
    <w:rsid w:val="00BF7FB9"/>
    <w:rsid w:val="00C002E5"/>
    <w:rsid w:val="00C00B25"/>
    <w:rsid w:val="00C00B3C"/>
    <w:rsid w:val="00C00BF7"/>
    <w:rsid w:val="00C00DC4"/>
    <w:rsid w:val="00C011D6"/>
    <w:rsid w:val="00C01474"/>
    <w:rsid w:val="00C01566"/>
    <w:rsid w:val="00C017CD"/>
    <w:rsid w:val="00C01AEB"/>
    <w:rsid w:val="00C01C8D"/>
    <w:rsid w:val="00C01CAA"/>
    <w:rsid w:val="00C01E22"/>
    <w:rsid w:val="00C01E29"/>
    <w:rsid w:val="00C02080"/>
    <w:rsid w:val="00C02355"/>
    <w:rsid w:val="00C02538"/>
    <w:rsid w:val="00C029BC"/>
    <w:rsid w:val="00C02A74"/>
    <w:rsid w:val="00C02E57"/>
    <w:rsid w:val="00C02F05"/>
    <w:rsid w:val="00C030AD"/>
    <w:rsid w:val="00C031A2"/>
    <w:rsid w:val="00C03242"/>
    <w:rsid w:val="00C03245"/>
    <w:rsid w:val="00C0351B"/>
    <w:rsid w:val="00C03997"/>
    <w:rsid w:val="00C043AC"/>
    <w:rsid w:val="00C04537"/>
    <w:rsid w:val="00C0491B"/>
    <w:rsid w:val="00C04D39"/>
    <w:rsid w:val="00C04E7A"/>
    <w:rsid w:val="00C05345"/>
    <w:rsid w:val="00C06106"/>
    <w:rsid w:val="00C066D0"/>
    <w:rsid w:val="00C0689C"/>
    <w:rsid w:val="00C0727B"/>
    <w:rsid w:val="00C07380"/>
    <w:rsid w:val="00C0742C"/>
    <w:rsid w:val="00C0767C"/>
    <w:rsid w:val="00C07FAC"/>
    <w:rsid w:val="00C1088D"/>
    <w:rsid w:val="00C108BE"/>
    <w:rsid w:val="00C108DB"/>
    <w:rsid w:val="00C10EE6"/>
    <w:rsid w:val="00C11053"/>
    <w:rsid w:val="00C1129B"/>
    <w:rsid w:val="00C112A2"/>
    <w:rsid w:val="00C11370"/>
    <w:rsid w:val="00C11660"/>
    <w:rsid w:val="00C11BA3"/>
    <w:rsid w:val="00C11C44"/>
    <w:rsid w:val="00C11CD3"/>
    <w:rsid w:val="00C11E2A"/>
    <w:rsid w:val="00C1287F"/>
    <w:rsid w:val="00C12C44"/>
    <w:rsid w:val="00C12CD8"/>
    <w:rsid w:val="00C12CF0"/>
    <w:rsid w:val="00C12D03"/>
    <w:rsid w:val="00C12DE0"/>
    <w:rsid w:val="00C12FC0"/>
    <w:rsid w:val="00C13553"/>
    <w:rsid w:val="00C13FEB"/>
    <w:rsid w:val="00C14119"/>
    <w:rsid w:val="00C141DB"/>
    <w:rsid w:val="00C142BC"/>
    <w:rsid w:val="00C14672"/>
    <w:rsid w:val="00C146F3"/>
    <w:rsid w:val="00C147CF"/>
    <w:rsid w:val="00C1505A"/>
    <w:rsid w:val="00C154DF"/>
    <w:rsid w:val="00C155B0"/>
    <w:rsid w:val="00C15A7E"/>
    <w:rsid w:val="00C15A88"/>
    <w:rsid w:val="00C15B40"/>
    <w:rsid w:val="00C162F1"/>
    <w:rsid w:val="00C16627"/>
    <w:rsid w:val="00C16890"/>
    <w:rsid w:val="00C16F27"/>
    <w:rsid w:val="00C17252"/>
    <w:rsid w:val="00C176E0"/>
    <w:rsid w:val="00C17970"/>
    <w:rsid w:val="00C17A56"/>
    <w:rsid w:val="00C17C0B"/>
    <w:rsid w:val="00C20317"/>
    <w:rsid w:val="00C20BCA"/>
    <w:rsid w:val="00C20CA0"/>
    <w:rsid w:val="00C20FF8"/>
    <w:rsid w:val="00C212A7"/>
    <w:rsid w:val="00C219D2"/>
    <w:rsid w:val="00C21CB5"/>
    <w:rsid w:val="00C225CC"/>
    <w:rsid w:val="00C22814"/>
    <w:rsid w:val="00C22863"/>
    <w:rsid w:val="00C229A5"/>
    <w:rsid w:val="00C23200"/>
    <w:rsid w:val="00C23389"/>
    <w:rsid w:val="00C2361D"/>
    <w:rsid w:val="00C23795"/>
    <w:rsid w:val="00C23877"/>
    <w:rsid w:val="00C23A26"/>
    <w:rsid w:val="00C23C98"/>
    <w:rsid w:val="00C23EBC"/>
    <w:rsid w:val="00C23F0D"/>
    <w:rsid w:val="00C2414A"/>
    <w:rsid w:val="00C241F6"/>
    <w:rsid w:val="00C246ED"/>
    <w:rsid w:val="00C24D62"/>
    <w:rsid w:val="00C25542"/>
    <w:rsid w:val="00C255FA"/>
    <w:rsid w:val="00C25B5B"/>
    <w:rsid w:val="00C26773"/>
    <w:rsid w:val="00C26817"/>
    <w:rsid w:val="00C26E7C"/>
    <w:rsid w:val="00C26F7A"/>
    <w:rsid w:val="00C2719C"/>
    <w:rsid w:val="00C2752A"/>
    <w:rsid w:val="00C2765D"/>
    <w:rsid w:val="00C2799F"/>
    <w:rsid w:val="00C279A4"/>
    <w:rsid w:val="00C27A0D"/>
    <w:rsid w:val="00C27C9D"/>
    <w:rsid w:val="00C30594"/>
    <w:rsid w:val="00C307B7"/>
    <w:rsid w:val="00C30950"/>
    <w:rsid w:val="00C30D51"/>
    <w:rsid w:val="00C3169B"/>
    <w:rsid w:val="00C31751"/>
    <w:rsid w:val="00C317BE"/>
    <w:rsid w:val="00C3193F"/>
    <w:rsid w:val="00C31A0E"/>
    <w:rsid w:val="00C31CCB"/>
    <w:rsid w:val="00C3233C"/>
    <w:rsid w:val="00C32461"/>
    <w:rsid w:val="00C324CD"/>
    <w:rsid w:val="00C327C1"/>
    <w:rsid w:val="00C32B18"/>
    <w:rsid w:val="00C32DDF"/>
    <w:rsid w:val="00C330F2"/>
    <w:rsid w:val="00C33268"/>
    <w:rsid w:val="00C33543"/>
    <w:rsid w:val="00C338F8"/>
    <w:rsid w:val="00C33C19"/>
    <w:rsid w:val="00C33C68"/>
    <w:rsid w:val="00C34015"/>
    <w:rsid w:val="00C343FA"/>
    <w:rsid w:val="00C34493"/>
    <w:rsid w:val="00C34740"/>
    <w:rsid w:val="00C34962"/>
    <w:rsid w:val="00C34B0A"/>
    <w:rsid w:val="00C34B5B"/>
    <w:rsid w:val="00C34CB9"/>
    <w:rsid w:val="00C34F24"/>
    <w:rsid w:val="00C357A2"/>
    <w:rsid w:val="00C35809"/>
    <w:rsid w:val="00C35DF9"/>
    <w:rsid w:val="00C35E6F"/>
    <w:rsid w:val="00C35EAA"/>
    <w:rsid w:val="00C36D63"/>
    <w:rsid w:val="00C36EC0"/>
    <w:rsid w:val="00C3730E"/>
    <w:rsid w:val="00C37E14"/>
    <w:rsid w:val="00C37F28"/>
    <w:rsid w:val="00C403E1"/>
    <w:rsid w:val="00C40577"/>
    <w:rsid w:val="00C40B33"/>
    <w:rsid w:val="00C40D42"/>
    <w:rsid w:val="00C40ED3"/>
    <w:rsid w:val="00C40F90"/>
    <w:rsid w:val="00C4105D"/>
    <w:rsid w:val="00C41334"/>
    <w:rsid w:val="00C41575"/>
    <w:rsid w:val="00C4191E"/>
    <w:rsid w:val="00C41965"/>
    <w:rsid w:val="00C41B5B"/>
    <w:rsid w:val="00C42217"/>
    <w:rsid w:val="00C424D7"/>
    <w:rsid w:val="00C4257E"/>
    <w:rsid w:val="00C427A4"/>
    <w:rsid w:val="00C42D35"/>
    <w:rsid w:val="00C42D59"/>
    <w:rsid w:val="00C43054"/>
    <w:rsid w:val="00C438B5"/>
    <w:rsid w:val="00C43B99"/>
    <w:rsid w:val="00C43BFF"/>
    <w:rsid w:val="00C43CA5"/>
    <w:rsid w:val="00C43E78"/>
    <w:rsid w:val="00C43F67"/>
    <w:rsid w:val="00C440C8"/>
    <w:rsid w:val="00C44193"/>
    <w:rsid w:val="00C449C5"/>
    <w:rsid w:val="00C44A6F"/>
    <w:rsid w:val="00C44C4A"/>
    <w:rsid w:val="00C44C65"/>
    <w:rsid w:val="00C44F15"/>
    <w:rsid w:val="00C45675"/>
    <w:rsid w:val="00C4595A"/>
    <w:rsid w:val="00C45F11"/>
    <w:rsid w:val="00C45F8C"/>
    <w:rsid w:val="00C4624A"/>
    <w:rsid w:val="00C4665C"/>
    <w:rsid w:val="00C4710C"/>
    <w:rsid w:val="00C472DB"/>
    <w:rsid w:val="00C47764"/>
    <w:rsid w:val="00C479BB"/>
    <w:rsid w:val="00C479EE"/>
    <w:rsid w:val="00C47A37"/>
    <w:rsid w:val="00C47B7F"/>
    <w:rsid w:val="00C47D86"/>
    <w:rsid w:val="00C5031F"/>
    <w:rsid w:val="00C503B7"/>
    <w:rsid w:val="00C5081C"/>
    <w:rsid w:val="00C508CB"/>
    <w:rsid w:val="00C50AA3"/>
    <w:rsid w:val="00C50AC9"/>
    <w:rsid w:val="00C50ECF"/>
    <w:rsid w:val="00C50F39"/>
    <w:rsid w:val="00C513B8"/>
    <w:rsid w:val="00C51645"/>
    <w:rsid w:val="00C516B5"/>
    <w:rsid w:val="00C51F5C"/>
    <w:rsid w:val="00C521A0"/>
    <w:rsid w:val="00C52393"/>
    <w:rsid w:val="00C523B4"/>
    <w:rsid w:val="00C52986"/>
    <w:rsid w:val="00C52ACC"/>
    <w:rsid w:val="00C52C1D"/>
    <w:rsid w:val="00C52EA0"/>
    <w:rsid w:val="00C535E4"/>
    <w:rsid w:val="00C53875"/>
    <w:rsid w:val="00C5399E"/>
    <w:rsid w:val="00C53B4B"/>
    <w:rsid w:val="00C53B7D"/>
    <w:rsid w:val="00C53B92"/>
    <w:rsid w:val="00C53DDF"/>
    <w:rsid w:val="00C53E14"/>
    <w:rsid w:val="00C53F20"/>
    <w:rsid w:val="00C540C0"/>
    <w:rsid w:val="00C54716"/>
    <w:rsid w:val="00C547D2"/>
    <w:rsid w:val="00C54AD6"/>
    <w:rsid w:val="00C54CCE"/>
    <w:rsid w:val="00C54D41"/>
    <w:rsid w:val="00C54D48"/>
    <w:rsid w:val="00C54F6E"/>
    <w:rsid w:val="00C550C1"/>
    <w:rsid w:val="00C5525F"/>
    <w:rsid w:val="00C55AB1"/>
    <w:rsid w:val="00C55EDB"/>
    <w:rsid w:val="00C55EEC"/>
    <w:rsid w:val="00C561A9"/>
    <w:rsid w:val="00C56C35"/>
    <w:rsid w:val="00C56D1E"/>
    <w:rsid w:val="00C56E13"/>
    <w:rsid w:val="00C5777F"/>
    <w:rsid w:val="00C57A4A"/>
    <w:rsid w:val="00C57A65"/>
    <w:rsid w:val="00C57B37"/>
    <w:rsid w:val="00C57C0A"/>
    <w:rsid w:val="00C57D50"/>
    <w:rsid w:val="00C603E1"/>
    <w:rsid w:val="00C60657"/>
    <w:rsid w:val="00C60A35"/>
    <w:rsid w:val="00C60CCA"/>
    <w:rsid w:val="00C60E02"/>
    <w:rsid w:val="00C60FE1"/>
    <w:rsid w:val="00C6108C"/>
    <w:rsid w:val="00C617B8"/>
    <w:rsid w:val="00C618E4"/>
    <w:rsid w:val="00C61A11"/>
    <w:rsid w:val="00C61FD6"/>
    <w:rsid w:val="00C62024"/>
    <w:rsid w:val="00C62352"/>
    <w:rsid w:val="00C6247E"/>
    <w:rsid w:val="00C6258F"/>
    <w:rsid w:val="00C62F05"/>
    <w:rsid w:val="00C630F7"/>
    <w:rsid w:val="00C63172"/>
    <w:rsid w:val="00C63284"/>
    <w:rsid w:val="00C6358E"/>
    <w:rsid w:val="00C63A55"/>
    <w:rsid w:val="00C63DA2"/>
    <w:rsid w:val="00C641CB"/>
    <w:rsid w:val="00C64681"/>
    <w:rsid w:val="00C64BE2"/>
    <w:rsid w:val="00C64D21"/>
    <w:rsid w:val="00C65090"/>
    <w:rsid w:val="00C66122"/>
    <w:rsid w:val="00C6613D"/>
    <w:rsid w:val="00C6675B"/>
    <w:rsid w:val="00C669E3"/>
    <w:rsid w:val="00C669E4"/>
    <w:rsid w:val="00C66C50"/>
    <w:rsid w:val="00C676D3"/>
    <w:rsid w:val="00C678B2"/>
    <w:rsid w:val="00C678BE"/>
    <w:rsid w:val="00C67AD4"/>
    <w:rsid w:val="00C67C08"/>
    <w:rsid w:val="00C67D30"/>
    <w:rsid w:val="00C67F97"/>
    <w:rsid w:val="00C70031"/>
    <w:rsid w:val="00C7006C"/>
    <w:rsid w:val="00C70167"/>
    <w:rsid w:val="00C702B6"/>
    <w:rsid w:val="00C70531"/>
    <w:rsid w:val="00C707E1"/>
    <w:rsid w:val="00C70ACB"/>
    <w:rsid w:val="00C70C3C"/>
    <w:rsid w:val="00C70DA2"/>
    <w:rsid w:val="00C70E65"/>
    <w:rsid w:val="00C71381"/>
    <w:rsid w:val="00C7139A"/>
    <w:rsid w:val="00C7167C"/>
    <w:rsid w:val="00C7167E"/>
    <w:rsid w:val="00C71919"/>
    <w:rsid w:val="00C71A00"/>
    <w:rsid w:val="00C71B07"/>
    <w:rsid w:val="00C71DAF"/>
    <w:rsid w:val="00C7214E"/>
    <w:rsid w:val="00C7237C"/>
    <w:rsid w:val="00C728D5"/>
    <w:rsid w:val="00C72DA3"/>
    <w:rsid w:val="00C734F0"/>
    <w:rsid w:val="00C7355D"/>
    <w:rsid w:val="00C73C4D"/>
    <w:rsid w:val="00C73D24"/>
    <w:rsid w:val="00C73DAB"/>
    <w:rsid w:val="00C74304"/>
    <w:rsid w:val="00C74420"/>
    <w:rsid w:val="00C7465C"/>
    <w:rsid w:val="00C747BA"/>
    <w:rsid w:val="00C74965"/>
    <w:rsid w:val="00C74C8C"/>
    <w:rsid w:val="00C74FFE"/>
    <w:rsid w:val="00C75183"/>
    <w:rsid w:val="00C7547B"/>
    <w:rsid w:val="00C75543"/>
    <w:rsid w:val="00C75600"/>
    <w:rsid w:val="00C75F16"/>
    <w:rsid w:val="00C765D0"/>
    <w:rsid w:val="00C7664B"/>
    <w:rsid w:val="00C766C6"/>
    <w:rsid w:val="00C7671A"/>
    <w:rsid w:val="00C7685A"/>
    <w:rsid w:val="00C76FB0"/>
    <w:rsid w:val="00C770B9"/>
    <w:rsid w:val="00C77136"/>
    <w:rsid w:val="00C771B2"/>
    <w:rsid w:val="00C771BF"/>
    <w:rsid w:val="00C77665"/>
    <w:rsid w:val="00C77805"/>
    <w:rsid w:val="00C779C5"/>
    <w:rsid w:val="00C77A7B"/>
    <w:rsid w:val="00C77C50"/>
    <w:rsid w:val="00C77D20"/>
    <w:rsid w:val="00C77E82"/>
    <w:rsid w:val="00C803CD"/>
    <w:rsid w:val="00C80C08"/>
    <w:rsid w:val="00C80C5B"/>
    <w:rsid w:val="00C80FE2"/>
    <w:rsid w:val="00C812CF"/>
    <w:rsid w:val="00C8141B"/>
    <w:rsid w:val="00C8152E"/>
    <w:rsid w:val="00C81758"/>
    <w:rsid w:val="00C8185E"/>
    <w:rsid w:val="00C819A5"/>
    <w:rsid w:val="00C81CE0"/>
    <w:rsid w:val="00C824BA"/>
    <w:rsid w:val="00C825C0"/>
    <w:rsid w:val="00C82DDD"/>
    <w:rsid w:val="00C83309"/>
    <w:rsid w:val="00C835BF"/>
    <w:rsid w:val="00C836B7"/>
    <w:rsid w:val="00C837A4"/>
    <w:rsid w:val="00C843FF"/>
    <w:rsid w:val="00C84690"/>
    <w:rsid w:val="00C846CE"/>
    <w:rsid w:val="00C8492C"/>
    <w:rsid w:val="00C84C1F"/>
    <w:rsid w:val="00C84DEE"/>
    <w:rsid w:val="00C84E5F"/>
    <w:rsid w:val="00C84EEE"/>
    <w:rsid w:val="00C85227"/>
    <w:rsid w:val="00C85464"/>
    <w:rsid w:val="00C85685"/>
    <w:rsid w:val="00C85A27"/>
    <w:rsid w:val="00C85C14"/>
    <w:rsid w:val="00C8605F"/>
    <w:rsid w:val="00C861E7"/>
    <w:rsid w:val="00C86D05"/>
    <w:rsid w:val="00C870FA"/>
    <w:rsid w:val="00C87127"/>
    <w:rsid w:val="00C874BE"/>
    <w:rsid w:val="00C874C7"/>
    <w:rsid w:val="00C875D1"/>
    <w:rsid w:val="00C876A2"/>
    <w:rsid w:val="00C87A18"/>
    <w:rsid w:val="00C87F22"/>
    <w:rsid w:val="00C9014F"/>
    <w:rsid w:val="00C901EC"/>
    <w:rsid w:val="00C90309"/>
    <w:rsid w:val="00C9040A"/>
    <w:rsid w:val="00C91086"/>
    <w:rsid w:val="00C911CE"/>
    <w:rsid w:val="00C9136B"/>
    <w:rsid w:val="00C9141C"/>
    <w:rsid w:val="00C914F9"/>
    <w:rsid w:val="00C91C23"/>
    <w:rsid w:val="00C91D4D"/>
    <w:rsid w:val="00C91EA6"/>
    <w:rsid w:val="00C92015"/>
    <w:rsid w:val="00C9230F"/>
    <w:rsid w:val="00C925C4"/>
    <w:rsid w:val="00C92708"/>
    <w:rsid w:val="00C928E7"/>
    <w:rsid w:val="00C9298D"/>
    <w:rsid w:val="00C92DD2"/>
    <w:rsid w:val="00C93003"/>
    <w:rsid w:val="00C9330D"/>
    <w:rsid w:val="00C936BB"/>
    <w:rsid w:val="00C93748"/>
    <w:rsid w:val="00C93FED"/>
    <w:rsid w:val="00C9415D"/>
    <w:rsid w:val="00C94365"/>
    <w:rsid w:val="00C9484A"/>
    <w:rsid w:val="00C94EAE"/>
    <w:rsid w:val="00C9550F"/>
    <w:rsid w:val="00C955AA"/>
    <w:rsid w:val="00C95904"/>
    <w:rsid w:val="00C95CA0"/>
    <w:rsid w:val="00C95DE0"/>
    <w:rsid w:val="00C967D8"/>
    <w:rsid w:val="00C9697B"/>
    <w:rsid w:val="00C96D1D"/>
    <w:rsid w:val="00C96FE9"/>
    <w:rsid w:val="00C970A5"/>
    <w:rsid w:val="00C97169"/>
    <w:rsid w:val="00C972F2"/>
    <w:rsid w:val="00C97316"/>
    <w:rsid w:val="00C9746E"/>
    <w:rsid w:val="00C9786B"/>
    <w:rsid w:val="00C97C6A"/>
    <w:rsid w:val="00CA02A9"/>
    <w:rsid w:val="00CA02E4"/>
    <w:rsid w:val="00CA0E78"/>
    <w:rsid w:val="00CA1B5A"/>
    <w:rsid w:val="00CA1C94"/>
    <w:rsid w:val="00CA1D6E"/>
    <w:rsid w:val="00CA1DDA"/>
    <w:rsid w:val="00CA2115"/>
    <w:rsid w:val="00CA22CA"/>
    <w:rsid w:val="00CA258C"/>
    <w:rsid w:val="00CA29A4"/>
    <w:rsid w:val="00CA2B4C"/>
    <w:rsid w:val="00CA2C56"/>
    <w:rsid w:val="00CA2D63"/>
    <w:rsid w:val="00CA3A79"/>
    <w:rsid w:val="00CA3C6B"/>
    <w:rsid w:val="00CA3C8A"/>
    <w:rsid w:val="00CA3E22"/>
    <w:rsid w:val="00CA408C"/>
    <w:rsid w:val="00CA4332"/>
    <w:rsid w:val="00CA48B7"/>
    <w:rsid w:val="00CA4C60"/>
    <w:rsid w:val="00CA4D1A"/>
    <w:rsid w:val="00CA57C1"/>
    <w:rsid w:val="00CA57E3"/>
    <w:rsid w:val="00CA5A99"/>
    <w:rsid w:val="00CA5E4C"/>
    <w:rsid w:val="00CA6227"/>
    <w:rsid w:val="00CA62C5"/>
    <w:rsid w:val="00CA6312"/>
    <w:rsid w:val="00CA65D4"/>
    <w:rsid w:val="00CA6700"/>
    <w:rsid w:val="00CA72AC"/>
    <w:rsid w:val="00CA7376"/>
    <w:rsid w:val="00CA7424"/>
    <w:rsid w:val="00CB04F6"/>
    <w:rsid w:val="00CB0BAE"/>
    <w:rsid w:val="00CB0C32"/>
    <w:rsid w:val="00CB0E94"/>
    <w:rsid w:val="00CB0EBB"/>
    <w:rsid w:val="00CB11F0"/>
    <w:rsid w:val="00CB13BA"/>
    <w:rsid w:val="00CB17AD"/>
    <w:rsid w:val="00CB19B7"/>
    <w:rsid w:val="00CB19EE"/>
    <w:rsid w:val="00CB20DE"/>
    <w:rsid w:val="00CB2500"/>
    <w:rsid w:val="00CB27C2"/>
    <w:rsid w:val="00CB2923"/>
    <w:rsid w:val="00CB2DDF"/>
    <w:rsid w:val="00CB2EE9"/>
    <w:rsid w:val="00CB3081"/>
    <w:rsid w:val="00CB390A"/>
    <w:rsid w:val="00CB3F57"/>
    <w:rsid w:val="00CB405D"/>
    <w:rsid w:val="00CB40CC"/>
    <w:rsid w:val="00CB432A"/>
    <w:rsid w:val="00CB4727"/>
    <w:rsid w:val="00CB4740"/>
    <w:rsid w:val="00CB4B60"/>
    <w:rsid w:val="00CB4C49"/>
    <w:rsid w:val="00CB4DF5"/>
    <w:rsid w:val="00CB5384"/>
    <w:rsid w:val="00CB54B5"/>
    <w:rsid w:val="00CB5677"/>
    <w:rsid w:val="00CB58EB"/>
    <w:rsid w:val="00CB59AE"/>
    <w:rsid w:val="00CB5A09"/>
    <w:rsid w:val="00CB5AFF"/>
    <w:rsid w:val="00CB5B78"/>
    <w:rsid w:val="00CB5EEC"/>
    <w:rsid w:val="00CB613F"/>
    <w:rsid w:val="00CB63BB"/>
    <w:rsid w:val="00CB6461"/>
    <w:rsid w:val="00CB6766"/>
    <w:rsid w:val="00CB68F6"/>
    <w:rsid w:val="00CB6B51"/>
    <w:rsid w:val="00CB6EEC"/>
    <w:rsid w:val="00CB70A7"/>
    <w:rsid w:val="00CB7960"/>
    <w:rsid w:val="00CC0223"/>
    <w:rsid w:val="00CC04E2"/>
    <w:rsid w:val="00CC06E2"/>
    <w:rsid w:val="00CC0A59"/>
    <w:rsid w:val="00CC0F45"/>
    <w:rsid w:val="00CC1590"/>
    <w:rsid w:val="00CC1884"/>
    <w:rsid w:val="00CC197E"/>
    <w:rsid w:val="00CC1D82"/>
    <w:rsid w:val="00CC1EF7"/>
    <w:rsid w:val="00CC20A8"/>
    <w:rsid w:val="00CC312C"/>
    <w:rsid w:val="00CC33F0"/>
    <w:rsid w:val="00CC3446"/>
    <w:rsid w:val="00CC3482"/>
    <w:rsid w:val="00CC362A"/>
    <w:rsid w:val="00CC3E3D"/>
    <w:rsid w:val="00CC3F33"/>
    <w:rsid w:val="00CC4009"/>
    <w:rsid w:val="00CC43B8"/>
    <w:rsid w:val="00CC4546"/>
    <w:rsid w:val="00CC458B"/>
    <w:rsid w:val="00CC45A7"/>
    <w:rsid w:val="00CC5307"/>
    <w:rsid w:val="00CC54C6"/>
    <w:rsid w:val="00CC558C"/>
    <w:rsid w:val="00CC57C1"/>
    <w:rsid w:val="00CC5DE9"/>
    <w:rsid w:val="00CC6D44"/>
    <w:rsid w:val="00CC745C"/>
    <w:rsid w:val="00CC75A4"/>
    <w:rsid w:val="00CD032D"/>
    <w:rsid w:val="00CD041A"/>
    <w:rsid w:val="00CD0427"/>
    <w:rsid w:val="00CD0680"/>
    <w:rsid w:val="00CD0CA5"/>
    <w:rsid w:val="00CD1115"/>
    <w:rsid w:val="00CD1470"/>
    <w:rsid w:val="00CD1613"/>
    <w:rsid w:val="00CD1705"/>
    <w:rsid w:val="00CD1833"/>
    <w:rsid w:val="00CD18CD"/>
    <w:rsid w:val="00CD1A35"/>
    <w:rsid w:val="00CD1CE4"/>
    <w:rsid w:val="00CD204F"/>
    <w:rsid w:val="00CD2119"/>
    <w:rsid w:val="00CD24D9"/>
    <w:rsid w:val="00CD25D9"/>
    <w:rsid w:val="00CD30A1"/>
    <w:rsid w:val="00CD30D4"/>
    <w:rsid w:val="00CD3375"/>
    <w:rsid w:val="00CD3986"/>
    <w:rsid w:val="00CD399B"/>
    <w:rsid w:val="00CD3D34"/>
    <w:rsid w:val="00CD3E7A"/>
    <w:rsid w:val="00CD4344"/>
    <w:rsid w:val="00CD4803"/>
    <w:rsid w:val="00CD4BE7"/>
    <w:rsid w:val="00CD4C36"/>
    <w:rsid w:val="00CD4E94"/>
    <w:rsid w:val="00CD5378"/>
    <w:rsid w:val="00CD56A0"/>
    <w:rsid w:val="00CD59B7"/>
    <w:rsid w:val="00CD5CBB"/>
    <w:rsid w:val="00CD6163"/>
    <w:rsid w:val="00CD619A"/>
    <w:rsid w:val="00CD64D9"/>
    <w:rsid w:val="00CD7170"/>
    <w:rsid w:val="00CD7556"/>
    <w:rsid w:val="00CD75F9"/>
    <w:rsid w:val="00CD77B3"/>
    <w:rsid w:val="00CD781A"/>
    <w:rsid w:val="00CD788D"/>
    <w:rsid w:val="00CD7AA7"/>
    <w:rsid w:val="00CE02B1"/>
    <w:rsid w:val="00CE042C"/>
    <w:rsid w:val="00CE09A4"/>
    <w:rsid w:val="00CE09D9"/>
    <w:rsid w:val="00CE0DC9"/>
    <w:rsid w:val="00CE11C7"/>
    <w:rsid w:val="00CE19BA"/>
    <w:rsid w:val="00CE1E9A"/>
    <w:rsid w:val="00CE215E"/>
    <w:rsid w:val="00CE2B46"/>
    <w:rsid w:val="00CE2D72"/>
    <w:rsid w:val="00CE2DC7"/>
    <w:rsid w:val="00CE2F17"/>
    <w:rsid w:val="00CE413D"/>
    <w:rsid w:val="00CE4734"/>
    <w:rsid w:val="00CE49E6"/>
    <w:rsid w:val="00CE500F"/>
    <w:rsid w:val="00CE51E6"/>
    <w:rsid w:val="00CE566B"/>
    <w:rsid w:val="00CE57A7"/>
    <w:rsid w:val="00CE5917"/>
    <w:rsid w:val="00CE5982"/>
    <w:rsid w:val="00CE5C05"/>
    <w:rsid w:val="00CE5D9B"/>
    <w:rsid w:val="00CE60C4"/>
    <w:rsid w:val="00CE6489"/>
    <w:rsid w:val="00CE6799"/>
    <w:rsid w:val="00CE68A4"/>
    <w:rsid w:val="00CE69A7"/>
    <w:rsid w:val="00CE6D81"/>
    <w:rsid w:val="00CE74B7"/>
    <w:rsid w:val="00CE760C"/>
    <w:rsid w:val="00CE784A"/>
    <w:rsid w:val="00CE7B14"/>
    <w:rsid w:val="00CE7C5F"/>
    <w:rsid w:val="00CF03F3"/>
    <w:rsid w:val="00CF0B81"/>
    <w:rsid w:val="00CF100A"/>
    <w:rsid w:val="00CF1353"/>
    <w:rsid w:val="00CF1957"/>
    <w:rsid w:val="00CF1A7A"/>
    <w:rsid w:val="00CF1D26"/>
    <w:rsid w:val="00CF27E7"/>
    <w:rsid w:val="00CF2BFA"/>
    <w:rsid w:val="00CF2C2C"/>
    <w:rsid w:val="00CF2DC1"/>
    <w:rsid w:val="00CF340F"/>
    <w:rsid w:val="00CF3756"/>
    <w:rsid w:val="00CF3C54"/>
    <w:rsid w:val="00CF3C94"/>
    <w:rsid w:val="00CF423E"/>
    <w:rsid w:val="00CF505A"/>
    <w:rsid w:val="00CF50E9"/>
    <w:rsid w:val="00CF531A"/>
    <w:rsid w:val="00CF6128"/>
    <w:rsid w:val="00CF63C6"/>
    <w:rsid w:val="00CF643E"/>
    <w:rsid w:val="00CF6502"/>
    <w:rsid w:val="00CF654C"/>
    <w:rsid w:val="00CF663E"/>
    <w:rsid w:val="00CF6C8F"/>
    <w:rsid w:val="00CF73E2"/>
    <w:rsid w:val="00CF7FD6"/>
    <w:rsid w:val="00D0031E"/>
    <w:rsid w:val="00D003DE"/>
    <w:rsid w:val="00D00653"/>
    <w:rsid w:val="00D007BD"/>
    <w:rsid w:val="00D008BD"/>
    <w:rsid w:val="00D00FCC"/>
    <w:rsid w:val="00D013F2"/>
    <w:rsid w:val="00D015C3"/>
    <w:rsid w:val="00D0193F"/>
    <w:rsid w:val="00D0198E"/>
    <w:rsid w:val="00D019F6"/>
    <w:rsid w:val="00D02240"/>
    <w:rsid w:val="00D02313"/>
    <w:rsid w:val="00D0240B"/>
    <w:rsid w:val="00D030A4"/>
    <w:rsid w:val="00D030A9"/>
    <w:rsid w:val="00D03196"/>
    <w:rsid w:val="00D035F8"/>
    <w:rsid w:val="00D03613"/>
    <w:rsid w:val="00D038F0"/>
    <w:rsid w:val="00D03D2D"/>
    <w:rsid w:val="00D03E5B"/>
    <w:rsid w:val="00D03E5D"/>
    <w:rsid w:val="00D0461A"/>
    <w:rsid w:val="00D047ED"/>
    <w:rsid w:val="00D049DE"/>
    <w:rsid w:val="00D04E34"/>
    <w:rsid w:val="00D04F6F"/>
    <w:rsid w:val="00D0501A"/>
    <w:rsid w:val="00D05847"/>
    <w:rsid w:val="00D05C4C"/>
    <w:rsid w:val="00D05D18"/>
    <w:rsid w:val="00D05E9A"/>
    <w:rsid w:val="00D061FF"/>
    <w:rsid w:val="00D0630C"/>
    <w:rsid w:val="00D068C8"/>
    <w:rsid w:val="00D0728A"/>
    <w:rsid w:val="00D075BD"/>
    <w:rsid w:val="00D0791C"/>
    <w:rsid w:val="00D10237"/>
    <w:rsid w:val="00D10623"/>
    <w:rsid w:val="00D1066F"/>
    <w:rsid w:val="00D10774"/>
    <w:rsid w:val="00D10BC0"/>
    <w:rsid w:val="00D10DEA"/>
    <w:rsid w:val="00D11053"/>
    <w:rsid w:val="00D11207"/>
    <w:rsid w:val="00D11635"/>
    <w:rsid w:val="00D11BE3"/>
    <w:rsid w:val="00D11C49"/>
    <w:rsid w:val="00D12427"/>
    <w:rsid w:val="00D124EA"/>
    <w:rsid w:val="00D126DA"/>
    <w:rsid w:val="00D129F0"/>
    <w:rsid w:val="00D12BE1"/>
    <w:rsid w:val="00D1350D"/>
    <w:rsid w:val="00D1354A"/>
    <w:rsid w:val="00D13778"/>
    <w:rsid w:val="00D138AF"/>
    <w:rsid w:val="00D13A0F"/>
    <w:rsid w:val="00D13EC0"/>
    <w:rsid w:val="00D14210"/>
    <w:rsid w:val="00D14A9C"/>
    <w:rsid w:val="00D14D1F"/>
    <w:rsid w:val="00D14D3E"/>
    <w:rsid w:val="00D14DD7"/>
    <w:rsid w:val="00D14F91"/>
    <w:rsid w:val="00D14FFF"/>
    <w:rsid w:val="00D150E1"/>
    <w:rsid w:val="00D15758"/>
    <w:rsid w:val="00D157BD"/>
    <w:rsid w:val="00D1586E"/>
    <w:rsid w:val="00D15891"/>
    <w:rsid w:val="00D15B49"/>
    <w:rsid w:val="00D15D85"/>
    <w:rsid w:val="00D160E0"/>
    <w:rsid w:val="00D166DB"/>
    <w:rsid w:val="00D166F5"/>
    <w:rsid w:val="00D169AE"/>
    <w:rsid w:val="00D16DFB"/>
    <w:rsid w:val="00D170BC"/>
    <w:rsid w:val="00D17757"/>
    <w:rsid w:val="00D179E6"/>
    <w:rsid w:val="00D179EC"/>
    <w:rsid w:val="00D17C34"/>
    <w:rsid w:val="00D17E6E"/>
    <w:rsid w:val="00D17F1D"/>
    <w:rsid w:val="00D200FB"/>
    <w:rsid w:val="00D20377"/>
    <w:rsid w:val="00D203E3"/>
    <w:rsid w:val="00D2053F"/>
    <w:rsid w:val="00D20C4B"/>
    <w:rsid w:val="00D20DFF"/>
    <w:rsid w:val="00D20ECD"/>
    <w:rsid w:val="00D211CD"/>
    <w:rsid w:val="00D2132F"/>
    <w:rsid w:val="00D21532"/>
    <w:rsid w:val="00D21671"/>
    <w:rsid w:val="00D218DD"/>
    <w:rsid w:val="00D21A22"/>
    <w:rsid w:val="00D21DCE"/>
    <w:rsid w:val="00D220F5"/>
    <w:rsid w:val="00D222A1"/>
    <w:rsid w:val="00D22383"/>
    <w:rsid w:val="00D22468"/>
    <w:rsid w:val="00D2264F"/>
    <w:rsid w:val="00D229C7"/>
    <w:rsid w:val="00D22C44"/>
    <w:rsid w:val="00D23480"/>
    <w:rsid w:val="00D23553"/>
    <w:rsid w:val="00D235C5"/>
    <w:rsid w:val="00D235D2"/>
    <w:rsid w:val="00D236A5"/>
    <w:rsid w:val="00D23746"/>
    <w:rsid w:val="00D23773"/>
    <w:rsid w:val="00D23C5B"/>
    <w:rsid w:val="00D24407"/>
    <w:rsid w:val="00D24576"/>
    <w:rsid w:val="00D24844"/>
    <w:rsid w:val="00D2490F"/>
    <w:rsid w:val="00D249F7"/>
    <w:rsid w:val="00D24B67"/>
    <w:rsid w:val="00D24C77"/>
    <w:rsid w:val="00D24F2E"/>
    <w:rsid w:val="00D260DC"/>
    <w:rsid w:val="00D26468"/>
    <w:rsid w:val="00D2748F"/>
    <w:rsid w:val="00D276F1"/>
    <w:rsid w:val="00D2798A"/>
    <w:rsid w:val="00D27AD7"/>
    <w:rsid w:val="00D301DD"/>
    <w:rsid w:val="00D30234"/>
    <w:rsid w:val="00D3063E"/>
    <w:rsid w:val="00D30684"/>
    <w:rsid w:val="00D306FF"/>
    <w:rsid w:val="00D30C4B"/>
    <w:rsid w:val="00D30D24"/>
    <w:rsid w:val="00D311A0"/>
    <w:rsid w:val="00D311ED"/>
    <w:rsid w:val="00D31433"/>
    <w:rsid w:val="00D3185A"/>
    <w:rsid w:val="00D31A8B"/>
    <w:rsid w:val="00D31CED"/>
    <w:rsid w:val="00D31ED8"/>
    <w:rsid w:val="00D3237D"/>
    <w:rsid w:val="00D32517"/>
    <w:rsid w:val="00D32C75"/>
    <w:rsid w:val="00D3332B"/>
    <w:rsid w:val="00D33429"/>
    <w:rsid w:val="00D334BA"/>
    <w:rsid w:val="00D33B58"/>
    <w:rsid w:val="00D33E1F"/>
    <w:rsid w:val="00D33FEA"/>
    <w:rsid w:val="00D3419C"/>
    <w:rsid w:val="00D34BAF"/>
    <w:rsid w:val="00D34CC9"/>
    <w:rsid w:val="00D34D38"/>
    <w:rsid w:val="00D34F98"/>
    <w:rsid w:val="00D35010"/>
    <w:rsid w:val="00D35270"/>
    <w:rsid w:val="00D35337"/>
    <w:rsid w:val="00D3545E"/>
    <w:rsid w:val="00D35624"/>
    <w:rsid w:val="00D35627"/>
    <w:rsid w:val="00D358EF"/>
    <w:rsid w:val="00D35E88"/>
    <w:rsid w:val="00D36238"/>
    <w:rsid w:val="00D363B1"/>
    <w:rsid w:val="00D363FF"/>
    <w:rsid w:val="00D364B7"/>
    <w:rsid w:val="00D364DE"/>
    <w:rsid w:val="00D36E00"/>
    <w:rsid w:val="00D36E58"/>
    <w:rsid w:val="00D3753A"/>
    <w:rsid w:val="00D376C8"/>
    <w:rsid w:val="00D37744"/>
    <w:rsid w:val="00D3778F"/>
    <w:rsid w:val="00D37807"/>
    <w:rsid w:val="00D37ED6"/>
    <w:rsid w:val="00D37F5F"/>
    <w:rsid w:val="00D404C1"/>
    <w:rsid w:val="00D405D4"/>
    <w:rsid w:val="00D406CD"/>
    <w:rsid w:val="00D40D1A"/>
    <w:rsid w:val="00D40E4A"/>
    <w:rsid w:val="00D4114C"/>
    <w:rsid w:val="00D412C5"/>
    <w:rsid w:val="00D414D9"/>
    <w:rsid w:val="00D4176E"/>
    <w:rsid w:val="00D41F71"/>
    <w:rsid w:val="00D42333"/>
    <w:rsid w:val="00D428C9"/>
    <w:rsid w:val="00D42914"/>
    <w:rsid w:val="00D42A66"/>
    <w:rsid w:val="00D43089"/>
    <w:rsid w:val="00D43330"/>
    <w:rsid w:val="00D43340"/>
    <w:rsid w:val="00D434EB"/>
    <w:rsid w:val="00D4351D"/>
    <w:rsid w:val="00D4361B"/>
    <w:rsid w:val="00D4374C"/>
    <w:rsid w:val="00D438EE"/>
    <w:rsid w:val="00D43DE6"/>
    <w:rsid w:val="00D43E79"/>
    <w:rsid w:val="00D441D7"/>
    <w:rsid w:val="00D44784"/>
    <w:rsid w:val="00D448F8"/>
    <w:rsid w:val="00D44BDA"/>
    <w:rsid w:val="00D452E0"/>
    <w:rsid w:val="00D4554F"/>
    <w:rsid w:val="00D456C2"/>
    <w:rsid w:val="00D45AA1"/>
    <w:rsid w:val="00D45FBB"/>
    <w:rsid w:val="00D4640F"/>
    <w:rsid w:val="00D46625"/>
    <w:rsid w:val="00D46DCA"/>
    <w:rsid w:val="00D4714F"/>
    <w:rsid w:val="00D4777C"/>
    <w:rsid w:val="00D477ED"/>
    <w:rsid w:val="00D47B2B"/>
    <w:rsid w:val="00D47F9A"/>
    <w:rsid w:val="00D50123"/>
    <w:rsid w:val="00D50370"/>
    <w:rsid w:val="00D50D7E"/>
    <w:rsid w:val="00D511F4"/>
    <w:rsid w:val="00D512CE"/>
    <w:rsid w:val="00D5149E"/>
    <w:rsid w:val="00D5158E"/>
    <w:rsid w:val="00D51A9F"/>
    <w:rsid w:val="00D51AF4"/>
    <w:rsid w:val="00D51C3D"/>
    <w:rsid w:val="00D523F2"/>
    <w:rsid w:val="00D52570"/>
    <w:rsid w:val="00D52A25"/>
    <w:rsid w:val="00D52CD6"/>
    <w:rsid w:val="00D52E74"/>
    <w:rsid w:val="00D5324D"/>
    <w:rsid w:val="00D5429F"/>
    <w:rsid w:val="00D542E6"/>
    <w:rsid w:val="00D547EE"/>
    <w:rsid w:val="00D5489B"/>
    <w:rsid w:val="00D54E7D"/>
    <w:rsid w:val="00D54E98"/>
    <w:rsid w:val="00D54EEF"/>
    <w:rsid w:val="00D54FE7"/>
    <w:rsid w:val="00D55367"/>
    <w:rsid w:val="00D55444"/>
    <w:rsid w:val="00D5571D"/>
    <w:rsid w:val="00D55E49"/>
    <w:rsid w:val="00D5638A"/>
    <w:rsid w:val="00D568DF"/>
    <w:rsid w:val="00D56B1E"/>
    <w:rsid w:val="00D56DCA"/>
    <w:rsid w:val="00D570EB"/>
    <w:rsid w:val="00D572F0"/>
    <w:rsid w:val="00D57353"/>
    <w:rsid w:val="00D5748A"/>
    <w:rsid w:val="00D5798C"/>
    <w:rsid w:val="00D57A44"/>
    <w:rsid w:val="00D57E2D"/>
    <w:rsid w:val="00D603C2"/>
    <w:rsid w:val="00D609C4"/>
    <w:rsid w:val="00D60FB7"/>
    <w:rsid w:val="00D611B8"/>
    <w:rsid w:val="00D612CA"/>
    <w:rsid w:val="00D6161A"/>
    <w:rsid w:val="00D61F13"/>
    <w:rsid w:val="00D620B7"/>
    <w:rsid w:val="00D6212C"/>
    <w:rsid w:val="00D6214F"/>
    <w:rsid w:val="00D62455"/>
    <w:rsid w:val="00D62ADF"/>
    <w:rsid w:val="00D62E86"/>
    <w:rsid w:val="00D62F07"/>
    <w:rsid w:val="00D62F47"/>
    <w:rsid w:val="00D62FDD"/>
    <w:rsid w:val="00D632BE"/>
    <w:rsid w:val="00D639C1"/>
    <w:rsid w:val="00D63C68"/>
    <w:rsid w:val="00D63E10"/>
    <w:rsid w:val="00D63E2B"/>
    <w:rsid w:val="00D64AB0"/>
    <w:rsid w:val="00D65005"/>
    <w:rsid w:val="00D65134"/>
    <w:rsid w:val="00D656EE"/>
    <w:rsid w:val="00D65ACE"/>
    <w:rsid w:val="00D66048"/>
    <w:rsid w:val="00D66160"/>
    <w:rsid w:val="00D66E0F"/>
    <w:rsid w:val="00D66FDE"/>
    <w:rsid w:val="00D67436"/>
    <w:rsid w:val="00D679BB"/>
    <w:rsid w:val="00D67B86"/>
    <w:rsid w:val="00D67BAC"/>
    <w:rsid w:val="00D67D60"/>
    <w:rsid w:val="00D67DB0"/>
    <w:rsid w:val="00D67F1E"/>
    <w:rsid w:val="00D70292"/>
    <w:rsid w:val="00D70297"/>
    <w:rsid w:val="00D702B3"/>
    <w:rsid w:val="00D704AC"/>
    <w:rsid w:val="00D70784"/>
    <w:rsid w:val="00D70CF5"/>
    <w:rsid w:val="00D71948"/>
    <w:rsid w:val="00D719B6"/>
    <w:rsid w:val="00D71E2E"/>
    <w:rsid w:val="00D71F97"/>
    <w:rsid w:val="00D72169"/>
    <w:rsid w:val="00D7250C"/>
    <w:rsid w:val="00D727F4"/>
    <w:rsid w:val="00D72BFE"/>
    <w:rsid w:val="00D72EBA"/>
    <w:rsid w:val="00D735BB"/>
    <w:rsid w:val="00D736EE"/>
    <w:rsid w:val="00D73769"/>
    <w:rsid w:val="00D73AE1"/>
    <w:rsid w:val="00D73E04"/>
    <w:rsid w:val="00D74033"/>
    <w:rsid w:val="00D74139"/>
    <w:rsid w:val="00D7423F"/>
    <w:rsid w:val="00D74703"/>
    <w:rsid w:val="00D748E0"/>
    <w:rsid w:val="00D74963"/>
    <w:rsid w:val="00D74A09"/>
    <w:rsid w:val="00D74A70"/>
    <w:rsid w:val="00D74B04"/>
    <w:rsid w:val="00D74D9E"/>
    <w:rsid w:val="00D74E9F"/>
    <w:rsid w:val="00D751F8"/>
    <w:rsid w:val="00D75C7A"/>
    <w:rsid w:val="00D75D3C"/>
    <w:rsid w:val="00D75E28"/>
    <w:rsid w:val="00D75E6B"/>
    <w:rsid w:val="00D76031"/>
    <w:rsid w:val="00D76056"/>
    <w:rsid w:val="00D760BB"/>
    <w:rsid w:val="00D7617B"/>
    <w:rsid w:val="00D771A4"/>
    <w:rsid w:val="00D772CC"/>
    <w:rsid w:val="00D7742C"/>
    <w:rsid w:val="00D77678"/>
    <w:rsid w:val="00D77B05"/>
    <w:rsid w:val="00D77E15"/>
    <w:rsid w:val="00D80048"/>
    <w:rsid w:val="00D802EB"/>
    <w:rsid w:val="00D806E0"/>
    <w:rsid w:val="00D80903"/>
    <w:rsid w:val="00D81179"/>
    <w:rsid w:val="00D816C3"/>
    <w:rsid w:val="00D81DD5"/>
    <w:rsid w:val="00D8263D"/>
    <w:rsid w:val="00D82ACD"/>
    <w:rsid w:val="00D82C40"/>
    <w:rsid w:val="00D82CB1"/>
    <w:rsid w:val="00D8323D"/>
    <w:rsid w:val="00D833CC"/>
    <w:rsid w:val="00D835E5"/>
    <w:rsid w:val="00D83A6F"/>
    <w:rsid w:val="00D83D5E"/>
    <w:rsid w:val="00D8414C"/>
    <w:rsid w:val="00D84DF2"/>
    <w:rsid w:val="00D84E40"/>
    <w:rsid w:val="00D84FE0"/>
    <w:rsid w:val="00D850A5"/>
    <w:rsid w:val="00D8544F"/>
    <w:rsid w:val="00D85608"/>
    <w:rsid w:val="00D857D0"/>
    <w:rsid w:val="00D858A9"/>
    <w:rsid w:val="00D85961"/>
    <w:rsid w:val="00D85A8B"/>
    <w:rsid w:val="00D85C1A"/>
    <w:rsid w:val="00D867C4"/>
    <w:rsid w:val="00D86BAF"/>
    <w:rsid w:val="00D86D03"/>
    <w:rsid w:val="00D86EAB"/>
    <w:rsid w:val="00D86FF8"/>
    <w:rsid w:val="00D87429"/>
    <w:rsid w:val="00D87D4F"/>
    <w:rsid w:val="00D9006A"/>
    <w:rsid w:val="00D90199"/>
    <w:rsid w:val="00D9029A"/>
    <w:rsid w:val="00D90371"/>
    <w:rsid w:val="00D9039C"/>
    <w:rsid w:val="00D90598"/>
    <w:rsid w:val="00D9076C"/>
    <w:rsid w:val="00D90A26"/>
    <w:rsid w:val="00D90BC4"/>
    <w:rsid w:val="00D912E7"/>
    <w:rsid w:val="00D916EF"/>
    <w:rsid w:val="00D918EC"/>
    <w:rsid w:val="00D91C66"/>
    <w:rsid w:val="00D91C97"/>
    <w:rsid w:val="00D920EB"/>
    <w:rsid w:val="00D921DA"/>
    <w:rsid w:val="00D922A8"/>
    <w:rsid w:val="00D922F2"/>
    <w:rsid w:val="00D926AA"/>
    <w:rsid w:val="00D92854"/>
    <w:rsid w:val="00D92F80"/>
    <w:rsid w:val="00D93091"/>
    <w:rsid w:val="00D9338C"/>
    <w:rsid w:val="00D934B1"/>
    <w:rsid w:val="00D93527"/>
    <w:rsid w:val="00D93657"/>
    <w:rsid w:val="00D936D9"/>
    <w:rsid w:val="00D93822"/>
    <w:rsid w:val="00D93943"/>
    <w:rsid w:val="00D93961"/>
    <w:rsid w:val="00D93AFA"/>
    <w:rsid w:val="00D940DB"/>
    <w:rsid w:val="00D94462"/>
    <w:rsid w:val="00D9461C"/>
    <w:rsid w:val="00D946EE"/>
    <w:rsid w:val="00D94764"/>
    <w:rsid w:val="00D94C74"/>
    <w:rsid w:val="00D94FCE"/>
    <w:rsid w:val="00D95258"/>
    <w:rsid w:val="00D952F7"/>
    <w:rsid w:val="00D95477"/>
    <w:rsid w:val="00D957AB"/>
    <w:rsid w:val="00D959C4"/>
    <w:rsid w:val="00D95AD0"/>
    <w:rsid w:val="00D95BCE"/>
    <w:rsid w:val="00D95C9C"/>
    <w:rsid w:val="00D96512"/>
    <w:rsid w:val="00D96E5D"/>
    <w:rsid w:val="00D96FD9"/>
    <w:rsid w:val="00D970D3"/>
    <w:rsid w:val="00D9711F"/>
    <w:rsid w:val="00D97302"/>
    <w:rsid w:val="00D97638"/>
    <w:rsid w:val="00D978C6"/>
    <w:rsid w:val="00D97A4B"/>
    <w:rsid w:val="00D97DEF"/>
    <w:rsid w:val="00D97E61"/>
    <w:rsid w:val="00DA04E7"/>
    <w:rsid w:val="00DA087F"/>
    <w:rsid w:val="00DA092F"/>
    <w:rsid w:val="00DA0F95"/>
    <w:rsid w:val="00DA1220"/>
    <w:rsid w:val="00DA1A21"/>
    <w:rsid w:val="00DA1B78"/>
    <w:rsid w:val="00DA1BA6"/>
    <w:rsid w:val="00DA1CBC"/>
    <w:rsid w:val="00DA23D9"/>
    <w:rsid w:val="00DA242C"/>
    <w:rsid w:val="00DA248D"/>
    <w:rsid w:val="00DA24FF"/>
    <w:rsid w:val="00DA2AFE"/>
    <w:rsid w:val="00DA2BF5"/>
    <w:rsid w:val="00DA2EA3"/>
    <w:rsid w:val="00DA2ECA"/>
    <w:rsid w:val="00DA35E4"/>
    <w:rsid w:val="00DA37E8"/>
    <w:rsid w:val="00DA3820"/>
    <w:rsid w:val="00DA3984"/>
    <w:rsid w:val="00DA3A0C"/>
    <w:rsid w:val="00DA3B8C"/>
    <w:rsid w:val="00DA3BCB"/>
    <w:rsid w:val="00DA3E4E"/>
    <w:rsid w:val="00DA3FAD"/>
    <w:rsid w:val="00DA45BB"/>
    <w:rsid w:val="00DA46F5"/>
    <w:rsid w:val="00DA4B60"/>
    <w:rsid w:val="00DA50C7"/>
    <w:rsid w:val="00DA514D"/>
    <w:rsid w:val="00DA5998"/>
    <w:rsid w:val="00DA5B50"/>
    <w:rsid w:val="00DA5DBF"/>
    <w:rsid w:val="00DA6167"/>
    <w:rsid w:val="00DA6726"/>
    <w:rsid w:val="00DA68CF"/>
    <w:rsid w:val="00DA71D1"/>
    <w:rsid w:val="00DA78A9"/>
    <w:rsid w:val="00DA7D25"/>
    <w:rsid w:val="00DA7E74"/>
    <w:rsid w:val="00DA7F97"/>
    <w:rsid w:val="00DB012E"/>
    <w:rsid w:val="00DB0343"/>
    <w:rsid w:val="00DB0AD3"/>
    <w:rsid w:val="00DB0FBA"/>
    <w:rsid w:val="00DB12CB"/>
    <w:rsid w:val="00DB14CE"/>
    <w:rsid w:val="00DB1DDF"/>
    <w:rsid w:val="00DB1E96"/>
    <w:rsid w:val="00DB2001"/>
    <w:rsid w:val="00DB2035"/>
    <w:rsid w:val="00DB21EF"/>
    <w:rsid w:val="00DB23DD"/>
    <w:rsid w:val="00DB298D"/>
    <w:rsid w:val="00DB2B2C"/>
    <w:rsid w:val="00DB2B3C"/>
    <w:rsid w:val="00DB2B53"/>
    <w:rsid w:val="00DB3295"/>
    <w:rsid w:val="00DB3348"/>
    <w:rsid w:val="00DB33C2"/>
    <w:rsid w:val="00DB33F5"/>
    <w:rsid w:val="00DB376A"/>
    <w:rsid w:val="00DB3878"/>
    <w:rsid w:val="00DB3B99"/>
    <w:rsid w:val="00DB40CE"/>
    <w:rsid w:val="00DB41AE"/>
    <w:rsid w:val="00DB43E7"/>
    <w:rsid w:val="00DB494E"/>
    <w:rsid w:val="00DB4B4C"/>
    <w:rsid w:val="00DB4BBD"/>
    <w:rsid w:val="00DB50E2"/>
    <w:rsid w:val="00DB54F7"/>
    <w:rsid w:val="00DB5608"/>
    <w:rsid w:val="00DB5940"/>
    <w:rsid w:val="00DB5C6E"/>
    <w:rsid w:val="00DB5C71"/>
    <w:rsid w:val="00DB5DD4"/>
    <w:rsid w:val="00DB69B6"/>
    <w:rsid w:val="00DB69EF"/>
    <w:rsid w:val="00DB6A0B"/>
    <w:rsid w:val="00DB6D5F"/>
    <w:rsid w:val="00DB7299"/>
    <w:rsid w:val="00DB7455"/>
    <w:rsid w:val="00DB7664"/>
    <w:rsid w:val="00DB7DA9"/>
    <w:rsid w:val="00DB7F18"/>
    <w:rsid w:val="00DB7FE7"/>
    <w:rsid w:val="00DC025B"/>
    <w:rsid w:val="00DC0F98"/>
    <w:rsid w:val="00DC1572"/>
    <w:rsid w:val="00DC1807"/>
    <w:rsid w:val="00DC1A99"/>
    <w:rsid w:val="00DC1C27"/>
    <w:rsid w:val="00DC2035"/>
    <w:rsid w:val="00DC2068"/>
    <w:rsid w:val="00DC234F"/>
    <w:rsid w:val="00DC2463"/>
    <w:rsid w:val="00DC2889"/>
    <w:rsid w:val="00DC2D56"/>
    <w:rsid w:val="00DC2E60"/>
    <w:rsid w:val="00DC2F52"/>
    <w:rsid w:val="00DC3B63"/>
    <w:rsid w:val="00DC4597"/>
    <w:rsid w:val="00DC466F"/>
    <w:rsid w:val="00DC4760"/>
    <w:rsid w:val="00DC4DE8"/>
    <w:rsid w:val="00DC4E15"/>
    <w:rsid w:val="00DC5244"/>
    <w:rsid w:val="00DC693C"/>
    <w:rsid w:val="00DC6BC1"/>
    <w:rsid w:val="00DC6CE3"/>
    <w:rsid w:val="00DC6E8E"/>
    <w:rsid w:val="00DC715A"/>
    <w:rsid w:val="00DC740F"/>
    <w:rsid w:val="00DC7539"/>
    <w:rsid w:val="00DC7907"/>
    <w:rsid w:val="00DC790E"/>
    <w:rsid w:val="00DC7C46"/>
    <w:rsid w:val="00DD0356"/>
    <w:rsid w:val="00DD08ED"/>
    <w:rsid w:val="00DD1168"/>
    <w:rsid w:val="00DD1733"/>
    <w:rsid w:val="00DD1921"/>
    <w:rsid w:val="00DD1949"/>
    <w:rsid w:val="00DD1C92"/>
    <w:rsid w:val="00DD221D"/>
    <w:rsid w:val="00DD2397"/>
    <w:rsid w:val="00DD27D7"/>
    <w:rsid w:val="00DD2991"/>
    <w:rsid w:val="00DD30E9"/>
    <w:rsid w:val="00DD3182"/>
    <w:rsid w:val="00DD36AE"/>
    <w:rsid w:val="00DD3827"/>
    <w:rsid w:val="00DD3980"/>
    <w:rsid w:val="00DD3BB3"/>
    <w:rsid w:val="00DD41A3"/>
    <w:rsid w:val="00DD42A3"/>
    <w:rsid w:val="00DD447D"/>
    <w:rsid w:val="00DD4682"/>
    <w:rsid w:val="00DD4749"/>
    <w:rsid w:val="00DD4D29"/>
    <w:rsid w:val="00DD4D68"/>
    <w:rsid w:val="00DD5934"/>
    <w:rsid w:val="00DD5A81"/>
    <w:rsid w:val="00DD5B1C"/>
    <w:rsid w:val="00DD5BE4"/>
    <w:rsid w:val="00DD5E5B"/>
    <w:rsid w:val="00DD6798"/>
    <w:rsid w:val="00DD70AA"/>
    <w:rsid w:val="00DD73BE"/>
    <w:rsid w:val="00DD77E7"/>
    <w:rsid w:val="00DD7924"/>
    <w:rsid w:val="00DE0458"/>
    <w:rsid w:val="00DE06BB"/>
    <w:rsid w:val="00DE0726"/>
    <w:rsid w:val="00DE0728"/>
    <w:rsid w:val="00DE0872"/>
    <w:rsid w:val="00DE10A3"/>
    <w:rsid w:val="00DE1243"/>
    <w:rsid w:val="00DE1345"/>
    <w:rsid w:val="00DE17AD"/>
    <w:rsid w:val="00DE18A1"/>
    <w:rsid w:val="00DE1A64"/>
    <w:rsid w:val="00DE1B7F"/>
    <w:rsid w:val="00DE1EAB"/>
    <w:rsid w:val="00DE2799"/>
    <w:rsid w:val="00DE2A67"/>
    <w:rsid w:val="00DE2BE5"/>
    <w:rsid w:val="00DE2F7F"/>
    <w:rsid w:val="00DE33F3"/>
    <w:rsid w:val="00DE34E8"/>
    <w:rsid w:val="00DE36B8"/>
    <w:rsid w:val="00DE3758"/>
    <w:rsid w:val="00DE39FE"/>
    <w:rsid w:val="00DE3C1B"/>
    <w:rsid w:val="00DE442A"/>
    <w:rsid w:val="00DE44E9"/>
    <w:rsid w:val="00DE480B"/>
    <w:rsid w:val="00DE483B"/>
    <w:rsid w:val="00DE499D"/>
    <w:rsid w:val="00DE49F2"/>
    <w:rsid w:val="00DE4C86"/>
    <w:rsid w:val="00DE4F91"/>
    <w:rsid w:val="00DE5324"/>
    <w:rsid w:val="00DE5332"/>
    <w:rsid w:val="00DE5474"/>
    <w:rsid w:val="00DE5492"/>
    <w:rsid w:val="00DE559A"/>
    <w:rsid w:val="00DE56DF"/>
    <w:rsid w:val="00DE56FB"/>
    <w:rsid w:val="00DE5815"/>
    <w:rsid w:val="00DE598E"/>
    <w:rsid w:val="00DE5C87"/>
    <w:rsid w:val="00DE5EE5"/>
    <w:rsid w:val="00DE63BC"/>
    <w:rsid w:val="00DE648E"/>
    <w:rsid w:val="00DE6575"/>
    <w:rsid w:val="00DE6A9E"/>
    <w:rsid w:val="00DE6B4E"/>
    <w:rsid w:val="00DE6D4F"/>
    <w:rsid w:val="00DE6FEE"/>
    <w:rsid w:val="00DE757E"/>
    <w:rsid w:val="00DE75C6"/>
    <w:rsid w:val="00DE75F6"/>
    <w:rsid w:val="00DE788C"/>
    <w:rsid w:val="00DE7B4D"/>
    <w:rsid w:val="00DE7F6C"/>
    <w:rsid w:val="00DF0028"/>
    <w:rsid w:val="00DF049C"/>
    <w:rsid w:val="00DF06D4"/>
    <w:rsid w:val="00DF0E20"/>
    <w:rsid w:val="00DF100F"/>
    <w:rsid w:val="00DF11EF"/>
    <w:rsid w:val="00DF1211"/>
    <w:rsid w:val="00DF1252"/>
    <w:rsid w:val="00DF17F3"/>
    <w:rsid w:val="00DF23EF"/>
    <w:rsid w:val="00DF249D"/>
    <w:rsid w:val="00DF2562"/>
    <w:rsid w:val="00DF2AEA"/>
    <w:rsid w:val="00DF2B87"/>
    <w:rsid w:val="00DF2CD6"/>
    <w:rsid w:val="00DF321A"/>
    <w:rsid w:val="00DF343F"/>
    <w:rsid w:val="00DF3DB9"/>
    <w:rsid w:val="00DF4030"/>
    <w:rsid w:val="00DF4049"/>
    <w:rsid w:val="00DF410F"/>
    <w:rsid w:val="00DF41B2"/>
    <w:rsid w:val="00DF42C6"/>
    <w:rsid w:val="00DF43B1"/>
    <w:rsid w:val="00DF48A3"/>
    <w:rsid w:val="00DF4D9B"/>
    <w:rsid w:val="00DF4F33"/>
    <w:rsid w:val="00DF53E5"/>
    <w:rsid w:val="00DF5D15"/>
    <w:rsid w:val="00DF6D5A"/>
    <w:rsid w:val="00DF70B3"/>
    <w:rsid w:val="00DF70CC"/>
    <w:rsid w:val="00DF75AA"/>
    <w:rsid w:val="00DF77B0"/>
    <w:rsid w:val="00DF78F8"/>
    <w:rsid w:val="00DF7EA5"/>
    <w:rsid w:val="00E00764"/>
    <w:rsid w:val="00E00D25"/>
    <w:rsid w:val="00E00EA4"/>
    <w:rsid w:val="00E01470"/>
    <w:rsid w:val="00E015F9"/>
    <w:rsid w:val="00E01616"/>
    <w:rsid w:val="00E01B03"/>
    <w:rsid w:val="00E01B86"/>
    <w:rsid w:val="00E01C7F"/>
    <w:rsid w:val="00E021FF"/>
    <w:rsid w:val="00E023E3"/>
    <w:rsid w:val="00E02941"/>
    <w:rsid w:val="00E02A82"/>
    <w:rsid w:val="00E02AF6"/>
    <w:rsid w:val="00E02DCB"/>
    <w:rsid w:val="00E03346"/>
    <w:rsid w:val="00E03AB8"/>
    <w:rsid w:val="00E03C9F"/>
    <w:rsid w:val="00E03D2F"/>
    <w:rsid w:val="00E03E42"/>
    <w:rsid w:val="00E04007"/>
    <w:rsid w:val="00E043AB"/>
    <w:rsid w:val="00E043BC"/>
    <w:rsid w:val="00E0490C"/>
    <w:rsid w:val="00E049A1"/>
    <w:rsid w:val="00E04BC5"/>
    <w:rsid w:val="00E04EF5"/>
    <w:rsid w:val="00E050CF"/>
    <w:rsid w:val="00E05133"/>
    <w:rsid w:val="00E05186"/>
    <w:rsid w:val="00E051C5"/>
    <w:rsid w:val="00E053C1"/>
    <w:rsid w:val="00E05BBB"/>
    <w:rsid w:val="00E05C5E"/>
    <w:rsid w:val="00E06073"/>
    <w:rsid w:val="00E06631"/>
    <w:rsid w:val="00E06B56"/>
    <w:rsid w:val="00E07242"/>
    <w:rsid w:val="00E0734F"/>
    <w:rsid w:val="00E0760E"/>
    <w:rsid w:val="00E078FE"/>
    <w:rsid w:val="00E07B3B"/>
    <w:rsid w:val="00E07B4C"/>
    <w:rsid w:val="00E07DFD"/>
    <w:rsid w:val="00E07FC0"/>
    <w:rsid w:val="00E10041"/>
    <w:rsid w:val="00E1087D"/>
    <w:rsid w:val="00E10B76"/>
    <w:rsid w:val="00E10C75"/>
    <w:rsid w:val="00E10F1B"/>
    <w:rsid w:val="00E11096"/>
    <w:rsid w:val="00E116AA"/>
    <w:rsid w:val="00E1180E"/>
    <w:rsid w:val="00E11F8E"/>
    <w:rsid w:val="00E12362"/>
    <w:rsid w:val="00E12E0A"/>
    <w:rsid w:val="00E12F70"/>
    <w:rsid w:val="00E13052"/>
    <w:rsid w:val="00E1321C"/>
    <w:rsid w:val="00E133BA"/>
    <w:rsid w:val="00E138B3"/>
    <w:rsid w:val="00E13CE1"/>
    <w:rsid w:val="00E141DC"/>
    <w:rsid w:val="00E14483"/>
    <w:rsid w:val="00E146C5"/>
    <w:rsid w:val="00E14A4F"/>
    <w:rsid w:val="00E14B82"/>
    <w:rsid w:val="00E14E63"/>
    <w:rsid w:val="00E1553A"/>
    <w:rsid w:val="00E1558E"/>
    <w:rsid w:val="00E157BA"/>
    <w:rsid w:val="00E15917"/>
    <w:rsid w:val="00E15BB1"/>
    <w:rsid w:val="00E15C1D"/>
    <w:rsid w:val="00E16238"/>
    <w:rsid w:val="00E163C2"/>
    <w:rsid w:val="00E166AF"/>
    <w:rsid w:val="00E168BA"/>
    <w:rsid w:val="00E168E6"/>
    <w:rsid w:val="00E16BE4"/>
    <w:rsid w:val="00E16D46"/>
    <w:rsid w:val="00E16FF9"/>
    <w:rsid w:val="00E171AC"/>
    <w:rsid w:val="00E17447"/>
    <w:rsid w:val="00E1762F"/>
    <w:rsid w:val="00E1776A"/>
    <w:rsid w:val="00E177A2"/>
    <w:rsid w:val="00E17911"/>
    <w:rsid w:val="00E17ADF"/>
    <w:rsid w:val="00E17B19"/>
    <w:rsid w:val="00E17B72"/>
    <w:rsid w:val="00E17B9A"/>
    <w:rsid w:val="00E17E89"/>
    <w:rsid w:val="00E17EF8"/>
    <w:rsid w:val="00E17F5D"/>
    <w:rsid w:val="00E2017B"/>
    <w:rsid w:val="00E204BF"/>
    <w:rsid w:val="00E20507"/>
    <w:rsid w:val="00E20717"/>
    <w:rsid w:val="00E20B4E"/>
    <w:rsid w:val="00E20BDF"/>
    <w:rsid w:val="00E20C58"/>
    <w:rsid w:val="00E20DA9"/>
    <w:rsid w:val="00E213B3"/>
    <w:rsid w:val="00E219CB"/>
    <w:rsid w:val="00E21A96"/>
    <w:rsid w:val="00E21CFC"/>
    <w:rsid w:val="00E2216A"/>
    <w:rsid w:val="00E221BD"/>
    <w:rsid w:val="00E22516"/>
    <w:rsid w:val="00E2269C"/>
    <w:rsid w:val="00E22758"/>
    <w:rsid w:val="00E22799"/>
    <w:rsid w:val="00E22B61"/>
    <w:rsid w:val="00E2318D"/>
    <w:rsid w:val="00E233E5"/>
    <w:rsid w:val="00E235BF"/>
    <w:rsid w:val="00E2364D"/>
    <w:rsid w:val="00E238E5"/>
    <w:rsid w:val="00E23CEC"/>
    <w:rsid w:val="00E23E4D"/>
    <w:rsid w:val="00E23E9F"/>
    <w:rsid w:val="00E240AB"/>
    <w:rsid w:val="00E241B7"/>
    <w:rsid w:val="00E2433D"/>
    <w:rsid w:val="00E243E1"/>
    <w:rsid w:val="00E24523"/>
    <w:rsid w:val="00E24679"/>
    <w:rsid w:val="00E25240"/>
    <w:rsid w:val="00E25964"/>
    <w:rsid w:val="00E26735"/>
    <w:rsid w:val="00E268E4"/>
    <w:rsid w:val="00E26A5B"/>
    <w:rsid w:val="00E26F63"/>
    <w:rsid w:val="00E2719F"/>
    <w:rsid w:val="00E27B35"/>
    <w:rsid w:val="00E27FCD"/>
    <w:rsid w:val="00E30313"/>
    <w:rsid w:val="00E307D6"/>
    <w:rsid w:val="00E30929"/>
    <w:rsid w:val="00E30944"/>
    <w:rsid w:val="00E310FA"/>
    <w:rsid w:val="00E315CE"/>
    <w:rsid w:val="00E31626"/>
    <w:rsid w:val="00E31D97"/>
    <w:rsid w:val="00E31E0E"/>
    <w:rsid w:val="00E3290F"/>
    <w:rsid w:val="00E32A74"/>
    <w:rsid w:val="00E32B4A"/>
    <w:rsid w:val="00E333F1"/>
    <w:rsid w:val="00E33731"/>
    <w:rsid w:val="00E33901"/>
    <w:rsid w:val="00E33C5B"/>
    <w:rsid w:val="00E34308"/>
    <w:rsid w:val="00E3435D"/>
    <w:rsid w:val="00E34412"/>
    <w:rsid w:val="00E345C1"/>
    <w:rsid w:val="00E348D3"/>
    <w:rsid w:val="00E35312"/>
    <w:rsid w:val="00E354DE"/>
    <w:rsid w:val="00E3565E"/>
    <w:rsid w:val="00E35A7C"/>
    <w:rsid w:val="00E35FBE"/>
    <w:rsid w:val="00E360B1"/>
    <w:rsid w:val="00E36391"/>
    <w:rsid w:val="00E366A4"/>
    <w:rsid w:val="00E369A9"/>
    <w:rsid w:val="00E36F7F"/>
    <w:rsid w:val="00E37744"/>
    <w:rsid w:val="00E37A8B"/>
    <w:rsid w:val="00E40209"/>
    <w:rsid w:val="00E402A9"/>
    <w:rsid w:val="00E40383"/>
    <w:rsid w:val="00E40420"/>
    <w:rsid w:val="00E40529"/>
    <w:rsid w:val="00E407EC"/>
    <w:rsid w:val="00E40E41"/>
    <w:rsid w:val="00E40EEB"/>
    <w:rsid w:val="00E4152F"/>
    <w:rsid w:val="00E41782"/>
    <w:rsid w:val="00E41A0B"/>
    <w:rsid w:val="00E42104"/>
    <w:rsid w:val="00E4214B"/>
    <w:rsid w:val="00E425F2"/>
    <w:rsid w:val="00E42CC3"/>
    <w:rsid w:val="00E4309E"/>
    <w:rsid w:val="00E43185"/>
    <w:rsid w:val="00E43762"/>
    <w:rsid w:val="00E444B1"/>
    <w:rsid w:val="00E448C4"/>
    <w:rsid w:val="00E449C8"/>
    <w:rsid w:val="00E44BC7"/>
    <w:rsid w:val="00E44C34"/>
    <w:rsid w:val="00E44F80"/>
    <w:rsid w:val="00E45008"/>
    <w:rsid w:val="00E458F6"/>
    <w:rsid w:val="00E45FEE"/>
    <w:rsid w:val="00E46729"/>
    <w:rsid w:val="00E4673B"/>
    <w:rsid w:val="00E46B01"/>
    <w:rsid w:val="00E46C34"/>
    <w:rsid w:val="00E46C83"/>
    <w:rsid w:val="00E46D68"/>
    <w:rsid w:val="00E47093"/>
    <w:rsid w:val="00E4722C"/>
    <w:rsid w:val="00E47267"/>
    <w:rsid w:val="00E47279"/>
    <w:rsid w:val="00E472C7"/>
    <w:rsid w:val="00E47515"/>
    <w:rsid w:val="00E47697"/>
    <w:rsid w:val="00E4791F"/>
    <w:rsid w:val="00E47968"/>
    <w:rsid w:val="00E47993"/>
    <w:rsid w:val="00E47E28"/>
    <w:rsid w:val="00E47F7C"/>
    <w:rsid w:val="00E50102"/>
    <w:rsid w:val="00E505F9"/>
    <w:rsid w:val="00E506CC"/>
    <w:rsid w:val="00E507CF"/>
    <w:rsid w:val="00E50987"/>
    <w:rsid w:val="00E50D8A"/>
    <w:rsid w:val="00E5109D"/>
    <w:rsid w:val="00E511FF"/>
    <w:rsid w:val="00E51200"/>
    <w:rsid w:val="00E51B5D"/>
    <w:rsid w:val="00E51D2B"/>
    <w:rsid w:val="00E51EDE"/>
    <w:rsid w:val="00E52042"/>
    <w:rsid w:val="00E5236D"/>
    <w:rsid w:val="00E5258A"/>
    <w:rsid w:val="00E52638"/>
    <w:rsid w:val="00E527B8"/>
    <w:rsid w:val="00E52A5B"/>
    <w:rsid w:val="00E52B8B"/>
    <w:rsid w:val="00E52FEE"/>
    <w:rsid w:val="00E53291"/>
    <w:rsid w:val="00E5342B"/>
    <w:rsid w:val="00E53627"/>
    <w:rsid w:val="00E5375B"/>
    <w:rsid w:val="00E53820"/>
    <w:rsid w:val="00E53A0C"/>
    <w:rsid w:val="00E53E38"/>
    <w:rsid w:val="00E54571"/>
    <w:rsid w:val="00E545BF"/>
    <w:rsid w:val="00E547E3"/>
    <w:rsid w:val="00E5496E"/>
    <w:rsid w:val="00E54AFE"/>
    <w:rsid w:val="00E54DCF"/>
    <w:rsid w:val="00E54EDD"/>
    <w:rsid w:val="00E54F10"/>
    <w:rsid w:val="00E55985"/>
    <w:rsid w:val="00E55DA9"/>
    <w:rsid w:val="00E55F7E"/>
    <w:rsid w:val="00E56019"/>
    <w:rsid w:val="00E56353"/>
    <w:rsid w:val="00E5669D"/>
    <w:rsid w:val="00E56770"/>
    <w:rsid w:val="00E56B21"/>
    <w:rsid w:val="00E57607"/>
    <w:rsid w:val="00E57B3A"/>
    <w:rsid w:val="00E57F12"/>
    <w:rsid w:val="00E601CB"/>
    <w:rsid w:val="00E60E3A"/>
    <w:rsid w:val="00E60F3C"/>
    <w:rsid w:val="00E61237"/>
    <w:rsid w:val="00E61297"/>
    <w:rsid w:val="00E61C93"/>
    <w:rsid w:val="00E61E6B"/>
    <w:rsid w:val="00E621D4"/>
    <w:rsid w:val="00E62462"/>
    <w:rsid w:val="00E624E0"/>
    <w:rsid w:val="00E627E3"/>
    <w:rsid w:val="00E62A6B"/>
    <w:rsid w:val="00E62E0F"/>
    <w:rsid w:val="00E63637"/>
    <w:rsid w:val="00E6379F"/>
    <w:rsid w:val="00E638B2"/>
    <w:rsid w:val="00E639C0"/>
    <w:rsid w:val="00E646D1"/>
    <w:rsid w:val="00E6470C"/>
    <w:rsid w:val="00E6476B"/>
    <w:rsid w:val="00E64A63"/>
    <w:rsid w:val="00E654C2"/>
    <w:rsid w:val="00E65510"/>
    <w:rsid w:val="00E65AB8"/>
    <w:rsid w:val="00E65ADE"/>
    <w:rsid w:val="00E65B32"/>
    <w:rsid w:val="00E65E29"/>
    <w:rsid w:val="00E6600A"/>
    <w:rsid w:val="00E6601D"/>
    <w:rsid w:val="00E6617E"/>
    <w:rsid w:val="00E6653D"/>
    <w:rsid w:val="00E66829"/>
    <w:rsid w:val="00E668E7"/>
    <w:rsid w:val="00E671F7"/>
    <w:rsid w:val="00E67315"/>
    <w:rsid w:val="00E6732A"/>
    <w:rsid w:val="00E674E4"/>
    <w:rsid w:val="00E675AA"/>
    <w:rsid w:val="00E67A70"/>
    <w:rsid w:val="00E67A8B"/>
    <w:rsid w:val="00E67E4C"/>
    <w:rsid w:val="00E67F8D"/>
    <w:rsid w:val="00E7067D"/>
    <w:rsid w:val="00E70768"/>
    <w:rsid w:val="00E70B71"/>
    <w:rsid w:val="00E70C2E"/>
    <w:rsid w:val="00E70D87"/>
    <w:rsid w:val="00E70D89"/>
    <w:rsid w:val="00E715FC"/>
    <w:rsid w:val="00E718BA"/>
    <w:rsid w:val="00E71C41"/>
    <w:rsid w:val="00E71D79"/>
    <w:rsid w:val="00E71EEF"/>
    <w:rsid w:val="00E722F4"/>
    <w:rsid w:val="00E7231F"/>
    <w:rsid w:val="00E72356"/>
    <w:rsid w:val="00E72609"/>
    <w:rsid w:val="00E727BD"/>
    <w:rsid w:val="00E72887"/>
    <w:rsid w:val="00E72A06"/>
    <w:rsid w:val="00E72B70"/>
    <w:rsid w:val="00E72C38"/>
    <w:rsid w:val="00E731DD"/>
    <w:rsid w:val="00E733B9"/>
    <w:rsid w:val="00E736C9"/>
    <w:rsid w:val="00E736D5"/>
    <w:rsid w:val="00E73700"/>
    <w:rsid w:val="00E737A6"/>
    <w:rsid w:val="00E73C56"/>
    <w:rsid w:val="00E73D09"/>
    <w:rsid w:val="00E73F2A"/>
    <w:rsid w:val="00E74054"/>
    <w:rsid w:val="00E7407A"/>
    <w:rsid w:val="00E7408B"/>
    <w:rsid w:val="00E742A6"/>
    <w:rsid w:val="00E742CB"/>
    <w:rsid w:val="00E74535"/>
    <w:rsid w:val="00E7473C"/>
    <w:rsid w:val="00E74B90"/>
    <w:rsid w:val="00E74BA0"/>
    <w:rsid w:val="00E74DDE"/>
    <w:rsid w:val="00E75442"/>
    <w:rsid w:val="00E75529"/>
    <w:rsid w:val="00E75B21"/>
    <w:rsid w:val="00E75BF8"/>
    <w:rsid w:val="00E763F8"/>
    <w:rsid w:val="00E76732"/>
    <w:rsid w:val="00E76C75"/>
    <w:rsid w:val="00E76CA2"/>
    <w:rsid w:val="00E76E7E"/>
    <w:rsid w:val="00E7716B"/>
    <w:rsid w:val="00E771B5"/>
    <w:rsid w:val="00E7758B"/>
    <w:rsid w:val="00E77CE8"/>
    <w:rsid w:val="00E80270"/>
    <w:rsid w:val="00E80287"/>
    <w:rsid w:val="00E806AE"/>
    <w:rsid w:val="00E80717"/>
    <w:rsid w:val="00E8116E"/>
    <w:rsid w:val="00E8120D"/>
    <w:rsid w:val="00E8144E"/>
    <w:rsid w:val="00E815C3"/>
    <w:rsid w:val="00E81A4D"/>
    <w:rsid w:val="00E81D6C"/>
    <w:rsid w:val="00E820F6"/>
    <w:rsid w:val="00E82277"/>
    <w:rsid w:val="00E8239E"/>
    <w:rsid w:val="00E826FD"/>
    <w:rsid w:val="00E82849"/>
    <w:rsid w:val="00E82992"/>
    <w:rsid w:val="00E82A8F"/>
    <w:rsid w:val="00E82BE9"/>
    <w:rsid w:val="00E82D70"/>
    <w:rsid w:val="00E8315C"/>
    <w:rsid w:val="00E832A4"/>
    <w:rsid w:val="00E83748"/>
    <w:rsid w:val="00E83A05"/>
    <w:rsid w:val="00E83D4D"/>
    <w:rsid w:val="00E83FB8"/>
    <w:rsid w:val="00E84025"/>
    <w:rsid w:val="00E842CC"/>
    <w:rsid w:val="00E846BC"/>
    <w:rsid w:val="00E84753"/>
    <w:rsid w:val="00E84775"/>
    <w:rsid w:val="00E84870"/>
    <w:rsid w:val="00E84C03"/>
    <w:rsid w:val="00E84CC6"/>
    <w:rsid w:val="00E84D7D"/>
    <w:rsid w:val="00E8577D"/>
    <w:rsid w:val="00E8587D"/>
    <w:rsid w:val="00E85F5C"/>
    <w:rsid w:val="00E8622F"/>
    <w:rsid w:val="00E86246"/>
    <w:rsid w:val="00E8648E"/>
    <w:rsid w:val="00E86540"/>
    <w:rsid w:val="00E86AE8"/>
    <w:rsid w:val="00E8755C"/>
    <w:rsid w:val="00E8761B"/>
    <w:rsid w:val="00E87673"/>
    <w:rsid w:val="00E87676"/>
    <w:rsid w:val="00E87958"/>
    <w:rsid w:val="00E87BE6"/>
    <w:rsid w:val="00E87E9E"/>
    <w:rsid w:val="00E90246"/>
    <w:rsid w:val="00E9077F"/>
    <w:rsid w:val="00E90782"/>
    <w:rsid w:val="00E90979"/>
    <w:rsid w:val="00E90B8B"/>
    <w:rsid w:val="00E90F9E"/>
    <w:rsid w:val="00E91062"/>
    <w:rsid w:val="00E910B0"/>
    <w:rsid w:val="00E91419"/>
    <w:rsid w:val="00E91BE1"/>
    <w:rsid w:val="00E91EF7"/>
    <w:rsid w:val="00E91FBB"/>
    <w:rsid w:val="00E925A1"/>
    <w:rsid w:val="00E927C2"/>
    <w:rsid w:val="00E93850"/>
    <w:rsid w:val="00E938AC"/>
    <w:rsid w:val="00E938BE"/>
    <w:rsid w:val="00E946A0"/>
    <w:rsid w:val="00E95869"/>
    <w:rsid w:val="00E95BD5"/>
    <w:rsid w:val="00E95C28"/>
    <w:rsid w:val="00E95CFD"/>
    <w:rsid w:val="00E95E3B"/>
    <w:rsid w:val="00E95F8F"/>
    <w:rsid w:val="00E96028"/>
    <w:rsid w:val="00E96261"/>
    <w:rsid w:val="00E96446"/>
    <w:rsid w:val="00E9645D"/>
    <w:rsid w:val="00E96C6C"/>
    <w:rsid w:val="00E96DDA"/>
    <w:rsid w:val="00E97000"/>
    <w:rsid w:val="00E97116"/>
    <w:rsid w:val="00E973D0"/>
    <w:rsid w:val="00E97493"/>
    <w:rsid w:val="00E97585"/>
    <w:rsid w:val="00E97600"/>
    <w:rsid w:val="00E9772E"/>
    <w:rsid w:val="00E97BD8"/>
    <w:rsid w:val="00EA015D"/>
    <w:rsid w:val="00EA03D8"/>
    <w:rsid w:val="00EA0696"/>
    <w:rsid w:val="00EA09BB"/>
    <w:rsid w:val="00EA0A3C"/>
    <w:rsid w:val="00EA0AB0"/>
    <w:rsid w:val="00EA0AD3"/>
    <w:rsid w:val="00EA0B12"/>
    <w:rsid w:val="00EA0CDA"/>
    <w:rsid w:val="00EA0E77"/>
    <w:rsid w:val="00EA10C7"/>
    <w:rsid w:val="00EA1201"/>
    <w:rsid w:val="00EA17C8"/>
    <w:rsid w:val="00EA194D"/>
    <w:rsid w:val="00EA1ACD"/>
    <w:rsid w:val="00EA1AED"/>
    <w:rsid w:val="00EA1D66"/>
    <w:rsid w:val="00EA26DB"/>
    <w:rsid w:val="00EA291C"/>
    <w:rsid w:val="00EA3074"/>
    <w:rsid w:val="00EA30ED"/>
    <w:rsid w:val="00EA32D3"/>
    <w:rsid w:val="00EA34DA"/>
    <w:rsid w:val="00EA375F"/>
    <w:rsid w:val="00EA39D2"/>
    <w:rsid w:val="00EA3BD6"/>
    <w:rsid w:val="00EA409E"/>
    <w:rsid w:val="00EA43D6"/>
    <w:rsid w:val="00EA4AE9"/>
    <w:rsid w:val="00EA4CEB"/>
    <w:rsid w:val="00EA51C1"/>
    <w:rsid w:val="00EA59C9"/>
    <w:rsid w:val="00EA5C4E"/>
    <w:rsid w:val="00EA5F54"/>
    <w:rsid w:val="00EA6AD8"/>
    <w:rsid w:val="00EA6CC1"/>
    <w:rsid w:val="00EA6D61"/>
    <w:rsid w:val="00EA6EAF"/>
    <w:rsid w:val="00EA6ED6"/>
    <w:rsid w:val="00EA6FDE"/>
    <w:rsid w:val="00EA70B4"/>
    <w:rsid w:val="00EA7191"/>
    <w:rsid w:val="00EA7544"/>
    <w:rsid w:val="00EB0406"/>
    <w:rsid w:val="00EB0984"/>
    <w:rsid w:val="00EB09A7"/>
    <w:rsid w:val="00EB0CA8"/>
    <w:rsid w:val="00EB0EB0"/>
    <w:rsid w:val="00EB0ED8"/>
    <w:rsid w:val="00EB0F07"/>
    <w:rsid w:val="00EB11D6"/>
    <w:rsid w:val="00EB150D"/>
    <w:rsid w:val="00EB155C"/>
    <w:rsid w:val="00EB17AF"/>
    <w:rsid w:val="00EB17F7"/>
    <w:rsid w:val="00EB1930"/>
    <w:rsid w:val="00EB1E09"/>
    <w:rsid w:val="00EB2708"/>
    <w:rsid w:val="00EB2830"/>
    <w:rsid w:val="00EB28E5"/>
    <w:rsid w:val="00EB2E2F"/>
    <w:rsid w:val="00EB3196"/>
    <w:rsid w:val="00EB3694"/>
    <w:rsid w:val="00EB3700"/>
    <w:rsid w:val="00EB37D1"/>
    <w:rsid w:val="00EB3974"/>
    <w:rsid w:val="00EB3BA4"/>
    <w:rsid w:val="00EB3DCF"/>
    <w:rsid w:val="00EB449E"/>
    <w:rsid w:val="00EB465C"/>
    <w:rsid w:val="00EB46F6"/>
    <w:rsid w:val="00EB4706"/>
    <w:rsid w:val="00EB4730"/>
    <w:rsid w:val="00EB4F33"/>
    <w:rsid w:val="00EB5814"/>
    <w:rsid w:val="00EB58F3"/>
    <w:rsid w:val="00EB5B99"/>
    <w:rsid w:val="00EB60E7"/>
    <w:rsid w:val="00EB610D"/>
    <w:rsid w:val="00EB6381"/>
    <w:rsid w:val="00EB64B1"/>
    <w:rsid w:val="00EB653C"/>
    <w:rsid w:val="00EB69CF"/>
    <w:rsid w:val="00EB6AFF"/>
    <w:rsid w:val="00EB6E24"/>
    <w:rsid w:val="00EB6E70"/>
    <w:rsid w:val="00EB703C"/>
    <w:rsid w:val="00EB720C"/>
    <w:rsid w:val="00EB78CD"/>
    <w:rsid w:val="00EB790F"/>
    <w:rsid w:val="00EB7B26"/>
    <w:rsid w:val="00EB7C54"/>
    <w:rsid w:val="00EB7DA2"/>
    <w:rsid w:val="00EB7F0B"/>
    <w:rsid w:val="00EC0374"/>
    <w:rsid w:val="00EC0DC6"/>
    <w:rsid w:val="00EC0F74"/>
    <w:rsid w:val="00EC10B6"/>
    <w:rsid w:val="00EC16EB"/>
    <w:rsid w:val="00EC173F"/>
    <w:rsid w:val="00EC182A"/>
    <w:rsid w:val="00EC1865"/>
    <w:rsid w:val="00EC1B63"/>
    <w:rsid w:val="00EC1CC4"/>
    <w:rsid w:val="00EC1CCD"/>
    <w:rsid w:val="00EC1D8E"/>
    <w:rsid w:val="00EC1E0C"/>
    <w:rsid w:val="00EC23FC"/>
    <w:rsid w:val="00EC2443"/>
    <w:rsid w:val="00EC297B"/>
    <w:rsid w:val="00EC29D0"/>
    <w:rsid w:val="00EC2F46"/>
    <w:rsid w:val="00EC31C9"/>
    <w:rsid w:val="00EC36B7"/>
    <w:rsid w:val="00EC3925"/>
    <w:rsid w:val="00EC3BD4"/>
    <w:rsid w:val="00EC406F"/>
    <w:rsid w:val="00EC4687"/>
    <w:rsid w:val="00EC53C8"/>
    <w:rsid w:val="00EC54B4"/>
    <w:rsid w:val="00EC5DA0"/>
    <w:rsid w:val="00EC6181"/>
    <w:rsid w:val="00EC63D3"/>
    <w:rsid w:val="00EC6711"/>
    <w:rsid w:val="00EC719B"/>
    <w:rsid w:val="00EC7676"/>
    <w:rsid w:val="00EC79F8"/>
    <w:rsid w:val="00ED0043"/>
    <w:rsid w:val="00ED010A"/>
    <w:rsid w:val="00ED01C5"/>
    <w:rsid w:val="00ED078F"/>
    <w:rsid w:val="00ED0873"/>
    <w:rsid w:val="00ED0A12"/>
    <w:rsid w:val="00ED1367"/>
    <w:rsid w:val="00ED1476"/>
    <w:rsid w:val="00ED18B5"/>
    <w:rsid w:val="00ED1C69"/>
    <w:rsid w:val="00ED1D79"/>
    <w:rsid w:val="00ED2162"/>
    <w:rsid w:val="00ED25F4"/>
    <w:rsid w:val="00ED271F"/>
    <w:rsid w:val="00ED2862"/>
    <w:rsid w:val="00ED2C72"/>
    <w:rsid w:val="00ED3174"/>
    <w:rsid w:val="00ED3246"/>
    <w:rsid w:val="00ED3845"/>
    <w:rsid w:val="00ED3857"/>
    <w:rsid w:val="00ED386E"/>
    <w:rsid w:val="00ED3929"/>
    <w:rsid w:val="00ED3A26"/>
    <w:rsid w:val="00ED3DF9"/>
    <w:rsid w:val="00ED4215"/>
    <w:rsid w:val="00ED4A57"/>
    <w:rsid w:val="00ED52A9"/>
    <w:rsid w:val="00ED56BC"/>
    <w:rsid w:val="00ED5B46"/>
    <w:rsid w:val="00ED5BA5"/>
    <w:rsid w:val="00ED5FD4"/>
    <w:rsid w:val="00ED61AA"/>
    <w:rsid w:val="00ED6E3A"/>
    <w:rsid w:val="00ED71E0"/>
    <w:rsid w:val="00ED7364"/>
    <w:rsid w:val="00ED73EA"/>
    <w:rsid w:val="00ED7420"/>
    <w:rsid w:val="00ED751B"/>
    <w:rsid w:val="00ED77ED"/>
    <w:rsid w:val="00ED7957"/>
    <w:rsid w:val="00ED7B96"/>
    <w:rsid w:val="00ED7BC4"/>
    <w:rsid w:val="00ED7BC9"/>
    <w:rsid w:val="00ED7C74"/>
    <w:rsid w:val="00ED7E6C"/>
    <w:rsid w:val="00ED7E73"/>
    <w:rsid w:val="00EE04F4"/>
    <w:rsid w:val="00EE0C84"/>
    <w:rsid w:val="00EE0E8D"/>
    <w:rsid w:val="00EE0F1F"/>
    <w:rsid w:val="00EE1098"/>
    <w:rsid w:val="00EE127B"/>
    <w:rsid w:val="00EE19B1"/>
    <w:rsid w:val="00EE20F9"/>
    <w:rsid w:val="00EE2262"/>
    <w:rsid w:val="00EE248B"/>
    <w:rsid w:val="00EE28EB"/>
    <w:rsid w:val="00EE2995"/>
    <w:rsid w:val="00EE3099"/>
    <w:rsid w:val="00EE35E4"/>
    <w:rsid w:val="00EE3851"/>
    <w:rsid w:val="00EE3AC1"/>
    <w:rsid w:val="00EE3AF9"/>
    <w:rsid w:val="00EE3B97"/>
    <w:rsid w:val="00EE3C91"/>
    <w:rsid w:val="00EE3CB0"/>
    <w:rsid w:val="00EE416B"/>
    <w:rsid w:val="00EE43DF"/>
    <w:rsid w:val="00EE480F"/>
    <w:rsid w:val="00EE4973"/>
    <w:rsid w:val="00EE4ADF"/>
    <w:rsid w:val="00EE4C48"/>
    <w:rsid w:val="00EE505E"/>
    <w:rsid w:val="00EE5156"/>
    <w:rsid w:val="00EE51F7"/>
    <w:rsid w:val="00EE5535"/>
    <w:rsid w:val="00EE58CA"/>
    <w:rsid w:val="00EE5A7D"/>
    <w:rsid w:val="00EE5B55"/>
    <w:rsid w:val="00EE5CF9"/>
    <w:rsid w:val="00EE63A5"/>
    <w:rsid w:val="00EE6850"/>
    <w:rsid w:val="00EE6B9E"/>
    <w:rsid w:val="00EE730D"/>
    <w:rsid w:val="00EE7410"/>
    <w:rsid w:val="00EE75D9"/>
    <w:rsid w:val="00EE7964"/>
    <w:rsid w:val="00EE7EF5"/>
    <w:rsid w:val="00EF1122"/>
    <w:rsid w:val="00EF12CE"/>
    <w:rsid w:val="00EF1617"/>
    <w:rsid w:val="00EF1798"/>
    <w:rsid w:val="00EF2026"/>
    <w:rsid w:val="00EF2373"/>
    <w:rsid w:val="00EF23A9"/>
    <w:rsid w:val="00EF28B7"/>
    <w:rsid w:val="00EF2EA2"/>
    <w:rsid w:val="00EF3328"/>
    <w:rsid w:val="00EF3A65"/>
    <w:rsid w:val="00EF3A86"/>
    <w:rsid w:val="00EF411B"/>
    <w:rsid w:val="00EF429D"/>
    <w:rsid w:val="00EF433F"/>
    <w:rsid w:val="00EF446C"/>
    <w:rsid w:val="00EF4978"/>
    <w:rsid w:val="00EF4ED7"/>
    <w:rsid w:val="00EF5027"/>
    <w:rsid w:val="00EF5363"/>
    <w:rsid w:val="00EF5642"/>
    <w:rsid w:val="00EF5798"/>
    <w:rsid w:val="00EF5CA4"/>
    <w:rsid w:val="00EF5D37"/>
    <w:rsid w:val="00EF626C"/>
    <w:rsid w:val="00EF6390"/>
    <w:rsid w:val="00EF68E2"/>
    <w:rsid w:val="00EF68FF"/>
    <w:rsid w:val="00EF6DBD"/>
    <w:rsid w:val="00EF6FE9"/>
    <w:rsid w:val="00EF720B"/>
    <w:rsid w:val="00EF740F"/>
    <w:rsid w:val="00EF789A"/>
    <w:rsid w:val="00EF7BF8"/>
    <w:rsid w:val="00EF7E64"/>
    <w:rsid w:val="00F00496"/>
    <w:rsid w:val="00F005AF"/>
    <w:rsid w:val="00F00C5C"/>
    <w:rsid w:val="00F00CE1"/>
    <w:rsid w:val="00F00CFE"/>
    <w:rsid w:val="00F00D42"/>
    <w:rsid w:val="00F013B5"/>
    <w:rsid w:val="00F015C0"/>
    <w:rsid w:val="00F017D2"/>
    <w:rsid w:val="00F01B1A"/>
    <w:rsid w:val="00F01BC7"/>
    <w:rsid w:val="00F01E2D"/>
    <w:rsid w:val="00F02D0E"/>
    <w:rsid w:val="00F02F7A"/>
    <w:rsid w:val="00F03024"/>
    <w:rsid w:val="00F032F9"/>
    <w:rsid w:val="00F03389"/>
    <w:rsid w:val="00F03564"/>
    <w:rsid w:val="00F035BD"/>
    <w:rsid w:val="00F0388F"/>
    <w:rsid w:val="00F03B2E"/>
    <w:rsid w:val="00F03E41"/>
    <w:rsid w:val="00F0411F"/>
    <w:rsid w:val="00F043AC"/>
    <w:rsid w:val="00F0443B"/>
    <w:rsid w:val="00F0444D"/>
    <w:rsid w:val="00F044F5"/>
    <w:rsid w:val="00F04917"/>
    <w:rsid w:val="00F04982"/>
    <w:rsid w:val="00F04C8F"/>
    <w:rsid w:val="00F05361"/>
    <w:rsid w:val="00F057BE"/>
    <w:rsid w:val="00F058F7"/>
    <w:rsid w:val="00F05AD8"/>
    <w:rsid w:val="00F06217"/>
    <w:rsid w:val="00F06A70"/>
    <w:rsid w:val="00F06F74"/>
    <w:rsid w:val="00F07384"/>
    <w:rsid w:val="00F07770"/>
    <w:rsid w:val="00F079C1"/>
    <w:rsid w:val="00F07F0A"/>
    <w:rsid w:val="00F100A4"/>
    <w:rsid w:val="00F1110F"/>
    <w:rsid w:val="00F11128"/>
    <w:rsid w:val="00F11377"/>
    <w:rsid w:val="00F1151D"/>
    <w:rsid w:val="00F11FC4"/>
    <w:rsid w:val="00F120DB"/>
    <w:rsid w:val="00F124F5"/>
    <w:rsid w:val="00F12623"/>
    <w:rsid w:val="00F12A41"/>
    <w:rsid w:val="00F12C52"/>
    <w:rsid w:val="00F12E19"/>
    <w:rsid w:val="00F12E38"/>
    <w:rsid w:val="00F12F61"/>
    <w:rsid w:val="00F12F6F"/>
    <w:rsid w:val="00F132F9"/>
    <w:rsid w:val="00F1398B"/>
    <w:rsid w:val="00F13AA9"/>
    <w:rsid w:val="00F13CDD"/>
    <w:rsid w:val="00F13DA3"/>
    <w:rsid w:val="00F13E59"/>
    <w:rsid w:val="00F13E81"/>
    <w:rsid w:val="00F13FB6"/>
    <w:rsid w:val="00F13FE8"/>
    <w:rsid w:val="00F14439"/>
    <w:rsid w:val="00F146AD"/>
    <w:rsid w:val="00F14A25"/>
    <w:rsid w:val="00F150A4"/>
    <w:rsid w:val="00F153A4"/>
    <w:rsid w:val="00F1549F"/>
    <w:rsid w:val="00F15B47"/>
    <w:rsid w:val="00F15C5F"/>
    <w:rsid w:val="00F1604F"/>
    <w:rsid w:val="00F16628"/>
    <w:rsid w:val="00F17169"/>
    <w:rsid w:val="00F175A8"/>
    <w:rsid w:val="00F17862"/>
    <w:rsid w:val="00F178FD"/>
    <w:rsid w:val="00F17B97"/>
    <w:rsid w:val="00F17D33"/>
    <w:rsid w:val="00F17DBB"/>
    <w:rsid w:val="00F208FF"/>
    <w:rsid w:val="00F20945"/>
    <w:rsid w:val="00F21023"/>
    <w:rsid w:val="00F216B8"/>
    <w:rsid w:val="00F217AD"/>
    <w:rsid w:val="00F217EE"/>
    <w:rsid w:val="00F2183B"/>
    <w:rsid w:val="00F2191A"/>
    <w:rsid w:val="00F21B4C"/>
    <w:rsid w:val="00F21E4B"/>
    <w:rsid w:val="00F22534"/>
    <w:rsid w:val="00F233E8"/>
    <w:rsid w:val="00F23916"/>
    <w:rsid w:val="00F23EEC"/>
    <w:rsid w:val="00F23FE2"/>
    <w:rsid w:val="00F24021"/>
    <w:rsid w:val="00F2410F"/>
    <w:rsid w:val="00F242E2"/>
    <w:rsid w:val="00F244A7"/>
    <w:rsid w:val="00F24523"/>
    <w:rsid w:val="00F245E3"/>
    <w:rsid w:val="00F24803"/>
    <w:rsid w:val="00F2481D"/>
    <w:rsid w:val="00F24AEF"/>
    <w:rsid w:val="00F25034"/>
    <w:rsid w:val="00F25284"/>
    <w:rsid w:val="00F254B5"/>
    <w:rsid w:val="00F257FD"/>
    <w:rsid w:val="00F2587E"/>
    <w:rsid w:val="00F2588C"/>
    <w:rsid w:val="00F259E4"/>
    <w:rsid w:val="00F25A0B"/>
    <w:rsid w:val="00F25B95"/>
    <w:rsid w:val="00F25DCB"/>
    <w:rsid w:val="00F26535"/>
    <w:rsid w:val="00F265B1"/>
    <w:rsid w:val="00F268F2"/>
    <w:rsid w:val="00F269DE"/>
    <w:rsid w:val="00F26F7F"/>
    <w:rsid w:val="00F273D6"/>
    <w:rsid w:val="00F27656"/>
    <w:rsid w:val="00F27CD2"/>
    <w:rsid w:val="00F3008B"/>
    <w:rsid w:val="00F30218"/>
    <w:rsid w:val="00F3070A"/>
    <w:rsid w:val="00F30AB8"/>
    <w:rsid w:val="00F30E3E"/>
    <w:rsid w:val="00F30FB8"/>
    <w:rsid w:val="00F3176A"/>
    <w:rsid w:val="00F3177C"/>
    <w:rsid w:val="00F3186D"/>
    <w:rsid w:val="00F31BDD"/>
    <w:rsid w:val="00F31E7A"/>
    <w:rsid w:val="00F31F9D"/>
    <w:rsid w:val="00F321D0"/>
    <w:rsid w:val="00F32735"/>
    <w:rsid w:val="00F329AA"/>
    <w:rsid w:val="00F32A47"/>
    <w:rsid w:val="00F33576"/>
    <w:rsid w:val="00F33871"/>
    <w:rsid w:val="00F33D82"/>
    <w:rsid w:val="00F33F43"/>
    <w:rsid w:val="00F3453F"/>
    <w:rsid w:val="00F34564"/>
    <w:rsid w:val="00F346ED"/>
    <w:rsid w:val="00F34A03"/>
    <w:rsid w:val="00F34BF4"/>
    <w:rsid w:val="00F34D31"/>
    <w:rsid w:val="00F34D3A"/>
    <w:rsid w:val="00F352CC"/>
    <w:rsid w:val="00F3538D"/>
    <w:rsid w:val="00F354B5"/>
    <w:rsid w:val="00F35CAB"/>
    <w:rsid w:val="00F35F25"/>
    <w:rsid w:val="00F360FF"/>
    <w:rsid w:val="00F3648F"/>
    <w:rsid w:val="00F36711"/>
    <w:rsid w:val="00F36823"/>
    <w:rsid w:val="00F37008"/>
    <w:rsid w:val="00F37274"/>
    <w:rsid w:val="00F375F0"/>
    <w:rsid w:val="00F3783A"/>
    <w:rsid w:val="00F37B48"/>
    <w:rsid w:val="00F37BA6"/>
    <w:rsid w:val="00F37BBF"/>
    <w:rsid w:val="00F40E56"/>
    <w:rsid w:val="00F40F6B"/>
    <w:rsid w:val="00F41420"/>
    <w:rsid w:val="00F4194E"/>
    <w:rsid w:val="00F4219F"/>
    <w:rsid w:val="00F423B7"/>
    <w:rsid w:val="00F4257F"/>
    <w:rsid w:val="00F4370C"/>
    <w:rsid w:val="00F43A7E"/>
    <w:rsid w:val="00F43AB8"/>
    <w:rsid w:val="00F43D56"/>
    <w:rsid w:val="00F43D6A"/>
    <w:rsid w:val="00F43F3E"/>
    <w:rsid w:val="00F444BD"/>
    <w:rsid w:val="00F44787"/>
    <w:rsid w:val="00F449F3"/>
    <w:rsid w:val="00F44A2B"/>
    <w:rsid w:val="00F451FD"/>
    <w:rsid w:val="00F452CE"/>
    <w:rsid w:val="00F454C2"/>
    <w:rsid w:val="00F45665"/>
    <w:rsid w:val="00F45870"/>
    <w:rsid w:val="00F458EB"/>
    <w:rsid w:val="00F45BA6"/>
    <w:rsid w:val="00F45DCF"/>
    <w:rsid w:val="00F45E5B"/>
    <w:rsid w:val="00F4618F"/>
    <w:rsid w:val="00F46455"/>
    <w:rsid w:val="00F469AB"/>
    <w:rsid w:val="00F46AE3"/>
    <w:rsid w:val="00F46B2F"/>
    <w:rsid w:val="00F46B37"/>
    <w:rsid w:val="00F46B62"/>
    <w:rsid w:val="00F46F40"/>
    <w:rsid w:val="00F470D9"/>
    <w:rsid w:val="00F47BC3"/>
    <w:rsid w:val="00F47EC4"/>
    <w:rsid w:val="00F47F7C"/>
    <w:rsid w:val="00F50252"/>
    <w:rsid w:val="00F5036C"/>
    <w:rsid w:val="00F503A0"/>
    <w:rsid w:val="00F5051D"/>
    <w:rsid w:val="00F50754"/>
    <w:rsid w:val="00F50772"/>
    <w:rsid w:val="00F50F40"/>
    <w:rsid w:val="00F51112"/>
    <w:rsid w:val="00F5127A"/>
    <w:rsid w:val="00F5153F"/>
    <w:rsid w:val="00F5175B"/>
    <w:rsid w:val="00F519A7"/>
    <w:rsid w:val="00F51A09"/>
    <w:rsid w:val="00F5215A"/>
    <w:rsid w:val="00F521B2"/>
    <w:rsid w:val="00F523CB"/>
    <w:rsid w:val="00F524F8"/>
    <w:rsid w:val="00F5251C"/>
    <w:rsid w:val="00F5254C"/>
    <w:rsid w:val="00F5266A"/>
    <w:rsid w:val="00F53059"/>
    <w:rsid w:val="00F5307C"/>
    <w:rsid w:val="00F5339F"/>
    <w:rsid w:val="00F534F6"/>
    <w:rsid w:val="00F53507"/>
    <w:rsid w:val="00F537C0"/>
    <w:rsid w:val="00F53814"/>
    <w:rsid w:val="00F538AA"/>
    <w:rsid w:val="00F53C12"/>
    <w:rsid w:val="00F548B4"/>
    <w:rsid w:val="00F5496D"/>
    <w:rsid w:val="00F54B91"/>
    <w:rsid w:val="00F54BEB"/>
    <w:rsid w:val="00F54E7C"/>
    <w:rsid w:val="00F54EAA"/>
    <w:rsid w:val="00F5532C"/>
    <w:rsid w:val="00F553F0"/>
    <w:rsid w:val="00F55C4F"/>
    <w:rsid w:val="00F55FBA"/>
    <w:rsid w:val="00F56369"/>
    <w:rsid w:val="00F56412"/>
    <w:rsid w:val="00F568FA"/>
    <w:rsid w:val="00F56C56"/>
    <w:rsid w:val="00F56DEC"/>
    <w:rsid w:val="00F5707E"/>
    <w:rsid w:val="00F57111"/>
    <w:rsid w:val="00F5727F"/>
    <w:rsid w:val="00F57935"/>
    <w:rsid w:val="00F57B81"/>
    <w:rsid w:val="00F57E89"/>
    <w:rsid w:val="00F57F65"/>
    <w:rsid w:val="00F602BB"/>
    <w:rsid w:val="00F60422"/>
    <w:rsid w:val="00F6127E"/>
    <w:rsid w:val="00F61345"/>
    <w:rsid w:val="00F615C3"/>
    <w:rsid w:val="00F61B6B"/>
    <w:rsid w:val="00F61CCA"/>
    <w:rsid w:val="00F61D8D"/>
    <w:rsid w:val="00F623A1"/>
    <w:rsid w:val="00F625D7"/>
    <w:rsid w:val="00F62943"/>
    <w:rsid w:val="00F62F0F"/>
    <w:rsid w:val="00F62FCE"/>
    <w:rsid w:val="00F62FF2"/>
    <w:rsid w:val="00F6311C"/>
    <w:rsid w:val="00F6320C"/>
    <w:rsid w:val="00F63382"/>
    <w:rsid w:val="00F63528"/>
    <w:rsid w:val="00F63BA6"/>
    <w:rsid w:val="00F64012"/>
    <w:rsid w:val="00F6409C"/>
    <w:rsid w:val="00F65255"/>
    <w:rsid w:val="00F65317"/>
    <w:rsid w:val="00F65440"/>
    <w:rsid w:val="00F65A27"/>
    <w:rsid w:val="00F65B49"/>
    <w:rsid w:val="00F65F51"/>
    <w:rsid w:val="00F665FB"/>
    <w:rsid w:val="00F6693F"/>
    <w:rsid w:val="00F669EC"/>
    <w:rsid w:val="00F66BB2"/>
    <w:rsid w:val="00F66DC0"/>
    <w:rsid w:val="00F671F3"/>
    <w:rsid w:val="00F67670"/>
    <w:rsid w:val="00F6774F"/>
    <w:rsid w:val="00F679ED"/>
    <w:rsid w:val="00F67CF0"/>
    <w:rsid w:val="00F67D98"/>
    <w:rsid w:val="00F705A3"/>
    <w:rsid w:val="00F70871"/>
    <w:rsid w:val="00F70CAC"/>
    <w:rsid w:val="00F70D62"/>
    <w:rsid w:val="00F7131B"/>
    <w:rsid w:val="00F71338"/>
    <w:rsid w:val="00F713EA"/>
    <w:rsid w:val="00F715E7"/>
    <w:rsid w:val="00F72086"/>
    <w:rsid w:val="00F732C2"/>
    <w:rsid w:val="00F73388"/>
    <w:rsid w:val="00F733E1"/>
    <w:rsid w:val="00F73500"/>
    <w:rsid w:val="00F73629"/>
    <w:rsid w:val="00F73A7A"/>
    <w:rsid w:val="00F73AF2"/>
    <w:rsid w:val="00F73D59"/>
    <w:rsid w:val="00F73E88"/>
    <w:rsid w:val="00F740C6"/>
    <w:rsid w:val="00F747FA"/>
    <w:rsid w:val="00F7482B"/>
    <w:rsid w:val="00F74F94"/>
    <w:rsid w:val="00F754A6"/>
    <w:rsid w:val="00F7582E"/>
    <w:rsid w:val="00F76557"/>
    <w:rsid w:val="00F76AB9"/>
    <w:rsid w:val="00F77054"/>
    <w:rsid w:val="00F77142"/>
    <w:rsid w:val="00F7720E"/>
    <w:rsid w:val="00F77793"/>
    <w:rsid w:val="00F77AE7"/>
    <w:rsid w:val="00F77C39"/>
    <w:rsid w:val="00F77CF3"/>
    <w:rsid w:val="00F77EB1"/>
    <w:rsid w:val="00F77F2E"/>
    <w:rsid w:val="00F80069"/>
    <w:rsid w:val="00F8013D"/>
    <w:rsid w:val="00F80224"/>
    <w:rsid w:val="00F803CD"/>
    <w:rsid w:val="00F80449"/>
    <w:rsid w:val="00F80793"/>
    <w:rsid w:val="00F80C4D"/>
    <w:rsid w:val="00F80CDA"/>
    <w:rsid w:val="00F81059"/>
    <w:rsid w:val="00F81651"/>
    <w:rsid w:val="00F81666"/>
    <w:rsid w:val="00F818AF"/>
    <w:rsid w:val="00F81A95"/>
    <w:rsid w:val="00F81E60"/>
    <w:rsid w:val="00F82156"/>
    <w:rsid w:val="00F82323"/>
    <w:rsid w:val="00F8244A"/>
    <w:rsid w:val="00F82D29"/>
    <w:rsid w:val="00F83214"/>
    <w:rsid w:val="00F83750"/>
    <w:rsid w:val="00F840ED"/>
    <w:rsid w:val="00F8453D"/>
    <w:rsid w:val="00F84750"/>
    <w:rsid w:val="00F84949"/>
    <w:rsid w:val="00F84BBD"/>
    <w:rsid w:val="00F84F49"/>
    <w:rsid w:val="00F850D5"/>
    <w:rsid w:val="00F8557F"/>
    <w:rsid w:val="00F85638"/>
    <w:rsid w:val="00F85828"/>
    <w:rsid w:val="00F85971"/>
    <w:rsid w:val="00F85EE4"/>
    <w:rsid w:val="00F85F7F"/>
    <w:rsid w:val="00F864D9"/>
    <w:rsid w:val="00F865C8"/>
    <w:rsid w:val="00F870F9"/>
    <w:rsid w:val="00F87192"/>
    <w:rsid w:val="00F8777F"/>
    <w:rsid w:val="00F87EE4"/>
    <w:rsid w:val="00F90488"/>
    <w:rsid w:val="00F908AE"/>
    <w:rsid w:val="00F90ADD"/>
    <w:rsid w:val="00F9126D"/>
    <w:rsid w:val="00F912D4"/>
    <w:rsid w:val="00F91883"/>
    <w:rsid w:val="00F91907"/>
    <w:rsid w:val="00F91A13"/>
    <w:rsid w:val="00F91A7D"/>
    <w:rsid w:val="00F91BC5"/>
    <w:rsid w:val="00F91CCF"/>
    <w:rsid w:val="00F925A0"/>
    <w:rsid w:val="00F92966"/>
    <w:rsid w:val="00F92AC7"/>
    <w:rsid w:val="00F92C78"/>
    <w:rsid w:val="00F9306B"/>
    <w:rsid w:val="00F93195"/>
    <w:rsid w:val="00F9319A"/>
    <w:rsid w:val="00F9337F"/>
    <w:rsid w:val="00F93474"/>
    <w:rsid w:val="00F93901"/>
    <w:rsid w:val="00F93C9D"/>
    <w:rsid w:val="00F93FCB"/>
    <w:rsid w:val="00F944B5"/>
    <w:rsid w:val="00F94B84"/>
    <w:rsid w:val="00F94C71"/>
    <w:rsid w:val="00F94EC9"/>
    <w:rsid w:val="00F95776"/>
    <w:rsid w:val="00F958B8"/>
    <w:rsid w:val="00F95C1D"/>
    <w:rsid w:val="00F964DE"/>
    <w:rsid w:val="00F9653D"/>
    <w:rsid w:val="00F96723"/>
    <w:rsid w:val="00F970C8"/>
    <w:rsid w:val="00F97228"/>
    <w:rsid w:val="00F97E1F"/>
    <w:rsid w:val="00FA04F1"/>
    <w:rsid w:val="00FA04F3"/>
    <w:rsid w:val="00FA05F6"/>
    <w:rsid w:val="00FA08E2"/>
    <w:rsid w:val="00FA1002"/>
    <w:rsid w:val="00FA13D2"/>
    <w:rsid w:val="00FA15D7"/>
    <w:rsid w:val="00FA15FB"/>
    <w:rsid w:val="00FA1FFB"/>
    <w:rsid w:val="00FA200D"/>
    <w:rsid w:val="00FA2087"/>
    <w:rsid w:val="00FA21E6"/>
    <w:rsid w:val="00FA293F"/>
    <w:rsid w:val="00FA29D6"/>
    <w:rsid w:val="00FA31FC"/>
    <w:rsid w:val="00FA3633"/>
    <w:rsid w:val="00FA3C68"/>
    <w:rsid w:val="00FA4021"/>
    <w:rsid w:val="00FA40CA"/>
    <w:rsid w:val="00FA41D7"/>
    <w:rsid w:val="00FA438D"/>
    <w:rsid w:val="00FA4F83"/>
    <w:rsid w:val="00FA5133"/>
    <w:rsid w:val="00FA53B3"/>
    <w:rsid w:val="00FA637C"/>
    <w:rsid w:val="00FA685E"/>
    <w:rsid w:val="00FA6A55"/>
    <w:rsid w:val="00FA6B7B"/>
    <w:rsid w:val="00FA7087"/>
    <w:rsid w:val="00FA728E"/>
    <w:rsid w:val="00FA75C1"/>
    <w:rsid w:val="00FA75EA"/>
    <w:rsid w:val="00FA767D"/>
    <w:rsid w:val="00FA77CF"/>
    <w:rsid w:val="00FA7ACE"/>
    <w:rsid w:val="00FB005E"/>
    <w:rsid w:val="00FB00B1"/>
    <w:rsid w:val="00FB018A"/>
    <w:rsid w:val="00FB0CCE"/>
    <w:rsid w:val="00FB0D98"/>
    <w:rsid w:val="00FB112C"/>
    <w:rsid w:val="00FB1516"/>
    <w:rsid w:val="00FB165B"/>
    <w:rsid w:val="00FB18F0"/>
    <w:rsid w:val="00FB1F05"/>
    <w:rsid w:val="00FB2105"/>
    <w:rsid w:val="00FB2297"/>
    <w:rsid w:val="00FB23C1"/>
    <w:rsid w:val="00FB248D"/>
    <w:rsid w:val="00FB261D"/>
    <w:rsid w:val="00FB2691"/>
    <w:rsid w:val="00FB2CFB"/>
    <w:rsid w:val="00FB322E"/>
    <w:rsid w:val="00FB363D"/>
    <w:rsid w:val="00FB38D4"/>
    <w:rsid w:val="00FB3955"/>
    <w:rsid w:val="00FB3A36"/>
    <w:rsid w:val="00FB3DD3"/>
    <w:rsid w:val="00FB3F07"/>
    <w:rsid w:val="00FB3F6F"/>
    <w:rsid w:val="00FB4065"/>
    <w:rsid w:val="00FB42FA"/>
    <w:rsid w:val="00FB43E8"/>
    <w:rsid w:val="00FB49A1"/>
    <w:rsid w:val="00FB4B86"/>
    <w:rsid w:val="00FB4D4E"/>
    <w:rsid w:val="00FB4E87"/>
    <w:rsid w:val="00FB51C3"/>
    <w:rsid w:val="00FB531B"/>
    <w:rsid w:val="00FB5630"/>
    <w:rsid w:val="00FB564D"/>
    <w:rsid w:val="00FB56B4"/>
    <w:rsid w:val="00FB5809"/>
    <w:rsid w:val="00FB59EA"/>
    <w:rsid w:val="00FB5AEC"/>
    <w:rsid w:val="00FB5C87"/>
    <w:rsid w:val="00FB5F5C"/>
    <w:rsid w:val="00FB62AF"/>
    <w:rsid w:val="00FB640B"/>
    <w:rsid w:val="00FB6A55"/>
    <w:rsid w:val="00FB6A8A"/>
    <w:rsid w:val="00FB705A"/>
    <w:rsid w:val="00FB7229"/>
    <w:rsid w:val="00FB7CEE"/>
    <w:rsid w:val="00FB7D43"/>
    <w:rsid w:val="00FB7FEF"/>
    <w:rsid w:val="00FC0282"/>
    <w:rsid w:val="00FC0454"/>
    <w:rsid w:val="00FC1212"/>
    <w:rsid w:val="00FC1352"/>
    <w:rsid w:val="00FC16C6"/>
    <w:rsid w:val="00FC16FF"/>
    <w:rsid w:val="00FC1AB3"/>
    <w:rsid w:val="00FC1FD7"/>
    <w:rsid w:val="00FC20D8"/>
    <w:rsid w:val="00FC22FF"/>
    <w:rsid w:val="00FC26DF"/>
    <w:rsid w:val="00FC2893"/>
    <w:rsid w:val="00FC2A8F"/>
    <w:rsid w:val="00FC2BBC"/>
    <w:rsid w:val="00FC2F39"/>
    <w:rsid w:val="00FC32D8"/>
    <w:rsid w:val="00FC33FF"/>
    <w:rsid w:val="00FC37B2"/>
    <w:rsid w:val="00FC3E5E"/>
    <w:rsid w:val="00FC41C6"/>
    <w:rsid w:val="00FC42B9"/>
    <w:rsid w:val="00FC432A"/>
    <w:rsid w:val="00FC44D7"/>
    <w:rsid w:val="00FC44D8"/>
    <w:rsid w:val="00FC4D34"/>
    <w:rsid w:val="00FC4DBA"/>
    <w:rsid w:val="00FC502D"/>
    <w:rsid w:val="00FC5269"/>
    <w:rsid w:val="00FC56A8"/>
    <w:rsid w:val="00FC581A"/>
    <w:rsid w:val="00FC5A57"/>
    <w:rsid w:val="00FC5CBA"/>
    <w:rsid w:val="00FC618F"/>
    <w:rsid w:val="00FC61ED"/>
    <w:rsid w:val="00FC633D"/>
    <w:rsid w:val="00FC641A"/>
    <w:rsid w:val="00FC66A3"/>
    <w:rsid w:val="00FC738B"/>
    <w:rsid w:val="00FC7469"/>
    <w:rsid w:val="00FC75C5"/>
    <w:rsid w:val="00FC79BA"/>
    <w:rsid w:val="00FC7A2C"/>
    <w:rsid w:val="00FC7B26"/>
    <w:rsid w:val="00FC7B53"/>
    <w:rsid w:val="00FD00E6"/>
    <w:rsid w:val="00FD01CB"/>
    <w:rsid w:val="00FD042B"/>
    <w:rsid w:val="00FD04FE"/>
    <w:rsid w:val="00FD056E"/>
    <w:rsid w:val="00FD0925"/>
    <w:rsid w:val="00FD0D7D"/>
    <w:rsid w:val="00FD0DDB"/>
    <w:rsid w:val="00FD0F5B"/>
    <w:rsid w:val="00FD107C"/>
    <w:rsid w:val="00FD109E"/>
    <w:rsid w:val="00FD15CB"/>
    <w:rsid w:val="00FD17BA"/>
    <w:rsid w:val="00FD197C"/>
    <w:rsid w:val="00FD1B56"/>
    <w:rsid w:val="00FD1D79"/>
    <w:rsid w:val="00FD20CF"/>
    <w:rsid w:val="00FD27A5"/>
    <w:rsid w:val="00FD29A1"/>
    <w:rsid w:val="00FD29D5"/>
    <w:rsid w:val="00FD2A77"/>
    <w:rsid w:val="00FD2BBD"/>
    <w:rsid w:val="00FD3123"/>
    <w:rsid w:val="00FD31FC"/>
    <w:rsid w:val="00FD3401"/>
    <w:rsid w:val="00FD344A"/>
    <w:rsid w:val="00FD36B1"/>
    <w:rsid w:val="00FD3907"/>
    <w:rsid w:val="00FD39EC"/>
    <w:rsid w:val="00FD3A86"/>
    <w:rsid w:val="00FD3BBC"/>
    <w:rsid w:val="00FD43B9"/>
    <w:rsid w:val="00FD46D8"/>
    <w:rsid w:val="00FD47C8"/>
    <w:rsid w:val="00FD4855"/>
    <w:rsid w:val="00FD4EF5"/>
    <w:rsid w:val="00FD4F2A"/>
    <w:rsid w:val="00FD4FAE"/>
    <w:rsid w:val="00FD5638"/>
    <w:rsid w:val="00FD5BE0"/>
    <w:rsid w:val="00FD5FE0"/>
    <w:rsid w:val="00FD6488"/>
    <w:rsid w:val="00FD66E4"/>
    <w:rsid w:val="00FD6727"/>
    <w:rsid w:val="00FD6B5A"/>
    <w:rsid w:val="00FD6EEF"/>
    <w:rsid w:val="00FD755E"/>
    <w:rsid w:val="00FD7861"/>
    <w:rsid w:val="00FD786F"/>
    <w:rsid w:val="00FD78C3"/>
    <w:rsid w:val="00FE0349"/>
    <w:rsid w:val="00FE0A25"/>
    <w:rsid w:val="00FE0B87"/>
    <w:rsid w:val="00FE0BB6"/>
    <w:rsid w:val="00FE0E95"/>
    <w:rsid w:val="00FE0F43"/>
    <w:rsid w:val="00FE11D4"/>
    <w:rsid w:val="00FE120E"/>
    <w:rsid w:val="00FE1263"/>
    <w:rsid w:val="00FE12AA"/>
    <w:rsid w:val="00FE1304"/>
    <w:rsid w:val="00FE1565"/>
    <w:rsid w:val="00FE1B42"/>
    <w:rsid w:val="00FE1BD2"/>
    <w:rsid w:val="00FE1C2A"/>
    <w:rsid w:val="00FE1FD7"/>
    <w:rsid w:val="00FE2851"/>
    <w:rsid w:val="00FE2BF7"/>
    <w:rsid w:val="00FE339A"/>
    <w:rsid w:val="00FE33E1"/>
    <w:rsid w:val="00FE3704"/>
    <w:rsid w:val="00FE39F6"/>
    <w:rsid w:val="00FE3ADC"/>
    <w:rsid w:val="00FE3F1C"/>
    <w:rsid w:val="00FE4079"/>
    <w:rsid w:val="00FE46B4"/>
    <w:rsid w:val="00FE484C"/>
    <w:rsid w:val="00FE48CB"/>
    <w:rsid w:val="00FE4C45"/>
    <w:rsid w:val="00FE4CF1"/>
    <w:rsid w:val="00FE4CFE"/>
    <w:rsid w:val="00FE50B8"/>
    <w:rsid w:val="00FE56EF"/>
    <w:rsid w:val="00FE5DE6"/>
    <w:rsid w:val="00FE5EA2"/>
    <w:rsid w:val="00FE5FDC"/>
    <w:rsid w:val="00FE64E6"/>
    <w:rsid w:val="00FE7033"/>
    <w:rsid w:val="00FE7072"/>
    <w:rsid w:val="00FE72A0"/>
    <w:rsid w:val="00FE7969"/>
    <w:rsid w:val="00FF0282"/>
    <w:rsid w:val="00FF02D9"/>
    <w:rsid w:val="00FF05F0"/>
    <w:rsid w:val="00FF0775"/>
    <w:rsid w:val="00FF07B7"/>
    <w:rsid w:val="00FF0C96"/>
    <w:rsid w:val="00FF1154"/>
    <w:rsid w:val="00FF11E6"/>
    <w:rsid w:val="00FF130D"/>
    <w:rsid w:val="00FF13F2"/>
    <w:rsid w:val="00FF172C"/>
    <w:rsid w:val="00FF1EA0"/>
    <w:rsid w:val="00FF20B7"/>
    <w:rsid w:val="00FF21B2"/>
    <w:rsid w:val="00FF27B1"/>
    <w:rsid w:val="00FF282C"/>
    <w:rsid w:val="00FF2C8C"/>
    <w:rsid w:val="00FF2C90"/>
    <w:rsid w:val="00FF2C92"/>
    <w:rsid w:val="00FF2DAD"/>
    <w:rsid w:val="00FF385C"/>
    <w:rsid w:val="00FF38C9"/>
    <w:rsid w:val="00FF3A0A"/>
    <w:rsid w:val="00FF3A51"/>
    <w:rsid w:val="00FF4429"/>
    <w:rsid w:val="00FF451D"/>
    <w:rsid w:val="00FF4B22"/>
    <w:rsid w:val="00FF4E66"/>
    <w:rsid w:val="00FF5252"/>
    <w:rsid w:val="00FF531A"/>
    <w:rsid w:val="00FF5714"/>
    <w:rsid w:val="00FF5765"/>
    <w:rsid w:val="00FF5B44"/>
    <w:rsid w:val="00FF6019"/>
    <w:rsid w:val="00FF664D"/>
    <w:rsid w:val="00FF6683"/>
    <w:rsid w:val="00FF66BF"/>
    <w:rsid w:val="00FF6740"/>
    <w:rsid w:val="00FF67B4"/>
    <w:rsid w:val="00FF682A"/>
    <w:rsid w:val="00FF6966"/>
    <w:rsid w:val="00FF6981"/>
    <w:rsid w:val="00FF6D5E"/>
    <w:rsid w:val="00FF7105"/>
    <w:rsid w:val="00FF7857"/>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55E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22135"/>
    <w:pPr>
      <w:spacing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link w:val="ReferencesChar"/>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uiPriority w:val="99"/>
    <w:qFormat/>
    <w:rsid w:val="002064E4"/>
    <w:pPr>
      <w:spacing w:line="240" w:lineRule="auto"/>
      <w:ind w:left="57"/>
      <w:jc w:val="left"/>
    </w:pPr>
    <w:rPr>
      <w:b/>
      <w:sz w:val="20"/>
      <w:szCs w:val="20"/>
    </w:rPr>
  </w:style>
  <w:style w:type="character" w:customStyle="1" w:styleId="TableHeadingChar">
    <w:name w:val="TableHeading Char"/>
    <w:link w:val="TableHeading"/>
    <w:uiPriority w:val="99"/>
    <w:rsid w:val="002064E4"/>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qFormat/>
    <w:rsid w:val="00955C58"/>
    <w:pPr>
      <w:keepNext w:val="0"/>
      <w:keepLines/>
      <w:spacing w:before="0" w:after="360"/>
      <w:contextualSpacing/>
      <w:jc w:val="left"/>
    </w:pPr>
  </w:style>
  <w:style w:type="character" w:customStyle="1" w:styleId="TableNotesChar">
    <w:name w:val="TableNotes Char"/>
    <w:link w:val="TableNotes"/>
    <w:rsid w:val="00955C58"/>
    <w:rPr>
      <w:rFonts w:ascii="Arial Narrow" w:hAnsi="Arial Narrow" w:cs="Tahoma"/>
      <w:sz w:val="18"/>
      <w:szCs w:val="22"/>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iPriority w:val="35"/>
    <w:qFormat/>
    <w:rsid w:val="00CE5C05"/>
    <w:pPr>
      <w:keepNext/>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Table Gridbeth"/>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8414C"/>
    <w:pPr>
      <w:keepNext/>
      <w:spacing w:before="40" w:after="40" w:line="240" w:lineRule="auto"/>
      <w:ind w:left="57"/>
    </w:pPr>
    <w:rPr>
      <w:rFonts w:ascii="Arial Narrow" w:hAnsi="Arial Narrow"/>
      <w:sz w:val="20"/>
      <w:lang w:eastAsia="en-US"/>
    </w:rPr>
  </w:style>
  <w:style w:type="character" w:customStyle="1" w:styleId="TableTextChar0">
    <w:name w:val="Table Text Char"/>
    <w:link w:val="TableText0"/>
    <w:rsid w:val="00D8414C"/>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6F7245"/>
    <w:pPr>
      <w:numPr>
        <w:numId w:val="20"/>
      </w:numPr>
      <w:contextualSpacing/>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593CC5"/>
    <w:pPr>
      <w:spacing w:before="40" w:after="40" w:line="240" w:lineRule="auto"/>
      <w:ind w:left="57" w:right="57"/>
      <w:jc w:val="left"/>
    </w:pPr>
    <w:rPr>
      <w:rFonts w:ascii="Arial Narrow" w:hAnsi="Arial Narrow"/>
      <w:sz w:val="20"/>
      <w:szCs w:val="20"/>
    </w:rPr>
  </w:style>
  <w:style w:type="character" w:customStyle="1" w:styleId="TabletextChar1">
    <w:name w:val="Table text Char"/>
    <w:link w:val="Tabletext1"/>
    <w:rsid w:val="00593CC5"/>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numId w:val="0"/>
      </w:numPr>
      <w:ind w:left="360" w:hanging="360"/>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rsid w:val="00AD4368"/>
    <w:pPr>
      <w:widowControl w:val="0"/>
      <w:spacing w:after="120" w:line="240" w:lineRule="auto"/>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AD4368"/>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06454A"/>
    <w:rPr>
      <w:b/>
      <w:bCs/>
      <w:smallCaps/>
    </w:rPr>
  </w:style>
  <w:style w:type="paragraph" w:customStyle="1" w:styleId="EndNoteBibliographyTitle">
    <w:name w:val="EndNote Bibliography Title"/>
    <w:basedOn w:val="Normal"/>
    <w:link w:val="EndNoteBibliographyTitleChar"/>
    <w:rsid w:val="002706BF"/>
    <w:pPr>
      <w:spacing w:after="0"/>
      <w:jc w:val="center"/>
    </w:pPr>
    <w:rPr>
      <w:rFonts w:ascii="Tahoma" w:hAnsi="Tahoma"/>
      <w:noProof/>
    </w:rPr>
  </w:style>
  <w:style w:type="character" w:customStyle="1" w:styleId="ReferencesChar">
    <w:name w:val="References Char"/>
    <w:basedOn w:val="DefaultParagraphFont"/>
    <w:link w:val="References"/>
    <w:rsid w:val="002706BF"/>
    <w:rPr>
      <w:rFonts w:ascii="Calibri" w:hAnsi="Calibri" w:cs="Tahoma"/>
      <w:sz w:val="22"/>
      <w:szCs w:val="22"/>
    </w:rPr>
  </w:style>
  <w:style w:type="character" w:customStyle="1" w:styleId="EndNoteBibliographyTitleChar">
    <w:name w:val="EndNote Bibliography Title Char"/>
    <w:basedOn w:val="ReferencesChar"/>
    <w:link w:val="EndNoteBibliographyTitle"/>
    <w:rsid w:val="002706BF"/>
    <w:rPr>
      <w:rFonts w:ascii="Tahoma" w:hAnsi="Tahoma" w:cs="Tahoma"/>
      <w:noProof/>
      <w:sz w:val="22"/>
      <w:szCs w:val="22"/>
    </w:rPr>
  </w:style>
  <w:style w:type="paragraph" w:customStyle="1" w:styleId="EndNoteBibliography">
    <w:name w:val="EndNote Bibliography"/>
    <w:basedOn w:val="Normal"/>
    <w:link w:val="EndNoteBibliographyChar"/>
    <w:rsid w:val="002706BF"/>
    <w:pPr>
      <w:spacing w:line="240" w:lineRule="auto"/>
    </w:pPr>
    <w:rPr>
      <w:rFonts w:ascii="Tahoma" w:hAnsi="Tahoma"/>
      <w:noProof/>
    </w:rPr>
  </w:style>
  <w:style w:type="character" w:customStyle="1" w:styleId="EndNoteBibliographyChar">
    <w:name w:val="EndNote Bibliography Char"/>
    <w:basedOn w:val="ReferencesChar"/>
    <w:link w:val="EndNoteBibliography"/>
    <w:rsid w:val="002706BF"/>
    <w:rPr>
      <w:rFonts w:ascii="Tahoma" w:hAnsi="Tahoma" w:cs="Tahoma"/>
      <w:noProof/>
      <w:sz w:val="22"/>
      <w:szCs w:val="22"/>
    </w:rPr>
  </w:style>
  <w:style w:type="paragraph" w:styleId="NoSpacing">
    <w:name w:val="No Spacing"/>
    <w:link w:val="NoSpacingChar"/>
    <w:uiPriority w:val="1"/>
    <w:qFormat/>
    <w:rsid w:val="002706BF"/>
    <w:rPr>
      <w:rFonts w:ascii="Calibri" w:hAnsi="Calibri"/>
      <w:sz w:val="22"/>
      <w:szCs w:val="22"/>
      <w:lang w:val="en-US" w:eastAsia="en-US"/>
    </w:rPr>
  </w:style>
  <w:style w:type="character" w:customStyle="1" w:styleId="NoSpacingChar">
    <w:name w:val="No Spacing Char"/>
    <w:basedOn w:val="DefaultParagraphFont"/>
    <w:link w:val="NoSpacing"/>
    <w:uiPriority w:val="1"/>
    <w:locked/>
    <w:rsid w:val="002706BF"/>
    <w:rPr>
      <w:rFonts w:ascii="Calibri" w:hAnsi="Calibri"/>
      <w:sz w:val="22"/>
      <w:szCs w:val="22"/>
      <w:lang w:val="en-US" w:eastAsia="en-US"/>
    </w:rPr>
  </w:style>
  <w:style w:type="character" w:customStyle="1" w:styleId="SourceChar1">
    <w:name w:val="Source Char1"/>
    <w:basedOn w:val="DefaultParagraphFont"/>
    <w:uiPriority w:val="99"/>
    <w:rsid w:val="002706BF"/>
    <w:rPr>
      <w:rFonts w:eastAsia="SimSun" w:cs="Times New Roman"/>
      <w:sz w:val="18"/>
      <w:szCs w:val="18"/>
      <w:lang w:val="en-AU" w:eastAsia="en-US" w:bidi="ar-SA"/>
    </w:rPr>
  </w:style>
  <w:style w:type="character" w:customStyle="1" w:styleId="A10">
    <w:name w:val="A10"/>
    <w:uiPriority w:val="99"/>
    <w:rsid w:val="002706BF"/>
    <w:rPr>
      <w:rFonts w:cs="HelveticaNeueLT Std"/>
      <w:color w:val="6C6E70"/>
      <w:sz w:val="17"/>
      <w:szCs w:val="17"/>
    </w:rPr>
  </w:style>
  <w:style w:type="character" w:customStyle="1" w:styleId="label">
    <w:name w:val="label"/>
    <w:basedOn w:val="DefaultParagraphFont"/>
    <w:rsid w:val="00A31FF1"/>
  </w:style>
  <w:style w:type="character" w:customStyle="1" w:styleId="quality-sign">
    <w:name w:val="quality-sign"/>
    <w:basedOn w:val="DefaultParagraphFont"/>
    <w:rsid w:val="00A31FF1"/>
  </w:style>
  <w:style w:type="character" w:customStyle="1" w:styleId="comma">
    <w:name w:val="comma"/>
    <w:basedOn w:val="DefaultParagraphFont"/>
    <w:rsid w:val="00A31FF1"/>
  </w:style>
  <w:style w:type="character" w:customStyle="1" w:styleId="short-name">
    <w:name w:val="short-name"/>
    <w:basedOn w:val="DefaultParagraphFont"/>
    <w:rsid w:val="00F5254C"/>
  </w:style>
  <w:style w:type="character" w:customStyle="1" w:styleId="tgc">
    <w:name w:val="_tgc"/>
    <w:basedOn w:val="DefaultParagraphFont"/>
    <w:rsid w:val="00957D0E"/>
  </w:style>
  <w:style w:type="character" w:styleId="EndnoteReference">
    <w:name w:val="endnote reference"/>
    <w:basedOn w:val="DefaultParagraphFont"/>
    <w:semiHidden/>
    <w:unhideWhenUsed/>
    <w:rsid w:val="0055231A"/>
    <w:rPr>
      <w:vertAlign w:val="superscript"/>
    </w:rPr>
  </w:style>
  <w:style w:type="paragraph" w:customStyle="1" w:styleId="Tableheading1">
    <w:name w:val="Table heading"/>
    <w:basedOn w:val="Normal"/>
    <w:link w:val="TableheadingChar0"/>
    <w:qFormat/>
    <w:rsid w:val="00690358"/>
    <w:pPr>
      <w:tabs>
        <w:tab w:val="left" w:pos="2835"/>
      </w:tabs>
      <w:spacing w:before="40" w:after="0" w:line="276" w:lineRule="auto"/>
      <w:ind w:left="6"/>
      <w:jc w:val="left"/>
    </w:pPr>
    <w:rPr>
      <w:rFonts w:ascii="Arial Narrow" w:eastAsia="SimSun" w:hAnsi="Arial Narrow"/>
      <w:b/>
      <w:sz w:val="20"/>
      <w:szCs w:val="18"/>
      <w:lang w:val="en-US" w:eastAsia="zh-CN"/>
    </w:rPr>
  </w:style>
  <w:style w:type="character" w:customStyle="1" w:styleId="TableheadingChar0">
    <w:name w:val="Table heading Char"/>
    <w:basedOn w:val="DefaultParagraphFont"/>
    <w:link w:val="Tableheading1"/>
    <w:rsid w:val="00690358"/>
    <w:rPr>
      <w:rFonts w:ascii="Arial Narrow" w:eastAsia="SimSun" w:hAnsi="Arial Narrow" w:cs="Tahoma"/>
      <w:b/>
      <w:szCs w:val="18"/>
      <w:lang w:val="en-US" w:eastAsia="zh-CN"/>
    </w:rPr>
  </w:style>
  <w:style w:type="paragraph" w:customStyle="1" w:styleId="Tablecontents">
    <w:name w:val="Table contents"/>
    <w:basedOn w:val="Normal"/>
    <w:link w:val="TablecontentsChar"/>
    <w:qFormat/>
    <w:rsid w:val="00F87EE4"/>
    <w:pPr>
      <w:spacing w:before="120" w:after="0" w:line="276" w:lineRule="auto"/>
    </w:pPr>
    <w:rPr>
      <w:rFonts w:ascii="Arial Narrow" w:eastAsia="MS Mincho" w:hAnsi="Arial Narrow" w:cs="Calibri"/>
      <w:sz w:val="18"/>
      <w:szCs w:val="18"/>
      <w:lang w:eastAsia="zh-CN"/>
    </w:rPr>
  </w:style>
  <w:style w:type="character" w:customStyle="1" w:styleId="TablecontentsChar">
    <w:name w:val="Table contents Char"/>
    <w:basedOn w:val="DefaultParagraphFont"/>
    <w:link w:val="Tablecontents"/>
    <w:rsid w:val="00F87EE4"/>
    <w:rPr>
      <w:rFonts w:ascii="Arial Narrow" w:eastAsia="MS Mincho" w:hAnsi="Arial Narrow" w:cs="Calibri"/>
      <w:sz w:val="18"/>
      <w:szCs w:val="18"/>
      <w:lang w:eastAsia="zh-CN"/>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uiPriority w:val="35"/>
    <w:rsid w:val="00CE5C05"/>
    <w:rPr>
      <w:rFonts w:ascii="Arial Narrow" w:hAnsi="Arial Narrow" w:cs="Tahoma"/>
      <w:b/>
      <w:bCs/>
      <w:szCs w:val="22"/>
    </w:rPr>
  </w:style>
  <w:style w:type="paragraph" w:customStyle="1" w:styleId="tabletext2">
    <w:name w:val="table text"/>
    <w:basedOn w:val="Normal"/>
    <w:rsid w:val="00F87EE4"/>
    <w:pPr>
      <w:spacing w:after="0" w:line="240" w:lineRule="auto"/>
    </w:pPr>
    <w:rPr>
      <w:rFonts w:asciiTheme="minorHAnsi" w:eastAsiaTheme="minorHAnsi" w:hAnsiTheme="minorHAnsi" w:cstheme="minorBidi"/>
      <w:sz w:val="20"/>
      <w:lang w:eastAsia="en-US"/>
    </w:rPr>
  </w:style>
  <w:style w:type="paragraph" w:customStyle="1" w:styleId="TableFooter">
    <w:name w:val="Table Footer"/>
    <w:basedOn w:val="Normal"/>
    <w:qFormat/>
    <w:rsid w:val="00F87EE4"/>
    <w:pPr>
      <w:widowControl w:val="0"/>
      <w:spacing w:after="0" w:line="240" w:lineRule="auto"/>
    </w:pPr>
    <w:rPr>
      <w:rFonts w:ascii="Arial Narrow" w:hAnsi="Arial Narrow" w:cs="Arial"/>
      <w:snapToGrid w:val="0"/>
      <w:sz w:val="18"/>
      <w:szCs w:val="20"/>
      <w:lang w:eastAsia="en-US"/>
    </w:rPr>
  </w:style>
  <w:style w:type="paragraph" w:customStyle="1" w:styleId="TableTextleft">
    <w:name w:val="Table Text left"/>
    <w:basedOn w:val="Normal"/>
    <w:rsid w:val="00F87EE4"/>
    <w:pPr>
      <w:spacing w:after="0" w:line="240" w:lineRule="auto"/>
    </w:pPr>
    <w:rPr>
      <w:rFonts w:ascii="Arial" w:hAnsi="Arial" w:cs="Arial"/>
      <w:sz w:val="18"/>
      <w:szCs w:val="18"/>
    </w:rPr>
  </w:style>
  <w:style w:type="character" w:customStyle="1" w:styleId="st">
    <w:name w:val="st"/>
    <w:basedOn w:val="DefaultParagraphFont"/>
    <w:rsid w:val="008063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922135"/>
    <w:pPr>
      <w:spacing w:after="240" w:line="312" w:lineRule="auto"/>
      <w:jc w:val="both"/>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F5251C"/>
    <w:pPr>
      <w:numPr>
        <w:numId w:val="0"/>
      </w:numPr>
      <w:outlineLvl w:val="3"/>
    </w:pPr>
    <w:rPr>
      <w:smallCaps w:val="0"/>
      <w:sz w:val="22"/>
    </w:rPr>
  </w:style>
  <w:style w:type="paragraph" w:styleId="Heading5">
    <w:name w:val="heading 5"/>
    <w:basedOn w:val="Normal"/>
    <w:next w:val="Normal"/>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semiHidden/>
    <w:rsid w:val="00574BF8"/>
    <w:rPr>
      <w:vertAlign w:val="superscript"/>
    </w:rPr>
  </w:style>
  <w:style w:type="paragraph" w:styleId="FootnoteText">
    <w:name w:val="footnote text"/>
    <w:basedOn w:val="Normal"/>
    <w:link w:val="FootnoteTextChar"/>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link w:val="ReferencesChar"/>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uiPriority w:val="99"/>
    <w:qFormat/>
    <w:rsid w:val="002064E4"/>
    <w:pPr>
      <w:spacing w:line="240" w:lineRule="auto"/>
      <w:ind w:left="57"/>
      <w:jc w:val="left"/>
    </w:pPr>
    <w:rPr>
      <w:b/>
      <w:sz w:val="20"/>
      <w:szCs w:val="20"/>
    </w:rPr>
  </w:style>
  <w:style w:type="character" w:customStyle="1" w:styleId="TableHeadingChar">
    <w:name w:val="TableHeading Char"/>
    <w:link w:val="TableHeading"/>
    <w:uiPriority w:val="99"/>
    <w:rsid w:val="002064E4"/>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qFormat/>
    <w:rsid w:val="00955C58"/>
    <w:pPr>
      <w:keepNext w:val="0"/>
      <w:keepLines/>
      <w:spacing w:before="0" w:after="360"/>
      <w:contextualSpacing/>
      <w:jc w:val="left"/>
    </w:pPr>
  </w:style>
  <w:style w:type="character" w:customStyle="1" w:styleId="TableNotesChar">
    <w:name w:val="TableNotes Char"/>
    <w:link w:val="TableNotes"/>
    <w:rsid w:val="00955C58"/>
    <w:rPr>
      <w:rFonts w:ascii="Arial Narrow" w:hAnsi="Arial Narrow" w:cs="Tahoma"/>
      <w:sz w:val="18"/>
      <w:szCs w:val="22"/>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link w:val="CaptionChar"/>
    <w:uiPriority w:val="35"/>
    <w:qFormat/>
    <w:rsid w:val="00CE5C05"/>
    <w:pPr>
      <w:keepNext/>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aliases w:val="Table Gridbeth"/>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8414C"/>
    <w:pPr>
      <w:keepNext/>
      <w:spacing w:before="40" w:after="40" w:line="240" w:lineRule="auto"/>
      <w:ind w:left="57"/>
    </w:pPr>
    <w:rPr>
      <w:rFonts w:ascii="Arial Narrow" w:hAnsi="Arial Narrow"/>
      <w:sz w:val="20"/>
      <w:lang w:eastAsia="en-US"/>
    </w:rPr>
  </w:style>
  <w:style w:type="character" w:customStyle="1" w:styleId="TableTextChar0">
    <w:name w:val="Table Text Char"/>
    <w:link w:val="TableText0"/>
    <w:rsid w:val="00D8414C"/>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uiPriority w:val="34"/>
    <w:qFormat/>
    <w:rsid w:val="006F7245"/>
    <w:pPr>
      <w:numPr>
        <w:numId w:val="20"/>
      </w:numPr>
      <w:contextualSpacing/>
    </w:pPr>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593CC5"/>
    <w:pPr>
      <w:spacing w:before="40" w:after="40" w:line="240" w:lineRule="auto"/>
      <w:ind w:left="57" w:right="57"/>
      <w:jc w:val="left"/>
    </w:pPr>
    <w:rPr>
      <w:rFonts w:ascii="Arial Narrow" w:hAnsi="Arial Narrow"/>
      <w:sz w:val="20"/>
      <w:szCs w:val="20"/>
    </w:rPr>
  </w:style>
  <w:style w:type="character" w:customStyle="1" w:styleId="TabletextChar1">
    <w:name w:val="Table text Char"/>
    <w:link w:val="Tabletext1"/>
    <w:rsid w:val="00593CC5"/>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semiHidden/>
    <w:rsid w:val="004D6547"/>
    <w:rPr>
      <w:rFonts w:ascii="Tahoma" w:hAnsi="Tahoma" w:cs="Tahoma"/>
      <w:szCs w:val="22"/>
    </w:rPr>
  </w:style>
  <w:style w:type="character" w:customStyle="1" w:styleId="BalloonTextChar">
    <w:name w:val="Balloon Text Char"/>
    <w:basedOn w:val="DefaultParagraphFont"/>
    <w:link w:val="BalloonText"/>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qFormat/>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F5251C"/>
    <w:rPr>
      <w:rFonts w:ascii="Calibri" w:hAnsi="Calibri" w:cs="Tahoma"/>
      <w:b/>
      <w:sz w:val="22"/>
      <w:szCs w:val="24"/>
    </w:rPr>
  </w:style>
  <w:style w:type="paragraph" w:customStyle="1" w:styleId="ESSectionHeading-numbered0">
    <w:name w:val="ES. Section Heading - numbered"/>
    <w:basedOn w:val="Heading3"/>
    <w:link w:val="ESSectionHeading-numberedChar"/>
    <w:rsid w:val="00AE1CBE"/>
    <w:pPr>
      <w:numPr>
        <w:numId w:val="6"/>
      </w:numPr>
    </w:pPr>
  </w:style>
  <w:style w:type="paragraph" w:customStyle="1" w:styleId="MainBodySectionHeading-numbered">
    <w:name w:val="Main Body Section Heading - numbered"/>
    <w:basedOn w:val="Heading2"/>
    <w:link w:val="MainBodySectionHeading-numberedChar"/>
    <w:rsid w:val="00B313E2"/>
    <w:pPr>
      <w:numPr>
        <w:numId w:val="4"/>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rsid w:val="00D957AB"/>
    <w:pPr>
      <w:numPr>
        <w:numId w:val="5"/>
      </w:numPr>
    </w:pPr>
  </w:style>
  <w:style w:type="paragraph" w:customStyle="1" w:styleId="ESNumberedSectionHeading">
    <w:name w:val="ES Numbered Section Heading"/>
    <w:basedOn w:val="ESSectionHeading-numbered0"/>
    <w:link w:val="ESNumberedSectionHeadingChar"/>
    <w:qFormat/>
    <w:rsid w:val="00F5251C"/>
    <w:pPr>
      <w:numPr>
        <w:numId w:val="0"/>
      </w:numPr>
      <w:ind w:left="360" w:hanging="360"/>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rsid w:val="00AD4368"/>
    <w:pPr>
      <w:widowControl w:val="0"/>
      <w:spacing w:after="120" w:line="240" w:lineRule="auto"/>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AD4368"/>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character" w:customStyle="1" w:styleId="TabletextChar10">
    <w:name w:val="Table text Char1"/>
    <w:basedOn w:val="DefaultParagraphFont"/>
    <w:rsid w:val="00913D35"/>
    <w:rPr>
      <w:rFonts w:ascii="Arial" w:eastAsia="Times New Roman" w:hAnsi="Arial" w:cs="Times New Roman"/>
      <w:sz w:val="20"/>
      <w:szCs w:val="20"/>
      <w:lang w:eastAsia="en-US"/>
    </w:rPr>
  </w:style>
  <w:style w:type="paragraph" w:customStyle="1" w:styleId="BoxName0">
    <w:name w:val="BoxName"/>
    <w:basedOn w:val="Normal"/>
    <w:rsid w:val="005A35FF"/>
    <w:pPr>
      <w:keepNext/>
      <w:pBdr>
        <w:top w:val="single" w:sz="4" w:space="4" w:color="000000"/>
        <w:left w:val="single" w:sz="4" w:space="4" w:color="000000"/>
        <w:bottom w:val="single" w:sz="4" w:space="4" w:color="000000"/>
        <w:right w:val="single" w:sz="4" w:space="4" w:color="000000"/>
      </w:pBdr>
      <w:spacing w:before="180" w:after="120" w:line="240" w:lineRule="auto"/>
      <w:ind w:left="1886" w:right="58" w:hanging="1080"/>
    </w:pPr>
    <w:rPr>
      <w:rFonts w:ascii="Arial Narrow" w:hAnsi="Arial Narrow" w:cs="Times New Roman"/>
      <w:b/>
      <w:bCs/>
      <w:color w:val="000000"/>
      <w:szCs w:val="20"/>
    </w:rPr>
  </w:style>
  <w:style w:type="character" w:styleId="IntenseReference">
    <w:name w:val="Intense Reference"/>
    <w:uiPriority w:val="32"/>
    <w:qFormat/>
    <w:rsid w:val="0006454A"/>
    <w:rPr>
      <w:b/>
      <w:bCs/>
      <w:smallCaps/>
    </w:rPr>
  </w:style>
  <w:style w:type="paragraph" w:customStyle="1" w:styleId="EndNoteBibliographyTitle">
    <w:name w:val="EndNote Bibliography Title"/>
    <w:basedOn w:val="Normal"/>
    <w:link w:val="EndNoteBibliographyTitleChar"/>
    <w:rsid w:val="002706BF"/>
    <w:pPr>
      <w:spacing w:after="0"/>
      <w:jc w:val="center"/>
    </w:pPr>
    <w:rPr>
      <w:rFonts w:ascii="Tahoma" w:hAnsi="Tahoma"/>
      <w:noProof/>
    </w:rPr>
  </w:style>
  <w:style w:type="character" w:customStyle="1" w:styleId="ReferencesChar">
    <w:name w:val="References Char"/>
    <w:basedOn w:val="DefaultParagraphFont"/>
    <w:link w:val="References"/>
    <w:rsid w:val="002706BF"/>
    <w:rPr>
      <w:rFonts w:ascii="Calibri" w:hAnsi="Calibri" w:cs="Tahoma"/>
      <w:sz w:val="22"/>
      <w:szCs w:val="22"/>
    </w:rPr>
  </w:style>
  <w:style w:type="character" w:customStyle="1" w:styleId="EndNoteBibliographyTitleChar">
    <w:name w:val="EndNote Bibliography Title Char"/>
    <w:basedOn w:val="ReferencesChar"/>
    <w:link w:val="EndNoteBibliographyTitle"/>
    <w:rsid w:val="002706BF"/>
    <w:rPr>
      <w:rFonts w:ascii="Tahoma" w:hAnsi="Tahoma" w:cs="Tahoma"/>
      <w:noProof/>
      <w:sz w:val="22"/>
      <w:szCs w:val="22"/>
    </w:rPr>
  </w:style>
  <w:style w:type="paragraph" w:customStyle="1" w:styleId="EndNoteBibliography">
    <w:name w:val="EndNote Bibliography"/>
    <w:basedOn w:val="Normal"/>
    <w:link w:val="EndNoteBibliographyChar"/>
    <w:rsid w:val="002706BF"/>
    <w:pPr>
      <w:spacing w:line="240" w:lineRule="auto"/>
    </w:pPr>
    <w:rPr>
      <w:rFonts w:ascii="Tahoma" w:hAnsi="Tahoma"/>
      <w:noProof/>
    </w:rPr>
  </w:style>
  <w:style w:type="character" w:customStyle="1" w:styleId="EndNoteBibliographyChar">
    <w:name w:val="EndNote Bibliography Char"/>
    <w:basedOn w:val="ReferencesChar"/>
    <w:link w:val="EndNoteBibliography"/>
    <w:rsid w:val="002706BF"/>
    <w:rPr>
      <w:rFonts w:ascii="Tahoma" w:hAnsi="Tahoma" w:cs="Tahoma"/>
      <w:noProof/>
      <w:sz w:val="22"/>
      <w:szCs w:val="22"/>
    </w:rPr>
  </w:style>
  <w:style w:type="paragraph" w:styleId="NoSpacing">
    <w:name w:val="No Spacing"/>
    <w:link w:val="NoSpacingChar"/>
    <w:uiPriority w:val="1"/>
    <w:qFormat/>
    <w:rsid w:val="002706BF"/>
    <w:rPr>
      <w:rFonts w:ascii="Calibri" w:hAnsi="Calibri"/>
      <w:sz w:val="22"/>
      <w:szCs w:val="22"/>
      <w:lang w:val="en-US" w:eastAsia="en-US"/>
    </w:rPr>
  </w:style>
  <w:style w:type="character" w:customStyle="1" w:styleId="NoSpacingChar">
    <w:name w:val="No Spacing Char"/>
    <w:basedOn w:val="DefaultParagraphFont"/>
    <w:link w:val="NoSpacing"/>
    <w:uiPriority w:val="1"/>
    <w:locked/>
    <w:rsid w:val="002706BF"/>
    <w:rPr>
      <w:rFonts w:ascii="Calibri" w:hAnsi="Calibri"/>
      <w:sz w:val="22"/>
      <w:szCs w:val="22"/>
      <w:lang w:val="en-US" w:eastAsia="en-US"/>
    </w:rPr>
  </w:style>
  <w:style w:type="character" w:customStyle="1" w:styleId="SourceChar1">
    <w:name w:val="Source Char1"/>
    <w:basedOn w:val="DefaultParagraphFont"/>
    <w:uiPriority w:val="99"/>
    <w:rsid w:val="002706BF"/>
    <w:rPr>
      <w:rFonts w:eastAsia="SimSun" w:cs="Times New Roman"/>
      <w:sz w:val="18"/>
      <w:szCs w:val="18"/>
      <w:lang w:val="en-AU" w:eastAsia="en-US" w:bidi="ar-SA"/>
    </w:rPr>
  </w:style>
  <w:style w:type="character" w:customStyle="1" w:styleId="A10">
    <w:name w:val="A10"/>
    <w:uiPriority w:val="99"/>
    <w:rsid w:val="002706BF"/>
    <w:rPr>
      <w:rFonts w:cs="HelveticaNeueLT Std"/>
      <w:color w:val="6C6E70"/>
      <w:sz w:val="17"/>
      <w:szCs w:val="17"/>
    </w:rPr>
  </w:style>
  <w:style w:type="character" w:customStyle="1" w:styleId="label">
    <w:name w:val="label"/>
    <w:basedOn w:val="DefaultParagraphFont"/>
    <w:rsid w:val="00A31FF1"/>
  </w:style>
  <w:style w:type="character" w:customStyle="1" w:styleId="quality-sign">
    <w:name w:val="quality-sign"/>
    <w:basedOn w:val="DefaultParagraphFont"/>
    <w:rsid w:val="00A31FF1"/>
  </w:style>
  <w:style w:type="character" w:customStyle="1" w:styleId="comma">
    <w:name w:val="comma"/>
    <w:basedOn w:val="DefaultParagraphFont"/>
    <w:rsid w:val="00A31FF1"/>
  </w:style>
  <w:style w:type="character" w:customStyle="1" w:styleId="short-name">
    <w:name w:val="short-name"/>
    <w:basedOn w:val="DefaultParagraphFont"/>
    <w:rsid w:val="00F5254C"/>
  </w:style>
  <w:style w:type="character" w:customStyle="1" w:styleId="tgc">
    <w:name w:val="_tgc"/>
    <w:basedOn w:val="DefaultParagraphFont"/>
    <w:rsid w:val="00957D0E"/>
  </w:style>
  <w:style w:type="character" w:styleId="EndnoteReference">
    <w:name w:val="endnote reference"/>
    <w:basedOn w:val="DefaultParagraphFont"/>
    <w:semiHidden/>
    <w:unhideWhenUsed/>
    <w:rsid w:val="0055231A"/>
    <w:rPr>
      <w:vertAlign w:val="superscript"/>
    </w:rPr>
  </w:style>
  <w:style w:type="paragraph" w:customStyle="1" w:styleId="Tableheading1">
    <w:name w:val="Table heading"/>
    <w:basedOn w:val="Normal"/>
    <w:link w:val="TableheadingChar0"/>
    <w:qFormat/>
    <w:rsid w:val="00690358"/>
    <w:pPr>
      <w:tabs>
        <w:tab w:val="left" w:pos="2835"/>
      </w:tabs>
      <w:spacing w:before="40" w:after="0" w:line="276" w:lineRule="auto"/>
      <w:ind w:left="6"/>
      <w:jc w:val="left"/>
    </w:pPr>
    <w:rPr>
      <w:rFonts w:ascii="Arial Narrow" w:eastAsia="SimSun" w:hAnsi="Arial Narrow"/>
      <w:b/>
      <w:sz w:val="20"/>
      <w:szCs w:val="18"/>
      <w:lang w:val="en-US" w:eastAsia="zh-CN"/>
    </w:rPr>
  </w:style>
  <w:style w:type="character" w:customStyle="1" w:styleId="TableheadingChar0">
    <w:name w:val="Table heading Char"/>
    <w:basedOn w:val="DefaultParagraphFont"/>
    <w:link w:val="Tableheading1"/>
    <w:rsid w:val="00690358"/>
    <w:rPr>
      <w:rFonts w:ascii="Arial Narrow" w:eastAsia="SimSun" w:hAnsi="Arial Narrow" w:cs="Tahoma"/>
      <w:b/>
      <w:szCs w:val="18"/>
      <w:lang w:val="en-US" w:eastAsia="zh-CN"/>
    </w:rPr>
  </w:style>
  <w:style w:type="paragraph" w:customStyle="1" w:styleId="Tablecontents">
    <w:name w:val="Table contents"/>
    <w:basedOn w:val="Normal"/>
    <w:link w:val="TablecontentsChar"/>
    <w:qFormat/>
    <w:rsid w:val="00F87EE4"/>
    <w:pPr>
      <w:spacing w:before="120" w:after="0" w:line="276" w:lineRule="auto"/>
    </w:pPr>
    <w:rPr>
      <w:rFonts w:ascii="Arial Narrow" w:eastAsia="MS Mincho" w:hAnsi="Arial Narrow" w:cs="Calibri"/>
      <w:sz w:val="18"/>
      <w:szCs w:val="18"/>
      <w:lang w:eastAsia="zh-CN"/>
    </w:rPr>
  </w:style>
  <w:style w:type="character" w:customStyle="1" w:styleId="TablecontentsChar">
    <w:name w:val="Table contents Char"/>
    <w:basedOn w:val="DefaultParagraphFont"/>
    <w:link w:val="Tablecontents"/>
    <w:rsid w:val="00F87EE4"/>
    <w:rPr>
      <w:rFonts w:ascii="Arial Narrow" w:eastAsia="MS Mincho" w:hAnsi="Arial Narrow" w:cs="Calibri"/>
      <w:sz w:val="18"/>
      <w:szCs w:val="18"/>
      <w:lang w:eastAsia="zh-CN"/>
    </w:rPr>
  </w:style>
  <w:style w:type="character" w:customStyle="1" w:styleId="CaptionChar">
    <w:name w:val="Caption Char"/>
    <w:aliases w:val="Table and Figure Name Char,Table and Figure name Char,Caption Char2 Char Char,Caption Char Char Char2 Char,Caption Char1 Char Char Char1 Char,Caption Char2 Char Char Char1 Char1 Char,Caption Char Char1 Char Char Char1 Char1 Char"/>
    <w:basedOn w:val="DefaultParagraphFont"/>
    <w:link w:val="Caption"/>
    <w:uiPriority w:val="35"/>
    <w:rsid w:val="00CE5C05"/>
    <w:rPr>
      <w:rFonts w:ascii="Arial Narrow" w:hAnsi="Arial Narrow" w:cs="Tahoma"/>
      <w:b/>
      <w:bCs/>
      <w:szCs w:val="22"/>
    </w:rPr>
  </w:style>
  <w:style w:type="paragraph" w:customStyle="1" w:styleId="tabletext2">
    <w:name w:val="table text"/>
    <w:basedOn w:val="Normal"/>
    <w:rsid w:val="00F87EE4"/>
    <w:pPr>
      <w:spacing w:after="0" w:line="240" w:lineRule="auto"/>
    </w:pPr>
    <w:rPr>
      <w:rFonts w:asciiTheme="minorHAnsi" w:eastAsiaTheme="minorHAnsi" w:hAnsiTheme="minorHAnsi" w:cstheme="minorBidi"/>
      <w:sz w:val="20"/>
      <w:lang w:eastAsia="en-US"/>
    </w:rPr>
  </w:style>
  <w:style w:type="paragraph" w:customStyle="1" w:styleId="TableFooter">
    <w:name w:val="Table Footer"/>
    <w:basedOn w:val="Normal"/>
    <w:qFormat/>
    <w:rsid w:val="00F87EE4"/>
    <w:pPr>
      <w:widowControl w:val="0"/>
      <w:spacing w:after="0" w:line="240" w:lineRule="auto"/>
    </w:pPr>
    <w:rPr>
      <w:rFonts w:ascii="Arial Narrow" w:hAnsi="Arial Narrow" w:cs="Arial"/>
      <w:snapToGrid w:val="0"/>
      <w:sz w:val="18"/>
      <w:szCs w:val="20"/>
      <w:lang w:eastAsia="en-US"/>
    </w:rPr>
  </w:style>
  <w:style w:type="paragraph" w:customStyle="1" w:styleId="TableTextleft">
    <w:name w:val="Table Text left"/>
    <w:basedOn w:val="Normal"/>
    <w:rsid w:val="00F87EE4"/>
    <w:pPr>
      <w:spacing w:after="0" w:line="240" w:lineRule="auto"/>
    </w:pPr>
    <w:rPr>
      <w:rFonts w:ascii="Arial" w:hAnsi="Arial" w:cs="Arial"/>
      <w:sz w:val="18"/>
      <w:szCs w:val="18"/>
    </w:rPr>
  </w:style>
  <w:style w:type="character" w:customStyle="1" w:styleId="st">
    <w:name w:val="st"/>
    <w:basedOn w:val="DefaultParagraphFont"/>
    <w:rsid w:val="00806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77761080">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3559477">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09291990">
      <w:bodyDiv w:val="1"/>
      <w:marLeft w:val="0"/>
      <w:marRight w:val="0"/>
      <w:marTop w:val="0"/>
      <w:marBottom w:val="0"/>
      <w:divBdr>
        <w:top w:val="none" w:sz="0" w:space="0" w:color="auto"/>
        <w:left w:val="none" w:sz="0" w:space="0" w:color="auto"/>
        <w:bottom w:val="none" w:sz="0" w:space="0" w:color="auto"/>
        <w:right w:val="none" w:sz="0" w:space="0" w:color="auto"/>
      </w:divBdr>
    </w:div>
    <w:div w:id="509416028">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54610221">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15093741">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107196915">
      <w:bodyDiv w:val="1"/>
      <w:marLeft w:val="0"/>
      <w:marRight w:val="0"/>
      <w:marTop w:val="0"/>
      <w:marBottom w:val="0"/>
      <w:divBdr>
        <w:top w:val="none" w:sz="0" w:space="0" w:color="auto"/>
        <w:left w:val="none" w:sz="0" w:space="0" w:color="auto"/>
        <w:bottom w:val="none" w:sz="0" w:space="0" w:color="auto"/>
        <w:right w:val="none" w:sz="0" w:space="0" w:color="auto"/>
      </w:divBdr>
      <w:divsChild>
        <w:div w:id="1555002781">
          <w:marLeft w:val="0"/>
          <w:marRight w:val="1"/>
          <w:marTop w:val="0"/>
          <w:marBottom w:val="0"/>
          <w:divBdr>
            <w:top w:val="none" w:sz="0" w:space="0" w:color="auto"/>
            <w:left w:val="none" w:sz="0" w:space="0" w:color="auto"/>
            <w:bottom w:val="none" w:sz="0" w:space="0" w:color="auto"/>
            <w:right w:val="none" w:sz="0" w:space="0" w:color="auto"/>
          </w:divBdr>
          <w:divsChild>
            <w:div w:id="1001666926">
              <w:marLeft w:val="0"/>
              <w:marRight w:val="0"/>
              <w:marTop w:val="0"/>
              <w:marBottom w:val="0"/>
              <w:divBdr>
                <w:top w:val="none" w:sz="0" w:space="0" w:color="auto"/>
                <w:left w:val="none" w:sz="0" w:space="0" w:color="auto"/>
                <w:bottom w:val="none" w:sz="0" w:space="0" w:color="auto"/>
                <w:right w:val="none" w:sz="0" w:space="0" w:color="auto"/>
              </w:divBdr>
              <w:divsChild>
                <w:div w:id="1864006015">
                  <w:marLeft w:val="0"/>
                  <w:marRight w:val="1"/>
                  <w:marTop w:val="0"/>
                  <w:marBottom w:val="0"/>
                  <w:divBdr>
                    <w:top w:val="none" w:sz="0" w:space="0" w:color="auto"/>
                    <w:left w:val="none" w:sz="0" w:space="0" w:color="auto"/>
                    <w:bottom w:val="none" w:sz="0" w:space="0" w:color="auto"/>
                    <w:right w:val="none" w:sz="0" w:space="0" w:color="auto"/>
                  </w:divBdr>
                  <w:divsChild>
                    <w:div w:id="2061439567">
                      <w:marLeft w:val="0"/>
                      <w:marRight w:val="0"/>
                      <w:marTop w:val="0"/>
                      <w:marBottom w:val="0"/>
                      <w:divBdr>
                        <w:top w:val="none" w:sz="0" w:space="0" w:color="auto"/>
                        <w:left w:val="none" w:sz="0" w:space="0" w:color="auto"/>
                        <w:bottom w:val="none" w:sz="0" w:space="0" w:color="auto"/>
                        <w:right w:val="none" w:sz="0" w:space="0" w:color="auto"/>
                      </w:divBdr>
                      <w:divsChild>
                        <w:div w:id="789009680">
                          <w:marLeft w:val="0"/>
                          <w:marRight w:val="0"/>
                          <w:marTop w:val="0"/>
                          <w:marBottom w:val="0"/>
                          <w:divBdr>
                            <w:top w:val="none" w:sz="0" w:space="0" w:color="auto"/>
                            <w:left w:val="none" w:sz="0" w:space="0" w:color="auto"/>
                            <w:bottom w:val="none" w:sz="0" w:space="0" w:color="auto"/>
                            <w:right w:val="none" w:sz="0" w:space="0" w:color="auto"/>
                          </w:divBdr>
                          <w:divsChild>
                            <w:div w:id="97526848">
                              <w:marLeft w:val="0"/>
                              <w:marRight w:val="0"/>
                              <w:marTop w:val="120"/>
                              <w:marBottom w:val="360"/>
                              <w:divBdr>
                                <w:top w:val="none" w:sz="0" w:space="0" w:color="auto"/>
                                <w:left w:val="none" w:sz="0" w:space="0" w:color="auto"/>
                                <w:bottom w:val="none" w:sz="0" w:space="0" w:color="auto"/>
                                <w:right w:val="none" w:sz="0" w:space="0" w:color="auto"/>
                              </w:divBdr>
                              <w:divsChild>
                                <w:div w:id="1190796919">
                                  <w:marLeft w:val="0"/>
                                  <w:marRight w:val="0"/>
                                  <w:marTop w:val="0"/>
                                  <w:marBottom w:val="0"/>
                                  <w:divBdr>
                                    <w:top w:val="none" w:sz="0" w:space="0" w:color="auto"/>
                                    <w:left w:val="none" w:sz="0" w:space="0" w:color="auto"/>
                                    <w:bottom w:val="none" w:sz="0" w:space="0" w:color="auto"/>
                                    <w:right w:val="none" w:sz="0" w:space="0" w:color="auto"/>
                                  </w:divBdr>
                                </w:div>
                                <w:div w:id="151750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0294455">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86621722">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28329098">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49357381">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813062221">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05673576">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1973320566">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4.emf"/><Relationship Id="rId39" Type="http://schemas.openxmlformats.org/officeDocument/2006/relationships/header" Target="header13.xml"/><Relationship Id="rId21" Type="http://schemas.openxmlformats.org/officeDocument/2006/relationships/header" Target="header7.xml"/><Relationship Id="rId34" Type="http://schemas.openxmlformats.org/officeDocument/2006/relationships/image" Target="media/image8.tiff"/><Relationship Id="rId42" Type="http://schemas.openxmlformats.org/officeDocument/2006/relationships/hyperlink" Target="https://en.wikipedia.org/wiki/Gadolinium" TargetMode="External"/><Relationship Id="rId47" Type="http://schemas.openxmlformats.org/officeDocument/2006/relationships/header" Target="header16.xml"/><Relationship Id="rId50" Type="http://schemas.openxmlformats.org/officeDocument/2006/relationships/image" Target="media/image14.tiff"/><Relationship Id="rId55" Type="http://schemas.openxmlformats.org/officeDocument/2006/relationships/hyperlink" Target="http://www.acr.org/" TargetMode="External"/><Relationship Id="rId63" Type="http://schemas.openxmlformats.org/officeDocument/2006/relationships/hyperlink" Target="https://www.nhmrc.gov.au/_files_nhmrc/file/guidelines/developers/nhmrc_levels_grades_evidence_120423.pdf" TargetMode="External"/><Relationship Id="rId68"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oleObject" Target="embeddings/oleObject1.bin"/><Relationship Id="rId11" Type="http://schemas.openxmlformats.org/officeDocument/2006/relationships/hyperlink" Target="http://www.msac.gov.au/" TargetMode="External"/><Relationship Id="rId24" Type="http://schemas.openxmlformats.org/officeDocument/2006/relationships/image" Target="media/image2.emf"/><Relationship Id="rId32" Type="http://schemas.openxmlformats.org/officeDocument/2006/relationships/header" Target="header11.xml"/><Relationship Id="rId37" Type="http://schemas.openxmlformats.org/officeDocument/2006/relationships/oleObject" Target="embeddings/oleObject2.bin"/><Relationship Id="rId40" Type="http://schemas.openxmlformats.org/officeDocument/2006/relationships/header" Target="header14.xml"/><Relationship Id="rId45" Type="http://schemas.openxmlformats.org/officeDocument/2006/relationships/footer" Target="footer3.xml"/><Relationship Id="rId53" Type="http://schemas.openxmlformats.org/officeDocument/2006/relationships/image" Target="media/image17.emf"/><Relationship Id="rId58" Type="http://schemas.openxmlformats.org/officeDocument/2006/relationships/hyperlink" Target="http://pcr.registry.org.au/Home.aspx" TargetMode="External"/><Relationship Id="rId66" Type="http://schemas.openxmlformats.org/officeDocument/2006/relationships/header" Target="header18.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jpeg"/><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3.tiff"/><Relationship Id="rId57" Type="http://schemas.openxmlformats.org/officeDocument/2006/relationships/hyperlink" Target="http://www.sahmri.com/research/sa-prostate-cancer-clinical-outcomes-collaborative-sa-pccoc/www.sa-pccoc.com" TargetMode="External"/><Relationship Id="rId61" Type="http://schemas.openxmlformats.org/officeDocument/2006/relationships/hyperlink" Target="https://www.nhmrc.gov.au/_files_nhmrc/file/guidelines/developers/nhmrc_levels_grades_evidence_120423.pdf" TargetMode="External"/><Relationship Id="rId10" Type="http://schemas.openxmlformats.org/officeDocument/2006/relationships/hyperlink" Target="http://www.ag.gov.au/" TargetMode="External"/><Relationship Id="rId19" Type="http://schemas.openxmlformats.org/officeDocument/2006/relationships/header" Target="header5.xml"/><Relationship Id="rId31" Type="http://schemas.openxmlformats.org/officeDocument/2006/relationships/header" Target="header10.xml"/><Relationship Id="rId44" Type="http://schemas.openxmlformats.org/officeDocument/2006/relationships/oleObject" Target="embeddings/oleObject3.bin"/><Relationship Id="rId52" Type="http://schemas.openxmlformats.org/officeDocument/2006/relationships/image" Target="media/image16.tiff"/><Relationship Id="rId60" Type="http://schemas.openxmlformats.org/officeDocument/2006/relationships/hyperlink" Target="https://www.nhmrc.gov.au/_files_nhmrc/file/guidelines/developers/nhmrc_levels_grades_evidence_120423.pdf" TargetMode="External"/><Relationship Id="rId65" Type="http://schemas.openxmlformats.org/officeDocument/2006/relationships/header" Target="header17.xml"/><Relationship Id="rId73"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hyperlink" Target="http://www.msac.gov.au/" TargetMode="Externa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image" Target="media/image5.tiff"/><Relationship Id="rId30" Type="http://schemas.openxmlformats.org/officeDocument/2006/relationships/header" Target="header9.xml"/><Relationship Id="rId35" Type="http://schemas.openxmlformats.org/officeDocument/2006/relationships/image" Target="media/image9.tiff"/><Relationship Id="rId43" Type="http://schemas.openxmlformats.org/officeDocument/2006/relationships/image" Target="media/image12.emf"/><Relationship Id="rId48" Type="http://schemas.openxmlformats.org/officeDocument/2006/relationships/footer" Target="footer4.xml"/><Relationship Id="rId56" Type="http://schemas.openxmlformats.org/officeDocument/2006/relationships/hyperlink" Target="http://www.rsna.org/" TargetMode="External"/><Relationship Id="rId64" Type="http://schemas.openxmlformats.org/officeDocument/2006/relationships/hyperlink" Target="https://www.nhmrc.gov.au/_files_nhmrc/file/guidelines/developers/nhmrc_levels_grades_evidence_120423.pdf" TargetMode="External"/><Relationship Id="rId69" Type="http://schemas.openxmlformats.org/officeDocument/2006/relationships/image" Target="media/image18.png"/><Relationship Id="rId8" Type="http://schemas.openxmlformats.org/officeDocument/2006/relationships/endnotes" Target="endnotes.xml"/><Relationship Id="rId51" Type="http://schemas.openxmlformats.org/officeDocument/2006/relationships/image" Target="media/image15.tiff"/><Relationship Id="rId72"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yperlink" Target="mailto:hta@health.gov.au" TargetMode="External"/><Relationship Id="rId17" Type="http://schemas.openxmlformats.org/officeDocument/2006/relationships/footer" Target="footer1.xml"/><Relationship Id="rId25" Type="http://schemas.openxmlformats.org/officeDocument/2006/relationships/image" Target="media/image3.jpeg"/><Relationship Id="rId33" Type="http://schemas.openxmlformats.org/officeDocument/2006/relationships/image" Target="media/image7.tiff"/><Relationship Id="rId38" Type="http://schemas.openxmlformats.org/officeDocument/2006/relationships/header" Target="header12.xml"/><Relationship Id="rId46" Type="http://schemas.openxmlformats.org/officeDocument/2006/relationships/header" Target="header15.xml"/><Relationship Id="rId59" Type="http://schemas.openxmlformats.org/officeDocument/2006/relationships/footer" Target="footer5.xml"/><Relationship Id="rId67" Type="http://schemas.openxmlformats.org/officeDocument/2006/relationships/footer" Target="footer6.xml"/><Relationship Id="rId20" Type="http://schemas.openxmlformats.org/officeDocument/2006/relationships/header" Target="header6.xml"/><Relationship Id="rId41" Type="http://schemas.openxmlformats.org/officeDocument/2006/relationships/image" Target="media/image11.tiff"/><Relationship Id="rId54" Type="http://schemas.openxmlformats.org/officeDocument/2006/relationships/hyperlink" Target="http://www.ranzcr.edu.au/" TargetMode="External"/><Relationship Id="rId62" Type="http://schemas.openxmlformats.org/officeDocument/2006/relationships/hyperlink" Target="https://www.nhmrc.gov.au/_files_nhmrc/file/guidelines/developers/nhmrc_levels_grades_evidence_120423.pdf" TargetMode="External"/><Relationship Id="rId70" Type="http://schemas.openxmlformats.org/officeDocument/2006/relationships/image" Target="media/image1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R:\ASERNIP-S%20data\DHA\DHA%20CA%201397%20mpMRI%20prostate\Templates\MSAC_SBA_or_CA%20Report_Template_Investigative-accessible-March-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1AD08-423B-4913-B624-51722D399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MSAC_SBA_or_CA Report_Template_Investigative-accessible-March-2016.dotx</Template>
  <TotalTime>20</TotalTime>
  <Pages>270</Pages>
  <Words>81650</Words>
  <Characters>617029</Characters>
  <Application>Microsoft Office Word</Application>
  <DocSecurity>0</DocSecurity>
  <Lines>22852</Lines>
  <Paragraphs>14865</Paragraphs>
  <ScaleCrop>false</ScaleCrop>
  <HeadingPairs>
    <vt:vector size="2" baseType="variant">
      <vt:variant>
        <vt:lpstr>Title</vt:lpstr>
      </vt:variant>
      <vt:variant>
        <vt:i4>1</vt:i4>
      </vt:variant>
    </vt:vector>
  </HeadingPairs>
  <TitlesOfParts>
    <vt:vector size="1" baseType="lpstr">
      <vt:lpstr>MSAC Assessment Report Template</vt:lpstr>
    </vt:vector>
  </TitlesOfParts>
  <Company>DHA</Company>
  <LinksUpToDate>false</LinksUpToDate>
  <CharactersWithSpaces>683814</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Assessment Report Template</dc:title>
  <dc:creator>Joanna Duncan</dc:creator>
  <cp:lastModifiedBy>Hart Amanda</cp:lastModifiedBy>
  <cp:revision>3</cp:revision>
  <cp:lastPrinted>2016-09-01T08:05:00Z</cp:lastPrinted>
  <dcterms:created xsi:type="dcterms:W3CDTF">2018-03-22T00:04:00Z</dcterms:created>
  <dcterms:modified xsi:type="dcterms:W3CDTF">2018-03-22T00:22:00Z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