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05B33" w14:textId="77777777" w:rsidR="00F875B1" w:rsidRPr="00707064" w:rsidRDefault="00F875B1" w:rsidP="00F875B1">
      <w:pPr>
        <w:spacing w:after="240"/>
        <w:jc w:val="center"/>
        <w:rPr>
          <w:b/>
          <w:i/>
          <w:szCs w:val="24"/>
          <w:highlight w:val="yellow"/>
        </w:rPr>
      </w:pPr>
      <w:r>
        <w:rPr>
          <w:rFonts w:ascii="Arial" w:hAnsi="Arial" w:cs="Arial"/>
          <w:b/>
          <w:noProof/>
          <w:color w:val="000080"/>
          <w:sz w:val="28"/>
          <w:szCs w:val="28"/>
        </w:rPr>
        <w:drawing>
          <wp:inline distT="0" distB="0" distL="0" distR="0" wp14:anchorId="35C50F39" wp14:editId="63E5D5F8">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537801B" w14:textId="77777777" w:rsidR="00F875B1" w:rsidRPr="00F715D1" w:rsidRDefault="00F875B1" w:rsidP="00F875B1">
      <w:pPr>
        <w:pStyle w:val="Title"/>
        <w:tabs>
          <w:tab w:val="left" w:pos="1926"/>
          <w:tab w:val="center" w:pos="4513"/>
        </w:tabs>
        <w:jc w:val="left"/>
      </w:pPr>
      <w:r>
        <w:tab/>
      </w:r>
      <w:r>
        <w:tab/>
      </w:r>
      <w:r w:rsidRPr="00F715D1">
        <w:t>Public Summary Document</w:t>
      </w:r>
    </w:p>
    <w:p w14:paraId="5D3A57B6" w14:textId="77777777" w:rsidR="00F875B1" w:rsidRPr="00F715D1" w:rsidRDefault="00F875B1" w:rsidP="00F875B1">
      <w:pPr>
        <w:pStyle w:val="Subtitle"/>
      </w:pPr>
      <w:r w:rsidRPr="00F715D1">
        <w:t xml:space="preserve">Application No. </w:t>
      </w:r>
      <w:r>
        <w:t>1621</w:t>
      </w:r>
      <w:r w:rsidRPr="00F715D1">
        <w:t xml:space="preserve"> – </w:t>
      </w:r>
      <w:r w:rsidRPr="00F875B1">
        <w:t>Amendment to MBS Item 73344 for c-ROS proto-oncogene 1 (ROS1) fluorescence in situ hybridisation (FISH) testing to identify ROS1 to determine patient eligibility for entrectinib under the Pharmaceutical Benefits Scheme (PBS)</w:t>
      </w:r>
    </w:p>
    <w:p w14:paraId="2243BB09" w14:textId="77777777" w:rsidR="00F875B1" w:rsidRPr="00F715D1" w:rsidRDefault="00F875B1" w:rsidP="00F875B1">
      <w:pPr>
        <w:tabs>
          <w:tab w:val="left" w:pos="3686"/>
        </w:tabs>
        <w:spacing w:after="2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Roche Products Pty Ltd</w:t>
      </w:r>
    </w:p>
    <w:p w14:paraId="1B6AFA8D" w14:textId="77777777" w:rsidR="00F875B1" w:rsidRPr="00F715D1" w:rsidRDefault="00F875B1" w:rsidP="00F875B1">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78</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3 April 2020</w:t>
      </w:r>
    </w:p>
    <w:p w14:paraId="721AA220" w14:textId="77777777" w:rsidR="00F875B1" w:rsidRPr="00B03EAB" w:rsidRDefault="00F875B1" w:rsidP="00F875B1">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02CA9A98" w14:textId="459B4BB8" w:rsidR="00F875B1" w:rsidRPr="00F715D1" w:rsidRDefault="00F875B1" w:rsidP="00F875B1">
      <w:pPr>
        <w:pStyle w:val="Heading1"/>
      </w:pPr>
      <w:r w:rsidRPr="00F715D1">
        <w:t>Purpose of application</w:t>
      </w:r>
    </w:p>
    <w:p w14:paraId="31995B2A" w14:textId="6CCD75F0" w:rsidR="00B1197E" w:rsidRDefault="00B1197E" w:rsidP="009B7ABA">
      <w:pPr>
        <w:spacing w:after="120"/>
        <w:rPr>
          <w:i/>
          <w:szCs w:val="24"/>
        </w:rPr>
      </w:pPr>
      <w:r w:rsidRPr="00DA0C09">
        <w:t xml:space="preserve">An application for a streamlined codependent </w:t>
      </w:r>
      <w:r w:rsidR="00B7133D">
        <w:t xml:space="preserve">consideration </w:t>
      </w:r>
      <w:r w:rsidRPr="00DA0C09">
        <w:t>requested</w:t>
      </w:r>
      <w:r w:rsidRPr="00F81EA1">
        <w:rPr>
          <w:szCs w:val="24"/>
        </w:rPr>
        <w:t>:</w:t>
      </w:r>
    </w:p>
    <w:p w14:paraId="634B1899" w14:textId="77777777" w:rsidR="00B1197E" w:rsidRPr="00577F2C" w:rsidRDefault="00B1197E" w:rsidP="00B1197E">
      <w:pPr>
        <w:pStyle w:val="ListParagraph"/>
        <w:numPr>
          <w:ilvl w:val="0"/>
          <w:numId w:val="3"/>
        </w:numPr>
        <w:spacing w:after="240"/>
        <w:rPr>
          <w:iCs/>
          <w:szCs w:val="24"/>
        </w:rPr>
      </w:pPr>
      <w:r w:rsidRPr="00577F2C">
        <w:rPr>
          <w:iCs/>
          <w:szCs w:val="24"/>
        </w:rPr>
        <w:t>Pharm</w:t>
      </w:r>
      <w:r>
        <w:rPr>
          <w:iCs/>
          <w:szCs w:val="24"/>
        </w:rPr>
        <w:t>a</w:t>
      </w:r>
      <w:r w:rsidRPr="00577F2C">
        <w:rPr>
          <w:iCs/>
          <w:szCs w:val="24"/>
        </w:rPr>
        <w:t xml:space="preserve">ceutical Benefits Schedule (PBS) listing of </w:t>
      </w:r>
      <w:r>
        <w:rPr>
          <w:iCs/>
          <w:szCs w:val="24"/>
        </w:rPr>
        <w:t>entrectinib for</w:t>
      </w:r>
      <w:r w:rsidRPr="00577F2C">
        <w:rPr>
          <w:iCs/>
          <w:szCs w:val="24"/>
        </w:rPr>
        <w:t xml:space="preserve"> the treatment of patients with</w:t>
      </w:r>
      <w:r>
        <w:rPr>
          <w:iCs/>
          <w:szCs w:val="24"/>
        </w:rPr>
        <w:t xml:space="preserve"> locally advanced or metastatic </w:t>
      </w:r>
      <w:r>
        <w:t>non-small cell lung cancer (NSCLC) who are</w:t>
      </w:r>
      <w:r w:rsidRPr="00577F2C">
        <w:rPr>
          <w:iCs/>
          <w:szCs w:val="24"/>
        </w:rPr>
        <w:t xml:space="preserve"> </w:t>
      </w:r>
      <w:r>
        <w:rPr>
          <w:i/>
          <w:szCs w:val="28"/>
          <w:lang w:bidi="en-US"/>
        </w:rPr>
        <w:t>ROS</w:t>
      </w:r>
      <w:r>
        <w:rPr>
          <w:szCs w:val="28"/>
          <w:lang w:bidi="en-US"/>
        </w:rPr>
        <w:t xml:space="preserve"> proto-oncogene 1 (</w:t>
      </w:r>
      <w:r w:rsidRPr="00F81EA1">
        <w:rPr>
          <w:i/>
        </w:rPr>
        <w:t>ROS1</w:t>
      </w:r>
      <w:r>
        <w:t>)-positive in tumour tissue</w:t>
      </w:r>
    </w:p>
    <w:p w14:paraId="52FB9B38" w14:textId="406FCB58" w:rsidR="00B1197E" w:rsidRPr="004B7EF1" w:rsidRDefault="00B1197E" w:rsidP="00B1197E">
      <w:pPr>
        <w:pStyle w:val="ListParagraph"/>
        <w:numPr>
          <w:ilvl w:val="0"/>
          <w:numId w:val="3"/>
        </w:numPr>
        <w:spacing w:after="240"/>
        <w:rPr>
          <w:iCs/>
          <w:szCs w:val="24"/>
        </w:rPr>
      </w:pPr>
      <w:r>
        <w:rPr>
          <w:iCs/>
          <w:szCs w:val="24"/>
        </w:rPr>
        <w:t xml:space="preserve">an </w:t>
      </w:r>
      <w:r w:rsidRPr="00577F2C">
        <w:rPr>
          <w:iCs/>
          <w:szCs w:val="24"/>
        </w:rPr>
        <w:t xml:space="preserve">amendment of Medicare Benefits Schedule (MBS) </w:t>
      </w:r>
      <w:r w:rsidR="00F81EA1">
        <w:rPr>
          <w:iCs/>
          <w:szCs w:val="24"/>
        </w:rPr>
        <w:t>i</w:t>
      </w:r>
      <w:r w:rsidRPr="00577F2C">
        <w:rPr>
          <w:iCs/>
          <w:szCs w:val="24"/>
        </w:rPr>
        <w:t>tem 7334</w:t>
      </w:r>
      <w:r w:rsidR="005D7C99">
        <w:rPr>
          <w:iCs/>
          <w:szCs w:val="24"/>
        </w:rPr>
        <w:t>4</w:t>
      </w:r>
      <w:r w:rsidRPr="00577F2C">
        <w:rPr>
          <w:iCs/>
          <w:szCs w:val="24"/>
        </w:rPr>
        <w:t xml:space="preserve"> to include </w:t>
      </w:r>
      <w:r>
        <w:rPr>
          <w:iCs/>
          <w:szCs w:val="24"/>
        </w:rPr>
        <w:t>entrectinib</w:t>
      </w:r>
      <w:r w:rsidRPr="00577F2C">
        <w:rPr>
          <w:iCs/>
          <w:szCs w:val="24"/>
        </w:rPr>
        <w:t xml:space="preserve"> in the list of medicines for</w:t>
      </w:r>
      <w:r>
        <w:rPr>
          <w:iCs/>
          <w:szCs w:val="24"/>
        </w:rPr>
        <w:t xml:space="preserve"> </w:t>
      </w:r>
      <w:r>
        <w:rPr>
          <w:rFonts w:cs="Arial"/>
        </w:rPr>
        <w:t xml:space="preserve">fluorescence </w:t>
      </w:r>
      <w:r>
        <w:rPr>
          <w:rFonts w:cs="Arial"/>
          <w:i/>
        </w:rPr>
        <w:t>in situ</w:t>
      </w:r>
      <w:r>
        <w:rPr>
          <w:rFonts w:cs="Arial"/>
        </w:rPr>
        <w:t xml:space="preserve"> hybridization (FISH) testing</w:t>
      </w:r>
      <w:r w:rsidRPr="00577F2C">
        <w:rPr>
          <w:iCs/>
          <w:szCs w:val="24"/>
        </w:rPr>
        <w:t xml:space="preserve"> to </w:t>
      </w:r>
      <w:r w:rsidR="00F81EA1">
        <w:rPr>
          <w:iCs/>
          <w:szCs w:val="24"/>
        </w:rPr>
        <w:t xml:space="preserve">help </w:t>
      </w:r>
      <w:r w:rsidRPr="00577F2C">
        <w:rPr>
          <w:iCs/>
          <w:szCs w:val="24"/>
        </w:rPr>
        <w:t>determine eligibility for access to PBS subsidised treatment</w:t>
      </w:r>
      <w:r>
        <w:rPr>
          <w:iCs/>
          <w:szCs w:val="24"/>
        </w:rPr>
        <w:t>.</w:t>
      </w:r>
    </w:p>
    <w:p w14:paraId="197E93EE" w14:textId="77777777" w:rsidR="00F875B1" w:rsidRPr="00F715D1" w:rsidRDefault="00F875B1" w:rsidP="00F875B1">
      <w:pPr>
        <w:pStyle w:val="Heading1"/>
      </w:pPr>
      <w:r w:rsidRPr="00F715D1">
        <w:t>MSAC’s advice to the Minister</w:t>
      </w:r>
    </w:p>
    <w:p w14:paraId="27FDCA1C" w14:textId="3CB31A27" w:rsidR="00F875B1" w:rsidRPr="0041184F" w:rsidRDefault="00F875B1" w:rsidP="00F81EA1">
      <w:pPr>
        <w:pStyle w:val="Default"/>
        <w:spacing w:after="240"/>
        <w:rPr>
          <w:i/>
          <w:color w:val="auto"/>
        </w:rPr>
      </w:pPr>
      <w:r w:rsidRPr="00F81EA1">
        <w:rPr>
          <w:color w:val="auto"/>
        </w:rPr>
        <w:t xml:space="preserve">After considering the strength of the available evidence in relation to the safety, clinical effectiveness and cost-effectiveness of </w:t>
      </w:r>
      <w:r w:rsidR="00F81EA1" w:rsidRPr="00F81EA1">
        <w:rPr>
          <w:color w:val="auto"/>
        </w:rPr>
        <w:t xml:space="preserve">testing the </w:t>
      </w:r>
      <w:r w:rsidR="00F81EA1" w:rsidRPr="00F81EA1">
        <w:rPr>
          <w:i/>
          <w:szCs w:val="28"/>
          <w:lang w:bidi="en-US"/>
        </w:rPr>
        <w:t>ROS</w:t>
      </w:r>
      <w:r w:rsidR="00F81EA1" w:rsidRPr="00F81EA1">
        <w:rPr>
          <w:szCs w:val="28"/>
          <w:lang w:bidi="en-US"/>
        </w:rPr>
        <w:t xml:space="preserve"> proto-oncogene 1 (</w:t>
      </w:r>
      <w:r w:rsidR="00F81EA1" w:rsidRPr="00F81EA1">
        <w:rPr>
          <w:i/>
        </w:rPr>
        <w:t>ROS1</w:t>
      </w:r>
      <w:r w:rsidR="00F81EA1" w:rsidRPr="00F81EA1">
        <w:t xml:space="preserve">) in non-small cell lung cancer </w:t>
      </w:r>
      <w:r w:rsidR="00A37768">
        <w:t xml:space="preserve">(NSCLC) </w:t>
      </w:r>
      <w:r w:rsidR="00F81EA1" w:rsidRPr="00F81EA1">
        <w:t>tumour tissue</w:t>
      </w:r>
      <w:r w:rsidRPr="00F81EA1">
        <w:rPr>
          <w:color w:val="auto"/>
        </w:rPr>
        <w:t xml:space="preserve">, MSAC supported </w:t>
      </w:r>
      <w:r w:rsidR="00F81EA1">
        <w:t xml:space="preserve">the modification of existing MBS item 73344 to include reference to entrectinib in alignment with the PBS listing of this medicine as recommended by the </w:t>
      </w:r>
      <w:r w:rsidR="00A72866" w:rsidRPr="006B29EC">
        <w:rPr>
          <w:szCs w:val="20"/>
        </w:rPr>
        <w:t>Pharmaceutical Benefits Advisory Committee</w:t>
      </w:r>
      <w:r w:rsidR="00A72866">
        <w:t xml:space="preserve"> (</w:t>
      </w:r>
      <w:r w:rsidR="00F81EA1">
        <w:t>PBAC</w:t>
      </w:r>
      <w:r w:rsidR="00A72866">
        <w:t>)</w:t>
      </w:r>
      <w:r w:rsidR="00F81EA1">
        <w:t xml:space="preserve"> in March 2020.</w:t>
      </w:r>
    </w:p>
    <w:p w14:paraId="7DFB47D0" w14:textId="77777777" w:rsidR="009B7ABA" w:rsidRDefault="00F81EA1" w:rsidP="009B7ABA">
      <w:pPr>
        <w:pStyle w:val="Default"/>
        <w:rPr>
          <w:color w:val="auto"/>
        </w:rPr>
      </w:pPr>
      <w:r w:rsidRPr="00F81EA1">
        <w:rPr>
          <w:color w:val="auto"/>
        </w:rPr>
        <w:t>The MSAC-supp</w:t>
      </w:r>
      <w:r>
        <w:rPr>
          <w:color w:val="auto"/>
        </w:rPr>
        <w:t>o</w:t>
      </w:r>
      <w:r w:rsidRPr="00F81EA1">
        <w:rPr>
          <w:color w:val="auto"/>
        </w:rPr>
        <w:t xml:space="preserve">rted </w:t>
      </w:r>
      <w:r w:rsidR="00F875B1" w:rsidRPr="00F81EA1">
        <w:rPr>
          <w:color w:val="auto"/>
        </w:rPr>
        <w:t xml:space="preserve">descriptor </w:t>
      </w:r>
      <w:r w:rsidRPr="00F81EA1">
        <w:rPr>
          <w:color w:val="auto"/>
        </w:rPr>
        <w:t xml:space="preserve">was: </w:t>
      </w:r>
    </w:p>
    <w:p w14:paraId="4E3F53EF" w14:textId="6B06C688" w:rsidR="00F875B1" w:rsidRPr="00F81EA1" w:rsidRDefault="00F81EA1" w:rsidP="00F875B1">
      <w:pPr>
        <w:pStyle w:val="Default"/>
        <w:spacing w:after="240"/>
        <w:rPr>
          <w:color w:val="auto"/>
        </w:rPr>
      </w:pPr>
      <w:r w:rsidRPr="00686859">
        <w:rPr>
          <w:i/>
          <w:color w:val="auto"/>
        </w:rPr>
        <w:t xml:space="preserve">Fluorescence in situ hybridization (FISH) test of tumour tissue from a patient with locally advanced or metastatic non-small-cell lung cancer (NSCLC), which is of non-squamous histology or histology not otherwise specified, with documented evidence of ROS proto-oncogene 1 (ROS1) immunoreactivity by immunohistochemical (IHC) examination giving a staining intensity score of 2+ or 3+; and with documented absence of both activating mutations of the epidermal growth factor receptor (EGFR) gene and anaplastic lymphoma kinase (ALK) immunoreactivity by IHC, requested by a specialist or consultant physician to determine if requirements relating to ROS1 gene rearrangement status for access to crizotinib </w:t>
      </w:r>
      <w:r w:rsidRPr="00686859">
        <w:rPr>
          <w:b/>
          <w:i/>
          <w:color w:val="auto"/>
        </w:rPr>
        <w:t>or entrectinib</w:t>
      </w:r>
      <w:r w:rsidRPr="00686859">
        <w:rPr>
          <w:i/>
          <w:color w:val="auto"/>
        </w:rPr>
        <w:t xml:space="preserve"> under the Pharmaceutical Benefits Scheme are fulfilled.</w:t>
      </w:r>
    </w:p>
    <w:tbl>
      <w:tblPr>
        <w:tblStyle w:val="TableGrid"/>
        <w:tblW w:w="0" w:type="auto"/>
        <w:tblLook w:val="04A0" w:firstRow="1" w:lastRow="0" w:firstColumn="1" w:lastColumn="0" w:noHBand="0" w:noVBand="1"/>
        <w:tblCaption w:val="Consumer summary"/>
        <w:tblDescription w:val="Consumer summary of MSAC consideration"/>
      </w:tblPr>
      <w:tblGrid>
        <w:gridCol w:w="9016"/>
      </w:tblGrid>
      <w:tr w:rsidR="00F875B1" w14:paraId="4018B32C" w14:textId="77777777" w:rsidTr="00F637F6">
        <w:trPr>
          <w:tblHeader/>
        </w:trPr>
        <w:tc>
          <w:tcPr>
            <w:tcW w:w="9242" w:type="dxa"/>
          </w:tcPr>
          <w:p w14:paraId="6E83E7C4" w14:textId="66C5EFB1" w:rsidR="00F875B1" w:rsidRPr="00F7295B" w:rsidRDefault="00F875B1" w:rsidP="00F7295B">
            <w:pPr>
              <w:pStyle w:val="Default"/>
              <w:spacing w:before="120" w:after="120"/>
              <w:rPr>
                <w:b/>
                <w:color w:val="auto"/>
                <w:sz w:val="24"/>
                <w:szCs w:val="24"/>
              </w:rPr>
            </w:pPr>
            <w:r w:rsidRPr="00F7295B">
              <w:rPr>
                <w:b/>
                <w:color w:val="auto"/>
                <w:sz w:val="24"/>
                <w:szCs w:val="24"/>
              </w:rPr>
              <w:lastRenderedPageBreak/>
              <w:t>Consumer summary</w:t>
            </w:r>
          </w:p>
          <w:p w14:paraId="52893816" w14:textId="4E587CC9" w:rsidR="00A72866" w:rsidRPr="00F7295B" w:rsidRDefault="00A72866" w:rsidP="00516D59">
            <w:pPr>
              <w:pStyle w:val="Default"/>
              <w:spacing w:before="120" w:after="240"/>
              <w:rPr>
                <w:sz w:val="24"/>
                <w:szCs w:val="24"/>
              </w:rPr>
            </w:pPr>
            <w:r w:rsidRPr="00F7295B">
              <w:rPr>
                <w:sz w:val="24"/>
                <w:szCs w:val="24"/>
              </w:rPr>
              <w:t>Roche</w:t>
            </w:r>
            <w:r w:rsidR="001D4D00" w:rsidRPr="00F7295B">
              <w:rPr>
                <w:sz w:val="24"/>
                <w:szCs w:val="24"/>
              </w:rPr>
              <w:t xml:space="preserve"> Products Pty Ltd</w:t>
            </w:r>
            <w:r w:rsidRPr="00F7295B">
              <w:rPr>
                <w:sz w:val="24"/>
                <w:szCs w:val="24"/>
              </w:rPr>
              <w:t xml:space="preserve"> submitted an application to fund fluorescen</w:t>
            </w:r>
            <w:r w:rsidR="005D7C99">
              <w:rPr>
                <w:sz w:val="24"/>
                <w:szCs w:val="24"/>
              </w:rPr>
              <w:t>ce</w:t>
            </w:r>
            <w:r w:rsidRPr="00F7295B">
              <w:rPr>
                <w:sz w:val="24"/>
                <w:szCs w:val="24"/>
              </w:rPr>
              <w:t xml:space="preserve"> </w:t>
            </w:r>
            <w:r w:rsidRPr="00B77E7B">
              <w:rPr>
                <w:i/>
                <w:sz w:val="24"/>
                <w:szCs w:val="24"/>
              </w:rPr>
              <w:t>in</w:t>
            </w:r>
            <w:r w:rsidR="00B77E7B">
              <w:rPr>
                <w:i/>
                <w:sz w:val="24"/>
                <w:szCs w:val="24"/>
              </w:rPr>
              <w:t> </w:t>
            </w:r>
            <w:r w:rsidRPr="00B77E7B">
              <w:rPr>
                <w:i/>
                <w:sz w:val="24"/>
                <w:szCs w:val="24"/>
              </w:rPr>
              <w:t>situ</w:t>
            </w:r>
            <w:r w:rsidRPr="00F7295B">
              <w:rPr>
                <w:sz w:val="24"/>
                <w:szCs w:val="24"/>
              </w:rPr>
              <w:t xml:space="preserve"> hybridi</w:t>
            </w:r>
            <w:r w:rsidR="005D7C99">
              <w:rPr>
                <w:sz w:val="24"/>
                <w:szCs w:val="24"/>
              </w:rPr>
              <w:t>z</w:t>
            </w:r>
            <w:r w:rsidRPr="00F7295B">
              <w:rPr>
                <w:sz w:val="24"/>
                <w:szCs w:val="24"/>
              </w:rPr>
              <w:t xml:space="preserve">ation (FISH) testing through the Medicare Benefits Schedule (MBS) for </w:t>
            </w:r>
            <w:r w:rsidR="00A37768" w:rsidRPr="00F7295B">
              <w:rPr>
                <w:i/>
                <w:sz w:val="24"/>
                <w:szCs w:val="24"/>
                <w:lang w:bidi="en-US"/>
              </w:rPr>
              <w:t>ROS</w:t>
            </w:r>
            <w:r w:rsidR="00A37768" w:rsidRPr="00F7295B">
              <w:rPr>
                <w:sz w:val="24"/>
                <w:szCs w:val="24"/>
                <w:lang w:bidi="en-US"/>
              </w:rPr>
              <w:t xml:space="preserve"> proto-oncogene 1 (</w:t>
            </w:r>
            <w:r w:rsidRPr="00F7295B">
              <w:rPr>
                <w:rStyle w:val="Emphasis"/>
                <w:sz w:val="24"/>
                <w:szCs w:val="24"/>
              </w:rPr>
              <w:t>ROS1</w:t>
            </w:r>
            <w:r w:rsidR="00A37768" w:rsidRPr="00F7295B">
              <w:rPr>
                <w:rStyle w:val="Emphasis"/>
                <w:i w:val="0"/>
                <w:sz w:val="24"/>
                <w:szCs w:val="24"/>
              </w:rPr>
              <w:t>)</w:t>
            </w:r>
            <w:r w:rsidRPr="00F7295B">
              <w:rPr>
                <w:sz w:val="24"/>
                <w:szCs w:val="24"/>
              </w:rPr>
              <w:t xml:space="preserve"> </w:t>
            </w:r>
            <w:r w:rsidR="00E757C2">
              <w:rPr>
                <w:sz w:val="24"/>
                <w:szCs w:val="24"/>
              </w:rPr>
              <w:t>gene rearrangements (</w:t>
            </w:r>
            <w:r w:rsidRPr="00F7295B">
              <w:rPr>
                <w:sz w:val="24"/>
                <w:szCs w:val="24"/>
              </w:rPr>
              <w:t>fusions</w:t>
            </w:r>
            <w:r w:rsidR="00E757C2">
              <w:rPr>
                <w:sz w:val="24"/>
                <w:szCs w:val="24"/>
              </w:rPr>
              <w:t>)</w:t>
            </w:r>
            <w:r w:rsidRPr="00F7295B">
              <w:rPr>
                <w:sz w:val="24"/>
                <w:szCs w:val="24"/>
              </w:rPr>
              <w:t xml:space="preserve"> in patients with non-small cell lung cancer (NSCLC). This testing will </w:t>
            </w:r>
            <w:r w:rsidR="00B77E7B">
              <w:rPr>
                <w:sz w:val="24"/>
                <w:szCs w:val="24"/>
              </w:rPr>
              <w:t xml:space="preserve">help </w:t>
            </w:r>
            <w:r w:rsidR="005A5743">
              <w:rPr>
                <w:sz w:val="24"/>
                <w:szCs w:val="24"/>
              </w:rPr>
              <w:t xml:space="preserve">patients know whether they can </w:t>
            </w:r>
            <w:r w:rsidRPr="00F7295B">
              <w:rPr>
                <w:sz w:val="24"/>
                <w:szCs w:val="24"/>
              </w:rPr>
              <w:t xml:space="preserve">access </w:t>
            </w:r>
            <w:r w:rsidR="006819FE">
              <w:rPr>
                <w:sz w:val="24"/>
                <w:szCs w:val="24"/>
              </w:rPr>
              <w:t xml:space="preserve">the medicine </w:t>
            </w:r>
            <w:r w:rsidRPr="00F7295B">
              <w:rPr>
                <w:sz w:val="24"/>
                <w:szCs w:val="24"/>
              </w:rPr>
              <w:t>entrectinib under the Pharmaceutical Benefits Scheme</w:t>
            </w:r>
            <w:r w:rsidR="00407965" w:rsidRPr="00F7295B">
              <w:rPr>
                <w:sz w:val="24"/>
                <w:szCs w:val="24"/>
              </w:rPr>
              <w:t xml:space="preserve"> (PBS)</w:t>
            </w:r>
            <w:r w:rsidRPr="00F7295B">
              <w:rPr>
                <w:sz w:val="24"/>
                <w:szCs w:val="24"/>
              </w:rPr>
              <w:t>.</w:t>
            </w:r>
          </w:p>
          <w:p w14:paraId="5F07483E" w14:textId="34436D3E" w:rsidR="00A72866" w:rsidRPr="00F7295B" w:rsidRDefault="00A72866" w:rsidP="00516D59">
            <w:pPr>
              <w:pStyle w:val="Default"/>
              <w:spacing w:before="120" w:after="240"/>
              <w:rPr>
                <w:sz w:val="24"/>
                <w:szCs w:val="24"/>
              </w:rPr>
            </w:pPr>
            <w:r w:rsidRPr="00F7295B">
              <w:rPr>
                <w:sz w:val="24"/>
                <w:szCs w:val="24"/>
              </w:rPr>
              <w:t xml:space="preserve">FISH testing allows certain genetic changes to be detected. In this case, FISH is used to find </w:t>
            </w:r>
            <w:r w:rsidRPr="00F7295B">
              <w:rPr>
                <w:i/>
                <w:iCs/>
                <w:sz w:val="24"/>
                <w:szCs w:val="24"/>
              </w:rPr>
              <w:t>ROS1</w:t>
            </w:r>
            <w:r w:rsidRPr="00F7295B">
              <w:rPr>
                <w:sz w:val="24"/>
                <w:szCs w:val="24"/>
              </w:rPr>
              <w:t xml:space="preserve"> fusions. </w:t>
            </w:r>
            <w:r w:rsidRPr="00F7295B">
              <w:rPr>
                <w:i/>
                <w:iCs/>
                <w:sz w:val="24"/>
                <w:szCs w:val="24"/>
              </w:rPr>
              <w:t>ROS1</w:t>
            </w:r>
            <w:r w:rsidRPr="00F7295B">
              <w:rPr>
                <w:sz w:val="24"/>
                <w:szCs w:val="24"/>
              </w:rPr>
              <w:t xml:space="preserve"> is an oncogene, which means it </w:t>
            </w:r>
            <w:r w:rsidR="005A5743">
              <w:rPr>
                <w:sz w:val="24"/>
                <w:szCs w:val="24"/>
              </w:rPr>
              <w:t xml:space="preserve">is a gene that </w:t>
            </w:r>
            <w:r w:rsidRPr="00F7295B">
              <w:rPr>
                <w:sz w:val="24"/>
                <w:szCs w:val="24"/>
              </w:rPr>
              <w:t xml:space="preserve">can contribute to </w:t>
            </w:r>
            <w:r w:rsidR="00B77E7B">
              <w:rPr>
                <w:sz w:val="24"/>
                <w:szCs w:val="24"/>
              </w:rPr>
              <w:t xml:space="preserve">poor </w:t>
            </w:r>
            <w:r w:rsidRPr="00F7295B">
              <w:rPr>
                <w:sz w:val="24"/>
                <w:szCs w:val="24"/>
              </w:rPr>
              <w:t>cancer</w:t>
            </w:r>
            <w:r w:rsidR="00B77E7B">
              <w:rPr>
                <w:sz w:val="24"/>
                <w:szCs w:val="24"/>
              </w:rPr>
              <w:t xml:space="preserve"> outcomes</w:t>
            </w:r>
            <w:r w:rsidRPr="00F7295B">
              <w:rPr>
                <w:sz w:val="24"/>
                <w:szCs w:val="24"/>
              </w:rPr>
              <w:t xml:space="preserve">. </w:t>
            </w:r>
            <w:r w:rsidRPr="00F7295B">
              <w:rPr>
                <w:i/>
                <w:iCs/>
                <w:sz w:val="24"/>
                <w:szCs w:val="24"/>
              </w:rPr>
              <w:t>ROS1</w:t>
            </w:r>
            <w:r w:rsidRPr="00F7295B">
              <w:rPr>
                <w:sz w:val="24"/>
                <w:szCs w:val="24"/>
              </w:rPr>
              <w:t xml:space="preserve"> fusions are found in some people with NSCLC, and </w:t>
            </w:r>
            <w:r w:rsidR="005A5743">
              <w:rPr>
                <w:sz w:val="24"/>
                <w:szCs w:val="24"/>
              </w:rPr>
              <w:t>these</w:t>
            </w:r>
            <w:r w:rsidRPr="00F7295B">
              <w:rPr>
                <w:sz w:val="24"/>
                <w:szCs w:val="24"/>
              </w:rPr>
              <w:t xml:space="preserve"> people can respond well to medicines like entrectinib.</w:t>
            </w:r>
          </w:p>
          <w:p w14:paraId="3DDFEEA3" w14:textId="6AFEFEA8" w:rsidR="00A72866" w:rsidRPr="00F7295B" w:rsidRDefault="00A72866" w:rsidP="00516D59">
            <w:pPr>
              <w:pStyle w:val="Default"/>
              <w:spacing w:before="120" w:after="240"/>
              <w:rPr>
                <w:color w:val="auto"/>
                <w:sz w:val="24"/>
                <w:szCs w:val="24"/>
              </w:rPr>
            </w:pPr>
            <w:r w:rsidRPr="00F7295B">
              <w:rPr>
                <w:sz w:val="24"/>
                <w:szCs w:val="24"/>
              </w:rPr>
              <w:t>In March 2020, the Pharmaceutical Benefits Advisory Committee</w:t>
            </w:r>
            <w:r w:rsidR="00407965" w:rsidRPr="00F7295B">
              <w:rPr>
                <w:sz w:val="24"/>
                <w:szCs w:val="24"/>
              </w:rPr>
              <w:t xml:space="preserve"> (PBAC)</w:t>
            </w:r>
            <w:r w:rsidRPr="00F7295B">
              <w:rPr>
                <w:sz w:val="24"/>
                <w:szCs w:val="24"/>
              </w:rPr>
              <w:t xml:space="preserve"> recommended list</w:t>
            </w:r>
            <w:r w:rsidR="00B77E7B">
              <w:rPr>
                <w:sz w:val="24"/>
                <w:szCs w:val="24"/>
              </w:rPr>
              <w:t xml:space="preserve">ing </w:t>
            </w:r>
            <w:r w:rsidRPr="00F7295B">
              <w:rPr>
                <w:sz w:val="24"/>
                <w:szCs w:val="24"/>
              </w:rPr>
              <w:t xml:space="preserve">entrectinib </w:t>
            </w:r>
            <w:r w:rsidR="00B77E7B">
              <w:rPr>
                <w:sz w:val="24"/>
                <w:szCs w:val="24"/>
              </w:rPr>
              <w:t xml:space="preserve">on the PBS </w:t>
            </w:r>
            <w:r w:rsidR="005A5743">
              <w:rPr>
                <w:sz w:val="24"/>
                <w:szCs w:val="24"/>
              </w:rPr>
              <w:t xml:space="preserve">for treating some </w:t>
            </w:r>
            <w:r w:rsidRPr="00F7295B">
              <w:rPr>
                <w:sz w:val="24"/>
                <w:szCs w:val="24"/>
              </w:rPr>
              <w:t xml:space="preserve">people with NSCLC who also have </w:t>
            </w:r>
            <w:r w:rsidRPr="00F7295B">
              <w:rPr>
                <w:i/>
                <w:iCs/>
                <w:sz w:val="24"/>
                <w:szCs w:val="24"/>
              </w:rPr>
              <w:t>ROS1</w:t>
            </w:r>
            <w:r w:rsidRPr="00F7295B">
              <w:rPr>
                <w:sz w:val="24"/>
                <w:szCs w:val="24"/>
              </w:rPr>
              <w:t xml:space="preserve"> fusions.</w:t>
            </w:r>
          </w:p>
          <w:p w14:paraId="67C9C429" w14:textId="77777777" w:rsidR="00F875B1" w:rsidRPr="00F7295B" w:rsidRDefault="00F875B1" w:rsidP="00F7295B">
            <w:pPr>
              <w:pStyle w:val="Default"/>
              <w:spacing w:after="120"/>
              <w:rPr>
                <w:b/>
                <w:color w:val="auto"/>
                <w:sz w:val="24"/>
                <w:szCs w:val="24"/>
              </w:rPr>
            </w:pPr>
            <w:r w:rsidRPr="00F7295B">
              <w:rPr>
                <w:b/>
                <w:color w:val="auto"/>
                <w:sz w:val="24"/>
                <w:szCs w:val="24"/>
              </w:rPr>
              <w:t>MSAC’s advice to the Commonwealth Minister f</w:t>
            </w:r>
            <w:r w:rsidR="00F81EA1" w:rsidRPr="00F7295B">
              <w:rPr>
                <w:b/>
                <w:color w:val="auto"/>
                <w:sz w:val="24"/>
                <w:szCs w:val="24"/>
              </w:rPr>
              <w:t>or</w:t>
            </w:r>
            <w:r w:rsidRPr="00F7295B">
              <w:rPr>
                <w:b/>
                <w:color w:val="auto"/>
                <w:sz w:val="24"/>
                <w:szCs w:val="24"/>
              </w:rPr>
              <w:t xml:space="preserve"> Health</w:t>
            </w:r>
          </w:p>
          <w:p w14:paraId="555F3247" w14:textId="72ED8E5C" w:rsidR="00407965" w:rsidRPr="00247051" w:rsidRDefault="005A5743" w:rsidP="005A5743">
            <w:pPr>
              <w:pStyle w:val="Default"/>
              <w:spacing w:after="240"/>
              <w:rPr>
                <w:i/>
                <w:color w:val="auto"/>
              </w:rPr>
            </w:pPr>
            <w:r>
              <w:rPr>
                <w:sz w:val="24"/>
                <w:szCs w:val="24"/>
              </w:rPr>
              <w:t>T</w:t>
            </w:r>
            <w:r w:rsidR="00407965" w:rsidRPr="00F7295B">
              <w:rPr>
                <w:sz w:val="24"/>
                <w:szCs w:val="24"/>
              </w:rPr>
              <w:t>he Medical Services Advisory Committee (MSAC) ha</w:t>
            </w:r>
            <w:r>
              <w:rPr>
                <w:sz w:val="24"/>
                <w:szCs w:val="24"/>
              </w:rPr>
              <w:t>s previously advise</w:t>
            </w:r>
            <w:r w:rsidR="00407965" w:rsidRPr="00F7295B">
              <w:rPr>
                <w:sz w:val="24"/>
                <w:szCs w:val="24"/>
              </w:rPr>
              <w:t xml:space="preserve">d that </w:t>
            </w:r>
            <w:r w:rsidR="00407965" w:rsidRPr="00F7295B">
              <w:rPr>
                <w:rStyle w:val="Emphasis"/>
                <w:sz w:val="24"/>
                <w:szCs w:val="24"/>
              </w:rPr>
              <w:t>ROS1</w:t>
            </w:r>
            <w:r w:rsidR="00407965" w:rsidRPr="00F7295B">
              <w:rPr>
                <w:sz w:val="24"/>
                <w:szCs w:val="24"/>
              </w:rPr>
              <w:t xml:space="preserve"> gene rearrangement test</w:t>
            </w:r>
            <w:r w:rsidR="00B77E7B">
              <w:rPr>
                <w:sz w:val="24"/>
                <w:szCs w:val="24"/>
              </w:rPr>
              <w:t>ing</w:t>
            </w:r>
            <w:r w:rsidR="00407965" w:rsidRPr="00F7295B">
              <w:rPr>
                <w:sz w:val="24"/>
                <w:szCs w:val="24"/>
              </w:rPr>
              <w:t xml:space="preserve"> is safe, clinically effective</w:t>
            </w:r>
            <w:r w:rsidR="00B77E7B">
              <w:rPr>
                <w:sz w:val="24"/>
                <w:szCs w:val="24"/>
              </w:rPr>
              <w:t xml:space="preserve"> and cost-</w:t>
            </w:r>
            <w:r w:rsidR="00407965" w:rsidRPr="00F7295B">
              <w:rPr>
                <w:sz w:val="24"/>
                <w:szCs w:val="24"/>
              </w:rPr>
              <w:t xml:space="preserve">effective in patients with NSCLC. </w:t>
            </w:r>
            <w:r w:rsidR="00B77E7B">
              <w:rPr>
                <w:sz w:val="24"/>
                <w:szCs w:val="24"/>
              </w:rPr>
              <w:t>As</w:t>
            </w:r>
            <w:r w:rsidR="00407965" w:rsidRPr="00F7295B">
              <w:rPr>
                <w:sz w:val="24"/>
                <w:szCs w:val="24"/>
              </w:rPr>
              <w:t xml:space="preserve"> the PBAC </w:t>
            </w:r>
            <w:r w:rsidR="00B77E7B">
              <w:rPr>
                <w:sz w:val="24"/>
                <w:szCs w:val="24"/>
              </w:rPr>
              <w:t>has recommended the listing of</w:t>
            </w:r>
            <w:r w:rsidR="00407965" w:rsidRPr="00F7295B">
              <w:rPr>
                <w:sz w:val="24"/>
                <w:szCs w:val="24"/>
              </w:rPr>
              <w:t xml:space="preserve"> entrectinib on the PBS, MSAC </w:t>
            </w:r>
            <w:r w:rsidR="00B77E7B">
              <w:rPr>
                <w:sz w:val="24"/>
                <w:szCs w:val="24"/>
              </w:rPr>
              <w:t xml:space="preserve">supported </w:t>
            </w:r>
            <w:r w:rsidR="00407965" w:rsidRPr="00F7295B">
              <w:rPr>
                <w:sz w:val="24"/>
                <w:szCs w:val="24"/>
              </w:rPr>
              <w:t xml:space="preserve">the </w:t>
            </w:r>
            <w:r w:rsidR="00B77E7B">
              <w:rPr>
                <w:sz w:val="24"/>
                <w:szCs w:val="24"/>
              </w:rPr>
              <w:t xml:space="preserve">funding of </w:t>
            </w:r>
            <w:r w:rsidR="00407965" w:rsidRPr="00F7295B">
              <w:rPr>
                <w:i/>
                <w:iCs/>
                <w:sz w:val="24"/>
                <w:szCs w:val="24"/>
              </w:rPr>
              <w:t>ROS1</w:t>
            </w:r>
            <w:r w:rsidR="00407965" w:rsidRPr="00F7295B">
              <w:rPr>
                <w:sz w:val="24"/>
                <w:szCs w:val="24"/>
              </w:rPr>
              <w:t xml:space="preserve"> fusion testing </w:t>
            </w:r>
            <w:r w:rsidR="00B77E7B">
              <w:rPr>
                <w:sz w:val="24"/>
                <w:szCs w:val="24"/>
              </w:rPr>
              <w:t xml:space="preserve">to help </w:t>
            </w:r>
            <w:r>
              <w:rPr>
                <w:sz w:val="24"/>
                <w:szCs w:val="24"/>
              </w:rPr>
              <w:t xml:space="preserve">patients know whether they have </w:t>
            </w:r>
            <w:r w:rsidR="00407965" w:rsidRPr="00F7295B">
              <w:rPr>
                <w:sz w:val="24"/>
                <w:szCs w:val="24"/>
              </w:rPr>
              <w:t xml:space="preserve">access </w:t>
            </w:r>
            <w:r w:rsidR="00B77E7B">
              <w:rPr>
                <w:sz w:val="24"/>
                <w:szCs w:val="24"/>
              </w:rPr>
              <w:t xml:space="preserve">to PBS-subsidised </w:t>
            </w:r>
            <w:r w:rsidR="00407965" w:rsidRPr="00F7295B">
              <w:rPr>
                <w:sz w:val="24"/>
                <w:szCs w:val="24"/>
              </w:rPr>
              <w:t>entrectinib.</w:t>
            </w:r>
          </w:p>
        </w:tc>
      </w:tr>
    </w:tbl>
    <w:p w14:paraId="0E9E6F9C" w14:textId="40C6403F" w:rsidR="00F875B1" w:rsidRPr="00F715D1" w:rsidRDefault="00F875B1" w:rsidP="00F875B1">
      <w:pPr>
        <w:pStyle w:val="Heading1"/>
      </w:pPr>
      <w:r w:rsidRPr="00F715D1">
        <w:t xml:space="preserve">Summary of consideration </w:t>
      </w:r>
      <w:r w:rsidR="00E757C2">
        <w:t>and rationale for MSAC’s advice</w:t>
      </w:r>
    </w:p>
    <w:p w14:paraId="56F66703" w14:textId="6AC81B3A" w:rsidR="00407965" w:rsidRDefault="00407965" w:rsidP="00407965">
      <w:r>
        <w:t>MSAC noted that this application was an a</w:t>
      </w:r>
      <w:r w:rsidRPr="004822A3">
        <w:t xml:space="preserve">mendment to MBS Item 73344 for </w:t>
      </w:r>
      <w:r w:rsidRPr="004822A3">
        <w:rPr>
          <w:rStyle w:val="Emphasis"/>
        </w:rPr>
        <w:t>ROS1</w:t>
      </w:r>
      <w:r w:rsidRPr="004822A3">
        <w:t xml:space="preserve"> FISH testing to identify </w:t>
      </w:r>
      <w:r w:rsidRPr="004822A3">
        <w:rPr>
          <w:rStyle w:val="Emphasis"/>
        </w:rPr>
        <w:t>ROS1</w:t>
      </w:r>
      <w:r w:rsidRPr="004822A3">
        <w:t xml:space="preserve"> </w:t>
      </w:r>
      <w:r w:rsidR="00E757C2">
        <w:rPr>
          <w:szCs w:val="24"/>
        </w:rPr>
        <w:t>gene rearrangements</w:t>
      </w:r>
      <w:r w:rsidR="00F4409A">
        <w:rPr>
          <w:szCs w:val="24"/>
        </w:rPr>
        <w:t>,</w:t>
      </w:r>
      <w:r w:rsidRPr="004822A3">
        <w:t xml:space="preserve"> to </w:t>
      </w:r>
      <w:r w:rsidR="009973CD">
        <w:t xml:space="preserve">help </w:t>
      </w:r>
      <w:r w:rsidRPr="004822A3">
        <w:t>determine patient eligibility for entrectinib under the PBS.</w:t>
      </w:r>
    </w:p>
    <w:p w14:paraId="45DAC0EC" w14:textId="27F70EDC" w:rsidR="00407965" w:rsidRDefault="00407965" w:rsidP="002C5D12">
      <w:pPr>
        <w:spacing w:before="240"/>
      </w:pPr>
      <w:r>
        <w:t xml:space="preserve">MSAC noted that </w:t>
      </w:r>
      <w:r w:rsidR="009973CD">
        <w:t xml:space="preserve">the March 2020 </w:t>
      </w:r>
      <w:r>
        <w:t xml:space="preserve">PBAC </w:t>
      </w:r>
      <w:r w:rsidR="009973CD">
        <w:t xml:space="preserve">meeting recommended that </w:t>
      </w:r>
      <w:r w:rsidRPr="004822A3">
        <w:t xml:space="preserve">entrectinib, another tyrosine kinase inhibitor, </w:t>
      </w:r>
      <w:r w:rsidR="009973CD">
        <w:t xml:space="preserve">be listed on the PBS </w:t>
      </w:r>
      <w:r>
        <w:t xml:space="preserve">for </w:t>
      </w:r>
      <w:r w:rsidRPr="004822A3">
        <w:t xml:space="preserve">patients with </w:t>
      </w:r>
      <w:r w:rsidRPr="004822A3">
        <w:rPr>
          <w:rStyle w:val="Emphasis"/>
        </w:rPr>
        <w:t>ROS1</w:t>
      </w:r>
      <w:r w:rsidRPr="004822A3">
        <w:t>-positive NSCLC</w:t>
      </w:r>
      <w:r>
        <w:t>.</w:t>
      </w:r>
    </w:p>
    <w:p w14:paraId="7427E79C" w14:textId="26DEA48F" w:rsidR="00407965" w:rsidRDefault="00407965" w:rsidP="002C5D12">
      <w:pPr>
        <w:spacing w:before="240"/>
      </w:pPr>
      <w:r>
        <w:t xml:space="preserve">MSAC </w:t>
      </w:r>
      <w:r w:rsidR="009973CD">
        <w:t xml:space="preserve">recalled </w:t>
      </w:r>
      <w:r>
        <w:t xml:space="preserve">that it previously </w:t>
      </w:r>
      <w:r w:rsidR="00B90D6D">
        <w:t xml:space="preserve">determined </w:t>
      </w:r>
      <w:r w:rsidRPr="004822A3">
        <w:rPr>
          <w:rStyle w:val="Emphasis"/>
        </w:rPr>
        <w:t>ROS1</w:t>
      </w:r>
      <w:r w:rsidRPr="004822A3">
        <w:t xml:space="preserve"> gene rearrangement test</w:t>
      </w:r>
      <w:r w:rsidR="009973CD">
        <w:t>ing</w:t>
      </w:r>
      <w:r w:rsidRPr="004822A3">
        <w:t xml:space="preserve"> </w:t>
      </w:r>
      <w:r>
        <w:t>to be</w:t>
      </w:r>
      <w:r w:rsidRPr="004822A3">
        <w:t xml:space="preserve"> safe, clinically effective and cost effective in patients with NSCL</w:t>
      </w:r>
      <w:r>
        <w:t>C, which</w:t>
      </w:r>
      <w:r w:rsidRPr="004822A3">
        <w:t xml:space="preserve"> resulted in </w:t>
      </w:r>
      <w:r w:rsidR="009973CD" w:rsidRPr="004822A3">
        <w:t>MBS item 73344</w:t>
      </w:r>
      <w:r>
        <w:t>, implemented in</w:t>
      </w:r>
      <w:r w:rsidRPr="004822A3">
        <w:t xml:space="preserve"> 1 January 2019</w:t>
      </w:r>
      <w:r>
        <w:t>.</w:t>
      </w:r>
    </w:p>
    <w:p w14:paraId="297F3117" w14:textId="64851BB2" w:rsidR="00407965" w:rsidRDefault="00407965" w:rsidP="002C5D12">
      <w:pPr>
        <w:spacing w:before="240" w:after="240"/>
      </w:pPr>
      <w:r>
        <w:t xml:space="preserve">MSAC agreed with the </w:t>
      </w:r>
      <w:r w:rsidRPr="004822A3">
        <w:t>applicant</w:t>
      </w:r>
      <w:r w:rsidR="009973CD">
        <w:t>’s proposals</w:t>
      </w:r>
      <w:r>
        <w:t xml:space="preserve"> that </w:t>
      </w:r>
      <w:r w:rsidRPr="004822A3">
        <w:t xml:space="preserve">there </w:t>
      </w:r>
      <w:r w:rsidR="009973CD">
        <w:t xml:space="preserve">should be </w:t>
      </w:r>
      <w:r w:rsidRPr="004822A3">
        <w:t xml:space="preserve">no </w:t>
      </w:r>
      <w:r w:rsidR="009973CD">
        <w:t xml:space="preserve">consequential </w:t>
      </w:r>
      <w:r w:rsidRPr="004822A3">
        <w:t>change to the MBS fee, costs to the MBS</w:t>
      </w:r>
      <w:r w:rsidR="009973CD">
        <w:t>,</w:t>
      </w:r>
      <w:r w:rsidRPr="004822A3">
        <w:t xml:space="preserve"> or testing strategy. </w:t>
      </w:r>
      <w:r>
        <w:t>MSAC also noted that u</w:t>
      </w:r>
      <w:r w:rsidRPr="004822A3">
        <w:t xml:space="preserve">tilisation is not expected to increase, as patients who will be tested for eligibility </w:t>
      </w:r>
      <w:r w:rsidR="009973CD">
        <w:t>for</w:t>
      </w:r>
      <w:r w:rsidRPr="004822A3">
        <w:t xml:space="preserve"> entrectinib would have otherwise been tested for eligibility </w:t>
      </w:r>
      <w:r w:rsidR="009973CD">
        <w:t>for</w:t>
      </w:r>
      <w:r w:rsidRPr="004822A3">
        <w:t xml:space="preserve"> crizotinib.</w:t>
      </w:r>
    </w:p>
    <w:p w14:paraId="319D9B34" w14:textId="77777777" w:rsidR="00407965" w:rsidRDefault="00407965" w:rsidP="00407965">
      <w:pPr>
        <w:pStyle w:val="Heading2"/>
      </w:pPr>
      <w:r w:rsidRPr="00972B87">
        <w:t>Other discussion</w:t>
      </w:r>
    </w:p>
    <w:p w14:paraId="789D81CD" w14:textId="231B34E5" w:rsidR="00407965" w:rsidRDefault="00407965" w:rsidP="00407965">
      <w:pPr>
        <w:spacing w:after="240"/>
      </w:pPr>
      <w:r>
        <w:t xml:space="preserve">MSAC </w:t>
      </w:r>
      <w:r w:rsidR="009973CD">
        <w:t xml:space="preserve">separately </w:t>
      </w:r>
      <w:r>
        <w:t xml:space="preserve">noted that </w:t>
      </w:r>
      <w:r w:rsidRPr="00622835">
        <w:rPr>
          <w:rStyle w:val="Emphasis"/>
        </w:rPr>
        <w:t>ROS1</w:t>
      </w:r>
      <w:r>
        <w:t xml:space="preserve"> testing </w:t>
      </w:r>
      <w:r w:rsidR="00E757C2">
        <w:t xml:space="preserve">is already </w:t>
      </w:r>
      <w:r>
        <w:t>increas</w:t>
      </w:r>
      <w:r w:rsidR="00E757C2">
        <w:t>ing</w:t>
      </w:r>
      <w:r>
        <w:t xml:space="preserve"> because it is also </w:t>
      </w:r>
      <w:r w:rsidR="00E757C2">
        <w:t xml:space="preserve">used to help determine </w:t>
      </w:r>
      <w:r>
        <w:t xml:space="preserve">access to </w:t>
      </w:r>
      <w:r w:rsidR="00E757C2">
        <w:t xml:space="preserve">PBS-subsidised </w:t>
      </w:r>
      <w:r w:rsidRPr="00622835">
        <w:t>pembrolizumab</w:t>
      </w:r>
      <w:r w:rsidR="00F4409A">
        <w:t>,</w:t>
      </w:r>
      <w:r>
        <w:t xml:space="preserve"> for </w:t>
      </w:r>
      <w:r w:rsidR="00F4409A">
        <w:t xml:space="preserve">those </w:t>
      </w:r>
      <w:r>
        <w:t>patients with NSCLC</w:t>
      </w:r>
      <w:r w:rsidR="00E757C2">
        <w:t xml:space="preserve"> who </w:t>
      </w:r>
      <w:r w:rsidR="00CA0DFA">
        <w:t xml:space="preserve">are found </w:t>
      </w:r>
      <w:r w:rsidR="00E757C2">
        <w:t xml:space="preserve">not </w:t>
      </w:r>
      <w:r w:rsidR="00CA0DFA">
        <w:t xml:space="preserve">to </w:t>
      </w:r>
      <w:r w:rsidR="00E757C2">
        <w:t xml:space="preserve">have </w:t>
      </w:r>
      <w:r w:rsidR="00E757C2" w:rsidRPr="004822A3">
        <w:rPr>
          <w:rStyle w:val="Emphasis"/>
        </w:rPr>
        <w:t>ROS1</w:t>
      </w:r>
      <w:r w:rsidR="00E757C2" w:rsidRPr="004822A3">
        <w:t xml:space="preserve"> </w:t>
      </w:r>
      <w:r w:rsidR="00E757C2">
        <w:rPr>
          <w:szCs w:val="24"/>
        </w:rPr>
        <w:t>gene rearrangements</w:t>
      </w:r>
      <w:r>
        <w:t>.</w:t>
      </w:r>
    </w:p>
    <w:p w14:paraId="0CA172A3" w14:textId="77777777" w:rsidR="00F875B1" w:rsidRPr="00F715D1" w:rsidRDefault="00F875B1" w:rsidP="00F875B1">
      <w:pPr>
        <w:pStyle w:val="Heading1"/>
      </w:pPr>
      <w:r w:rsidRPr="00F715D1">
        <w:t>Background</w:t>
      </w:r>
    </w:p>
    <w:p w14:paraId="28B79256" w14:textId="3478437C" w:rsidR="00B1197E" w:rsidRDefault="00B1197E" w:rsidP="00B1197E">
      <w:pPr>
        <w:spacing w:after="120"/>
        <w:rPr>
          <w:szCs w:val="24"/>
          <w:lang w:bidi="en-US"/>
        </w:rPr>
      </w:pPr>
      <w:r>
        <w:rPr>
          <w:szCs w:val="24"/>
          <w:lang w:bidi="en-US"/>
        </w:rPr>
        <w:t xml:space="preserve">In July 2018, MSAC </w:t>
      </w:r>
      <w:r>
        <w:t xml:space="preserve">supported MBS funding for FISH testing for </w:t>
      </w:r>
      <w:r>
        <w:rPr>
          <w:i/>
        </w:rPr>
        <w:t>ROS1</w:t>
      </w:r>
      <w:r>
        <w:t xml:space="preserve"> rearrangements in patients with locally advanced or metastatic NSCLC to determine access to crizotinib under the </w:t>
      </w:r>
      <w:r w:rsidR="00A37768">
        <w:t>PBS</w:t>
      </w:r>
      <w:r>
        <w:t xml:space="preserve"> </w:t>
      </w:r>
      <w:r>
        <w:rPr>
          <w:rFonts w:cs="Arial"/>
        </w:rPr>
        <w:t xml:space="preserve">(see </w:t>
      </w:r>
      <w:hyperlink r:id="rId10" w:tooltip="Link to MSAC website page for application 1454" w:history="1">
        <w:r w:rsidRPr="005727CE">
          <w:rPr>
            <w:rStyle w:val="Hyperlink"/>
            <w:rFonts w:cs="Arial"/>
          </w:rPr>
          <w:t>Public Summary Document [PSD] for Application 1454</w:t>
        </w:r>
      </w:hyperlink>
      <w:r>
        <w:rPr>
          <w:rFonts w:cs="Arial"/>
        </w:rPr>
        <w:t>, MSAC 73</w:t>
      </w:r>
      <w:r w:rsidRPr="007755C0">
        <w:rPr>
          <w:rFonts w:cs="Arial"/>
          <w:vertAlign w:val="superscript"/>
        </w:rPr>
        <w:t>rd</w:t>
      </w:r>
      <w:r>
        <w:rPr>
          <w:rFonts w:cs="Arial"/>
        </w:rPr>
        <w:t xml:space="preserve"> Meeting, </w:t>
      </w:r>
      <w:r>
        <w:rPr>
          <w:rFonts w:cs="Arial"/>
        </w:rPr>
        <w:lastRenderedPageBreak/>
        <w:t>26-27 July 2018). This</w:t>
      </w:r>
      <w:r>
        <w:rPr>
          <w:snapToGrid w:val="0"/>
        </w:rPr>
        <w:t xml:space="preserve"> resulted in the implementation of MBS item </w:t>
      </w:r>
      <w:r w:rsidR="00B42678">
        <w:rPr>
          <w:snapToGrid w:val="0"/>
        </w:rPr>
        <w:t xml:space="preserve">73344 </w:t>
      </w:r>
      <w:r>
        <w:rPr>
          <w:snapToGrid w:val="0"/>
        </w:rPr>
        <w:t xml:space="preserve">for </w:t>
      </w:r>
      <w:r>
        <w:rPr>
          <w:i/>
          <w:snapToGrid w:val="0"/>
        </w:rPr>
        <w:t xml:space="preserve">ROS1 </w:t>
      </w:r>
      <w:r>
        <w:rPr>
          <w:snapToGrid w:val="0"/>
        </w:rPr>
        <w:t>testing in NSCLC patients</w:t>
      </w:r>
      <w:r w:rsidR="00B42678">
        <w:rPr>
          <w:snapToGrid w:val="0"/>
        </w:rPr>
        <w:t xml:space="preserve"> on</w:t>
      </w:r>
      <w:r>
        <w:rPr>
          <w:snapToGrid w:val="0"/>
        </w:rPr>
        <w:t xml:space="preserve"> 1 January 2019.</w:t>
      </w:r>
    </w:p>
    <w:p w14:paraId="2575ACC9" w14:textId="77777777" w:rsidR="00B1197E" w:rsidRDefault="00B1197E" w:rsidP="00B1197E">
      <w:pPr>
        <w:spacing w:after="120"/>
        <w:rPr>
          <w:szCs w:val="24"/>
          <w:lang w:bidi="en-US"/>
        </w:rPr>
      </w:pPr>
      <w:r>
        <w:rPr>
          <w:szCs w:val="24"/>
          <w:lang w:bidi="en-US"/>
        </w:rPr>
        <w:t xml:space="preserve">MSAC first considered Application 1454 at its November 2017 meeting. </w:t>
      </w:r>
      <w:r>
        <w:rPr>
          <w:szCs w:val="24"/>
          <w:lang w:val="en-US"/>
        </w:rPr>
        <w:t xml:space="preserve">MSAC </w:t>
      </w:r>
      <w:r>
        <w:rPr>
          <w:szCs w:val="24"/>
        </w:rPr>
        <w:t>deferred its advice until the PBAC recommended the PBS listing of crizotinib for this population.</w:t>
      </w:r>
    </w:p>
    <w:p w14:paraId="2E724FB2" w14:textId="289AFDA2" w:rsidR="00B1197E" w:rsidRPr="005727CE" w:rsidRDefault="00B1197E" w:rsidP="00B1197E">
      <w:pPr>
        <w:spacing w:after="120"/>
        <w:rPr>
          <w:szCs w:val="28"/>
          <w:lang w:bidi="en-US"/>
        </w:rPr>
      </w:pPr>
      <w:r>
        <w:rPr>
          <w:i/>
          <w:szCs w:val="28"/>
          <w:lang w:bidi="en-US"/>
        </w:rPr>
        <w:t>ALK</w:t>
      </w:r>
      <w:r>
        <w:rPr>
          <w:szCs w:val="28"/>
          <w:lang w:bidi="en-US"/>
        </w:rPr>
        <w:t xml:space="preserve"> FISH testing was considered by MSAC at its November 2013 and November 2014 meetings. At the November 2014 MSAC consideration, </w:t>
      </w:r>
      <w:r>
        <w:rPr>
          <w:i/>
          <w:szCs w:val="28"/>
          <w:lang w:bidi="en-US"/>
        </w:rPr>
        <w:t>ALK</w:t>
      </w:r>
      <w:r>
        <w:rPr>
          <w:szCs w:val="28"/>
          <w:lang w:bidi="en-US"/>
        </w:rPr>
        <w:t xml:space="preserve"> FISH testing was supported for patients with locally advanced or metastatic, non-squamous or histology </w:t>
      </w:r>
      <w:r w:rsidR="005D7C99">
        <w:rPr>
          <w:szCs w:val="28"/>
          <w:lang w:bidi="en-US"/>
        </w:rPr>
        <w:t>not otherwise specified (</w:t>
      </w:r>
      <w:r>
        <w:rPr>
          <w:szCs w:val="28"/>
          <w:lang w:bidi="en-US"/>
        </w:rPr>
        <w:t>NOS</w:t>
      </w:r>
      <w:r w:rsidR="005D7C99">
        <w:rPr>
          <w:szCs w:val="28"/>
          <w:lang w:bidi="en-US"/>
        </w:rPr>
        <w:t>)</w:t>
      </w:r>
      <w:r>
        <w:rPr>
          <w:szCs w:val="28"/>
          <w:lang w:bidi="en-US"/>
        </w:rPr>
        <w:t xml:space="preserve"> NSCLC with a documented absence of </w:t>
      </w:r>
      <w:r>
        <w:rPr>
          <w:i/>
          <w:szCs w:val="28"/>
          <w:lang w:bidi="en-US"/>
        </w:rPr>
        <w:t>EGFR</w:t>
      </w:r>
      <w:r>
        <w:rPr>
          <w:szCs w:val="28"/>
          <w:lang w:bidi="en-US"/>
        </w:rPr>
        <w:t xml:space="preserve"> activating mutations and ALK immunoreactivity by IHC.</w:t>
      </w:r>
    </w:p>
    <w:p w14:paraId="672DFF66" w14:textId="77777777" w:rsidR="00F875B1" w:rsidRPr="00F715D1" w:rsidRDefault="00F875B1" w:rsidP="00F875B1">
      <w:pPr>
        <w:pStyle w:val="Heading1"/>
      </w:pPr>
      <w:r w:rsidRPr="00F715D1">
        <w:t>Proposal for public funding</w:t>
      </w:r>
    </w:p>
    <w:p w14:paraId="6AABD327" w14:textId="77777777" w:rsidR="00475C6F" w:rsidRDefault="00475C6F" w:rsidP="00475C6F">
      <w:r>
        <w:t>The application proposed a</w:t>
      </w:r>
      <w:r w:rsidRPr="00BD5265">
        <w:t xml:space="preserve"> minor amendment to the MBS item </w:t>
      </w:r>
      <w:r>
        <w:t xml:space="preserve">descriptor </w:t>
      </w:r>
      <w:r w:rsidRPr="00BD5265">
        <w:t xml:space="preserve">for </w:t>
      </w:r>
      <w:r w:rsidRPr="00F81EA1">
        <w:rPr>
          <w:i/>
        </w:rPr>
        <w:t>ROS1</w:t>
      </w:r>
      <w:r>
        <w:t xml:space="preserve"> </w:t>
      </w:r>
      <w:r w:rsidRPr="00BD5265">
        <w:t xml:space="preserve">FISH testing </w:t>
      </w:r>
      <w:r>
        <w:t xml:space="preserve">that will </w:t>
      </w:r>
      <w:r w:rsidRPr="00BD5265">
        <w:t xml:space="preserve">facilitate its use in determining patient eligibility to access </w:t>
      </w:r>
      <w:r>
        <w:t>entrectinib under the PBS (Table 1)</w:t>
      </w:r>
      <w:r w:rsidRPr="00BD5265">
        <w:t xml:space="preserve">. </w:t>
      </w:r>
      <w:r>
        <w:t xml:space="preserve">Proposed additions are in </w:t>
      </w:r>
      <w:r w:rsidRPr="004B7EF1">
        <w:rPr>
          <w:b/>
          <w:bCs/>
        </w:rPr>
        <w:t>bold</w:t>
      </w:r>
      <w:r>
        <w:t xml:space="preserve"> text. No change</w:t>
      </w:r>
      <w:r w:rsidRPr="00F77BD4">
        <w:t xml:space="preserve"> </w:t>
      </w:r>
      <w:r w:rsidR="00F81EA1">
        <w:t xml:space="preserve">was sought </w:t>
      </w:r>
      <w:r>
        <w:t xml:space="preserve">to the current MBS fee for </w:t>
      </w:r>
      <w:r w:rsidRPr="00F81EA1">
        <w:rPr>
          <w:i/>
        </w:rPr>
        <w:t>ROS1</w:t>
      </w:r>
      <w:r>
        <w:t xml:space="preserve"> testing by FISH.</w:t>
      </w:r>
    </w:p>
    <w:p w14:paraId="5CD07CF9" w14:textId="776D6DC0" w:rsidR="00475C6F" w:rsidRPr="006B2221" w:rsidRDefault="00475C6F" w:rsidP="006B2221">
      <w:pPr>
        <w:spacing w:before="240"/>
        <w:rPr>
          <w:rFonts w:ascii="Arial Narrow" w:hAnsi="Arial Narrow"/>
          <w:b/>
          <w:sz w:val="20"/>
        </w:rPr>
      </w:pPr>
      <w:r w:rsidRPr="006B2221">
        <w:rPr>
          <w:rFonts w:ascii="Arial Narrow" w:hAnsi="Arial Narrow"/>
          <w:b/>
          <w:sz w:val="20"/>
        </w:rPr>
        <w:t>Table 1</w:t>
      </w:r>
      <w:r w:rsidR="00571D26" w:rsidRPr="006B2221">
        <w:rPr>
          <w:rFonts w:ascii="Arial Narrow" w:hAnsi="Arial Narrow"/>
          <w:b/>
          <w:sz w:val="20"/>
        </w:rPr>
        <w:t>:</w:t>
      </w:r>
      <w:r w:rsidRPr="006B2221">
        <w:rPr>
          <w:rFonts w:ascii="Arial Narrow" w:hAnsi="Arial Narrow"/>
          <w:b/>
          <w:sz w:val="20"/>
        </w:rPr>
        <w:tab/>
        <w:t>Proposed amendment to MBS listing for ROS1 FISH testing under item 73344</w:t>
      </w:r>
    </w:p>
    <w:tbl>
      <w:tblPr>
        <w:tblStyle w:val="TableGrid"/>
        <w:tblW w:w="0" w:type="auto"/>
        <w:tblLook w:val="0480" w:firstRow="0" w:lastRow="0" w:firstColumn="1" w:lastColumn="0" w:noHBand="0" w:noVBand="1"/>
        <w:tblCaption w:val="Table 1 Proposed amendment to MBS listing for ROS1 FISH testing under item 73344"/>
        <w:tblDescription w:val="MBS item descriptor"/>
      </w:tblPr>
      <w:tblGrid>
        <w:gridCol w:w="9016"/>
      </w:tblGrid>
      <w:tr w:rsidR="00475C6F" w:rsidRPr="004B7EF1" w14:paraId="3DA574F7" w14:textId="77777777" w:rsidTr="00F637F6">
        <w:trPr>
          <w:tblHeader/>
        </w:trPr>
        <w:tc>
          <w:tcPr>
            <w:tcW w:w="9627" w:type="dxa"/>
          </w:tcPr>
          <w:p w14:paraId="45573552" w14:textId="77777777" w:rsidR="00475C6F" w:rsidRPr="004B7EF1" w:rsidRDefault="00475C6F" w:rsidP="009A4EBB">
            <w:pPr>
              <w:keepNext/>
              <w:keepLines/>
              <w:jc w:val="right"/>
              <w:rPr>
                <w:rFonts w:ascii="Arial Narrow" w:hAnsi="Arial Narrow"/>
                <w:sz w:val="20"/>
                <w:szCs w:val="16"/>
              </w:rPr>
            </w:pPr>
            <w:r w:rsidRPr="004B7EF1">
              <w:rPr>
                <w:rFonts w:ascii="Arial Narrow" w:hAnsi="Arial Narrow"/>
                <w:sz w:val="20"/>
                <w:szCs w:val="16"/>
              </w:rPr>
              <w:t>Category 6 – PATHOLOGY SERVICES</w:t>
            </w:r>
          </w:p>
        </w:tc>
      </w:tr>
      <w:tr w:rsidR="00475C6F" w:rsidRPr="004B7EF1" w14:paraId="529A216C" w14:textId="77777777" w:rsidTr="009A4EBB">
        <w:tc>
          <w:tcPr>
            <w:tcW w:w="9627" w:type="dxa"/>
          </w:tcPr>
          <w:p w14:paraId="79109872" w14:textId="38CB3B90" w:rsidR="00475C6F" w:rsidRPr="004B7EF1" w:rsidRDefault="00475C6F" w:rsidP="009A4EBB">
            <w:pPr>
              <w:keepNext/>
              <w:keepLines/>
              <w:rPr>
                <w:rFonts w:ascii="Arial Narrow" w:hAnsi="Arial Narrow"/>
                <w:sz w:val="20"/>
                <w:szCs w:val="16"/>
              </w:rPr>
            </w:pPr>
            <w:r w:rsidRPr="004B7EF1">
              <w:rPr>
                <w:rFonts w:ascii="Arial Narrow" w:hAnsi="Arial Narrow"/>
                <w:sz w:val="20"/>
                <w:szCs w:val="16"/>
              </w:rPr>
              <w:t>MBS item: 73344</w:t>
            </w:r>
          </w:p>
          <w:p w14:paraId="216FA3BB" w14:textId="6C154C49" w:rsidR="00475C6F" w:rsidRPr="004B7EF1" w:rsidRDefault="00475C6F" w:rsidP="002C5D12">
            <w:pPr>
              <w:keepNext/>
              <w:keepLines/>
              <w:spacing w:before="240"/>
              <w:rPr>
                <w:rFonts w:ascii="Arial Narrow" w:hAnsi="Arial Narrow"/>
                <w:sz w:val="20"/>
                <w:szCs w:val="16"/>
              </w:rPr>
            </w:pPr>
            <w:r w:rsidRPr="004B7EF1">
              <w:rPr>
                <w:rFonts w:ascii="Arial Narrow" w:hAnsi="Arial Narrow"/>
                <w:sz w:val="20"/>
                <w:szCs w:val="16"/>
              </w:rPr>
              <w:t xml:space="preserve">Fluorescence in situ hybridization (FISH) test of tumour tissue from a patient with locally advanced or metastatic non-small-cell lung cancer (NSCLC), which is of non-squamous histology or histology not otherwise specified, with documented evidence of ROS proto-oncogene 1 (ROS1) immunoreactivity by immunohistochemical (IHC) examination giving a staining intensity score of 2+ or 3+; and with documented absence of both activating mutations of the epidermal growth factor receptor (EGFR) gene and anaplastic lymphoma kinase (ALK) immunoreactivity by IHC, requested by a specialist or consultant physician to determine if requirements relating to ROS1 gene rearrangement status for access to crizotinib </w:t>
            </w:r>
            <w:r w:rsidRPr="004B7EF1">
              <w:rPr>
                <w:rFonts w:ascii="Arial Narrow" w:hAnsi="Arial Narrow"/>
                <w:b/>
                <w:bCs/>
                <w:sz w:val="20"/>
                <w:szCs w:val="16"/>
              </w:rPr>
              <w:t>or entrectinib</w:t>
            </w:r>
            <w:r w:rsidRPr="004B7EF1">
              <w:rPr>
                <w:rFonts w:ascii="Arial Narrow" w:hAnsi="Arial Narrow"/>
                <w:sz w:val="20"/>
                <w:szCs w:val="16"/>
              </w:rPr>
              <w:t xml:space="preserve"> under the Pharmaceutical Benefits Scheme are fulfilled.</w:t>
            </w:r>
          </w:p>
          <w:p w14:paraId="52E91366" w14:textId="77777777" w:rsidR="00475C6F" w:rsidRPr="004B7EF1" w:rsidRDefault="00475C6F" w:rsidP="002C5D12">
            <w:pPr>
              <w:keepNext/>
              <w:keepLines/>
              <w:spacing w:before="240"/>
              <w:rPr>
                <w:rFonts w:ascii="Arial Narrow" w:hAnsi="Arial Narrow"/>
                <w:b/>
                <w:bCs/>
                <w:sz w:val="20"/>
                <w:szCs w:val="16"/>
              </w:rPr>
            </w:pPr>
            <w:r w:rsidRPr="004B7EF1">
              <w:rPr>
                <w:rFonts w:ascii="Arial Narrow" w:hAnsi="Arial Narrow"/>
                <w:b/>
                <w:bCs/>
                <w:sz w:val="20"/>
                <w:szCs w:val="16"/>
              </w:rPr>
              <w:t xml:space="preserve">Fee: </w:t>
            </w:r>
            <w:r w:rsidRPr="004B7EF1">
              <w:rPr>
                <w:rFonts w:ascii="Arial Narrow" w:hAnsi="Arial Narrow"/>
                <w:sz w:val="20"/>
                <w:szCs w:val="16"/>
              </w:rPr>
              <w:t xml:space="preserve">$400.00 </w:t>
            </w:r>
            <w:r w:rsidRPr="004B7EF1">
              <w:rPr>
                <w:rFonts w:ascii="Arial Narrow" w:hAnsi="Arial Narrow"/>
                <w:b/>
                <w:bCs/>
                <w:sz w:val="20"/>
                <w:szCs w:val="16"/>
              </w:rPr>
              <w:t>Benefit:</w:t>
            </w:r>
            <w:r w:rsidRPr="004B7EF1">
              <w:rPr>
                <w:rFonts w:ascii="Arial Narrow" w:hAnsi="Arial Narrow"/>
                <w:sz w:val="20"/>
                <w:szCs w:val="16"/>
              </w:rPr>
              <w:t xml:space="preserve"> 75% = $300.00 85% = $340.00</w:t>
            </w:r>
          </w:p>
        </w:tc>
      </w:tr>
    </w:tbl>
    <w:p w14:paraId="7E00FF40" w14:textId="0F1BCA4B" w:rsidR="00475C6F" w:rsidRPr="004B7EF1" w:rsidRDefault="00475C6F" w:rsidP="00475C6F">
      <w:pPr>
        <w:spacing w:after="240"/>
        <w:rPr>
          <w:rFonts w:ascii="Arial Narrow" w:hAnsi="Arial Narrow"/>
          <w:sz w:val="18"/>
          <w:szCs w:val="14"/>
        </w:rPr>
      </w:pPr>
      <w:r>
        <w:rPr>
          <w:rFonts w:ascii="Arial Narrow" w:hAnsi="Arial Narrow"/>
          <w:sz w:val="18"/>
          <w:szCs w:val="14"/>
        </w:rPr>
        <w:t xml:space="preserve">Source: Table 4, p8 of the </w:t>
      </w:r>
      <w:r w:rsidR="006819FE">
        <w:rPr>
          <w:rFonts w:ascii="Arial Narrow" w:hAnsi="Arial Narrow"/>
          <w:sz w:val="18"/>
          <w:szCs w:val="14"/>
        </w:rPr>
        <w:t>minor submi</w:t>
      </w:r>
      <w:r>
        <w:rPr>
          <w:rFonts w:ascii="Arial Narrow" w:hAnsi="Arial Narrow"/>
          <w:sz w:val="18"/>
          <w:szCs w:val="14"/>
        </w:rPr>
        <w:t>ssion</w:t>
      </w:r>
    </w:p>
    <w:p w14:paraId="074D4459" w14:textId="77777777" w:rsidR="00F875B1" w:rsidRPr="00F715D1" w:rsidRDefault="00F875B1" w:rsidP="00F875B1">
      <w:pPr>
        <w:pStyle w:val="Heading1"/>
      </w:pPr>
      <w:r w:rsidRPr="00F715D1">
        <w:t>Proposed intervention’s place in clinical management</w:t>
      </w:r>
    </w:p>
    <w:p w14:paraId="3A43B4D1" w14:textId="77777777" w:rsidR="00475C6F" w:rsidRDefault="00475C6F" w:rsidP="00475C6F">
      <w:r>
        <w:t xml:space="preserve">No change to the testing algorithm for NSCLC patients </w:t>
      </w:r>
      <w:r w:rsidR="00675BE8">
        <w:t>wa</w:t>
      </w:r>
      <w:r>
        <w:t>s proposed.</w:t>
      </w:r>
    </w:p>
    <w:p w14:paraId="0F95C486" w14:textId="0BF86CDA" w:rsidR="00475C6F" w:rsidRDefault="00475C6F" w:rsidP="002C5D12">
      <w:pPr>
        <w:spacing w:before="240"/>
      </w:pPr>
      <w:r>
        <w:t xml:space="preserve">The place of </w:t>
      </w:r>
      <w:r w:rsidRPr="00675BE8">
        <w:rPr>
          <w:i/>
        </w:rPr>
        <w:t>ROS1</w:t>
      </w:r>
      <w:r>
        <w:t xml:space="preserve"> testing in the selection of first-line systemic treatment options for patients with NSCLC with the availability of entrectinib on the PBS is outlined in the clinical management algorithm provided at</w:t>
      </w:r>
      <w:r w:rsidR="00CA0084">
        <w:t xml:space="preserve"> Figure 1</w:t>
      </w:r>
      <w:r>
        <w:t xml:space="preserve">. The context of </w:t>
      </w:r>
      <w:r w:rsidRPr="00BE20B5">
        <w:rPr>
          <w:i/>
          <w:iCs/>
        </w:rPr>
        <w:t>ROS1</w:t>
      </w:r>
      <w:r>
        <w:t xml:space="preserve"> testing by FISH within the molecular testing cascade and use of </w:t>
      </w:r>
      <w:r w:rsidRPr="006819FE">
        <w:t>ROS1</w:t>
      </w:r>
      <w:r>
        <w:t xml:space="preserve"> inhibitors in </w:t>
      </w:r>
      <w:r w:rsidRPr="00BE20B5">
        <w:rPr>
          <w:i/>
          <w:iCs/>
        </w:rPr>
        <w:t>ROS1</w:t>
      </w:r>
      <w:r>
        <w:t xml:space="preserve">-positive patients are highlighted </w:t>
      </w:r>
      <w:r w:rsidR="00675BE8">
        <w:t xml:space="preserve">in </w:t>
      </w:r>
      <w:r>
        <w:t>yellow.</w:t>
      </w:r>
    </w:p>
    <w:p w14:paraId="60FB996A" w14:textId="0E77676F" w:rsidR="00475C6F" w:rsidRDefault="00475C6F" w:rsidP="002C5D12">
      <w:pPr>
        <w:spacing w:before="240"/>
      </w:pPr>
      <w:r>
        <w:t xml:space="preserve">The requirement for patients to have undergone testing for </w:t>
      </w:r>
      <w:r w:rsidRPr="00BE20B5">
        <w:rPr>
          <w:i/>
          <w:iCs/>
        </w:rPr>
        <w:t>EGFR</w:t>
      </w:r>
      <w:r>
        <w:t xml:space="preserve"> mutations, </w:t>
      </w:r>
      <w:r w:rsidRPr="006819FE">
        <w:rPr>
          <w:iCs/>
        </w:rPr>
        <w:t>ALK</w:t>
      </w:r>
      <w:r w:rsidRPr="006819FE">
        <w:t xml:space="preserve"> </w:t>
      </w:r>
      <w:r>
        <w:t>immunohistochemical</w:t>
      </w:r>
      <w:r w:rsidR="00675BE8">
        <w:t xml:space="preserve"> </w:t>
      </w:r>
      <w:r>
        <w:t xml:space="preserve">and </w:t>
      </w:r>
      <w:r w:rsidRPr="006819FE">
        <w:rPr>
          <w:iCs/>
        </w:rPr>
        <w:t>ROS1</w:t>
      </w:r>
      <w:r>
        <w:t xml:space="preserve"> immunohistochemical screening prior to </w:t>
      </w:r>
      <w:r w:rsidRPr="00BE20B5">
        <w:rPr>
          <w:i/>
          <w:iCs/>
        </w:rPr>
        <w:t>ROS1</w:t>
      </w:r>
      <w:r>
        <w:t xml:space="preserve"> FISH testing represented in</w:t>
      </w:r>
      <w:r w:rsidR="00CA0084">
        <w:t xml:space="preserve"> Figure 1</w:t>
      </w:r>
      <w:r>
        <w:t xml:space="preserve"> is</w:t>
      </w:r>
      <w:r w:rsidR="005419C5">
        <w:t xml:space="preserve"> broadly </w:t>
      </w:r>
      <w:r>
        <w:t xml:space="preserve">consistent with MSAC’s previous advice regarding the place of </w:t>
      </w:r>
      <w:r w:rsidRPr="00675BE8">
        <w:rPr>
          <w:i/>
        </w:rPr>
        <w:t>ROS1</w:t>
      </w:r>
      <w:r>
        <w:t xml:space="preserve"> testing by FISH and the item descriptor for MBS item 73344.</w:t>
      </w:r>
    </w:p>
    <w:p w14:paraId="2F3954F2" w14:textId="20318F3A" w:rsidR="00475C6F" w:rsidRPr="006B2221" w:rsidRDefault="00475C6F" w:rsidP="006B2221">
      <w:pPr>
        <w:keepNext/>
        <w:keepLines/>
        <w:rPr>
          <w:rFonts w:ascii="Arial Narrow" w:hAnsi="Arial Narrow"/>
          <w:b/>
          <w:sz w:val="20"/>
        </w:rPr>
      </w:pPr>
      <w:bookmarkStart w:id="0" w:name="_Ref480713090"/>
      <w:bookmarkStart w:id="1" w:name="_Toc21876439"/>
      <w:r w:rsidRPr="006B2221">
        <w:rPr>
          <w:rFonts w:ascii="Arial Narrow" w:hAnsi="Arial Narrow"/>
          <w:b/>
          <w:sz w:val="20"/>
        </w:rPr>
        <w:lastRenderedPageBreak/>
        <w:t>Figure</w:t>
      </w:r>
      <w:bookmarkEnd w:id="0"/>
      <w:r w:rsidRPr="006B2221">
        <w:rPr>
          <w:rFonts w:ascii="Arial Narrow" w:hAnsi="Arial Narrow"/>
          <w:b/>
          <w:sz w:val="20"/>
        </w:rPr>
        <w:t xml:space="preserve"> 1</w:t>
      </w:r>
      <w:r w:rsidR="00571D26" w:rsidRPr="006B2221">
        <w:rPr>
          <w:rFonts w:ascii="Arial Narrow" w:hAnsi="Arial Narrow"/>
          <w:b/>
          <w:sz w:val="20"/>
        </w:rPr>
        <w:t>:</w:t>
      </w:r>
      <w:r w:rsidRPr="006B2221">
        <w:rPr>
          <w:rFonts w:ascii="Arial Narrow" w:hAnsi="Arial Narrow"/>
          <w:b/>
          <w:sz w:val="20"/>
        </w:rPr>
        <w:tab/>
        <w:t>Clinical management algorithm with the availability of entrectinib as an alternative treatment to crizotinib</w:t>
      </w:r>
      <w:bookmarkEnd w:id="1"/>
    </w:p>
    <w:p w14:paraId="567EFB81" w14:textId="6D98F75E" w:rsidR="00475C6F" w:rsidRDefault="00475C6F" w:rsidP="006B2221">
      <w:pPr>
        <w:keepNext/>
        <w:keepLines/>
        <w:jc w:val="center"/>
      </w:pPr>
      <w:r>
        <w:rPr>
          <w:noProof/>
        </w:rPr>
        <w:drawing>
          <wp:inline distT="0" distB="0" distL="0" distR="0" wp14:anchorId="034E8A40" wp14:editId="771A7617">
            <wp:extent cx="6119495" cy="3464560"/>
            <wp:effectExtent l="0" t="0" r="0" b="2540"/>
            <wp:docPr id="1" name="Picture 1" descr="Schematic algorithm" title="Figure 1 Clinical management algorithm with the availability of entrectinib as an alternative treatment to crizotin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3464560"/>
                    </a:xfrm>
                    <a:prstGeom prst="rect">
                      <a:avLst/>
                    </a:prstGeom>
                    <a:noFill/>
                    <a:ln>
                      <a:noFill/>
                    </a:ln>
                  </pic:spPr>
                </pic:pic>
              </a:graphicData>
            </a:graphic>
          </wp:inline>
        </w:drawing>
      </w:r>
    </w:p>
    <w:p w14:paraId="60836412" w14:textId="5A062F6C" w:rsidR="00475C6F" w:rsidRDefault="00475C6F" w:rsidP="002C5D12">
      <w:pPr>
        <w:spacing w:before="240"/>
      </w:pPr>
      <w:r>
        <w:t xml:space="preserve">The proposed role of entrectinib is as an </w:t>
      </w:r>
      <w:r w:rsidRPr="00D770BB">
        <w:t>alternative treatment</w:t>
      </w:r>
      <w:r>
        <w:t xml:space="preserve"> to crizotinib</w:t>
      </w:r>
      <w:r w:rsidR="00B90D6D">
        <w:t>,</w:t>
      </w:r>
      <w:r>
        <w:t xml:space="preserve"> rather than a </w:t>
      </w:r>
      <w:r w:rsidRPr="00D770BB">
        <w:t>subsequent treatment</w:t>
      </w:r>
      <w:r>
        <w:t xml:space="preserve"> to crizotinib. This is supported by the clinical criterion outlined in the proposed PBS restriction for entrectinib specifying that </w:t>
      </w:r>
      <w:r w:rsidRPr="00F87D44">
        <w:t>a “patient must not have received prior treatment with a c-ROS proto-oncogene 1 (</w:t>
      </w:r>
      <w:r w:rsidRPr="00686859">
        <w:rPr>
          <w:i/>
        </w:rPr>
        <w:t>ROS1</w:t>
      </w:r>
      <w:r w:rsidRPr="00F87D44">
        <w:t>) receptor tyrosine kinase inhibitor for this condition”.</w:t>
      </w:r>
      <w:r>
        <w:t xml:space="preserve"> An assessment of the clinical efficacy of entrectinib in patients that have received prior treatment with a </w:t>
      </w:r>
      <w:r w:rsidRPr="006819FE">
        <w:t>ROS1</w:t>
      </w:r>
      <w:r>
        <w:t xml:space="preserve">-inhibitor was presented as part of the major submission to the PBAC and does not support sequential use of crizotinib followed by entrectinib. As such, there is no basis for re-testing </w:t>
      </w:r>
      <w:r w:rsidRPr="00675BE8">
        <w:rPr>
          <w:i/>
        </w:rPr>
        <w:t>ROS1</w:t>
      </w:r>
      <w:r>
        <w:t>-positive patients treated with crizotinib in order to determine if they are suitable for subsequent treatment with entrectinib.</w:t>
      </w:r>
    </w:p>
    <w:p w14:paraId="2BA2E912" w14:textId="77777777" w:rsidR="00F875B1" w:rsidRPr="00F715D1" w:rsidRDefault="00F875B1" w:rsidP="00F875B1">
      <w:pPr>
        <w:pStyle w:val="Heading1"/>
      </w:pPr>
      <w:r w:rsidRPr="00F715D1">
        <w:t>Comparative effectiveness</w:t>
      </w:r>
    </w:p>
    <w:p w14:paraId="23D42BE9" w14:textId="77777777" w:rsidR="00475C6F" w:rsidRDefault="00475C6F" w:rsidP="00475C6F">
      <w:pPr>
        <w:pStyle w:val="Heading2"/>
      </w:pPr>
      <w:bookmarkStart w:id="2" w:name="_Toc22048857"/>
      <w:r>
        <w:t>Comparison of testing strategies employed in clinical trials of ROS1-inhibitors</w:t>
      </w:r>
      <w:bookmarkEnd w:id="2"/>
    </w:p>
    <w:p w14:paraId="7CD11F11" w14:textId="4499F497" w:rsidR="00B9614F" w:rsidRPr="002C5D12" w:rsidRDefault="00475C6F" w:rsidP="002C5D12">
      <w:r>
        <w:t xml:space="preserve">A summary of the </w:t>
      </w:r>
      <w:r w:rsidRPr="00675BE8">
        <w:rPr>
          <w:i/>
        </w:rPr>
        <w:t>ROS1</w:t>
      </w:r>
      <w:r>
        <w:t xml:space="preserve"> gene rearrangement strategies performed across the nonrandomised studies of entrectinib and crizotinib to support PBS-listing in </w:t>
      </w:r>
      <w:r w:rsidRPr="00675BE8">
        <w:rPr>
          <w:i/>
        </w:rPr>
        <w:t>ROS1</w:t>
      </w:r>
      <w:r>
        <w:t>-positive patients is provided in Table 2.</w:t>
      </w:r>
      <w:bookmarkStart w:id="3" w:name="_Ref12957097"/>
      <w:bookmarkStart w:id="4" w:name="_Toc21876434"/>
      <w:r w:rsidR="00B9614F">
        <w:br w:type="page"/>
      </w:r>
    </w:p>
    <w:p w14:paraId="6A2EBD03" w14:textId="4083012E" w:rsidR="00475C6F" w:rsidRPr="006B2221" w:rsidRDefault="00475C6F" w:rsidP="006B2221">
      <w:pPr>
        <w:rPr>
          <w:rFonts w:ascii="Arial Narrow" w:hAnsi="Arial Narrow"/>
          <w:b/>
          <w:sz w:val="20"/>
        </w:rPr>
      </w:pPr>
      <w:r w:rsidRPr="006B2221">
        <w:rPr>
          <w:rFonts w:ascii="Arial Narrow" w:hAnsi="Arial Narrow"/>
          <w:b/>
          <w:sz w:val="20"/>
        </w:rPr>
        <w:lastRenderedPageBreak/>
        <w:t>Table</w:t>
      </w:r>
      <w:bookmarkEnd w:id="3"/>
      <w:r w:rsidRPr="006B2221">
        <w:rPr>
          <w:rFonts w:ascii="Arial Narrow" w:hAnsi="Arial Narrow"/>
          <w:b/>
          <w:sz w:val="20"/>
        </w:rPr>
        <w:t xml:space="preserve"> 2</w:t>
      </w:r>
      <w:r w:rsidR="00571D26" w:rsidRPr="006B2221">
        <w:rPr>
          <w:rFonts w:ascii="Arial Narrow" w:hAnsi="Arial Narrow"/>
          <w:b/>
          <w:sz w:val="20"/>
        </w:rPr>
        <w:t>:</w:t>
      </w:r>
      <w:r w:rsidRPr="006B2221">
        <w:rPr>
          <w:rFonts w:ascii="Arial Narrow" w:hAnsi="Arial Narrow"/>
          <w:b/>
          <w:sz w:val="20"/>
        </w:rPr>
        <w:tab/>
        <w:t>Comparison of ALK gene rearrangement testing in ROS1-inhibitor studies</w:t>
      </w:r>
      <w:bookmarkEnd w:id="4"/>
    </w:p>
    <w:tbl>
      <w:tblPr>
        <w:tblStyle w:val="TableGrid"/>
        <w:tblW w:w="0" w:type="auto"/>
        <w:tblCellMar>
          <w:left w:w="28" w:type="dxa"/>
          <w:right w:w="28" w:type="dxa"/>
        </w:tblCellMar>
        <w:tblLook w:val="04A0" w:firstRow="1" w:lastRow="0" w:firstColumn="1" w:lastColumn="0" w:noHBand="0" w:noVBand="1"/>
        <w:tblCaption w:val="Table 2 Comparison of ALK gene rearrangement testing in ROS1-inhibitor studies"/>
      </w:tblPr>
      <w:tblGrid>
        <w:gridCol w:w="1831"/>
        <w:gridCol w:w="734"/>
        <w:gridCol w:w="1144"/>
        <w:gridCol w:w="1226"/>
        <w:gridCol w:w="970"/>
        <w:gridCol w:w="1230"/>
        <w:gridCol w:w="948"/>
        <w:gridCol w:w="933"/>
      </w:tblGrid>
      <w:tr w:rsidR="00475C6F" w:rsidRPr="008D19CE" w14:paraId="6E24DF71" w14:textId="77777777" w:rsidTr="00F637F6">
        <w:trPr>
          <w:tblHeader/>
        </w:trPr>
        <w:tc>
          <w:tcPr>
            <w:tcW w:w="1946" w:type="dxa"/>
            <w:shd w:val="clear" w:color="auto" w:fill="auto"/>
          </w:tcPr>
          <w:p w14:paraId="1E161BB2" w14:textId="77777777" w:rsidR="00475C6F" w:rsidRPr="00FB5994" w:rsidRDefault="00475C6F" w:rsidP="009A4EBB">
            <w:pPr>
              <w:pStyle w:val="TableText"/>
              <w:rPr>
                <w:b/>
                <w:bCs w:val="0"/>
              </w:rPr>
            </w:pPr>
          </w:p>
        </w:tc>
        <w:tc>
          <w:tcPr>
            <w:tcW w:w="3359" w:type="dxa"/>
            <w:gridSpan w:val="3"/>
            <w:shd w:val="clear" w:color="auto" w:fill="auto"/>
          </w:tcPr>
          <w:p w14:paraId="51313BF4" w14:textId="77777777" w:rsidR="00475C6F" w:rsidRPr="00FB5994" w:rsidRDefault="00475C6F" w:rsidP="008D42BA">
            <w:pPr>
              <w:pStyle w:val="TableText"/>
              <w:jc w:val="center"/>
              <w:rPr>
                <w:b/>
                <w:bCs w:val="0"/>
              </w:rPr>
            </w:pPr>
            <w:r w:rsidRPr="00FB5994">
              <w:rPr>
                <w:b/>
                <w:bCs w:val="0"/>
              </w:rPr>
              <w:t>Entrectinib</w:t>
            </w:r>
          </w:p>
        </w:tc>
        <w:tc>
          <w:tcPr>
            <w:tcW w:w="4322" w:type="dxa"/>
            <w:gridSpan w:val="4"/>
            <w:shd w:val="clear" w:color="auto" w:fill="auto"/>
          </w:tcPr>
          <w:p w14:paraId="68D5D3A2" w14:textId="77777777" w:rsidR="00475C6F" w:rsidRPr="00FB5994" w:rsidRDefault="00475C6F" w:rsidP="008D42BA">
            <w:pPr>
              <w:pStyle w:val="TableText"/>
              <w:jc w:val="center"/>
              <w:rPr>
                <w:b/>
                <w:bCs w:val="0"/>
              </w:rPr>
            </w:pPr>
            <w:r w:rsidRPr="00FB5994">
              <w:rPr>
                <w:b/>
                <w:bCs w:val="0"/>
              </w:rPr>
              <w:t>Crizotinib</w:t>
            </w:r>
          </w:p>
        </w:tc>
      </w:tr>
      <w:tr w:rsidR="00475C6F" w14:paraId="5208538B" w14:textId="77777777" w:rsidTr="009A4EBB">
        <w:tc>
          <w:tcPr>
            <w:tcW w:w="1946" w:type="dxa"/>
          </w:tcPr>
          <w:p w14:paraId="179CD9FB" w14:textId="77777777" w:rsidR="00475C6F" w:rsidRDefault="00475C6F" w:rsidP="009A4EBB">
            <w:pPr>
              <w:pStyle w:val="TableText"/>
            </w:pPr>
            <w:r>
              <w:t>Study ID (in major PBAC submission)</w:t>
            </w:r>
          </w:p>
        </w:tc>
        <w:tc>
          <w:tcPr>
            <w:tcW w:w="813" w:type="dxa"/>
          </w:tcPr>
          <w:p w14:paraId="77632342" w14:textId="77777777" w:rsidR="00475C6F" w:rsidRDefault="00475C6F" w:rsidP="008D42BA">
            <w:pPr>
              <w:pStyle w:val="TableText"/>
              <w:jc w:val="center"/>
            </w:pPr>
            <w:r>
              <w:t>ALKA</w:t>
            </w:r>
          </w:p>
        </w:tc>
        <w:tc>
          <w:tcPr>
            <w:tcW w:w="1229" w:type="dxa"/>
          </w:tcPr>
          <w:p w14:paraId="314C9A35" w14:textId="77777777" w:rsidR="00475C6F" w:rsidRDefault="00475C6F" w:rsidP="008D42BA">
            <w:pPr>
              <w:pStyle w:val="TableText"/>
              <w:jc w:val="center"/>
            </w:pPr>
            <w:r>
              <w:t>STARTRK-1</w:t>
            </w:r>
          </w:p>
        </w:tc>
        <w:tc>
          <w:tcPr>
            <w:tcW w:w="1317" w:type="dxa"/>
          </w:tcPr>
          <w:p w14:paraId="62C4A736" w14:textId="77777777" w:rsidR="00475C6F" w:rsidRDefault="00475C6F" w:rsidP="008D42BA">
            <w:pPr>
              <w:pStyle w:val="TableText"/>
              <w:jc w:val="center"/>
            </w:pPr>
            <w:r>
              <w:t>STARTRK-2</w:t>
            </w:r>
          </w:p>
        </w:tc>
        <w:tc>
          <w:tcPr>
            <w:tcW w:w="1037" w:type="dxa"/>
          </w:tcPr>
          <w:p w14:paraId="2D4FB928" w14:textId="77777777" w:rsidR="00475C6F" w:rsidRDefault="00475C6F" w:rsidP="008D42BA">
            <w:pPr>
              <w:pStyle w:val="TableText"/>
              <w:jc w:val="center"/>
            </w:pPr>
            <w:r>
              <w:t>PROFILE 1001</w:t>
            </w:r>
          </w:p>
        </w:tc>
        <w:tc>
          <w:tcPr>
            <w:tcW w:w="1322" w:type="dxa"/>
          </w:tcPr>
          <w:p w14:paraId="667EF4A4" w14:textId="77777777" w:rsidR="00475C6F" w:rsidRDefault="00475C6F" w:rsidP="008D42BA">
            <w:pPr>
              <w:pStyle w:val="TableText"/>
              <w:jc w:val="center"/>
            </w:pPr>
            <w:r>
              <w:t>Wu et al (2018), referred to as 0012-01 in crizotinib PBAC submission</w:t>
            </w:r>
          </w:p>
        </w:tc>
        <w:tc>
          <w:tcPr>
            <w:tcW w:w="974" w:type="dxa"/>
          </w:tcPr>
          <w:p w14:paraId="2F7C31DD" w14:textId="77777777" w:rsidR="00475C6F" w:rsidRDefault="00475C6F" w:rsidP="008D42BA">
            <w:pPr>
              <w:pStyle w:val="TableText"/>
              <w:jc w:val="center"/>
            </w:pPr>
            <w:r>
              <w:t>EUCROSS</w:t>
            </w:r>
          </w:p>
        </w:tc>
        <w:tc>
          <w:tcPr>
            <w:tcW w:w="989" w:type="dxa"/>
          </w:tcPr>
          <w:p w14:paraId="4A91AF8B" w14:textId="77777777" w:rsidR="00475C6F" w:rsidRDefault="00475C6F" w:rsidP="008D42BA">
            <w:pPr>
              <w:pStyle w:val="TableText"/>
              <w:jc w:val="center"/>
            </w:pPr>
            <w:r>
              <w:t>METROS</w:t>
            </w:r>
          </w:p>
        </w:tc>
      </w:tr>
      <w:tr w:rsidR="00475C6F" w14:paraId="6A2CA619" w14:textId="77777777" w:rsidTr="009A4EBB">
        <w:tc>
          <w:tcPr>
            <w:tcW w:w="1946" w:type="dxa"/>
          </w:tcPr>
          <w:p w14:paraId="2479D27D" w14:textId="77777777" w:rsidR="00475C6F" w:rsidRDefault="00475C6F" w:rsidP="009A4EBB">
            <w:pPr>
              <w:pStyle w:val="TableText"/>
            </w:pPr>
            <w:r>
              <w:t>Phase</w:t>
            </w:r>
          </w:p>
        </w:tc>
        <w:tc>
          <w:tcPr>
            <w:tcW w:w="813" w:type="dxa"/>
          </w:tcPr>
          <w:p w14:paraId="708CDAD3" w14:textId="77777777" w:rsidR="00475C6F" w:rsidRDefault="00475C6F" w:rsidP="008D42BA">
            <w:pPr>
              <w:pStyle w:val="TableText"/>
              <w:jc w:val="center"/>
            </w:pPr>
            <w:r>
              <w:t>1</w:t>
            </w:r>
          </w:p>
        </w:tc>
        <w:tc>
          <w:tcPr>
            <w:tcW w:w="1229" w:type="dxa"/>
          </w:tcPr>
          <w:p w14:paraId="66B3D38D" w14:textId="77777777" w:rsidR="00475C6F" w:rsidRDefault="00475C6F" w:rsidP="008D42BA">
            <w:pPr>
              <w:pStyle w:val="TableText"/>
              <w:jc w:val="center"/>
            </w:pPr>
            <w:r>
              <w:t>1/2a</w:t>
            </w:r>
          </w:p>
        </w:tc>
        <w:tc>
          <w:tcPr>
            <w:tcW w:w="1317" w:type="dxa"/>
          </w:tcPr>
          <w:p w14:paraId="1BC7AEA7" w14:textId="77777777" w:rsidR="00475C6F" w:rsidRDefault="00475C6F" w:rsidP="008D42BA">
            <w:pPr>
              <w:pStyle w:val="TableText"/>
              <w:jc w:val="center"/>
            </w:pPr>
            <w:r>
              <w:t>2</w:t>
            </w:r>
          </w:p>
        </w:tc>
        <w:tc>
          <w:tcPr>
            <w:tcW w:w="1037" w:type="dxa"/>
          </w:tcPr>
          <w:p w14:paraId="5683FBC2" w14:textId="77777777" w:rsidR="00475C6F" w:rsidRDefault="00475C6F" w:rsidP="008D42BA">
            <w:pPr>
              <w:pStyle w:val="TableText"/>
              <w:jc w:val="center"/>
            </w:pPr>
            <w:r>
              <w:t>1</w:t>
            </w:r>
          </w:p>
        </w:tc>
        <w:tc>
          <w:tcPr>
            <w:tcW w:w="1322" w:type="dxa"/>
          </w:tcPr>
          <w:p w14:paraId="205E1912" w14:textId="77777777" w:rsidR="00475C6F" w:rsidRDefault="00475C6F" w:rsidP="008D42BA">
            <w:pPr>
              <w:pStyle w:val="TableText"/>
              <w:jc w:val="center"/>
            </w:pPr>
            <w:r>
              <w:t>2</w:t>
            </w:r>
          </w:p>
        </w:tc>
        <w:tc>
          <w:tcPr>
            <w:tcW w:w="974" w:type="dxa"/>
          </w:tcPr>
          <w:p w14:paraId="54F487FA" w14:textId="77777777" w:rsidR="00475C6F" w:rsidRDefault="00475C6F" w:rsidP="008D42BA">
            <w:pPr>
              <w:pStyle w:val="TableText"/>
              <w:jc w:val="center"/>
            </w:pPr>
            <w:r>
              <w:t>2</w:t>
            </w:r>
          </w:p>
        </w:tc>
        <w:tc>
          <w:tcPr>
            <w:tcW w:w="989" w:type="dxa"/>
          </w:tcPr>
          <w:p w14:paraId="441163C0" w14:textId="77777777" w:rsidR="00475C6F" w:rsidRDefault="00475C6F" w:rsidP="008D42BA">
            <w:pPr>
              <w:pStyle w:val="TableText"/>
              <w:jc w:val="center"/>
            </w:pPr>
            <w:r>
              <w:t>2</w:t>
            </w:r>
          </w:p>
        </w:tc>
      </w:tr>
      <w:tr w:rsidR="00475C6F" w14:paraId="06C4DAF8" w14:textId="77777777" w:rsidTr="009A4EBB">
        <w:tc>
          <w:tcPr>
            <w:tcW w:w="1946" w:type="dxa"/>
          </w:tcPr>
          <w:p w14:paraId="4DECF5C2" w14:textId="77777777" w:rsidR="00475C6F" w:rsidRDefault="00475C6F" w:rsidP="009A4EBB">
            <w:pPr>
              <w:pStyle w:val="TableText"/>
            </w:pPr>
            <w:r>
              <w:t xml:space="preserve">Permitted </w:t>
            </w:r>
            <w:r w:rsidRPr="00686859">
              <w:rPr>
                <w:i/>
              </w:rPr>
              <w:t>ROS1</w:t>
            </w:r>
            <w:r>
              <w:t xml:space="preserve"> testing methodology(ies) outlined in study protocol/publication</w:t>
            </w:r>
          </w:p>
        </w:tc>
        <w:tc>
          <w:tcPr>
            <w:tcW w:w="813" w:type="dxa"/>
          </w:tcPr>
          <w:p w14:paraId="169CE3CD" w14:textId="77777777" w:rsidR="00475C6F" w:rsidRDefault="00475C6F" w:rsidP="008D42BA">
            <w:pPr>
              <w:pStyle w:val="TableText"/>
              <w:jc w:val="center"/>
            </w:pPr>
            <w:r>
              <w:t>IHC, FISH</w:t>
            </w:r>
          </w:p>
        </w:tc>
        <w:tc>
          <w:tcPr>
            <w:tcW w:w="1229" w:type="dxa"/>
          </w:tcPr>
          <w:p w14:paraId="1BDBFE86" w14:textId="77777777" w:rsidR="00475C6F" w:rsidRDefault="00475C6F" w:rsidP="008D42BA">
            <w:pPr>
              <w:pStyle w:val="TableText"/>
              <w:jc w:val="center"/>
            </w:pPr>
            <w:r>
              <w:t>IHC, FISH, NGS, qPCR</w:t>
            </w:r>
          </w:p>
        </w:tc>
        <w:tc>
          <w:tcPr>
            <w:tcW w:w="1317" w:type="dxa"/>
          </w:tcPr>
          <w:p w14:paraId="61C0265B" w14:textId="77777777" w:rsidR="00475C6F" w:rsidRDefault="00475C6F" w:rsidP="008D42BA">
            <w:pPr>
              <w:pStyle w:val="TableText"/>
              <w:jc w:val="center"/>
            </w:pPr>
            <w:r>
              <w:t>NGS, Sanger sequencing, RT-PCR, NanoString, EdgeSeq</w:t>
            </w:r>
          </w:p>
        </w:tc>
        <w:tc>
          <w:tcPr>
            <w:tcW w:w="1037" w:type="dxa"/>
          </w:tcPr>
          <w:p w14:paraId="238C5C6F" w14:textId="77777777" w:rsidR="00475C6F" w:rsidRDefault="00475C6F" w:rsidP="008D42BA">
            <w:pPr>
              <w:pStyle w:val="TableText"/>
              <w:jc w:val="center"/>
            </w:pPr>
            <w:r>
              <w:t>FISH, NGS</w:t>
            </w:r>
          </w:p>
        </w:tc>
        <w:tc>
          <w:tcPr>
            <w:tcW w:w="1322" w:type="dxa"/>
          </w:tcPr>
          <w:p w14:paraId="5AC2CCF7" w14:textId="77777777" w:rsidR="00475C6F" w:rsidRDefault="00475C6F" w:rsidP="008D42BA">
            <w:pPr>
              <w:pStyle w:val="TableText"/>
              <w:jc w:val="center"/>
            </w:pPr>
            <w:r>
              <w:t>RT-PCR</w:t>
            </w:r>
          </w:p>
        </w:tc>
        <w:tc>
          <w:tcPr>
            <w:tcW w:w="974" w:type="dxa"/>
          </w:tcPr>
          <w:p w14:paraId="7E3DF3DF" w14:textId="77777777" w:rsidR="00475C6F" w:rsidRDefault="00475C6F" w:rsidP="008D42BA">
            <w:pPr>
              <w:pStyle w:val="TableText"/>
              <w:jc w:val="center"/>
            </w:pPr>
            <w:r>
              <w:t>FISH</w:t>
            </w:r>
          </w:p>
        </w:tc>
        <w:tc>
          <w:tcPr>
            <w:tcW w:w="989" w:type="dxa"/>
          </w:tcPr>
          <w:p w14:paraId="29C1B18B" w14:textId="77777777" w:rsidR="00475C6F" w:rsidRDefault="00475C6F" w:rsidP="008D42BA">
            <w:pPr>
              <w:pStyle w:val="TableText"/>
              <w:jc w:val="center"/>
            </w:pPr>
            <w:r>
              <w:t>FISH</w:t>
            </w:r>
          </w:p>
        </w:tc>
      </w:tr>
      <w:tr w:rsidR="00475C6F" w14:paraId="6871E7A8" w14:textId="77777777" w:rsidTr="009A4EBB">
        <w:tc>
          <w:tcPr>
            <w:tcW w:w="1946" w:type="dxa"/>
          </w:tcPr>
          <w:p w14:paraId="49111BC8" w14:textId="77777777" w:rsidR="00475C6F" w:rsidRDefault="00475C6F" w:rsidP="009A4EBB">
            <w:pPr>
              <w:pStyle w:val="TableText"/>
            </w:pPr>
            <w:r>
              <w:t>Local laboratory testing permitted</w:t>
            </w:r>
          </w:p>
        </w:tc>
        <w:tc>
          <w:tcPr>
            <w:tcW w:w="813" w:type="dxa"/>
          </w:tcPr>
          <w:p w14:paraId="3063B0A2" w14:textId="77777777" w:rsidR="00475C6F" w:rsidRDefault="00475C6F" w:rsidP="008D42BA">
            <w:pPr>
              <w:pStyle w:val="TableText"/>
              <w:jc w:val="center"/>
            </w:pPr>
            <w:r>
              <w:t>Yes</w:t>
            </w:r>
          </w:p>
        </w:tc>
        <w:tc>
          <w:tcPr>
            <w:tcW w:w="1229" w:type="dxa"/>
          </w:tcPr>
          <w:p w14:paraId="7B7BFCAE" w14:textId="77777777" w:rsidR="00475C6F" w:rsidRDefault="00475C6F" w:rsidP="008D42BA">
            <w:pPr>
              <w:pStyle w:val="TableText"/>
              <w:jc w:val="center"/>
            </w:pPr>
            <w:r>
              <w:t>Yes</w:t>
            </w:r>
          </w:p>
        </w:tc>
        <w:tc>
          <w:tcPr>
            <w:tcW w:w="1317" w:type="dxa"/>
          </w:tcPr>
          <w:p w14:paraId="5E99AA80" w14:textId="77777777" w:rsidR="00475C6F" w:rsidRDefault="00475C6F" w:rsidP="008D42BA">
            <w:pPr>
              <w:pStyle w:val="TableText"/>
              <w:jc w:val="center"/>
            </w:pPr>
            <w:r>
              <w:t>Yes</w:t>
            </w:r>
          </w:p>
        </w:tc>
        <w:tc>
          <w:tcPr>
            <w:tcW w:w="1037" w:type="dxa"/>
          </w:tcPr>
          <w:p w14:paraId="482EE41D" w14:textId="77777777" w:rsidR="00475C6F" w:rsidRDefault="00475C6F" w:rsidP="008D42BA">
            <w:pPr>
              <w:pStyle w:val="TableText"/>
              <w:jc w:val="center"/>
            </w:pPr>
            <w:r>
              <w:t>NR</w:t>
            </w:r>
          </w:p>
        </w:tc>
        <w:tc>
          <w:tcPr>
            <w:tcW w:w="1322" w:type="dxa"/>
          </w:tcPr>
          <w:p w14:paraId="49F210CA" w14:textId="77777777" w:rsidR="00475C6F" w:rsidRDefault="00475C6F" w:rsidP="008D42BA">
            <w:pPr>
              <w:pStyle w:val="TableText"/>
              <w:jc w:val="center"/>
            </w:pPr>
            <w:r>
              <w:t>NR</w:t>
            </w:r>
          </w:p>
        </w:tc>
        <w:tc>
          <w:tcPr>
            <w:tcW w:w="974" w:type="dxa"/>
          </w:tcPr>
          <w:p w14:paraId="667AF092" w14:textId="77777777" w:rsidR="00475C6F" w:rsidRDefault="00475C6F" w:rsidP="008D42BA">
            <w:pPr>
              <w:pStyle w:val="TableText"/>
              <w:jc w:val="center"/>
            </w:pPr>
            <w:r>
              <w:t>No</w:t>
            </w:r>
          </w:p>
        </w:tc>
        <w:tc>
          <w:tcPr>
            <w:tcW w:w="989" w:type="dxa"/>
          </w:tcPr>
          <w:p w14:paraId="156BED0E" w14:textId="77777777" w:rsidR="00475C6F" w:rsidRDefault="00475C6F" w:rsidP="008D42BA">
            <w:pPr>
              <w:pStyle w:val="TableText"/>
              <w:jc w:val="center"/>
            </w:pPr>
            <w:r>
              <w:t>No</w:t>
            </w:r>
          </w:p>
        </w:tc>
      </w:tr>
      <w:tr w:rsidR="00475C6F" w14:paraId="51A459A8" w14:textId="77777777" w:rsidTr="009A4EBB">
        <w:tc>
          <w:tcPr>
            <w:tcW w:w="1946" w:type="dxa"/>
          </w:tcPr>
          <w:p w14:paraId="74D1135C" w14:textId="77777777" w:rsidR="00475C6F" w:rsidRDefault="00475C6F" w:rsidP="009A4EBB">
            <w:pPr>
              <w:pStyle w:val="TableText"/>
            </w:pPr>
            <w:r>
              <w:t xml:space="preserve">Confirmatory </w:t>
            </w:r>
            <w:r w:rsidR="008D42BA">
              <w:t>c</w:t>
            </w:r>
            <w:r>
              <w:t xml:space="preserve">entral laboratory testing required </w:t>
            </w:r>
          </w:p>
        </w:tc>
        <w:tc>
          <w:tcPr>
            <w:tcW w:w="813" w:type="dxa"/>
          </w:tcPr>
          <w:p w14:paraId="13E0AFE1" w14:textId="77777777" w:rsidR="00475C6F" w:rsidRDefault="00475C6F" w:rsidP="008D42BA">
            <w:pPr>
              <w:pStyle w:val="TableText"/>
              <w:jc w:val="center"/>
            </w:pPr>
            <w:r>
              <w:t>Yes</w:t>
            </w:r>
            <w:r w:rsidR="008D42BA">
              <w:br/>
            </w:r>
            <w:r>
              <w:t>(by FISH)</w:t>
            </w:r>
          </w:p>
        </w:tc>
        <w:tc>
          <w:tcPr>
            <w:tcW w:w="1229" w:type="dxa"/>
          </w:tcPr>
          <w:p w14:paraId="2DC7FD2B" w14:textId="77777777" w:rsidR="00475C6F" w:rsidRDefault="00475C6F" w:rsidP="008D42BA">
            <w:pPr>
              <w:pStyle w:val="TableText"/>
              <w:jc w:val="center"/>
            </w:pPr>
            <w:r>
              <w:t>Yes</w:t>
            </w:r>
          </w:p>
        </w:tc>
        <w:tc>
          <w:tcPr>
            <w:tcW w:w="1317" w:type="dxa"/>
          </w:tcPr>
          <w:p w14:paraId="6C481776" w14:textId="77777777" w:rsidR="00475C6F" w:rsidRDefault="00475C6F" w:rsidP="008D42BA">
            <w:pPr>
              <w:pStyle w:val="TableText"/>
              <w:jc w:val="center"/>
            </w:pPr>
            <w:r>
              <w:t>Yes (Centralised NGS testing used to determine patient eligibility)</w:t>
            </w:r>
          </w:p>
        </w:tc>
        <w:tc>
          <w:tcPr>
            <w:tcW w:w="1037" w:type="dxa"/>
          </w:tcPr>
          <w:p w14:paraId="24B8F697" w14:textId="77777777" w:rsidR="00475C6F" w:rsidRDefault="00475C6F" w:rsidP="008D42BA">
            <w:pPr>
              <w:pStyle w:val="TableText"/>
              <w:jc w:val="center"/>
            </w:pPr>
            <w:r>
              <w:t>NR</w:t>
            </w:r>
          </w:p>
        </w:tc>
        <w:tc>
          <w:tcPr>
            <w:tcW w:w="1322" w:type="dxa"/>
          </w:tcPr>
          <w:p w14:paraId="66D8C7E9" w14:textId="77777777" w:rsidR="00475C6F" w:rsidRDefault="00475C6F" w:rsidP="008D42BA">
            <w:pPr>
              <w:pStyle w:val="TableText"/>
              <w:jc w:val="center"/>
            </w:pPr>
            <w:r>
              <w:t>Yes</w:t>
            </w:r>
            <w:r w:rsidR="008D42BA">
              <w:br/>
            </w:r>
            <w:r>
              <w:t>(3 regional laboratories established)</w:t>
            </w:r>
          </w:p>
        </w:tc>
        <w:tc>
          <w:tcPr>
            <w:tcW w:w="974" w:type="dxa"/>
          </w:tcPr>
          <w:p w14:paraId="257A134F" w14:textId="77777777" w:rsidR="00475C6F" w:rsidRDefault="00475C6F" w:rsidP="008D42BA">
            <w:pPr>
              <w:pStyle w:val="TableText"/>
              <w:jc w:val="center"/>
            </w:pPr>
            <w:r>
              <w:t>Yes</w:t>
            </w:r>
          </w:p>
        </w:tc>
        <w:tc>
          <w:tcPr>
            <w:tcW w:w="989" w:type="dxa"/>
          </w:tcPr>
          <w:p w14:paraId="5743731F" w14:textId="77777777" w:rsidR="00475C6F" w:rsidRDefault="00475C6F" w:rsidP="008D42BA">
            <w:pPr>
              <w:pStyle w:val="TableText"/>
              <w:jc w:val="center"/>
            </w:pPr>
            <w:r>
              <w:t>Yes</w:t>
            </w:r>
          </w:p>
        </w:tc>
      </w:tr>
    </w:tbl>
    <w:p w14:paraId="2910635D" w14:textId="77777777" w:rsidR="00475C6F" w:rsidRPr="00FB5994" w:rsidRDefault="00675BE8" w:rsidP="00675BE8">
      <w:pPr>
        <w:pStyle w:val="TableNotes"/>
        <w:tabs>
          <w:tab w:val="clear" w:pos="1134"/>
        </w:tabs>
        <w:ind w:left="0" w:firstLine="0"/>
      </w:pPr>
      <w:r>
        <w:t xml:space="preserve">Source: </w:t>
      </w:r>
      <w:r w:rsidR="00475C6F" w:rsidRPr="00FB5994">
        <w:t xml:space="preserve">ALKA: Study Protocol, pp. 6,139-6,333 of ALKA CSR; STARTRK-1: Study Protocol, pp. 7,089-7,309 of STARTRK-1 CSR; STARTRK-2: CSR, p.3,029; PROFILE 1001: </w:t>
      </w:r>
      <w:r w:rsidR="00475C6F" w:rsidRPr="00FB5994">
        <w:fldChar w:fldCharType="begin">
          <w:fldData xml:space="preserve">PEVuZE5vdGU+PENpdGU+PEF1dGhvcj5TaGF3PC9BdXRob3I+PFllYXI+MjAxNDwvWWVhcj48UmVj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</w:fldData>
        </w:fldChar>
      </w:r>
      <w:r w:rsidR="00475C6F" w:rsidRPr="00FB5994">
        <w:instrText xml:space="preserve"> ADDIN EN.CITE </w:instrText>
      </w:r>
      <w:r w:rsidR="00475C6F" w:rsidRPr="00FB5994">
        <w:fldChar w:fldCharType="begin">
          <w:fldData xml:space="preserve">PEVuZE5vdGU+PENpdGU+PEF1dGhvcj5TaGF3PC9BdXRob3I+PFllYXI+MjAxNDwvWWVhcj48UmVj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</w:fldData>
        </w:fldChar>
      </w:r>
      <w:r w:rsidR="00475C6F" w:rsidRPr="00FB5994">
        <w:instrText xml:space="preserve"> ADDIN EN.CITE.DATA </w:instrText>
      </w:r>
      <w:r w:rsidR="00475C6F" w:rsidRPr="00FB5994">
        <w:fldChar w:fldCharType="end"/>
      </w:r>
      <w:r w:rsidR="00475C6F" w:rsidRPr="00FB5994">
        <w:fldChar w:fldCharType="separate"/>
      </w:r>
      <w:r w:rsidR="00475C6F" w:rsidRPr="00FB5994">
        <w:rPr>
          <w:noProof/>
        </w:rPr>
        <w:t>(Shaw et al. 2014)</w:t>
      </w:r>
      <w:r w:rsidR="00475C6F" w:rsidRPr="00FB5994">
        <w:fldChar w:fldCharType="end"/>
      </w:r>
      <w:r w:rsidR="00475C6F" w:rsidRPr="00FB5994">
        <w:t xml:space="preserve">, pp. 1,965-6; Wu et al (2018), p.1,406; EUCROSS: p.2 of </w:t>
      </w:r>
      <w:r w:rsidR="00475C6F" w:rsidRPr="00FB5994">
        <w:fldChar w:fldCharType="begin">
          <w:fldData xml:space="preserve">PEVuZE5vdGU+PENpdGU+PEF1dGhvcj5NaWNoZWxzPC9BdXRob3I+PFllYXI+MjAxOTwvWWVhcj48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</w:fldData>
        </w:fldChar>
      </w:r>
      <w:r w:rsidR="00475C6F" w:rsidRPr="00FB5994">
        <w:instrText xml:space="preserve"> ADDIN EN.CITE </w:instrText>
      </w:r>
      <w:r w:rsidR="00475C6F" w:rsidRPr="00FB5994">
        <w:fldChar w:fldCharType="begin">
          <w:fldData xml:space="preserve">PEVuZE5vdGU+PENpdGU+PEF1dGhvcj5NaWNoZWxzPC9BdXRob3I+PFllYXI+MjAxOTwvWWVhcj48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</w:fldData>
        </w:fldChar>
      </w:r>
      <w:r w:rsidR="00475C6F" w:rsidRPr="00FB5994">
        <w:instrText xml:space="preserve"> ADDIN EN.CITE.DATA </w:instrText>
      </w:r>
      <w:r w:rsidR="00475C6F" w:rsidRPr="00FB5994">
        <w:fldChar w:fldCharType="end"/>
      </w:r>
      <w:r w:rsidR="00475C6F" w:rsidRPr="00FB5994">
        <w:fldChar w:fldCharType="separate"/>
      </w:r>
      <w:r w:rsidR="00475C6F" w:rsidRPr="00FB5994">
        <w:rPr>
          <w:noProof/>
        </w:rPr>
        <w:t>(Michels et al. 2019)</w:t>
      </w:r>
      <w:r w:rsidR="00475C6F" w:rsidRPr="00FB5994">
        <w:fldChar w:fldCharType="end"/>
      </w:r>
      <w:r w:rsidR="00475C6F" w:rsidRPr="00FB5994">
        <w:t xml:space="preserve">; METROS: p. 7 of </w:t>
      </w:r>
      <w:r w:rsidR="00475C6F" w:rsidRPr="00FB5994">
        <w:fldChar w:fldCharType="begin">
          <w:fldData xml:space="preserve">PEVuZE5vdGU+PENpdGU+PEF1dGhvcj5MYW5kaTwvQXV0aG9yPjxZZWFyPjIwMTk8L1llYXI+PFJl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</w:fldData>
        </w:fldChar>
      </w:r>
      <w:r w:rsidR="00475C6F" w:rsidRPr="00FB5994">
        <w:instrText xml:space="preserve"> ADDIN EN.CITE </w:instrText>
      </w:r>
      <w:r w:rsidR="00475C6F" w:rsidRPr="00FB5994">
        <w:fldChar w:fldCharType="begin">
          <w:fldData xml:space="preserve">PEVuZE5vdGU+PENpdGU+PEF1dGhvcj5MYW5kaTwvQXV0aG9yPjxZZWFyPjIwMTk8L1llYXI+PFJl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</w:fldData>
        </w:fldChar>
      </w:r>
      <w:r w:rsidR="00475C6F" w:rsidRPr="00FB5994">
        <w:instrText xml:space="preserve"> ADDIN EN.CITE.DATA </w:instrText>
      </w:r>
      <w:r w:rsidR="00475C6F" w:rsidRPr="00FB5994">
        <w:fldChar w:fldCharType="end"/>
      </w:r>
      <w:r w:rsidR="00475C6F" w:rsidRPr="00FB5994">
        <w:fldChar w:fldCharType="separate"/>
      </w:r>
      <w:r w:rsidR="00475C6F" w:rsidRPr="00FB5994">
        <w:rPr>
          <w:noProof/>
        </w:rPr>
        <w:t>(Landi et al. 2019)</w:t>
      </w:r>
      <w:r w:rsidR="00475C6F" w:rsidRPr="00FB5994">
        <w:fldChar w:fldCharType="end"/>
      </w:r>
    </w:p>
    <w:p w14:paraId="2162AF08" w14:textId="031EF6C2" w:rsidR="00475C6F" w:rsidRDefault="00475C6F" w:rsidP="002C5D12">
      <w:pPr>
        <w:pStyle w:val="TableNotes"/>
        <w:tabs>
          <w:tab w:val="clear" w:pos="1134"/>
        </w:tabs>
        <w:ind w:left="0" w:firstLine="0"/>
      </w:pPr>
      <w:r w:rsidRPr="00FB5994">
        <w:t>Abbreviations:</w:t>
      </w:r>
      <w:r w:rsidR="00675BE8">
        <w:t xml:space="preserve"> </w:t>
      </w:r>
      <w:r w:rsidRPr="00FB5994">
        <w:t xml:space="preserve">IHC = immunohistochemistry; FISH = fluorescence </w:t>
      </w:r>
      <w:r w:rsidRPr="00675BE8">
        <w:rPr>
          <w:i/>
        </w:rPr>
        <w:t>in</w:t>
      </w:r>
      <w:r w:rsidR="00675BE8" w:rsidRPr="00675BE8">
        <w:rPr>
          <w:i/>
        </w:rPr>
        <w:t> </w:t>
      </w:r>
      <w:r w:rsidRPr="00675BE8">
        <w:rPr>
          <w:i/>
        </w:rPr>
        <w:t>situ</w:t>
      </w:r>
      <w:r w:rsidRPr="00FB5994">
        <w:t xml:space="preserve"> hybridisation; NGS = next-generation sequencing; NR = not reported; qPCR = real time polymerase chain reaction; RT-PCR = reverse transcription polymerase chain reaction</w:t>
      </w:r>
    </w:p>
    <w:p w14:paraId="25DD0987" w14:textId="388BFC86" w:rsidR="00475C6F" w:rsidRDefault="00475C6F" w:rsidP="002C5D12">
      <w:pPr>
        <w:spacing w:before="240"/>
      </w:pPr>
      <w:r>
        <w:t xml:space="preserve">FISH testing was permitted for the identification of </w:t>
      </w:r>
      <w:r w:rsidRPr="00675BE8">
        <w:rPr>
          <w:i/>
        </w:rPr>
        <w:t>ROS1</w:t>
      </w:r>
      <w:r>
        <w:t xml:space="preserve"> gene rearrangements in NSCLC patients enrolled in the ALKA and STARTRK-1 studies (entrectinib) and the PROFILE 1001, EUCROSS and METROS studies of crizotinib (Table 3). FISH </w:t>
      </w:r>
      <w:r w:rsidR="00675BE8">
        <w:t xml:space="preserve">testing </w:t>
      </w:r>
      <w:r>
        <w:t xml:space="preserve">was not </w:t>
      </w:r>
      <w:r w:rsidR="00675BE8">
        <w:t>used</w:t>
      </w:r>
      <w:r>
        <w:t xml:space="preserve"> for the assessment of </w:t>
      </w:r>
      <w:r w:rsidRPr="00675BE8">
        <w:rPr>
          <w:i/>
        </w:rPr>
        <w:t>ROS1</w:t>
      </w:r>
      <w:r>
        <w:t>-positivity in the STARTRK-2 study</w:t>
      </w:r>
      <w:r w:rsidR="00675BE8">
        <w:t xml:space="preserve"> of entrectinib</w:t>
      </w:r>
      <w:r>
        <w:t>, nor the Phase 2 trial of crizotinib reported by Wu et al. (2018).</w:t>
      </w:r>
    </w:p>
    <w:p w14:paraId="2BC352FD" w14:textId="7CEA21A1" w:rsidR="00475C6F" w:rsidRDefault="00475C6F" w:rsidP="002C5D12">
      <w:pPr>
        <w:spacing w:before="240"/>
      </w:pPr>
      <w:r>
        <w:t xml:space="preserve">The number of </w:t>
      </w:r>
      <w:r w:rsidRPr="00675BE8">
        <w:rPr>
          <w:i/>
        </w:rPr>
        <w:t>ROS1</w:t>
      </w:r>
      <w:r w:rsidR="00675BE8">
        <w:t>-positive</w:t>
      </w:r>
      <w:r>
        <w:t xml:space="preserve"> patients </w:t>
      </w:r>
      <w:r w:rsidR="00675BE8">
        <w:t xml:space="preserve">with NSCLC </w:t>
      </w:r>
      <w:r>
        <w:t xml:space="preserve">that enrolled in the ALKA and STARTRK-1 studies by testing methodology is summarised in Table 3. </w:t>
      </w:r>
      <w:r w:rsidR="00CA0084">
        <w:t xml:space="preserve">Results are also presented </w:t>
      </w:r>
      <w:r>
        <w:t>for the primary efficacy endpoint reported in the major PBAC submission (objective response rate) reported in the</w:t>
      </w:r>
      <w:r w:rsidR="00CA0084">
        <w:t>se studies</w:t>
      </w:r>
      <w:r>
        <w:t xml:space="preserve">. These data show a high degree of consistency with regard to patient response to treatment regardless of whether </w:t>
      </w:r>
      <w:r w:rsidRPr="00955536">
        <w:rPr>
          <w:i/>
        </w:rPr>
        <w:t>ROS1</w:t>
      </w:r>
      <w:r>
        <w:t xml:space="preserve"> testing was undertaken using FISH or </w:t>
      </w:r>
      <w:r w:rsidR="005D7C99">
        <w:t>next-generation sequencing (NGS).</w:t>
      </w:r>
    </w:p>
    <w:p w14:paraId="7F5390AB" w14:textId="4CEF7BFB" w:rsidR="00475C6F" w:rsidRPr="006B2221" w:rsidRDefault="00475C6F" w:rsidP="006B2221">
      <w:pPr>
        <w:spacing w:before="240"/>
        <w:rPr>
          <w:rFonts w:ascii="Arial Narrow" w:hAnsi="Arial Narrow"/>
          <w:b/>
          <w:sz w:val="20"/>
        </w:rPr>
      </w:pPr>
      <w:bookmarkStart w:id="5" w:name="_Ref21875939"/>
      <w:bookmarkStart w:id="6" w:name="_Toc21876435"/>
      <w:r w:rsidRPr="006B2221">
        <w:rPr>
          <w:rFonts w:ascii="Arial Narrow" w:hAnsi="Arial Narrow"/>
          <w:b/>
          <w:sz w:val="20"/>
        </w:rPr>
        <w:t xml:space="preserve">Table </w:t>
      </w:r>
      <w:bookmarkEnd w:id="5"/>
      <w:r w:rsidRPr="006B2221">
        <w:rPr>
          <w:rFonts w:ascii="Arial Narrow" w:hAnsi="Arial Narrow"/>
          <w:b/>
          <w:sz w:val="20"/>
        </w:rPr>
        <w:t>3</w:t>
      </w:r>
      <w:r w:rsidR="00571D26" w:rsidRPr="006B2221">
        <w:rPr>
          <w:rFonts w:ascii="Arial Narrow" w:hAnsi="Arial Narrow"/>
          <w:b/>
          <w:sz w:val="20"/>
        </w:rPr>
        <w:t>:</w:t>
      </w:r>
      <w:r w:rsidRPr="006B2221">
        <w:rPr>
          <w:rFonts w:ascii="Arial Narrow" w:hAnsi="Arial Narrow"/>
          <w:b/>
          <w:sz w:val="20"/>
        </w:rPr>
        <w:tab/>
        <w:t>ROS1 testing methodology and object response rate reported in entrectinib studies</w:t>
      </w:r>
      <w:bookmarkEnd w:id="6"/>
    </w:p>
    <w:tbl>
      <w:tblPr>
        <w:tblStyle w:val="TableGrid"/>
        <w:tblW w:w="5000" w:type="pct"/>
        <w:tblLook w:val="04A0" w:firstRow="1" w:lastRow="0" w:firstColumn="1" w:lastColumn="0" w:noHBand="0" w:noVBand="1"/>
        <w:tblCaption w:val="Table 3 ROS1 testing methodology and object response rate reported in entrectinib studies"/>
      </w:tblPr>
      <w:tblGrid>
        <w:gridCol w:w="3114"/>
        <w:gridCol w:w="1984"/>
        <w:gridCol w:w="1985"/>
        <w:gridCol w:w="1933"/>
      </w:tblGrid>
      <w:tr w:rsidR="00475C6F" w:rsidRPr="008164D5" w14:paraId="3D2FB162" w14:textId="77777777" w:rsidTr="00955536">
        <w:trPr>
          <w:tblHeader/>
        </w:trPr>
        <w:tc>
          <w:tcPr>
            <w:tcW w:w="1727" w:type="pct"/>
            <w:tcBorders>
              <w:bottom w:val="single" w:sz="4" w:space="0" w:color="000000" w:themeColor="text1"/>
            </w:tcBorders>
          </w:tcPr>
          <w:p w14:paraId="43E1EB61" w14:textId="77777777" w:rsidR="00475C6F" w:rsidRPr="008164D5" w:rsidRDefault="00475C6F" w:rsidP="009A4EBB">
            <w:pPr>
              <w:pStyle w:val="TableHeadingRow"/>
            </w:pPr>
          </w:p>
        </w:tc>
        <w:tc>
          <w:tcPr>
            <w:tcW w:w="1100" w:type="pct"/>
            <w:tcBorders>
              <w:bottom w:val="single" w:sz="4" w:space="0" w:color="000000" w:themeColor="text1"/>
            </w:tcBorders>
          </w:tcPr>
          <w:p w14:paraId="4D0FBA6F" w14:textId="77777777" w:rsidR="00475C6F" w:rsidRPr="008164D5" w:rsidRDefault="00475C6F" w:rsidP="009A4EBB">
            <w:pPr>
              <w:pStyle w:val="TableHeadingRow"/>
            </w:pPr>
            <w:r w:rsidRPr="008164D5">
              <w:t>ALKA (N=9)</w:t>
            </w:r>
          </w:p>
        </w:tc>
        <w:tc>
          <w:tcPr>
            <w:tcW w:w="1101" w:type="pct"/>
            <w:tcBorders>
              <w:bottom w:val="single" w:sz="4" w:space="0" w:color="000000" w:themeColor="text1"/>
            </w:tcBorders>
          </w:tcPr>
          <w:p w14:paraId="6F701820" w14:textId="77777777" w:rsidR="00475C6F" w:rsidRPr="008164D5" w:rsidRDefault="00475C6F" w:rsidP="009A4EBB">
            <w:pPr>
              <w:pStyle w:val="TableHeadingRow"/>
            </w:pPr>
            <w:r w:rsidRPr="008164D5">
              <w:t>STARTRK-1 (N=7)</w:t>
            </w:r>
          </w:p>
        </w:tc>
        <w:tc>
          <w:tcPr>
            <w:tcW w:w="1072" w:type="pct"/>
            <w:tcBorders>
              <w:bottom w:val="single" w:sz="4" w:space="0" w:color="000000" w:themeColor="text1"/>
            </w:tcBorders>
          </w:tcPr>
          <w:p w14:paraId="3A5A81BB" w14:textId="77777777" w:rsidR="00475C6F" w:rsidRPr="008164D5" w:rsidRDefault="00475C6F" w:rsidP="009A4EBB">
            <w:pPr>
              <w:pStyle w:val="TableHeadingRow"/>
            </w:pPr>
            <w:r w:rsidRPr="008164D5">
              <w:t>STARTRK-2 (N=37)</w:t>
            </w:r>
          </w:p>
        </w:tc>
      </w:tr>
      <w:tr w:rsidR="00475C6F" w:rsidRPr="008164D5" w14:paraId="290B6688" w14:textId="77777777" w:rsidTr="00955536">
        <w:tc>
          <w:tcPr>
            <w:tcW w:w="1727" w:type="pct"/>
            <w:tcBorders>
              <w:right w:val="nil"/>
            </w:tcBorders>
          </w:tcPr>
          <w:p w14:paraId="69B4DD42" w14:textId="77777777" w:rsidR="00475C6F" w:rsidRPr="008164D5" w:rsidRDefault="00475C6F" w:rsidP="009A4EBB">
            <w:pPr>
              <w:pStyle w:val="TableText"/>
            </w:pPr>
            <w:r w:rsidRPr="00955536">
              <w:rPr>
                <w:i/>
              </w:rPr>
              <w:t>ROS1</w:t>
            </w:r>
            <w:r>
              <w:t xml:space="preserve"> testing methodology</w:t>
            </w:r>
          </w:p>
        </w:tc>
        <w:tc>
          <w:tcPr>
            <w:tcW w:w="1100" w:type="pct"/>
            <w:tcBorders>
              <w:left w:val="nil"/>
              <w:right w:val="nil"/>
            </w:tcBorders>
          </w:tcPr>
          <w:p w14:paraId="5A9912F4" w14:textId="77777777" w:rsidR="00475C6F" w:rsidRPr="008164D5" w:rsidRDefault="00475C6F" w:rsidP="009A4EBB">
            <w:pPr>
              <w:pStyle w:val="TableText"/>
              <w:jc w:val="center"/>
            </w:pPr>
          </w:p>
        </w:tc>
        <w:tc>
          <w:tcPr>
            <w:tcW w:w="1101" w:type="pct"/>
            <w:tcBorders>
              <w:left w:val="nil"/>
              <w:right w:val="nil"/>
            </w:tcBorders>
          </w:tcPr>
          <w:p w14:paraId="3D78FCA6" w14:textId="77777777" w:rsidR="00475C6F" w:rsidRPr="008164D5" w:rsidRDefault="00475C6F" w:rsidP="009A4EBB">
            <w:pPr>
              <w:pStyle w:val="TableText"/>
              <w:jc w:val="center"/>
            </w:pPr>
          </w:p>
        </w:tc>
        <w:tc>
          <w:tcPr>
            <w:tcW w:w="1072" w:type="pct"/>
            <w:tcBorders>
              <w:left w:val="nil"/>
            </w:tcBorders>
          </w:tcPr>
          <w:p w14:paraId="65813642" w14:textId="77777777" w:rsidR="00475C6F" w:rsidRPr="008164D5" w:rsidRDefault="00475C6F" w:rsidP="009A4EBB">
            <w:pPr>
              <w:pStyle w:val="TableText"/>
              <w:jc w:val="center"/>
            </w:pPr>
          </w:p>
        </w:tc>
      </w:tr>
      <w:tr w:rsidR="00475C6F" w:rsidRPr="00E14F3A" w14:paraId="1E7AD11E" w14:textId="77777777" w:rsidTr="00955536">
        <w:tc>
          <w:tcPr>
            <w:tcW w:w="1727" w:type="pct"/>
          </w:tcPr>
          <w:p w14:paraId="3569401B" w14:textId="77777777" w:rsidR="00475C6F" w:rsidRPr="00E14F3A" w:rsidRDefault="00475C6F" w:rsidP="009A4EBB">
            <w:pPr>
              <w:pStyle w:val="TableText"/>
              <w:ind w:left="284"/>
            </w:pPr>
            <w:r w:rsidRPr="00E14F3A">
              <w:t>FISH</w:t>
            </w:r>
          </w:p>
        </w:tc>
        <w:tc>
          <w:tcPr>
            <w:tcW w:w="1100" w:type="pct"/>
          </w:tcPr>
          <w:p w14:paraId="21CD1757" w14:textId="77777777" w:rsidR="00475C6F" w:rsidRPr="00E14F3A" w:rsidRDefault="00475C6F" w:rsidP="009A4EBB">
            <w:pPr>
              <w:pStyle w:val="TableText"/>
              <w:jc w:val="center"/>
            </w:pPr>
            <w:r w:rsidRPr="00E14F3A">
              <w:t>9 (100%)</w:t>
            </w:r>
          </w:p>
        </w:tc>
        <w:tc>
          <w:tcPr>
            <w:tcW w:w="1101" w:type="pct"/>
          </w:tcPr>
          <w:p w14:paraId="54051BAD" w14:textId="791E2E19" w:rsidR="00475C6F" w:rsidRPr="00E14F3A" w:rsidRDefault="002C5D12" w:rsidP="002C5D12">
            <w:pPr>
              <w:pStyle w:val="TableText"/>
              <w:jc w:val="center"/>
            </w:pPr>
            <w:r w:rsidRPr="00E14F3A">
              <w:t xml:space="preserve">redacted </w:t>
            </w:r>
            <w:r w:rsidR="00475C6F" w:rsidRPr="00E14F3A">
              <w:t>(</w:t>
            </w:r>
            <w:r w:rsidRPr="00E14F3A">
              <w:t>redacted</w:t>
            </w:r>
            <w:r w:rsidR="00475C6F" w:rsidRPr="00E14F3A">
              <w:t>%)</w:t>
            </w:r>
          </w:p>
        </w:tc>
        <w:tc>
          <w:tcPr>
            <w:tcW w:w="1072" w:type="pct"/>
          </w:tcPr>
          <w:p w14:paraId="6303A917" w14:textId="77777777" w:rsidR="00475C6F" w:rsidRPr="00E14F3A" w:rsidRDefault="00475C6F" w:rsidP="009A4EBB">
            <w:pPr>
              <w:pStyle w:val="TableText"/>
              <w:jc w:val="center"/>
            </w:pPr>
            <w:r w:rsidRPr="00E14F3A">
              <w:t>Not permitted</w:t>
            </w:r>
          </w:p>
        </w:tc>
      </w:tr>
      <w:tr w:rsidR="00475C6F" w:rsidRPr="00E14F3A" w14:paraId="4B3A0E70" w14:textId="77777777" w:rsidTr="00955536">
        <w:tc>
          <w:tcPr>
            <w:tcW w:w="1727" w:type="pct"/>
          </w:tcPr>
          <w:p w14:paraId="68B525BE" w14:textId="77777777" w:rsidR="00475C6F" w:rsidRPr="00E14F3A" w:rsidRDefault="00475C6F" w:rsidP="009A4EBB">
            <w:pPr>
              <w:pStyle w:val="TableText"/>
              <w:ind w:left="284"/>
            </w:pPr>
            <w:r w:rsidRPr="00E14F3A">
              <w:t>NGS</w:t>
            </w:r>
          </w:p>
        </w:tc>
        <w:tc>
          <w:tcPr>
            <w:tcW w:w="1100" w:type="pct"/>
          </w:tcPr>
          <w:p w14:paraId="0875CC8F" w14:textId="77777777" w:rsidR="00475C6F" w:rsidRPr="00E14F3A" w:rsidRDefault="00475C6F" w:rsidP="009A4EBB">
            <w:pPr>
              <w:pStyle w:val="TableText"/>
              <w:jc w:val="center"/>
            </w:pPr>
            <w:r w:rsidRPr="00E14F3A">
              <w:t>0</w:t>
            </w:r>
          </w:p>
        </w:tc>
        <w:tc>
          <w:tcPr>
            <w:tcW w:w="1101" w:type="pct"/>
          </w:tcPr>
          <w:p w14:paraId="2A3537F5" w14:textId="1BFEE7FF" w:rsidR="00475C6F" w:rsidRPr="00E14F3A" w:rsidRDefault="002C5D12" w:rsidP="002C5D12">
            <w:pPr>
              <w:pStyle w:val="TableText"/>
              <w:jc w:val="center"/>
            </w:pPr>
            <w:r w:rsidRPr="00E14F3A">
              <w:t xml:space="preserve">redacted </w:t>
            </w:r>
            <w:r w:rsidR="00475C6F" w:rsidRPr="00E14F3A">
              <w:t>(</w:t>
            </w:r>
            <w:r w:rsidRPr="00E14F3A">
              <w:t>redacted</w:t>
            </w:r>
            <w:r w:rsidR="00475C6F" w:rsidRPr="00E14F3A">
              <w:t>%)</w:t>
            </w:r>
          </w:p>
        </w:tc>
        <w:tc>
          <w:tcPr>
            <w:tcW w:w="1072" w:type="pct"/>
          </w:tcPr>
          <w:p w14:paraId="56B079B6" w14:textId="77777777" w:rsidR="00475C6F" w:rsidRPr="00E14F3A" w:rsidRDefault="00475C6F" w:rsidP="009A4EBB">
            <w:pPr>
              <w:pStyle w:val="TableText"/>
              <w:jc w:val="center"/>
            </w:pPr>
            <w:r w:rsidRPr="00E14F3A">
              <w:t>37 (100%)</w:t>
            </w:r>
          </w:p>
        </w:tc>
      </w:tr>
      <w:tr w:rsidR="00475C6F" w:rsidRPr="00E14F3A" w14:paraId="024A8AF7" w14:textId="77777777" w:rsidTr="00955536">
        <w:tc>
          <w:tcPr>
            <w:tcW w:w="1727" w:type="pct"/>
          </w:tcPr>
          <w:p w14:paraId="0D48B7EE" w14:textId="77777777" w:rsidR="00475C6F" w:rsidRPr="00E14F3A" w:rsidRDefault="00475C6F" w:rsidP="00955536">
            <w:pPr>
              <w:pStyle w:val="TableText"/>
            </w:pPr>
            <w:r w:rsidRPr="00E14F3A">
              <w:t xml:space="preserve">Objective </w:t>
            </w:r>
            <w:r w:rsidR="00955536" w:rsidRPr="00E14F3A">
              <w:t>r</w:t>
            </w:r>
            <w:r w:rsidRPr="00E14F3A">
              <w:t xml:space="preserve">esponse </w:t>
            </w:r>
            <w:r w:rsidR="00955536" w:rsidRPr="00E14F3A">
              <w:t>r</w:t>
            </w:r>
            <w:r w:rsidRPr="00E14F3A">
              <w:t>ate, % (95% CI)</w:t>
            </w:r>
          </w:p>
        </w:tc>
        <w:tc>
          <w:tcPr>
            <w:tcW w:w="1100" w:type="pct"/>
          </w:tcPr>
          <w:p w14:paraId="39C4E5C0" w14:textId="13DFFE55" w:rsidR="00475C6F" w:rsidRPr="00E14F3A" w:rsidRDefault="002C5D12" w:rsidP="002C5D12">
            <w:pPr>
              <w:pStyle w:val="TableText"/>
              <w:jc w:val="center"/>
            </w:pPr>
            <w:r w:rsidRPr="00E14F3A">
              <w:t>redacted</w:t>
            </w:r>
            <w:r w:rsidR="00475C6F" w:rsidRPr="00E14F3A">
              <w:t>% (</w:t>
            </w:r>
            <w:r w:rsidRPr="00E14F3A">
              <w:t>redacted</w:t>
            </w:r>
            <w:r w:rsidR="00475C6F" w:rsidRPr="00E14F3A">
              <w:t>%)</w:t>
            </w:r>
          </w:p>
        </w:tc>
        <w:tc>
          <w:tcPr>
            <w:tcW w:w="1101" w:type="pct"/>
          </w:tcPr>
          <w:p w14:paraId="51AECABE" w14:textId="3975C387" w:rsidR="00475C6F" w:rsidRPr="00E14F3A" w:rsidRDefault="002C5D12" w:rsidP="002C5D12">
            <w:pPr>
              <w:pStyle w:val="TableText"/>
              <w:jc w:val="center"/>
            </w:pPr>
            <w:r w:rsidRPr="00E14F3A">
              <w:t>redacted</w:t>
            </w:r>
            <w:r w:rsidR="00475C6F" w:rsidRPr="00E14F3A">
              <w:t>% (</w:t>
            </w:r>
            <w:r w:rsidRPr="00E14F3A">
              <w:t>redacted</w:t>
            </w:r>
            <w:r w:rsidR="00475C6F" w:rsidRPr="00E14F3A">
              <w:t>%)</w:t>
            </w:r>
          </w:p>
        </w:tc>
        <w:tc>
          <w:tcPr>
            <w:tcW w:w="1072" w:type="pct"/>
          </w:tcPr>
          <w:p w14:paraId="39A4CC9E" w14:textId="69533D63" w:rsidR="00475C6F" w:rsidRPr="00E14F3A" w:rsidRDefault="002C5D12" w:rsidP="002C5D12">
            <w:pPr>
              <w:pStyle w:val="TableText"/>
              <w:jc w:val="center"/>
            </w:pPr>
            <w:r w:rsidRPr="00E14F3A">
              <w:t>redacted</w:t>
            </w:r>
            <w:r w:rsidR="00475C6F" w:rsidRPr="00E14F3A">
              <w:t>% (</w:t>
            </w:r>
            <w:r w:rsidRPr="00E14F3A">
              <w:t>redacted</w:t>
            </w:r>
            <w:r w:rsidR="00475C6F" w:rsidRPr="00E14F3A">
              <w:t>%)</w:t>
            </w:r>
          </w:p>
        </w:tc>
      </w:tr>
      <w:tr w:rsidR="00475C6F" w:rsidRPr="00E14F3A" w14:paraId="51320298" w14:textId="77777777" w:rsidTr="00955536">
        <w:tc>
          <w:tcPr>
            <w:tcW w:w="1727" w:type="pct"/>
          </w:tcPr>
          <w:p w14:paraId="00C1D6BD" w14:textId="77777777" w:rsidR="00475C6F" w:rsidRPr="00E14F3A" w:rsidRDefault="00475C6F" w:rsidP="009A4EBB">
            <w:pPr>
              <w:pStyle w:val="TableText"/>
              <w:ind w:left="284"/>
            </w:pPr>
            <w:r w:rsidRPr="00E14F3A">
              <w:t>Responders, n (%)</w:t>
            </w:r>
          </w:p>
        </w:tc>
        <w:tc>
          <w:tcPr>
            <w:tcW w:w="1100" w:type="pct"/>
          </w:tcPr>
          <w:p w14:paraId="2757BC33" w14:textId="3A55DFF9" w:rsidR="00475C6F" w:rsidRPr="00E14F3A" w:rsidRDefault="002C5D12" w:rsidP="002C5D12">
            <w:pPr>
              <w:pStyle w:val="TableText"/>
              <w:jc w:val="center"/>
            </w:pPr>
            <w:r w:rsidRPr="00E14F3A">
              <w:t xml:space="preserve">redacted </w:t>
            </w:r>
            <w:r w:rsidR="00475C6F" w:rsidRPr="00E14F3A">
              <w:t>(</w:t>
            </w:r>
            <w:r w:rsidRPr="00E14F3A">
              <w:t>redacted</w:t>
            </w:r>
            <w:r w:rsidR="00475C6F" w:rsidRPr="00E14F3A">
              <w:t>%)</w:t>
            </w:r>
          </w:p>
        </w:tc>
        <w:tc>
          <w:tcPr>
            <w:tcW w:w="1101" w:type="pct"/>
          </w:tcPr>
          <w:p w14:paraId="6BDBA917" w14:textId="02071503" w:rsidR="00475C6F" w:rsidRPr="00E14F3A" w:rsidRDefault="002C5D12" w:rsidP="002C5D12">
            <w:pPr>
              <w:pStyle w:val="TableText"/>
              <w:jc w:val="center"/>
            </w:pPr>
            <w:r w:rsidRPr="00E14F3A">
              <w:t xml:space="preserve">redacted </w:t>
            </w:r>
            <w:r w:rsidR="00475C6F" w:rsidRPr="00E14F3A">
              <w:t>(</w:t>
            </w:r>
            <w:r w:rsidRPr="00E14F3A">
              <w:t>redacted</w:t>
            </w:r>
            <w:r w:rsidR="00475C6F" w:rsidRPr="00E14F3A">
              <w:t>%)</w:t>
            </w:r>
          </w:p>
        </w:tc>
        <w:tc>
          <w:tcPr>
            <w:tcW w:w="1072" w:type="pct"/>
          </w:tcPr>
          <w:p w14:paraId="64F2C9BB" w14:textId="5D2B338B" w:rsidR="00475C6F" w:rsidRPr="00E14F3A" w:rsidRDefault="002C5D12" w:rsidP="002C5D12">
            <w:pPr>
              <w:pStyle w:val="TableText"/>
              <w:jc w:val="center"/>
            </w:pPr>
            <w:r w:rsidRPr="00E14F3A">
              <w:t xml:space="preserve">redacted </w:t>
            </w:r>
            <w:r w:rsidR="00475C6F" w:rsidRPr="00E14F3A">
              <w:t>(</w:t>
            </w:r>
            <w:r w:rsidRPr="00E14F3A">
              <w:t>redacted</w:t>
            </w:r>
            <w:r w:rsidR="00475C6F" w:rsidRPr="00E14F3A">
              <w:t>%)</w:t>
            </w:r>
          </w:p>
        </w:tc>
      </w:tr>
      <w:tr w:rsidR="00475C6F" w:rsidRPr="00E14F3A" w14:paraId="0023ECD1" w14:textId="77777777" w:rsidTr="00955536">
        <w:tc>
          <w:tcPr>
            <w:tcW w:w="1727" w:type="pct"/>
          </w:tcPr>
          <w:p w14:paraId="069A5E22" w14:textId="77777777" w:rsidR="00475C6F" w:rsidRPr="00E14F3A" w:rsidRDefault="00475C6F" w:rsidP="009A4EBB">
            <w:pPr>
              <w:pStyle w:val="TableText"/>
              <w:ind w:left="284"/>
            </w:pPr>
            <w:r w:rsidRPr="00E14F3A">
              <w:t>Non-responders, n (%)</w:t>
            </w:r>
          </w:p>
        </w:tc>
        <w:tc>
          <w:tcPr>
            <w:tcW w:w="1100" w:type="pct"/>
          </w:tcPr>
          <w:p w14:paraId="6B19FAD1" w14:textId="0EC49588" w:rsidR="00475C6F" w:rsidRPr="00E14F3A" w:rsidRDefault="002C5D12" w:rsidP="002C5D12">
            <w:pPr>
              <w:pStyle w:val="TableText"/>
              <w:jc w:val="center"/>
            </w:pPr>
            <w:r w:rsidRPr="00E14F3A">
              <w:t xml:space="preserve">redacted </w:t>
            </w:r>
            <w:r w:rsidR="00475C6F" w:rsidRPr="00E14F3A">
              <w:t>(</w:t>
            </w:r>
            <w:r w:rsidRPr="00E14F3A">
              <w:t>redacted</w:t>
            </w:r>
            <w:r w:rsidR="00475C6F" w:rsidRPr="00E14F3A">
              <w:t>%)</w:t>
            </w:r>
          </w:p>
        </w:tc>
        <w:tc>
          <w:tcPr>
            <w:tcW w:w="1101" w:type="pct"/>
          </w:tcPr>
          <w:p w14:paraId="5EB8142B" w14:textId="429966E3" w:rsidR="00475C6F" w:rsidRPr="00E14F3A" w:rsidRDefault="002C5D12" w:rsidP="002C5D12">
            <w:pPr>
              <w:pStyle w:val="TableText"/>
              <w:jc w:val="center"/>
            </w:pPr>
            <w:r w:rsidRPr="00E14F3A">
              <w:t xml:space="preserve">redacted </w:t>
            </w:r>
            <w:r w:rsidR="00475C6F" w:rsidRPr="00E14F3A">
              <w:t>(</w:t>
            </w:r>
            <w:r w:rsidRPr="00E14F3A">
              <w:t>redacted</w:t>
            </w:r>
            <w:r w:rsidR="00475C6F" w:rsidRPr="00E14F3A">
              <w:t>%)</w:t>
            </w:r>
          </w:p>
        </w:tc>
        <w:tc>
          <w:tcPr>
            <w:tcW w:w="1072" w:type="pct"/>
          </w:tcPr>
          <w:p w14:paraId="56EA935B" w14:textId="16E04658" w:rsidR="00475C6F" w:rsidRPr="00E14F3A" w:rsidRDefault="002C5D12" w:rsidP="002C5D12">
            <w:pPr>
              <w:pStyle w:val="TableText"/>
              <w:jc w:val="center"/>
            </w:pPr>
            <w:r w:rsidRPr="00E14F3A">
              <w:t xml:space="preserve">redacted </w:t>
            </w:r>
            <w:r w:rsidR="00475C6F" w:rsidRPr="00E14F3A">
              <w:t>(</w:t>
            </w:r>
            <w:r w:rsidRPr="00E14F3A">
              <w:t>redacted</w:t>
            </w:r>
            <w:r w:rsidR="00475C6F" w:rsidRPr="00E14F3A">
              <w:t>%)</w:t>
            </w:r>
          </w:p>
        </w:tc>
      </w:tr>
    </w:tbl>
    <w:p w14:paraId="7D40D0D5" w14:textId="77777777" w:rsidR="00475C6F" w:rsidRPr="00FB5994" w:rsidRDefault="00475C6F" w:rsidP="00955536">
      <w:pPr>
        <w:pStyle w:val="TableNotes"/>
        <w:tabs>
          <w:tab w:val="clear" w:pos="1134"/>
        </w:tabs>
        <w:ind w:left="0" w:firstLine="0"/>
      </w:pPr>
      <w:r w:rsidRPr="00E14F3A">
        <w:t>Source:</w:t>
      </w:r>
      <w:r w:rsidR="008D42BA" w:rsidRPr="00E14F3A">
        <w:t xml:space="preserve"> </w:t>
      </w:r>
      <w:r w:rsidRPr="00E14F3A">
        <w:t>ROS1 testing methodology: p. 1 (ALKA) and p. 4 (STARTRK-1) of TGA Submission Section 2.7.3: Summary of Clinical Efficacy</w:t>
      </w:r>
      <w:r w:rsidRPr="00FB5994">
        <w:t xml:space="preserve"> (CCOD 31 May 2018) Supporting Data; Objective response rate: Table 2-20 of major PBAC submission</w:t>
      </w:r>
    </w:p>
    <w:p w14:paraId="3A988373" w14:textId="77777777" w:rsidR="00475C6F" w:rsidRPr="00040FA6" w:rsidRDefault="00475C6F" w:rsidP="00475C6F">
      <w:pPr>
        <w:pStyle w:val="Heading2"/>
      </w:pPr>
      <w:r w:rsidRPr="00040FA6">
        <w:t>Molecular testing used in STARTRK-2 study</w:t>
      </w:r>
    </w:p>
    <w:p w14:paraId="07F7B59D" w14:textId="77777777" w:rsidR="00475C6F" w:rsidRDefault="00475C6F" w:rsidP="00475C6F">
      <w:r>
        <w:t xml:space="preserve">The clinical development of entrectinib </w:t>
      </w:r>
      <w:r w:rsidR="00955536">
        <w:t>wa</w:t>
      </w:r>
      <w:r>
        <w:t xml:space="preserve">s undertaken in patients with locally advanced or metastatic solid tumours irrespective of tumour type. Based on its ability to inhibit cell signalling when there are molecular alterations encoded by the </w:t>
      </w:r>
      <w:r w:rsidRPr="00B621EB">
        <w:rPr>
          <w:i/>
          <w:iCs/>
        </w:rPr>
        <w:t>NTRK1</w:t>
      </w:r>
      <w:r>
        <w:t xml:space="preserve">, </w:t>
      </w:r>
      <w:r w:rsidRPr="00B621EB">
        <w:rPr>
          <w:i/>
          <w:iCs/>
        </w:rPr>
        <w:t>NTR2</w:t>
      </w:r>
      <w:r>
        <w:t xml:space="preserve">, </w:t>
      </w:r>
      <w:r w:rsidRPr="00B621EB">
        <w:rPr>
          <w:i/>
          <w:iCs/>
        </w:rPr>
        <w:t>NTRK3</w:t>
      </w:r>
      <w:r>
        <w:t xml:space="preserve">, </w:t>
      </w:r>
      <w:r w:rsidRPr="00B621EB">
        <w:rPr>
          <w:i/>
          <w:iCs/>
        </w:rPr>
        <w:t>ROS1</w:t>
      </w:r>
      <w:r>
        <w:t xml:space="preserve"> </w:t>
      </w:r>
      <w:r>
        <w:lastRenderedPageBreak/>
        <w:t xml:space="preserve">and </w:t>
      </w:r>
      <w:r w:rsidRPr="00B621EB">
        <w:rPr>
          <w:i/>
          <w:iCs/>
        </w:rPr>
        <w:t>ALK</w:t>
      </w:r>
      <w:r>
        <w:rPr>
          <w:i/>
          <w:iCs/>
        </w:rPr>
        <w:t xml:space="preserve"> </w:t>
      </w:r>
      <w:r>
        <w:t>genes, patients were enrolled in the clinical development studies of entrectinib on the basis of having a solid tumour with a molecular alteration in a gene known to be inhibited by entrectinib.</w:t>
      </w:r>
    </w:p>
    <w:p w14:paraId="029F5DD0" w14:textId="63EB8E97" w:rsidR="00475C6F" w:rsidRDefault="00475C6F" w:rsidP="002C5D12">
      <w:pPr>
        <w:spacing w:before="240"/>
      </w:pPr>
      <w:r>
        <w:t xml:space="preserve">Based on results reported in the ALKA and STARTRK-1 studies, the STARTRK-2 study enrolled patients across multiple solid tumour types (“baskets”) based on the presence of an </w:t>
      </w:r>
      <w:r w:rsidRPr="00955536">
        <w:rPr>
          <w:i/>
        </w:rPr>
        <w:t>NTRK1/2/3</w:t>
      </w:r>
      <w:r>
        <w:t xml:space="preserve">, </w:t>
      </w:r>
      <w:r w:rsidRPr="00955536">
        <w:rPr>
          <w:i/>
        </w:rPr>
        <w:t>ALK</w:t>
      </w:r>
      <w:r>
        <w:t xml:space="preserve"> or </w:t>
      </w:r>
      <w:r w:rsidRPr="00955536">
        <w:rPr>
          <w:i/>
        </w:rPr>
        <w:t>ROS1</w:t>
      </w:r>
      <w:r>
        <w:t xml:space="preserve"> gene rearrangement. The STARTRK-2 study was designed such that each “basket” could be analysed as a separate cohort, i.e. an assessment of efficacy and safety of entrectinib by specific gene rearrangement type.</w:t>
      </w:r>
    </w:p>
    <w:p w14:paraId="1620C1FA" w14:textId="089A5145" w:rsidR="00475C6F" w:rsidRDefault="00475C6F" w:rsidP="002C5D12">
      <w:pPr>
        <w:spacing w:before="240"/>
      </w:pPr>
      <w:r>
        <w:t xml:space="preserve">Reflecting the design of the STARTRK-2 study which enrolled patients with multiple gene rearrangement types, simultaneous testing for multiple gene rearrangements was undertaken using a gene panel. All patients enrolled in the STARTRK-2 study were allocated to a specific “basket” based on the results of a proprietary </w:t>
      </w:r>
      <w:r w:rsidRPr="000B475A">
        <w:rPr>
          <w:i/>
          <w:iCs/>
        </w:rPr>
        <w:t>NTRK1/2/3</w:t>
      </w:r>
      <w:r w:rsidRPr="00955536">
        <w:rPr>
          <w:iCs/>
        </w:rPr>
        <w:t xml:space="preserve">, </w:t>
      </w:r>
      <w:r w:rsidRPr="000B475A">
        <w:rPr>
          <w:i/>
          <w:iCs/>
        </w:rPr>
        <w:t>ROS1</w:t>
      </w:r>
      <w:r>
        <w:t xml:space="preserve"> and </w:t>
      </w:r>
      <w:r w:rsidRPr="000B475A">
        <w:rPr>
          <w:i/>
          <w:iCs/>
        </w:rPr>
        <w:t>ALK</w:t>
      </w:r>
      <w:r>
        <w:t xml:space="preserve"> gene rearrangements assay (Trailblaze Pharos™) developed by Ignyta Inc.</w:t>
      </w:r>
    </w:p>
    <w:p w14:paraId="7A85CE81" w14:textId="75B878DB" w:rsidR="00475C6F" w:rsidRDefault="00475C6F" w:rsidP="002C5D12">
      <w:pPr>
        <w:spacing w:before="240"/>
      </w:pPr>
      <w:r>
        <w:t xml:space="preserve">The </w:t>
      </w:r>
      <w:r w:rsidRPr="000B475A">
        <w:rPr>
          <w:i/>
          <w:iCs/>
        </w:rPr>
        <w:t>NTRK1/2/3</w:t>
      </w:r>
      <w:r w:rsidRPr="00955536">
        <w:rPr>
          <w:iCs/>
        </w:rPr>
        <w:t xml:space="preserve">, </w:t>
      </w:r>
      <w:r w:rsidRPr="000B475A">
        <w:rPr>
          <w:i/>
          <w:iCs/>
        </w:rPr>
        <w:t>ROS1</w:t>
      </w:r>
      <w:r>
        <w:t xml:space="preserve"> and </w:t>
      </w:r>
      <w:r w:rsidRPr="000B475A">
        <w:rPr>
          <w:i/>
          <w:iCs/>
        </w:rPr>
        <w:t>ALK</w:t>
      </w:r>
      <w:r>
        <w:t xml:space="preserve"> gene rearrangements assay (Trailblaze Pharos™) used in the STARTRK-2 study </w:t>
      </w:r>
      <w:r w:rsidR="00686859">
        <w:t>wa</w:t>
      </w:r>
      <w:r>
        <w:t xml:space="preserve">s a NGS test used for the detection of gene rearrangements in the </w:t>
      </w:r>
      <w:r w:rsidRPr="000B475A">
        <w:rPr>
          <w:i/>
          <w:iCs/>
        </w:rPr>
        <w:t>NTRK1/2/3, ROS1</w:t>
      </w:r>
      <w:r>
        <w:t xml:space="preserve"> and </w:t>
      </w:r>
      <w:r w:rsidRPr="000B475A">
        <w:rPr>
          <w:i/>
          <w:iCs/>
        </w:rPr>
        <w:t>ALK</w:t>
      </w:r>
      <w:r>
        <w:t xml:space="preserve"> genes. Testing </w:t>
      </w:r>
      <w:r w:rsidR="00686859">
        <w:t>wa</w:t>
      </w:r>
      <w:r>
        <w:t>s performed on RNA obtained from formalin-fixed paraffin-embedded (FFPE) human solid tissue specimens.</w:t>
      </w:r>
    </w:p>
    <w:p w14:paraId="6F71A0C8" w14:textId="298DE7D8" w:rsidR="00475C6F" w:rsidRDefault="00475C6F" w:rsidP="002C5D12">
      <w:pPr>
        <w:spacing w:before="240"/>
      </w:pPr>
      <w:r>
        <w:t>Th</w:t>
      </w:r>
      <w:r w:rsidR="00955536">
        <w:t>is</w:t>
      </w:r>
      <w:r>
        <w:t xml:space="preserve"> </w:t>
      </w:r>
      <w:r w:rsidRPr="000B475A">
        <w:rPr>
          <w:i/>
          <w:iCs/>
        </w:rPr>
        <w:t>NTRK1/2/3, ROS1</w:t>
      </w:r>
      <w:r>
        <w:t xml:space="preserve"> and </w:t>
      </w:r>
      <w:r w:rsidRPr="000B475A">
        <w:rPr>
          <w:i/>
          <w:iCs/>
        </w:rPr>
        <w:t>ALK</w:t>
      </w:r>
      <w:r>
        <w:t xml:space="preserve"> gene rearrangements assay (Trailblaze Pharos™) was approved by the US FDA as an investigational device for use in the STARTRK-2 study (IDE G160133). All molecular testing of </w:t>
      </w:r>
      <w:r w:rsidRPr="007461C2">
        <w:t>formalin-fixed, paraffin-embedded</w:t>
      </w:r>
      <w:r>
        <w:t xml:space="preserve"> (FFPPE) solid tissue samples used to determine patient eligibility to enrol in the STARTRK-2 study, as well as allocate patients to a specific “basket”, was performed at a centralised laboratory at Ignyta Inc in San Diego USA. The laboratory at Ignyta Inc. was accredited per the College of American Pathologists and Clinical Laboratory Improvement Amendments requirements (CAP/CLIA accredited).</w:t>
      </w:r>
    </w:p>
    <w:p w14:paraId="1B0AE30A" w14:textId="36277A1B" w:rsidR="00475C6F" w:rsidRPr="00E14F3A" w:rsidRDefault="00475C6F" w:rsidP="002C5D12">
      <w:pPr>
        <w:spacing w:before="240"/>
      </w:pPr>
      <w:r>
        <w:t>In 2017</w:t>
      </w:r>
      <w:r w:rsidR="00955536">
        <w:t>,</w:t>
      </w:r>
      <w:r>
        <w:t xml:space="preserve"> Roche </w:t>
      </w:r>
      <w:r w:rsidR="00686859">
        <w:t xml:space="preserve">(the applicant) </w:t>
      </w:r>
      <w:r>
        <w:t>reached a definitive merger agreement with Ignyta Inc. As part of this merger</w:t>
      </w:r>
      <w:r w:rsidR="00955536">
        <w:t>,</w:t>
      </w:r>
      <w:r>
        <w:t xml:space="preserve"> Roche acquired the rights to entrectinib from Ignyta </w:t>
      </w:r>
      <w:r w:rsidRPr="00E14F3A">
        <w:t xml:space="preserve">Inc. </w:t>
      </w:r>
      <w:r w:rsidR="002E4F1C" w:rsidRPr="00E14F3A">
        <w:rPr>
          <w:b/>
        </w:rPr>
        <w:t>Redacted</w:t>
      </w:r>
      <w:r w:rsidRPr="00E14F3A">
        <w:t>.</w:t>
      </w:r>
    </w:p>
    <w:p w14:paraId="2DC38A53" w14:textId="7686B660" w:rsidR="00B9614F" w:rsidRPr="006B2221" w:rsidRDefault="00475C6F" w:rsidP="006B2221">
      <w:pPr>
        <w:spacing w:before="240"/>
      </w:pPr>
      <w:r w:rsidRPr="00E14F3A">
        <w:t xml:space="preserve">Data on the ability of the </w:t>
      </w:r>
      <w:r w:rsidRPr="00E14F3A">
        <w:rPr>
          <w:i/>
          <w:iCs/>
        </w:rPr>
        <w:t>NTRK1/2/3, ROS1</w:t>
      </w:r>
      <w:r w:rsidRPr="00E14F3A">
        <w:t xml:space="preserve"> and </w:t>
      </w:r>
      <w:r w:rsidRPr="00E14F3A">
        <w:rPr>
          <w:i/>
          <w:iCs/>
        </w:rPr>
        <w:t>ALK</w:t>
      </w:r>
      <w:r w:rsidRPr="00E14F3A">
        <w:t xml:space="preserve"> gene rearrangements assay (Trailblaze Pharos™) to identify gene rearrangements compared with an alternative testing methodology was presented to the FDA as part of obtaining permission to use Trailblaze Pharos™ as an investigational device for use in the STARTRK-2 study. The assessment of the </w:t>
      </w:r>
      <w:r w:rsidR="002E4F1C" w:rsidRPr="00E14F3A">
        <w:rPr>
          <w:b/>
        </w:rPr>
        <w:t>redacted</w:t>
      </w:r>
      <w:r w:rsidRPr="00E14F3A">
        <w:t>.</w:t>
      </w:r>
      <w:bookmarkStart w:id="7" w:name="_Ref12894791"/>
      <w:bookmarkStart w:id="8" w:name="_Toc21876436"/>
      <w:r w:rsidR="00B9614F">
        <w:br w:type="page"/>
      </w:r>
    </w:p>
    <w:p w14:paraId="6334CB33" w14:textId="22B5A68F" w:rsidR="00475C6F" w:rsidRPr="006B2221" w:rsidRDefault="00475C6F" w:rsidP="006B2221">
      <w:pPr>
        <w:rPr>
          <w:rFonts w:ascii="Arial Narrow" w:hAnsi="Arial Narrow"/>
          <w:b/>
          <w:sz w:val="20"/>
        </w:rPr>
      </w:pPr>
      <w:r w:rsidRPr="006B2221">
        <w:rPr>
          <w:rFonts w:ascii="Arial Narrow" w:hAnsi="Arial Narrow"/>
          <w:b/>
          <w:sz w:val="20"/>
        </w:rPr>
        <w:lastRenderedPageBreak/>
        <w:t xml:space="preserve">Table </w:t>
      </w:r>
      <w:bookmarkEnd w:id="7"/>
      <w:r w:rsidRPr="006B2221">
        <w:rPr>
          <w:rFonts w:ascii="Arial Narrow" w:hAnsi="Arial Narrow"/>
          <w:b/>
          <w:sz w:val="20"/>
        </w:rPr>
        <w:t>4</w:t>
      </w:r>
      <w:r w:rsidR="00571D26" w:rsidRPr="006B2221">
        <w:rPr>
          <w:rFonts w:ascii="Arial Narrow" w:hAnsi="Arial Narrow"/>
          <w:b/>
          <w:sz w:val="20"/>
        </w:rPr>
        <w:t>:</w:t>
      </w:r>
      <w:r w:rsidRPr="006B2221">
        <w:rPr>
          <w:rFonts w:ascii="Arial Narrow" w:hAnsi="Arial Narrow"/>
          <w:b/>
          <w:sz w:val="20"/>
        </w:rPr>
        <w:tab/>
        <w:t>Results of assessment of analytical accuracy of the NTRK1/2/3, ROS1 and ALK gene rearrangements assay (Trailblaze Pharos™)</w:t>
      </w:r>
      <w:bookmarkEnd w:id="8"/>
    </w:p>
    <w:tbl>
      <w:tblPr>
        <w:tblStyle w:val="TableGrid"/>
        <w:tblW w:w="8926" w:type="dxa"/>
        <w:tblLayout w:type="fixed"/>
        <w:tblLook w:val="04A0" w:firstRow="1" w:lastRow="0" w:firstColumn="1" w:lastColumn="0" w:noHBand="0" w:noVBand="1"/>
        <w:tblCaption w:val="Table 5: Results of assessment of analytical accuracy of the NTRK1/2/3, ROS1 and ALK gene rearrangements assay (Trailblaze Pharos™)"/>
      </w:tblPr>
      <w:tblGrid>
        <w:gridCol w:w="846"/>
        <w:gridCol w:w="992"/>
        <w:gridCol w:w="992"/>
        <w:gridCol w:w="993"/>
        <w:gridCol w:w="992"/>
        <w:gridCol w:w="992"/>
        <w:gridCol w:w="992"/>
        <w:gridCol w:w="993"/>
        <w:gridCol w:w="1134"/>
      </w:tblGrid>
      <w:tr w:rsidR="00475C6F" w14:paraId="06FA020F" w14:textId="77777777" w:rsidTr="00686859">
        <w:trPr>
          <w:tblHeader/>
        </w:trPr>
        <w:tc>
          <w:tcPr>
            <w:tcW w:w="846" w:type="dxa"/>
            <w:tcBorders>
              <w:bottom w:val="nil"/>
              <w:right w:val="nil"/>
            </w:tcBorders>
            <w:shd w:val="clear" w:color="auto" w:fill="auto"/>
          </w:tcPr>
          <w:p w14:paraId="7B644262" w14:textId="77777777" w:rsidR="00475C6F" w:rsidRPr="00475C6F" w:rsidRDefault="00475C6F" w:rsidP="00475C6F">
            <w:pPr>
              <w:pStyle w:val="TableText"/>
              <w:rPr>
                <w:b/>
              </w:rPr>
            </w:pPr>
          </w:p>
        </w:tc>
        <w:tc>
          <w:tcPr>
            <w:tcW w:w="992" w:type="dxa"/>
            <w:tcBorders>
              <w:left w:val="nil"/>
              <w:bottom w:val="nil"/>
            </w:tcBorders>
            <w:shd w:val="clear" w:color="auto" w:fill="auto"/>
          </w:tcPr>
          <w:p w14:paraId="5053A828" w14:textId="77777777" w:rsidR="00475C6F" w:rsidRPr="00475C6F" w:rsidRDefault="00475C6F" w:rsidP="00475C6F">
            <w:pPr>
              <w:pStyle w:val="TableText"/>
              <w:rPr>
                <w:b/>
              </w:rPr>
            </w:pPr>
          </w:p>
        </w:tc>
        <w:tc>
          <w:tcPr>
            <w:tcW w:w="2977" w:type="dxa"/>
            <w:gridSpan w:val="3"/>
            <w:shd w:val="clear" w:color="auto" w:fill="auto"/>
          </w:tcPr>
          <w:p w14:paraId="3466D86E" w14:textId="77777777" w:rsidR="00475C6F" w:rsidRPr="00475C6F" w:rsidRDefault="00475C6F" w:rsidP="00686859">
            <w:pPr>
              <w:pStyle w:val="TableText"/>
              <w:jc w:val="center"/>
              <w:rPr>
                <w:b/>
                <w:vertAlign w:val="superscript"/>
              </w:rPr>
            </w:pPr>
            <w:r w:rsidRPr="00475C6F">
              <w:rPr>
                <w:b/>
              </w:rPr>
              <w:t>Orthogonal method</w:t>
            </w:r>
            <w:r w:rsidRPr="00475C6F">
              <w:rPr>
                <w:b/>
                <w:vertAlign w:val="superscript"/>
              </w:rPr>
              <w:t>b</w:t>
            </w:r>
          </w:p>
        </w:tc>
        <w:tc>
          <w:tcPr>
            <w:tcW w:w="4111" w:type="dxa"/>
            <w:gridSpan w:val="4"/>
            <w:shd w:val="clear" w:color="auto" w:fill="auto"/>
          </w:tcPr>
          <w:p w14:paraId="6889BBE4" w14:textId="77777777" w:rsidR="00475C6F" w:rsidRPr="00475C6F" w:rsidRDefault="00475C6F" w:rsidP="00686859">
            <w:pPr>
              <w:pStyle w:val="TableText"/>
              <w:jc w:val="center"/>
              <w:rPr>
                <w:b/>
              </w:rPr>
            </w:pPr>
            <w:r w:rsidRPr="00475C6F">
              <w:rPr>
                <w:b/>
              </w:rPr>
              <w:t xml:space="preserve">Agreement </w:t>
            </w:r>
            <w:r w:rsidR="00686859">
              <w:rPr>
                <w:b/>
              </w:rPr>
              <w:t>r</w:t>
            </w:r>
            <w:r w:rsidRPr="00475C6F">
              <w:rPr>
                <w:b/>
              </w:rPr>
              <w:t>ates</w:t>
            </w:r>
          </w:p>
        </w:tc>
      </w:tr>
      <w:tr w:rsidR="00475C6F" w14:paraId="4C7E4E27" w14:textId="77777777" w:rsidTr="00686859">
        <w:tc>
          <w:tcPr>
            <w:tcW w:w="846" w:type="dxa"/>
            <w:tcBorders>
              <w:top w:val="nil"/>
              <w:right w:val="nil"/>
            </w:tcBorders>
            <w:shd w:val="clear" w:color="auto" w:fill="auto"/>
          </w:tcPr>
          <w:p w14:paraId="402D9FF6" w14:textId="77777777" w:rsidR="00475C6F" w:rsidRPr="00475C6F" w:rsidRDefault="00475C6F" w:rsidP="00475C6F">
            <w:pPr>
              <w:pStyle w:val="TableText"/>
              <w:rPr>
                <w:b/>
              </w:rPr>
            </w:pPr>
          </w:p>
        </w:tc>
        <w:tc>
          <w:tcPr>
            <w:tcW w:w="992" w:type="dxa"/>
            <w:tcBorders>
              <w:top w:val="nil"/>
              <w:left w:val="nil"/>
            </w:tcBorders>
            <w:shd w:val="clear" w:color="auto" w:fill="auto"/>
          </w:tcPr>
          <w:p w14:paraId="315E8825" w14:textId="77777777" w:rsidR="00475C6F" w:rsidRPr="00475C6F" w:rsidRDefault="00475C6F" w:rsidP="00475C6F">
            <w:pPr>
              <w:pStyle w:val="TableText"/>
              <w:rPr>
                <w:b/>
              </w:rPr>
            </w:pPr>
          </w:p>
        </w:tc>
        <w:tc>
          <w:tcPr>
            <w:tcW w:w="992" w:type="dxa"/>
            <w:shd w:val="clear" w:color="auto" w:fill="auto"/>
          </w:tcPr>
          <w:p w14:paraId="1299BCE0" w14:textId="77777777" w:rsidR="00475C6F" w:rsidRPr="00475C6F" w:rsidRDefault="00475C6F" w:rsidP="00686859">
            <w:pPr>
              <w:pStyle w:val="TableText"/>
              <w:jc w:val="center"/>
              <w:rPr>
                <w:b/>
              </w:rPr>
            </w:pPr>
            <w:r w:rsidRPr="00475C6F">
              <w:rPr>
                <w:b/>
              </w:rPr>
              <w:t>Positive</w:t>
            </w:r>
          </w:p>
        </w:tc>
        <w:tc>
          <w:tcPr>
            <w:tcW w:w="993" w:type="dxa"/>
            <w:shd w:val="clear" w:color="auto" w:fill="auto"/>
          </w:tcPr>
          <w:p w14:paraId="2EEF9127" w14:textId="77777777" w:rsidR="00475C6F" w:rsidRPr="00475C6F" w:rsidRDefault="00475C6F" w:rsidP="00686859">
            <w:pPr>
              <w:pStyle w:val="TableText"/>
              <w:jc w:val="center"/>
              <w:rPr>
                <w:b/>
              </w:rPr>
            </w:pPr>
            <w:r w:rsidRPr="00475C6F">
              <w:rPr>
                <w:b/>
              </w:rPr>
              <w:t>Negative</w:t>
            </w:r>
          </w:p>
        </w:tc>
        <w:tc>
          <w:tcPr>
            <w:tcW w:w="992" w:type="dxa"/>
            <w:shd w:val="clear" w:color="auto" w:fill="auto"/>
          </w:tcPr>
          <w:p w14:paraId="37A04C5A" w14:textId="77777777" w:rsidR="00475C6F" w:rsidRPr="00475C6F" w:rsidRDefault="00475C6F" w:rsidP="00686859">
            <w:pPr>
              <w:pStyle w:val="TableText"/>
              <w:jc w:val="center"/>
              <w:rPr>
                <w:b/>
              </w:rPr>
            </w:pPr>
            <w:r w:rsidRPr="00475C6F">
              <w:rPr>
                <w:b/>
              </w:rPr>
              <w:t>Total</w:t>
            </w:r>
          </w:p>
        </w:tc>
        <w:tc>
          <w:tcPr>
            <w:tcW w:w="992" w:type="dxa"/>
            <w:shd w:val="clear" w:color="auto" w:fill="auto"/>
          </w:tcPr>
          <w:p w14:paraId="1B9DE19A" w14:textId="77777777" w:rsidR="00475C6F" w:rsidRPr="00475C6F" w:rsidRDefault="00475C6F" w:rsidP="00686859">
            <w:pPr>
              <w:pStyle w:val="TableText"/>
              <w:jc w:val="center"/>
              <w:rPr>
                <w:b/>
              </w:rPr>
            </w:pPr>
            <w:r w:rsidRPr="00475C6F">
              <w:rPr>
                <w:b/>
              </w:rPr>
              <w:t>Rate</w:t>
            </w:r>
          </w:p>
        </w:tc>
        <w:tc>
          <w:tcPr>
            <w:tcW w:w="992" w:type="dxa"/>
            <w:shd w:val="clear" w:color="auto" w:fill="auto"/>
          </w:tcPr>
          <w:p w14:paraId="12E4A0AC" w14:textId="77777777" w:rsidR="00475C6F" w:rsidRPr="00475C6F" w:rsidRDefault="00475C6F" w:rsidP="00686859">
            <w:pPr>
              <w:pStyle w:val="TableText"/>
              <w:jc w:val="center"/>
              <w:rPr>
                <w:b/>
              </w:rPr>
            </w:pPr>
            <w:r w:rsidRPr="00475C6F">
              <w:rPr>
                <w:b/>
              </w:rPr>
              <w:t>n/N</w:t>
            </w:r>
          </w:p>
        </w:tc>
        <w:tc>
          <w:tcPr>
            <w:tcW w:w="993" w:type="dxa"/>
            <w:shd w:val="clear" w:color="auto" w:fill="auto"/>
          </w:tcPr>
          <w:p w14:paraId="67F4A426" w14:textId="77777777" w:rsidR="00475C6F" w:rsidRPr="00475C6F" w:rsidRDefault="00475C6F" w:rsidP="00686859">
            <w:pPr>
              <w:pStyle w:val="TableText"/>
              <w:jc w:val="center"/>
              <w:rPr>
                <w:b/>
              </w:rPr>
            </w:pPr>
            <w:r w:rsidRPr="00475C6F">
              <w:rPr>
                <w:b/>
              </w:rPr>
              <w:t>%</w:t>
            </w:r>
          </w:p>
        </w:tc>
        <w:tc>
          <w:tcPr>
            <w:tcW w:w="1134" w:type="dxa"/>
            <w:shd w:val="clear" w:color="auto" w:fill="auto"/>
          </w:tcPr>
          <w:p w14:paraId="2F4A3274" w14:textId="77777777" w:rsidR="00475C6F" w:rsidRPr="00475C6F" w:rsidRDefault="00475C6F" w:rsidP="00686859">
            <w:pPr>
              <w:pStyle w:val="TableText"/>
              <w:jc w:val="center"/>
              <w:rPr>
                <w:b/>
              </w:rPr>
            </w:pPr>
            <w:r w:rsidRPr="00475C6F">
              <w:rPr>
                <w:b/>
              </w:rPr>
              <w:t>95% CI</w:t>
            </w:r>
          </w:p>
        </w:tc>
      </w:tr>
      <w:tr w:rsidR="002E4F1C" w14:paraId="5C14A39D" w14:textId="77777777" w:rsidTr="00686859">
        <w:tc>
          <w:tcPr>
            <w:tcW w:w="846" w:type="dxa"/>
            <w:vMerge w:val="restart"/>
            <w:shd w:val="clear" w:color="auto" w:fill="auto"/>
            <w:vAlign w:val="center"/>
          </w:tcPr>
          <w:p w14:paraId="248908FC" w14:textId="77777777" w:rsidR="002E4F1C" w:rsidRPr="008D19CE" w:rsidRDefault="002E4F1C" w:rsidP="002E4F1C">
            <w:pPr>
              <w:pStyle w:val="TableText"/>
              <w:rPr>
                <w:vertAlign w:val="superscript"/>
              </w:rPr>
            </w:pPr>
            <w:r w:rsidRPr="008D19CE">
              <w:t>NGS</w:t>
            </w:r>
            <w:r w:rsidRPr="008D19CE">
              <w:rPr>
                <w:vertAlign w:val="superscript"/>
              </w:rPr>
              <w:t>a</w:t>
            </w:r>
          </w:p>
        </w:tc>
        <w:tc>
          <w:tcPr>
            <w:tcW w:w="992" w:type="dxa"/>
            <w:shd w:val="clear" w:color="auto" w:fill="auto"/>
          </w:tcPr>
          <w:p w14:paraId="382A64B8" w14:textId="77777777" w:rsidR="002E4F1C" w:rsidRPr="00651797" w:rsidRDefault="002E4F1C" w:rsidP="002E4F1C">
            <w:pPr>
              <w:pStyle w:val="TableText"/>
            </w:pPr>
            <w:r w:rsidRPr="00651797">
              <w:t>Positive</w:t>
            </w:r>
          </w:p>
        </w:tc>
        <w:tc>
          <w:tcPr>
            <w:tcW w:w="992" w:type="dxa"/>
            <w:shd w:val="clear" w:color="auto" w:fill="auto"/>
          </w:tcPr>
          <w:p w14:paraId="4D66B106" w14:textId="53506894" w:rsidR="002E4F1C" w:rsidRPr="00E14F3A" w:rsidRDefault="002E4F1C" w:rsidP="002E4F1C">
            <w:pPr>
              <w:pStyle w:val="TableText"/>
              <w:jc w:val="center"/>
            </w:pPr>
            <w:r w:rsidRPr="00E14F3A">
              <w:t>redacted</w:t>
            </w:r>
          </w:p>
        </w:tc>
        <w:tc>
          <w:tcPr>
            <w:tcW w:w="993" w:type="dxa"/>
            <w:shd w:val="clear" w:color="auto" w:fill="auto"/>
          </w:tcPr>
          <w:p w14:paraId="77A20646" w14:textId="4EC8E8DB" w:rsidR="002E4F1C" w:rsidRPr="00E14F3A" w:rsidRDefault="002E4F1C" w:rsidP="002E4F1C">
            <w:pPr>
              <w:pStyle w:val="TableText"/>
              <w:jc w:val="center"/>
            </w:pPr>
            <w:r w:rsidRPr="00E14F3A">
              <w:t>redacted</w:t>
            </w:r>
          </w:p>
        </w:tc>
        <w:tc>
          <w:tcPr>
            <w:tcW w:w="992" w:type="dxa"/>
            <w:shd w:val="clear" w:color="auto" w:fill="auto"/>
          </w:tcPr>
          <w:p w14:paraId="1DD79621" w14:textId="0C99F367" w:rsidR="002E4F1C" w:rsidRPr="00E14F3A" w:rsidRDefault="002E4F1C" w:rsidP="002E4F1C">
            <w:pPr>
              <w:pStyle w:val="TableText"/>
              <w:jc w:val="center"/>
            </w:pPr>
            <w:r w:rsidRPr="00E14F3A">
              <w:t>redacted</w:t>
            </w:r>
          </w:p>
        </w:tc>
        <w:tc>
          <w:tcPr>
            <w:tcW w:w="992" w:type="dxa"/>
            <w:shd w:val="clear" w:color="auto" w:fill="auto"/>
          </w:tcPr>
          <w:p w14:paraId="72A73CA3" w14:textId="091B61BB" w:rsidR="002E4F1C" w:rsidRPr="00E14F3A" w:rsidRDefault="002E4F1C" w:rsidP="002E4F1C">
            <w:pPr>
              <w:pStyle w:val="TableText"/>
              <w:jc w:val="center"/>
            </w:pPr>
            <w:r w:rsidRPr="00E14F3A">
              <w:t>redacted</w:t>
            </w:r>
          </w:p>
        </w:tc>
        <w:tc>
          <w:tcPr>
            <w:tcW w:w="992" w:type="dxa"/>
            <w:shd w:val="clear" w:color="auto" w:fill="auto"/>
          </w:tcPr>
          <w:p w14:paraId="14CE3274" w14:textId="7A80F5F5" w:rsidR="002E4F1C" w:rsidRPr="00E14F3A" w:rsidRDefault="002E4F1C" w:rsidP="002E4F1C">
            <w:pPr>
              <w:pStyle w:val="TableText"/>
              <w:jc w:val="center"/>
            </w:pPr>
            <w:r w:rsidRPr="00E14F3A">
              <w:t>redacted</w:t>
            </w:r>
          </w:p>
        </w:tc>
        <w:tc>
          <w:tcPr>
            <w:tcW w:w="993" w:type="dxa"/>
            <w:shd w:val="clear" w:color="auto" w:fill="auto"/>
          </w:tcPr>
          <w:p w14:paraId="45723BB8" w14:textId="4068AC98" w:rsidR="002E4F1C" w:rsidRPr="00E14F3A" w:rsidRDefault="002E4F1C" w:rsidP="002E4F1C">
            <w:pPr>
              <w:pStyle w:val="TableText"/>
              <w:jc w:val="center"/>
            </w:pPr>
            <w:r w:rsidRPr="00E14F3A">
              <w:t>redacted</w:t>
            </w:r>
          </w:p>
        </w:tc>
        <w:tc>
          <w:tcPr>
            <w:tcW w:w="1134" w:type="dxa"/>
            <w:shd w:val="clear" w:color="auto" w:fill="auto"/>
          </w:tcPr>
          <w:p w14:paraId="4A69E8CB" w14:textId="0AB20EFA" w:rsidR="002E4F1C" w:rsidRPr="00E14F3A" w:rsidRDefault="002E4F1C" w:rsidP="002E4F1C">
            <w:pPr>
              <w:pStyle w:val="TableText"/>
              <w:jc w:val="center"/>
            </w:pPr>
            <w:r w:rsidRPr="00E14F3A">
              <w:t>redacted</w:t>
            </w:r>
          </w:p>
        </w:tc>
      </w:tr>
      <w:tr w:rsidR="002E4F1C" w14:paraId="737EF72A" w14:textId="77777777" w:rsidTr="00686859">
        <w:tc>
          <w:tcPr>
            <w:tcW w:w="846" w:type="dxa"/>
            <w:vMerge/>
            <w:shd w:val="clear" w:color="auto" w:fill="auto"/>
          </w:tcPr>
          <w:p w14:paraId="1ED59F25" w14:textId="77777777" w:rsidR="002E4F1C" w:rsidRPr="008D19CE" w:rsidRDefault="002E4F1C" w:rsidP="002E4F1C">
            <w:pPr>
              <w:pStyle w:val="TableText"/>
            </w:pPr>
          </w:p>
        </w:tc>
        <w:tc>
          <w:tcPr>
            <w:tcW w:w="992" w:type="dxa"/>
            <w:shd w:val="clear" w:color="auto" w:fill="auto"/>
          </w:tcPr>
          <w:p w14:paraId="04471182" w14:textId="77777777" w:rsidR="002E4F1C" w:rsidRPr="00651797" w:rsidRDefault="002E4F1C" w:rsidP="002E4F1C">
            <w:pPr>
              <w:pStyle w:val="TableText"/>
            </w:pPr>
            <w:r w:rsidRPr="00651797">
              <w:t>Negative</w:t>
            </w:r>
          </w:p>
        </w:tc>
        <w:tc>
          <w:tcPr>
            <w:tcW w:w="992" w:type="dxa"/>
            <w:shd w:val="clear" w:color="auto" w:fill="auto"/>
          </w:tcPr>
          <w:p w14:paraId="35774B25" w14:textId="6BF5326F" w:rsidR="002E4F1C" w:rsidRPr="00E14F3A" w:rsidRDefault="002E4F1C" w:rsidP="002E4F1C">
            <w:pPr>
              <w:pStyle w:val="TableText"/>
              <w:jc w:val="center"/>
            </w:pPr>
            <w:r w:rsidRPr="00E14F3A">
              <w:t>redacted</w:t>
            </w:r>
          </w:p>
        </w:tc>
        <w:tc>
          <w:tcPr>
            <w:tcW w:w="993" w:type="dxa"/>
            <w:shd w:val="clear" w:color="auto" w:fill="auto"/>
          </w:tcPr>
          <w:p w14:paraId="3C8A96A5" w14:textId="389CAD35" w:rsidR="002E4F1C" w:rsidRPr="00E14F3A" w:rsidRDefault="002E4F1C" w:rsidP="002E4F1C">
            <w:pPr>
              <w:pStyle w:val="TableText"/>
              <w:jc w:val="center"/>
            </w:pPr>
            <w:r w:rsidRPr="00E14F3A">
              <w:t>redacted</w:t>
            </w:r>
          </w:p>
        </w:tc>
        <w:tc>
          <w:tcPr>
            <w:tcW w:w="992" w:type="dxa"/>
            <w:shd w:val="clear" w:color="auto" w:fill="auto"/>
          </w:tcPr>
          <w:p w14:paraId="2BC2075E" w14:textId="6DAD9ED8" w:rsidR="002E4F1C" w:rsidRPr="00E14F3A" w:rsidRDefault="002E4F1C" w:rsidP="002E4F1C">
            <w:pPr>
              <w:pStyle w:val="TableText"/>
              <w:jc w:val="center"/>
            </w:pPr>
            <w:r w:rsidRPr="00E14F3A">
              <w:t>redacted</w:t>
            </w:r>
          </w:p>
        </w:tc>
        <w:tc>
          <w:tcPr>
            <w:tcW w:w="992" w:type="dxa"/>
            <w:shd w:val="clear" w:color="auto" w:fill="auto"/>
          </w:tcPr>
          <w:p w14:paraId="4DA1694E" w14:textId="38B3C772" w:rsidR="002E4F1C" w:rsidRPr="00E14F3A" w:rsidRDefault="002E4F1C" w:rsidP="002E4F1C">
            <w:pPr>
              <w:pStyle w:val="TableText"/>
              <w:jc w:val="center"/>
            </w:pPr>
            <w:r w:rsidRPr="00E14F3A">
              <w:t>redacted</w:t>
            </w:r>
          </w:p>
        </w:tc>
        <w:tc>
          <w:tcPr>
            <w:tcW w:w="992" w:type="dxa"/>
            <w:shd w:val="clear" w:color="auto" w:fill="auto"/>
          </w:tcPr>
          <w:p w14:paraId="4451AC1A" w14:textId="63F7275F" w:rsidR="002E4F1C" w:rsidRPr="00E14F3A" w:rsidRDefault="002E4F1C" w:rsidP="002E4F1C">
            <w:pPr>
              <w:pStyle w:val="TableText"/>
              <w:jc w:val="center"/>
            </w:pPr>
            <w:r w:rsidRPr="00E14F3A">
              <w:t>redacted</w:t>
            </w:r>
          </w:p>
        </w:tc>
        <w:tc>
          <w:tcPr>
            <w:tcW w:w="993" w:type="dxa"/>
            <w:shd w:val="clear" w:color="auto" w:fill="auto"/>
          </w:tcPr>
          <w:p w14:paraId="0C444853" w14:textId="1BAE41E1" w:rsidR="002E4F1C" w:rsidRPr="00E14F3A" w:rsidRDefault="002E4F1C" w:rsidP="002E4F1C">
            <w:pPr>
              <w:pStyle w:val="TableText"/>
              <w:jc w:val="center"/>
            </w:pPr>
            <w:r w:rsidRPr="00E14F3A">
              <w:t>redacted</w:t>
            </w:r>
          </w:p>
        </w:tc>
        <w:tc>
          <w:tcPr>
            <w:tcW w:w="1134" w:type="dxa"/>
            <w:shd w:val="clear" w:color="auto" w:fill="auto"/>
          </w:tcPr>
          <w:p w14:paraId="32975AB1" w14:textId="07220A77" w:rsidR="002E4F1C" w:rsidRPr="00E14F3A" w:rsidRDefault="002E4F1C" w:rsidP="002E4F1C">
            <w:pPr>
              <w:pStyle w:val="TableText"/>
              <w:jc w:val="center"/>
            </w:pPr>
            <w:r w:rsidRPr="00E14F3A">
              <w:t>redacted</w:t>
            </w:r>
          </w:p>
        </w:tc>
      </w:tr>
      <w:tr w:rsidR="002E4F1C" w14:paraId="6208094B" w14:textId="77777777" w:rsidTr="00686859">
        <w:tc>
          <w:tcPr>
            <w:tcW w:w="846" w:type="dxa"/>
            <w:vMerge/>
            <w:shd w:val="clear" w:color="auto" w:fill="auto"/>
          </w:tcPr>
          <w:p w14:paraId="68DCEF4E" w14:textId="77777777" w:rsidR="002E4F1C" w:rsidRPr="008D19CE" w:rsidRDefault="002E4F1C" w:rsidP="002E4F1C">
            <w:pPr>
              <w:pStyle w:val="TableText"/>
            </w:pPr>
          </w:p>
        </w:tc>
        <w:tc>
          <w:tcPr>
            <w:tcW w:w="992" w:type="dxa"/>
            <w:shd w:val="clear" w:color="auto" w:fill="auto"/>
          </w:tcPr>
          <w:p w14:paraId="7ED576A6" w14:textId="77777777" w:rsidR="002E4F1C" w:rsidRPr="00651797" w:rsidRDefault="002E4F1C" w:rsidP="002E4F1C">
            <w:pPr>
              <w:pStyle w:val="TableText"/>
            </w:pPr>
            <w:r w:rsidRPr="00651797">
              <w:t>Total</w:t>
            </w:r>
          </w:p>
        </w:tc>
        <w:tc>
          <w:tcPr>
            <w:tcW w:w="992" w:type="dxa"/>
            <w:shd w:val="clear" w:color="auto" w:fill="auto"/>
          </w:tcPr>
          <w:p w14:paraId="5E35AD0C" w14:textId="3FF833C6" w:rsidR="002E4F1C" w:rsidRPr="00E14F3A" w:rsidRDefault="002E4F1C" w:rsidP="002E4F1C">
            <w:pPr>
              <w:pStyle w:val="TableText"/>
              <w:jc w:val="center"/>
            </w:pPr>
            <w:r w:rsidRPr="00E14F3A">
              <w:t>redacted</w:t>
            </w:r>
          </w:p>
        </w:tc>
        <w:tc>
          <w:tcPr>
            <w:tcW w:w="993" w:type="dxa"/>
            <w:shd w:val="clear" w:color="auto" w:fill="auto"/>
          </w:tcPr>
          <w:p w14:paraId="4C3C912E" w14:textId="2FE703C7" w:rsidR="002E4F1C" w:rsidRPr="00E14F3A" w:rsidRDefault="002E4F1C" w:rsidP="002E4F1C">
            <w:pPr>
              <w:pStyle w:val="TableText"/>
              <w:jc w:val="center"/>
            </w:pPr>
            <w:r w:rsidRPr="00E14F3A">
              <w:t>redacted</w:t>
            </w:r>
          </w:p>
        </w:tc>
        <w:tc>
          <w:tcPr>
            <w:tcW w:w="992" w:type="dxa"/>
            <w:shd w:val="clear" w:color="auto" w:fill="auto"/>
          </w:tcPr>
          <w:p w14:paraId="4A9A7A29" w14:textId="4C88C2C2" w:rsidR="002E4F1C" w:rsidRPr="00E14F3A" w:rsidRDefault="002E4F1C" w:rsidP="002E4F1C">
            <w:pPr>
              <w:pStyle w:val="TableText"/>
              <w:jc w:val="center"/>
            </w:pPr>
            <w:r w:rsidRPr="00E14F3A">
              <w:t>redacted</w:t>
            </w:r>
          </w:p>
        </w:tc>
        <w:tc>
          <w:tcPr>
            <w:tcW w:w="992" w:type="dxa"/>
            <w:shd w:val="clear" w:color="auto" w:fill="auto"/>
          </w:tcPr>
          <w:p w14:paraId="234D58AE" w14:textId="35A461AC" w:rsidR="002E4F1C" w:rsidRPr="00E14F3A" w:rsidRDefault="002E4F1C" w:rsidP="002E4F1C">
            <w:pPr>
              <w:pStyle w:val="TableText"/>
              <w:jc w:val="center"/>
            </w:pPr>
            <w:r w:rsidRPr="00E14F3A">
              <w:t>redacted</w:t>
            </w:r>
          </w:p>
        </w:tc>
        <w:tc>
          <w:tcPr>
            <w:tcW w:w="992" w:type="dxa"/>
            <w:shd w:val="clear" w:color="auto" w:fill="auto"/>
          </w:tcPr>
          <w:p w14:paraId="694FC042" w14:textId="7E43CB1D" w:rsidR="002E4F1C" w:rsidRPr="00E14F3A" w:rsidRDefault="002E4F1C" w:rsidP="002E4F1C">
            <w:pPr>
              <w:pStyle w:val="TableText"/>
              <w:jc w:val="center"/>
            </w:pPr>
            <w:r w:rsidRPr="00E14F3A">
              <w:t>redacted</w:t>
            </w:r>
          </w:p>
        </w:tc>
        <w:tc>
          <w:tcPr>
            <w:tcW w:w="993" w:type="dxa"/>
            <w:shd w:val="clear" w:color="auto" w:fill="auto"/>
          </w:tcPr>
          <w:p w14:paraId="338F94E5" w14:textId="09D40A41" w:rsidR="002E4F1C" w:rsidRPr="00E14F3A" w:rsidRDefault="002E4F1C" w:rsidP="002E4F1C">
            <w:pPr>
              <w:pStyle w:val="TableText"/>
              <w:jc w:val="center"/>
            </w:pPr>
            <w:r w:rsidRPr="00E14F3A">
              <w:t>redacted</w:t>
            </w:r>
          </w:p>
        </w:tc>
        <w:tc>
          <w:tcPr>
            <w:tcW w:w="1134" w:type="dxa"/>
            <w:shd w:val="clear" w:color="auto" w:fill="auto"/>
          </w:tcPr>
          <w:p w14:paraId="264FE4C4" w14:textId="269A16B0" w:rsidR="002E4F1C" w:rsidRPr="00E14F3A" w:rsidRDefault="002E4F1C" w:rsidP="002E4F1C">
            <w:pPr>
              <w:pStyle w:val="TableText"/>
              <w:jc w:val="center"/>
            </w:pPr>
            <w:r w:rsidRPr="00E14F3A">
              <w:t>redacted</w:t>
            </w:r>
          </w:p>
        </w:tc>
      </w:tr>
    </w:tbl>
    <w:p w14:paraId="69597722" w14:textId="77777777" w:rsidR="00475C6F" w:rsidRPr="00FB5994" w:rsidRDefault="00475C6F" w:rsidP="00475C6F">
      <w:pPr>
        <w:pStyle w:val="TableNotes"/>
      </w:pPr>
      <w:r w:rsidRPr="00955536">
        <w:rPr>
          <w:vertAlign w:val="superscript"/>
        </w:rPr>
        <w:t>a</w:t>
      </w:r>
      <w:r w:rsidR="00955536">
        <w:t xml:space="preserve"> </w:t>
      </w:r>
      <w:r w:rsidRPr="00FB5994">
        <w:rPr>
          <w:i/>
          <w:iCs/>
        </w:rPr>
        <w:t>NTRK1/2/3, ROS1</w:t>
      </w:r>
      <w:r w:rsidRPr="00FB5994">
        <w:t xml:space="preserve"> and </w:t>
      </w:r>
      <w:r w:rsidRPr="00FB5994">
        <w:rPr>
          <w:i/>
          <w:iCs/>
        </w:rPr>
        <w:t>ALK</w:t>
      </w:r>
      <w:r w:rsidRPr="00FB5994">
        <w:t xml:space="preserve"> gene rearrangements assay (Trailblaze Pharos™)</w:t>
      </w:r>
    </w:p>
    <w:p w14:paraId="283C3AFB" w14:textId="77777777" w:rsidR="00475C6F" w:rsidRPr="00FB5994" w:rsidRDefault="00475C6F" w:rsidP="00475C6F">
      <w:pPr>
        <w:pStyle w:val="TableNotes"/>
      </w:pPr>
      <w:r w:rsidRPr="00955536">
        <w:rPr>
          <w:vertAlign w:val="superscript"/>
        </w:rPr>
        <w:t>b</w:t>
      </w:r>
      <w:r w:rsidR="00955536">
        <w:t xml:space="preserve"> </w:t>
      </w:r>
      <w:r w:rsidRPr="00FB5994">
        <w:t>Reverse transcription polymerase PCR (RT-PCR), followed by Sanger sequencing</w:t>
      </w:r>
    </w:p>
    <w:p w14:paraId="29AF6AAE" w14:textId="77777777" w:rsidR="00475C6F" w:rsidRPr="00FB5994" w:rsidRDefault="00475C6F" w:rsidP="00955536">
      <w:pPr>
        <w:pStyle w:val="TableNotes"/>
        <w:tabs>
          <w:tab w:val="clear" w:pos="1134"/>
        </w:tabs>
        <w:ind w:left="0" w:firstLine="0"/>
      </w:pPr>
      <w:r w:rsidRPr="00FB5994">
        <w:t>Source:</w:t>
      </w:r>
      <w:r w:rsidR="00955536">
        <w:t xml:space="preserve"> </w:t>
      </w:r>
      <w:r w:rsidRPr="00FB5994">
        <w:t>p. 3,096 or STARTRK-2 CSR</w:t>
      </w:r>
    </w:p>
    <w:p w14:paraId="0CE50ADF" w14:textId="2B49C5AB" w:rsidR="00475C6F" w:rsidRDefault="00955536" w:rsidP="002E4F1C">
      <w:pPr>
        <w:pStyle w:val="TableNotes"/>
        <w:tabs>
          <w:tab w:val="clear" w:pos="1134"/>
        </w:tabs>
        <w:ind w:left="0" w:firstLine="0"/>
      </w:pPr>
      <w:r>
        <w:t xml:space="preserve">Abbreviations: </w:t>
      </w:r>
      <w:r w:rsidR="00475C6F" w:rsidRPr="00FB5994">
        <w:t>OPA = overall percent agreement; NPA = negative percent agreement; PPA = positive percent agreement</w:t>
      </w:r>
    </w:p>
    <w:p w14:paraId="000FDE28" w14:textId="6A957F83" w:rsidR="00475C6F" w:rsidRDefault="00475C6F" w:rsidP="002E4F1C">
      <w:pPr>
        <w:spacing w:before="240"/>
      </w:pPr>
      <w:r>
        <w:t>Based on the results of the assessment of analytical accuracy presented in Table 4</w:t>
      </w:r>
      <w:r w:rsidR="00955536">
        <w:t>,</w:t>
      </w:r>
      <w:r>
        <w:t xml:space="preserve"> </w:t>
      </w:r>
      <w:r w:rsidR="008A7C64">
        <w:t xml:space="preserve">the applicant </w:t>
      </w:r>
      <w:r>
        <w:t>conclude</w:t>
      </w:r>
      <w:r w:rsidR="008A7C64">
        <w:t>d</w:t>
      </w:r>
      <w:r>
        <w:t xml:space="preserve"> t</w:t>
      </w:r>
      <w:bookmarkStart w:id="9" w:name="_GoBack"/>
      <w:bookmarkEnd w:id="9"/>
      <w:r>
        <w:t xml:space="preserve">hat the molecular testing results used to enrol patients in the STARTRK-2 </w:t>
      </w:r>
      <w:r w:rsidR="008A7C64">
        <w:t>we</w:t>
      </w:r>
      <w:r>
        <w:t xml:space="preserve">re robust and that patients allocated to each “basket” (including </w:t>
      </w:r>
      <w:r w:rsidR="00955536">
        <w:t xml:space="preserve">patients with </w:t>
      </w:r>
      <w:r>
        <w:t xml:space="preserve">NSCLC randomised to the </w:t>
      </w:r>
      <w:r w:rsidRPr="00955536">
        <w:rPr>
          <w:i/>
        </w:rPr>
        <w:t>ROS1</w:t>
      </w:r>
      <w:r>
        <w:t xml:space="preserve"> basket) were accurately identified as harbouring a gene rearrangement: 100% positive percent agreement between the </w:t>
      </w:r>
      <w:r>
        <w:rPr>
          <w:i/>
          <w:iCs/>
        </w:rPr>
        <w:t>NTRK1/2/3, ROS1</w:t>
      </w:r>
      <w:r>
        <w:t xml:space="preserve"> and </w:t>
      </w:r>
      <w:r>
        <w:rPr>
          <w:i/>
          <w:iCs/>
        </w:rPr>
        <w:t>ALK</w:t>
      </w:r>
      <w:r>
        <w:t xml:space="preserve"> gene rearrangements assay (Trailblaze Pharos™) and RT-PCR followed by Sanger sequencing.</w:t>
      </w:r>
    </w:p>
    <w:p w14:paraId="1D964B48" w14:textId="7D0621B8" w:rsidR="00475C6F" w:rsidRDefault="00955536" w:rsidP="002E4F1C">
      <w:pPr>
        <w:spacing w:before="240"/>
      </w:pPr>
      <w:r>
        <w:t>A</w:t>
      </w:r>
      <w:r w:rsidR="00475C6F">
        <w:t xml:space="preserve"> comparison of the </w:t>
      </w:r>
      <w:r w:rsidR="00475C6F">
        <w:rPr>
          <w:i/>
          <w:iCs/>
        </w:rPr>
        <w:t>NTRK1/2/3, ROS1</w:t>
      </w:r>
      <w:r w:rsidR="00475C6F">
        <w:t xml:space="preserve"> and </w:t>
      </w:r>
      <w:r w:rsidR="00475C6F">
        <w:rPr>
          <w:i/>
          <w:iCs/>
        </w:rPr>
        <w:t>ALK</w:t>
      </w:r>
      <w:r w:rsidR="00475C6F">
        <w:t xml:space="preserve"> gene rearrangements assay (Trailblaze Pharos™) with </w:t>
      </w:r>
      <w:r w:rsidR="00475C6F" w:rsidRPr="00955536">
        <w:rPr>
          <w:i/>
        </w:rPr>
        <w:t>ROS1</w:t>
      </w:r>
      <w:r w:rsidR="00475C6F">
        <w:t xml:space="preserve"> testing by FISH was not undertaken</w:t>
      </w:r>
      <w:r>
        <w:t xml:space="preserve"> by </w:t>
      </w:r>
      <w:r w:rsidR="008A7C64">
        <w:t>the applicant</w:t>
      </w:r>
      <w:r w:rsidR="00475C6F">
        <w:t>.</w:t>
      </w:r>
    </w:p>
    <w:p w14:paraId="29D2C0D4" w14:textId="77777777" w:rsidR="00475C6F" w:rsidRDefault="00475C6F" w:rsidP="002E4F1C">
      <w:pPr>
        <w:spacing w:before="240"/>
      </w:pPr>
      <w:r>
        <w:t xml:space="preserve">MSAC has previously considered the comparative analytical performance of </w:t>
      </w:r>
      <w:r w:rsidRPr="00955536">
        <w:rPr>
          <w:i/>
        </w:rPr>
        <w:t>ROS1</w:t>
      </w:r>
      <w:r>
        <w:t xml:space="preserve"> gene rearrangement testing with NGS versus FISH, with the results outlined in the Public Summary Document (PSD) for MSAC Application 1454 (Table 6).</w:t>
      </w:r>
    </w:p>
    <w:p w14:paraId="153C5D49" w14:textId="51350A03" w:rsidR="00475C6F" w:rsidRPr="006B2221" w:rsidRDefault="00475C6F" w:rsidP="006B2221">
      <w:pPr>
        <w:spacing w:before="240"/>
        <w:rPr>
          <w:rFonts w:ascii="Arial Narrow" w:hAnsi="Arial Narrow"/>
          <w:b/>
          <w:sz w:val="20"/>
        </w:rPr>
      </w:pPr>
      <w:bookmarkStart w:id="10" w:name="_Ref12961128"/>
      <w:bookmarkStart w:id="11" w:name="_Toc21876437"/>
      <w:r w:rsidRPr="006B2221">
        <w:rPr>
          <w:rFonts w:ascii="Arial Narrow" w:hAnsi="Arial Narrow"/>
          <w:b/>
          <w:sz w:val="20"/>
        </w:rPr>
        <w:t>Table</w:t>
      </w:r>
      <w:bookmarkEnd w:id="10"/>
      <w:r w:rsidRPr="006B2221">
        <w:rPr>
          <w:rFonts w:ascii="Arial Narrow" w:hAnsi="Arial Narrow"/>
          <w:b/>
          <w:sz w:val="20"/>
        </w:rPr>
        <w:t xml:space="preserve"> 5</w:t>
      </w:r>
      <w:r w:rsidR="00571D26" w:rsidRPr="006B2221">
        <w:rPr>
          <w:rFonts w:ascii="Arial Narrow" w:hAnsi="Arial Narrow"/>
          <w:b/>
          <w:sz w:val="20"/>
        </w:rPr>
        <w:t>:</w:t>
      </w:r>
      <w:r w:rsidRPr="006B2221">
        <w:rPr>
          <w:rFonts w:ascii="Arial Narrow" w:hAnsi="Arial Narrow"/>
          <w:b/>
          <w:sz w:val="20"/>
        </w:rPr>
        <w:tab/>
        <w:t>Assessment of ROS1 testing with NGS versus FISH previously considered by MSAC</w:t>
      </w:r>
      <w:bookmarkEnd w:id="11"/>
    </w:p>
    <w:tbl>
      <w:tblPr>
        <w:tblStyle w:val="TableGrid"/>
        <w:tblW w:w="0" w:type="auto"/>
        <w:tblLook w:val="04A0" w:firstRow="1" w:lastRow="0" w:firstColumn="1" w:lastColumn="0" w:noHBand="0" w:noVBand="1"/>
        <w:tblDescription w:val="Summary of the trial results of NGS analytic performance outcomes"/>
      </w:tblPr>
      <w:tblGrid>
        <w:gridCol w:w="800"/>
        <w:gridCol w:w="490"/>
        <w:gridCol w:w="2997"/>
        <w:gridCol w:w="1250"/>
        <w:gridCol w:w="1320"/>
        <w:gridCol w:w="1122"/>
        <w:gridCol w:w="1037"/>
      </w:tblGrid>
      <w:tr w:rsidR="00033804" w:rsidRPr="003051E3" w14:paraId="1211A52D" w14:textId="77777777" w:rsidTr="006B2221">
        <w:trPr>
          <w:tblHeader/>
        </w:trPr>
        <w:tc>
          <w:tcPr>
            <w:tcW w:w="709" w:type="dxa"/>
          </w:tcPr>
          <w:p w14:paraId="57B60961" w14:textId="77777777" w:rsidR="00033804" w:rsidRPr="003051E3" w:rsidRDefault="00033804" w:rsidP="00FC7C05">
            <w:pPr>
              <w:pStyle w:val="TableText0"/>
              <w:jc w:val="both"/>
              <w:rPr>
                <w:rFonts w:cs="Times New Roman"/>
                <w:b/>
              </w:rPr>
            </w:pPr>
            <w:r w:rsidRPr="003051E3">
              <w:rPr>
                <w:rFonts w:cs="Times New Roman"/>
                <w:b/>
              </w:rPr>
              <w:t xml:space="preserve">Study </w:t>
            </w:r>
          </w:p>
        </w:tc>
        <w:tc>
          <w:tcPr>
            <w:tcW w:w="425" w:type="dxa"/>
          </w:tcPr>
          <w:p w14:paraId="7D92BC4E" w14:textId="77777777" w:rsidR="00033804" w:rsidRPr="003051E3" w:rsidRDefault="00033804" w:rsidP="00FC7C05">
            <w:pPr>
              <w:pStyle w:val="TableText0"/>
              <w:jc w:val="both"/>
              <w:rPr>
                <w:rFonts w:cs="Times New Roman"/>
                <w:b/>
                <w:iCs/>
                <w:szCs w:val="24"/>
                <w:lang w:val="en-US"/>
              </w:rPr>
            </w:pPr>
            <w:r w:rsidRPr="003051E3">
              <w:rPr>
                <w:rFonts w:cs="Times New Roman"/>
                <w:b/>
                <w:iCs/>
                <w:szCs w:val="24"/>
                <w:lang w:val="en-US"/>
              </w:rPr>
              <w:t xml:space="preserve">N </w:t>
            </w:r>
            <w:r w:rsidRPr="003051E3">
              <w:rPr>
                <w:rFonts w:cs="Times New Roman"/>
                <w:b/>
                <w:iCs/>
                <w:szCs w:val="24"/>
                <w:vertAlign w:val="superscript"/>
                <w:lang w:val="en-US"/>
              </w:rPr>
              <w:t>a</w:t>
            </w:r>
          </w:p>
        </w:tc>
        <w:tc>
          <w:tcPr>
            <w:tcW w:w="3119" w:type="dxa"/>
          </w:tcPr>
          <w:p w14:paraId="014EF606" w14:textId="77777777" w:rsidR="00033804" w:rsidRPr="003051E3" w:rsidRDefault="00033804" w:rsidP="00FC7C05">
            <w:pPr>
              <w:pStyle w:val="TableText0"/>
              <w:jc w:val="both"/>
              <w:rPr>
                <w:rFonts w:cs="Times New Roman"/>
                <w:b/>
                <w:szCs w:val="24"/>
                <w:lang w:val="en-US"/>
              </w:rPr>
            </w:pPr>
            <w:r w:rsidRPr="003051E3">
              <w:rPr>
                <w:rFonts w:cs="Times New Roman"/>
                <w:b/>
              </w:rPr>
              <w:t>NGS</w:t>
            </w:r>
          </w:p>
        </w:tc>
        <w:tc>
          <w:tcPr>
            <w:tcW w:w="1276" w:type="dxa"/>
          </w:tcPr>
          <w:p w14:paraId="4D40F70E" w14:textId="77777777" w:rsidR="00033804" w:rsidRPr="003051E3" w:rsidRDefault="00033804" w:rsidP="00FC7C05">
            <w:pPr>
              <w:pStyle w:val="TableText0"/>
              <w:jc w:val="both"/>
              <w:rPr>
                <w:rFonts w:cs="Times New Roman"/>
                <w:szCs w:val="24"/>
                <w:lang w:val="en-US"/>
              </w:rPr>
            </w:pPr>
            <w:r w:rsidRPr="003051E3">
              <w:rPr>
                <w:rFonts w:cs="Times New Roman"/>
                <w:b/>
                <w:iCs/>
                <w:szCs w:val="24"/>
                <w:lang w:val="en-US"/>
              </w:rPr>
              <w:t>FISH</w:t>
            </w:r>
          </w:p>
        </w:tc>
        <w:tc>
          <w:tcPr>
            <w:tcW w:w="1368" w:type="dxa"/>
          </w:tcPr>
          <w:p w14:paraId="5052BABD" w14:textId="77777777" w:rsidR="00033804" w:rsidRPr="003051E3" w:rsidRDefault="00033804" w:rsidP="00FC7C05">
            <w:pPr>
              <w:pStyle w:val="TableText0"/>
              <w:jc w:val="center"/>
              <w:rPr>
                <w:rFonts w:cs="Times New Roman"/>
                <w:b/>
                <w:iCs/>
                <w:szCs w:val="24"/>
                <w:lang w:val="en-US"/>
              </w:rPr>
            </w:pPr>
            <w:r w:rsidRPr="00420D95">
              <w:rPr>
                <w:rFonts w:cs="Times New Roman"/>
                <w:b/>
                <w:i/>
                <w:iCs/>
                <w:szCs w:val="24"/>
                <w:lang w:val="en-US"/>
              </w:rPr>
              <w:t>ROS1</w:t>
            </w:r>
            <w:r w:rsidRPr="003051E3">
              <w:rPr>
                <w:rFonts w:cs="Times New Roman"/>
                <w:b/>
                <w:iCs/>
                <w:szCs w:val="24"/>
                <w:lang w:val="en-US"/>
              </w:rPr>
              <w:t xml:space="preserve"> pos n (%)</w:t>
            </w:r>
          </w:p>
        </w:tc>
        <w:tc>
          <w:tcPr>
            <w:tcW w:w="1128" w:type="dxa"/>
          </w:tcPr>
          <w:p w14:paraId="10D2C41F" w14:textId="77777777" w:rsidR="00033804" w:rsidRPr="003051E3" w:rsidRDefault="00033804" w:rsidP="00FC7C05">
            <w:pPr>
              <w:pStyle w:val="TableText0"/>
              <w:jc w:val="center"/>
              <w:rPr>
                <w:rFonts w:cs="Times New Roman"/>
                <w:szCs w:val="24"/>
                <w:lang w:val="en-US"/>
              </w:rPr>
            </w:pPr>
            <w:r w:rsidRPr="003051E3">
              <w:rPr>
                <w:rFonts w:cs="Times New Roman"/>
                <w:b/>
                <w:iCs/>
                <w:szCs w:val="24"/>
                <w:lang w:val="en-US"/>
              </w:rPr>
              <w:t>Sensitivity</w:t>
            </w:r>
          </w:p>
        </w:tc>
        <w:tc>
          <w:tcPr>
            <w:tcW w:w="1029" w:type="dxa"/>
          </w:tcPr>
          <w:p w14:paraId="00BA9C7A" w14:textId="77777777" w:rsidR="00033804" w:rsidRPr="003051E3" w:rsidRDefault="00033804" w:rsidP="00FC7C05">
            <w:pPr>
              <w:pStyle w:val="TableText0"/>
              <w:jc w:val="center"/>
              <w:rPr>
                <w:rFonts w:cs="Times New Roman"/>
                <w:szCs w:val="24"/>
                <w:lang w:val="en-US"/>
              </w:rPr>
            </w:pPr>
            <w:r w:rsidRPr="003051E3">
              <w:rPr>
                <w:rFonts w:cs="Times New Roman"/>
                <w:b/>
                <w:iCs/>
                <w:szCs w:val="24"/>
                <w:lang w:val="en-US"/>
              </w:rPr>
              <w:t>Specificity</w:t>
            </w:r>
          </w:p>
        </w:tc>
      </w:tr>
      <w:tr w:rsidR="00033804" w:rsidRPr="003051E3" w14:paraId="0EB0170E" w14:textId="77777777" w:rsidTr="006B2221">
        <w:tc>
          <w:tcPr>
            <w:tcW w:w="709" w:type="dxa"/>
          </w:tcPr>
          <w:p w14:paraId="49FA734F" w14:textId="77777777" w:rsidR="00033804" w:rsidRPr="003051E3" w:rsidRDefault="00033804" w:rsidP="00FC7C05">
            <w:pPr>
              <w:pStyle w:val="TableText0"/>
              <w:jc w:val="both"/>
              <w:rPr>
                <w:rFonts w:cs="Times New Roman"/>
              </w:rPr>
            </w:pPr>
            <w:r w:rsidRPr="003051E3">
              <w:rPr>
                <w:rFonts w:cs="Times New Roman"/>
              </w:rPr>
              <w:t>Pfarr 2016</w:t>
            </w:r>
          </w:p>
        </w:tc>
        <w:tc>
          <w:tcPr>
            <w:tcW w:w="425" w:type="dxa"/>
          </w:tcPr>
          <w:p w14:paraId="28267960" w14:textId="77777777" w:rsidR="00033804" w:rsidRPr="003051E3" w:rsidRDefault="00033804" w:rsidP="00FC7C05">
            <w:pPr>
              <w:pStyle w:val="TableText0"/>
              <w:jc w:val="both"/>
              <w:rPr>
                <w:rFonts w:cs="Times New Roman"/>
              </w:rPr>
            </w:pPr>
            <w:r w:rsidRPr="003051E3">
              <w:rPr>
                <w:rFonts w:cs="Times New Roman"/>
              </w:rPr>
              <w:t>159</w:t>
            </w:r>
          </w:p>
        </w:tc>
        <w:tc>
          <w:tcPr>
            <w:tcW w:w="3119" w:type="dxa"/>
          </w:tcPr>
          <w:p w14:paraId="670B2799" w14:textId="77777777" w:rsidR="00033804" w:rsidRPr="003051E3" w:rsidRDefault="00033804" w:rsidP="00FC7C05">
            <w:pPr>
              <w:pStyle w:val="TableText0"/>
              <w:jc w:val="both"/>
              <w:rPr>
                <w:rFonts w:eastAsia="Times New Roman" w:cs="Times New Roman"/>
              </w:rPr>
            </w:pPr>
            <w:r w:rsidRPr="003051E3">
              <w:rPr>
                <w:rFonts w:cs="Times New Roman"/>
              </w:rPr>
              <w:t>Ion Torrent AmpliSeq™ (ThermoFisher) with RNA Lung Cancer Fusion Panel</w:t>
            </w:r>
          </w:p>
        </w:tc>
        <w:tc>
          <w:tcPr>
            <w:tcW w:w="1276" w:type="dxa"/>
          </w:tcPr>
          <w:p w14:paraId="31FAFC9D" w14:textId="77777777" w:rsidR="00033804" w:rsidRPr="003051E3" w:rsidRDefault="00033804" w:rsidP="00FC7C05">
            <w:pPr>
              <w:pStyle w:val="TableText0"/>
              <w:jc w:val="both"/>
              <w:rPr>
                <w:rFonts w:eastAsia="Times New Roman" w:cs="Times New Roman"/>
              </w:rPr>
            </w:pPr>
            <w:r w:rsidRPr="003051E3">
              <w:rPr>
                <w:rFonts w:cs="Times New Roman"/>
              </w:rPr>
              <w:t xml:space="preserve">ZytoLight SPEC </w:t>
            </w:r>
            <w:r w:rsidRPr="00420D95">
              <w:rPr>
                <w:rFonts w:cs="Times New Roman"/>
                <w:i/>
              </w:rPr>
              <w:t>ROS1</w:t>
            </w:r>
            <w:r w:rsidRPr="003051E3">
              <w:rPr>
                <w:rFonts w:cs="Times New Roman"/>
              </w:rPr>
              <w:t xml:space="preserve"> probe</w:t>
            </w:r>
          </w:p>
        </w:tc>
        <w:tc>
          <w:tcPr>
            <w:tcW w:w="1368" w:type="dxa"/>
          </w:tcPr>
          <w:p w14:paraId="04B9D952" w14:textId="77777777" w:rsidR="00033804" w:rsidRPr="003051E3" w:rsidRDefault="00033804" w:rsidP="00FC7C05">
            <w:pPr>
              <w:pStyle w:val="TableText0"/>
              <w:jc w:val="center"/>
              <w:rPr>
                <w:rFonts w:cs="Times New Roman"/>
              </w:rPr>
            </w:pPr>
            <w:r w:rsidRPr="003051E3">
              <w:rPr>
                <w:rFonts w:cs="Times New Roman"/>
              </w:rPr>
              <w:t>8/135 (6%)</w:t>
            </w:r>
          </w:p>
        </w:tc>
        <w:tc>
          <w:tcPr>
            <w:tcW w:w="1128" w:type="dxa"/>
          </w:tcPr>
          <w:p w14:paraId="68D2E0CC" w14:textId="77777777" w:rsidR="00033804" w:rsidRPr="003051E3" w:rsidRDefault="00033804" w:rsidP="00FC7C05">
            <w:pPr>
              <w:pStyle w:val="TableText0"/>
              <w:jc w:val="center"/>
              <w:rPr>
                <w:rFonts w:eastAsia="Times New Roman" w:cs="Times New Roman"/>
                <w:vertAlign w:val="superscript"/>
              </w:rPr>
            </w:pPr>
            <w:r w:rsidRPr="003051E3">
              <w:rPr>
                <w:rFonts w:cs="Times New Roman"/>
              </w:rPr>
              <w:t>100%</w:t>
            </w:r>
            <w:r w:rsidRPr="003051E3">
              <w:rPr>
                <w:rFonts w:cs="Times New Roman"/>
                <w:vertAlign w:val="superscript"/>
              </w:rPr>
              <w:t>b</w:t>
            </w:r>
          </w:p>
        </w:tc>
        <w:tc>
          <w:tcPr>
            <w:tcW w:w="1029" w:type="dxa"/>
          </w:tcPr>
          <w:p w14:paraId="7D06F348" w14:textId="77777777" w:rsidR="00033804" w:rsidRPr="003051E3" w:rsidRDefault="00033804" w:rsidP="00FC7C05">
            <w:pPr>
              <w:pStyle w:val="TableText0"/>
              <w:jc w:val="center"/>
              <w:rPr>
                <w:rFonts w:eastAsia="Times New Roman" w:cs="Times New Roman"/>
              </w:rPr>
            </w:pPr>
            <w:r w:rsidRPr="003051E3">
              <w:rPr>
                <w:rFonts w:cs="Times New Roman"/>
              </w:rPr>
              <w:t>100%</w:t>
            </w:r>
            <w:r w:rsidRPr="003051E3">
              <w:rPr>
                <w:rFonts w:cs="Times New Roman"/>
                <w:vertAlign w:val="superscript"/>
              </w:rPr>
              <w:t xml:space="preserve"> b</w:t>
            </w:r>
          </w:p>
        </w:tc>
      </w:tr>
      <w:tr w:rsidR="00033804" w:rsidRPr="003051E3" w14:paraId="6D10F495" w14:textId="77777777" w:rsidTr="006B2221">
        <w:trPr>
          <w:trHeight w:val="534"/>
        </w:trPr>
        <w:tc>
          <w:tcPr>
            <w:tcW w:w="709" w:type="dxa"/>
          </w:tcPr>
          <w:p w14:paraId="14713E58" w14:textId="77777777" w:rsidR="00033804" w:rsidRPr="003051E3" w:rsidRDefault="00033804" w:rsidP="00FC7C05">
            <w:pPr>
              <w:pStyle w:val="TableText0"/>
              <w:jc w:val="both"/>
              <w:rPr>
                <w:rFonts w:cs="Times New Roman"/>
              </w:rPr>
            </w:pPr>
            <w:r w:rsidRPr="003051E3">
              <w:rPr>
                <w:rFonts w:cs="Times New Roman"/>
              </w:rPr>
              <w:t>Lira 2014</w:t>
            </w:r>
          </w:p>
        </w:tc>
        <w:tc>
          <w:tcPr>
            <w:tcW w:w="425" w:type="dxa"/>
          </w:tcPr>
          <w:p w14:paraId="577169AB" w14:textId="77777777" w:rsidR="00033804" w:rsidRPr="003051E3" w:rsidRDefault="00033804" w:rsidP="00FC7C05">
            <w:pPr>
              <w:pStyle w:val="TableText0"/>
              <w:jc w:val="both"/>
              <w:rPr>
                <w:rFonts w:cs="Times New Roman"/>
              </w:rPr>
            </w:pPr>
            <w:r w:rsidRPr="003051E3">
              <w:rPr>
                <w:rFonts w:cs="Times New Roman"/>
              </w:rPr>
              <w:t>295</w:t>
            </w:r>
          </w:p>
        </w:tc>
        <w:tc>
          <w:tcPr>
            <w:tcW w:w="3119" w:type="dxa"/>
          </w:tcPr>
          <w:p w14:paraId="34EFABB3" w14:textId="77777777" w:rsidR="00033804" w:rsidRPr="003051E3" w:rsidRDefault="00033804" w:rsidP="00FC7C05">
            <w:pPr>
              <w:pStyle w:val="TableText0"/>
              <w:jc w:val="both"/>
              <w:rPr>
                <w:rFonts w:cs="Times New Roman"/>
              </w:rPr>
            </w:pPr>
            <w:r w:rsidRPr="003051E3">
              <w:rPr>
                <w:rFonts w:cs="Times New Roman"/>
              </w:rPr>
              <w:t xml:space="preserve">Custom </w:t>
            </w:r>
            <w:r w:rsidRPr="00420D95">
              <w:rPr>
                <w:rFonts w:cs="Times New Roman"/>
                <w:i/>
              </w:rPr>
              <w:t>ROS1</w:t>
            </w:r>
            <w:r w:rsidRPr="003051E3">
              <w:rPr>
                <w:rFonts w:cs="Times New Roman"/>
              </w:rPr>
              <w:t xml:space="preserve"> target sequence (NanoString Technologies)</w:t>
            </w:r>
          </w:p>
        </w:tc>
        <w:tc>
          <w:tcPr>
            <w:tcW w:w="1276" w:type="dxa"/>
          </w:tcPr>
          <w:p w14:paraId="699ABF0D" w14:textId="77777777" w:rsidR="00033804" w:rsidRPr="003051E3" w:rsidRDefault="00033804" w:rsidP="00FC7C05">
            <w:pPr>
              <w:pStyle w:val="TableText0"/>
              <w:jc w:val="both"/>
              <w:rPr>
                <w:rFonts w:eastAsia="Times New Roman" w:cs="Times New Roman"/>
              </w:rPr>
            </w:pPr>
            <w:r w:rsidRPr="003051E3">
              <w:rPr>
                <w:rFonts w:cs="Times New Roman"/>
              </w:rPr>
              <w:t xml:space="preserve">ZytoLight SPEC </w:t>
            </w:r>
            <w:r w:rsidRPr="00420D95">
              <w:rPr>
                <w:rFonts w:cs="Times New Roman"/>
                <w:i/>
              </w:rPr>
              <w:t>ROS1</w:t>
            </w:r>
            <w:r w:rsidRPr="003051E3">
              <w:rPr>
                <w:rFonts w:cs="Times New Roman"/>
              </w:rPr>
              <w:t xml:space="preserve"> probe</w:t>
            </w:r>
          </w:p>
        </w:tc>
        <w:tc>
          <w:tcPr>
            <w:tcW w:w="1368" w:type="dxa"/>
          </w:tcPr>
          <w:p w14:paraId="70A04B6F" w14:textId="77777777" w:rsidR="00033804" w:rsidRPr="003051E3" w:rsidRDefault="00033804" w:rsidP="00FC7C05">
            <w:pPr>
              <w:pStyle w:val="TableText0"/>
              <w:jc w:val="center"/>
              <w:rPr>
                <w:rFonts w:cs="Times New Roman"/>
              </w:rPr>
            </w:pPr>
            <w:r w:rsidRPr="003051E3">
              <w:rPr>
                <w:rFonts w:cs="Times New Roman"/>
              </w:rPr>
              <w:t>4/46 (9%)</w:t>
            </w:r>
          </w:p>
        </w:tc>
        <w:tc>
          <w:tcPr>
            <w:tcW w:w="1128" w:type="dxa"/>
          </w:tcPr>
          <w:p w14:paraId="507AC8E0" w14:textId="77777777" w:rsidR="00033804" w:rsidRPr="003051E3" w:rsidRDefault="00033804" w:rsidP="00FC7C05">
            <w:pPr>
              <w:pStyle w:val="TableText0"/>
              <w:jc w:val="center"/>
              <w:rPr>
                <w:rFonts w:eastAsia="Times New Roman" w:cs="Times New Roman"/>
              </w:rPr>
            </w:pPr>
            <w:r w:rsidRPr="003051E3">
              <w:rPr>
                <w:rFonts w:cs="Times New Roman"/>
              </w:rPr>
              <w:t>100%</w:t>
            </w:r>
          </w:p>
        </w:tc>
        <w:tc>
          <w:tcPr>
            <w:tcW w:w="1029" w:type="dxa"/>
          </w:tcPr>
          <w:p w14:paraId="1179146B" w14:textId="77777777" w:rsidR="00033804" w:rsidRPr="003051E3" w:rsidRDefault="00033804" w:rsidP="00FC7C05">
            <w:pPr>
              <w:pStyle w:val="TableText0"/>
              <w:jc w:val="center"/>
              <w:rPr>
                <w:rFonts w:eastAsia="Times New Roman" w:cs="Times New Roman"/>
              </w:rPr>
            </w:pPr>
            <w:r w:rsidRPr="003051E3">
              <w:rPr>
                <w:rFonts w:cs="Times New Roman"/>
              </w:rPr>
              <w:t>100%</w:t>
            </w:r>
          </w:p>
        </w:tc>
      </w:tr>
      <w:tr w:rsidR="00033804" w:rsidRPr="003051E3" w14:paraId="2AA0BA13" w14:textId="77777777" w:rsidTr="006B2221">
        <w:tc>
          <w:tcPr>
            <w:tcW w:w="709" w:type="dxa"/>
          </w:tcPr>
          <w:p w14:paraId="3E83DC4F" w14:textId="77777777" w:rsidR="00033804" w:rsidRPr="003051E3" w:rsidRDefault="00033804" w:rsidP="00FC7C05">
            <w:pPr>
              <w:pStyle w:val="TableText0"/>
              <w:jc w:val="both"/>
              <w:rPr>
                <w:rFonts w:cs="Times New Roman"/>
              </w:rPr>
            </w:pPr>
            <w:r w:rsidRPr="003051E3">
              <w:rPr>
                <w:rFonts w:cs="Times New Roman"/>
              </w:rPr>
              <w:t>Reguart 2017</w:t>
            </w:r>
          </w:p>
        </w:tc>
        <w:tc>
          <w:tcPr>
            <w:tcW w:w="425" w:type="dxa"/>
          </w:tcPr>
          <w:p w14:paraId="63A796FE" w14:textId="77777777" w:rsidR="00033804" w:rsidRPr="003051E3" w:rsidRDefault="00033804" w:rsidP="00FC7C05">
            <w:pPr>
              <w:pStyle w:val="TableText0"/>
              <w:jc w:val="both"/>
              <w:rPr>
                <w:rFonts w:cs="Times New Roman"/>
              </w:rPr>
            </w:pPr>
            <w:r w:rsidRPr="003051E3">
              <w:rPr>
                <w:rFonts w:cs="Times New Roman"/>
              </w:rPr>
              <w:t>108</w:t>
            </w:r>
          </w:p>
        </w:tc>
        <w:tc>
          <w:tcPr>
            <w:tcW w:w="3119" w:type="dxa"/>
          </w:tcPr>
          <w:p w14:paraId="2F587560" w14:textId="77777777" w:rsidR="00033804" w:rsidRPr="003051E3" w:rsidRDefault="00033804" w:rsidP="00FC7C05">
            <w:pPr>
              <w:pStyle w:val="TableText0"/>
              <w:jc w:val="both"/>
              <w:rPr>
                <w:rFonts w:eastAsia="Times New Roman" w:cs="Times New Roman"/>
              </w:rPr>
            </w:pPr>
            <w:r w:rsidRPr="003051E3">
              <w:rPr>
                <w:rFonts w:cs="Times New Roman"/>
              </w:rPr>
              <w:t xml:space="preserve">nCounter Prep Station™ and Digital Analyzer™ </w:t>
            </w:r>
          </w:p>
        </w:tc>
        <w:tc>
          <w:tcPr>
            <w:tcW w:w="1276" w:type="dxa"/>
          </w:tcPr>
          <w:p w14:paraId="6F9BBB50" w14:textId="77777777" w:rsidR="00033804" w:rsidRPr="003051E3" w:rsidRDefault="00033804" w:rsidP="00FC7C05">
            <w:pPr>
              <w:pStyle w:val="TableText0"/>
              <w:jc w:val="both"/>
              <w:rPr>
                <w:rFonts w:eastAsia="Times New Roman" w:cs="Times New Roman"/>
              </w:rPr>
            </w:pPr>
            <w:r w:rsidRPr="003051E3">
              <w:rPr>
                <w:rFonts w:cs="Times New Roman"/>
              </w:rPr>
              <w:t xml:space="preserve">ZytoLight SPEC </w:t>
            </w:r>
            <w:r w:rsidRPr="00420D95">
              <w:rPr>
                <w:rFonts w:cs="Times New Roman"/>
                <w:i/>
              </w:rPr>
              <w:t>ROS1</w:t>
            </w:r>
            <w:r w:rsidRPr="003051E3">
              <w:rPr>
                <w:rFonts w:cs="Times New Roman"/>
              </w:rPr>
              <w:t xml:space="preserve"> probe</w:t>
            </w:r>
          </w:p>
        </w:tc>
        <w:tc>
          <w:tcPr>
            <w:tcW w:w="1368" w:type="dxa"/>
          </w:tcPr>
          <w:p w14:paraId="446DEB4A" w14:textId="77777777" w:rsidR="00033804" w:rsidRPr="003051E3" w:rsidRDefault="00033804" w:rsidP="00FC7C05">
            <w:pPr>
              <w:pStyle w:val="TableText0"/>
              <w:jc w:val="center"/>
              <w:rPr>
                <w:rFonts w:cs="Times New Roman"/>
              </w:rPr>
            </w:pPr>
            <w:r w:rsidRPr="003051E3">
              <w:rPr>
                <w:rFonts w:cs="Times New Roman"/>
              </w:rPr>
              <w:t>27/79 (35%)</w:t>
            </w:r>
          </w:p>
        </w:tc>
        <w:tc>
          <w:tcPr>
            <w:tcW w:w="1128" w:type="dxa"/>
          </w:tcPr>
          <w:p w14:paraId="47E86035" w14:textId="77777777" w:rsidR="00033804" w:rsidRPr="003051E3" w:rsidRDefault="00033804" w:rsidP="00FC7C05">
            <w:pPr>
              <w:pStyle w:val="TableText0"/>
              <w:jc w:val="center"/>
              <w:rPr>
                <w:rFonts w:cs="Times New Roman"/>
              </w:rPr>
            </w:pPr>
            <w:r w:rsidRPr="003051E3">
              <w:rPr>
                <w:rFonts w:cs="Times New Roman"/>
              </w:rPr>
              <w:t>70%</w:t>
            </w:r>
          </w:p>
        </w:tc>
        <w:tc>
          <w:tcPr>
            <w:tcW w:w="1029" w:type="dxa"/>
          </w:tcPr>
          <w:p w14:paraId="38BFA16E" w14:textId="77777777" w:rsidR="00033804" w:rsidRPr="003051E3" w:rsidRDefault="00033804" w:rsidP="00FC7C05">
            <w:pPr>
              <w:pStyle w:val="TableText0"/>
              <w:jc w:val="center"/>
              <w:rPr>
                <w:rFonts w:cs="Times New Roman"/>
              </w:rPr>
            </w:pPr>
            <w:r w:rsidRPr="003051E3">
              <w:rPr>
                <w:rFonts w:cs="Times New Roman"/>
              </w:rPr>
              <w:t>96%</w:t>
            </w:r>
          </w:p>
        </w:tc>
      </w:tr>
    </w:tbl>
    <w:p w14:paraId="730F3ED2" w14:textId="77777777" w:rsidR="00033804" w:rsidRPr="003051E3" w:rsidRDefault="00033804" w:rsidP="00033804">
      <w:pPr>
        <w:pStyle w:val="TableFooter"/>
        <w:rPr>
          <w:rFonts w:cs="Times New Roman"/>
        </w:rPr>
      </w:pPr>
      <w:r w:rsidRPr="003051E3">
        <w:rPr>
          <w:rFonts w:cs="Times New Roman"/>
        </w:rPr>
        <w:t xml:space="preserve">FISH = fluorescent in-situ hybridisation; IHC = immunohistochemistry; NGS = next-generation sequencing; NPV = negative predictive value; pos = positive; PCR = polymerase chain reaction; PPV = positive predictive value; RNA = ribonucleic acid; </w:t>
      </w:r>
      <w:r w:rsidRPr="00420D95">
        <w:rPr>
          <w:rFonts w:cs="Times New Roman"/>
          <w:i/>
        </w:rPr>
        <w:t>ROS1</w:t>
      </w:r>
      <w:r w:rsidRPr="003051E3">
        <w:rPr>
          <w:rFonts w:cs="Times New Roman"/>
        </w:rPr>
        <w:t xml:space="preserve"> = </w:t>
      </w:r>
      <w:r w:rsidRPr="00420D95">
        <w:rPr>
          <w:rFonts w:cs="Times New Roman"/>
          <w:i/>
        </w:rPr>
        <w:t>ROS</w:t>
      </w:r>
      <w:r w:rsidRPr="003051E3">
        <w:rPr>
          <w:rFonts w:cs="Times New Roman"/>
        </w:rPr>
        <w:t xml:space="preserve"> proto-oncogene 1; RT-PCR = reverse transcription polymerase chain reaction.</w:t>
      </w:r>
    </w:p>
    <w:p w14:paraId="2AE9E8EA" w14:textId="77777777" w:rsidR="00033804" w:rsidRPr="003051E3" w:rsidRDefault="00033804" w:rsidP="00033804">
      <w:pPr>
        <w:pStyle w:val="TableFooter"/>
        <w:rPr>
          <w:rFonts w:cs="Times New Roman"/>
        </w:rPr>
      </w:pPr>
      <w:r w:rsidRPr="003051E3">
        <w:rPr>
          <w:rFonts w:cs="Times New Roman"/>
          <w:vertAlign w:val="superscript"/>
        </w:rPr>
        <w:t xml:space="preserve">a </w:t>
      </w:r>
      <w:r w:rsidRPr="003051E3">
        <w:rPr>
          <w:rFonts w:cs="Times New Roman"/>
        </w:rPr>
        <w:t>May be higher than the denominator in the results due to failed tests, inadequate tumour samples or some tests carried out on a subset of total samples.</w:t>
      </w:r>
    </w:p>
    <w:p w14:paraId="47D36BF2" w14:textId="1F832EA7" w:rsidR="00475C6F" w:rsidRPr="00033804" w:rsidRDefault="00033804" w:rsidP="00033804">
      <w:pPr>
        <w:pStyle w:val="TableFooter"/>
        <w:spacing w:after="0"/>
        <w:rPr>
          <w:rFonts w:cs="Times New Roman"/>
        </w:rPr>
      </w:pPr>
      <w:r w:rsidRPr="003051E3">
        <w:rPr>
          <w:rFonts w:cs="Times New Roman"/>
          <w:vertAlign w:val="superscript"/>
        </w:rPr>
        <w:t>b</w:t>
      </w:r>
      <w:r w:rsidRPr="003051E3">
        <w:rPr>
          <w:rFonts w:cs="Times New Roman"/>
        </w:rPr>
        <w:t xml:space="preserve"> Only a subset of positive and negative </w:t>
      </w:r>
      <w:r>
        <w:rPr>
          <w:rFonts w:cs="Times New Roman"/>
        </w:rPr>
        <w:t>cases were verified using FISH.</w:t>
      </w:r>
    </w:p>
    <w:p w14:paraId="14E1061F" w14:textId="180D580B" w:rsidR="00475C6F" w:rsidRPr="00FB5994" w:rsidRDefault="00475C6F" w:rsidP="00033804">
      <w:pPr>
        <w:pStyle w:val="TableNotes"/>
        <w:spacing w:after="240"/>
      </w:pPr>
      <w:r w:rsidRPr="00FB5994">
        <w:t>S</w:t>
      </w:r>
      <w:r w:rsidR="00033804">
        <w:t>ource: Table 6, p10</w:t>
      </w:r>
      <w:r w:rsidRPr="00FB5994">
        <w:t xml:space="preserve"> of MSAC Application 1454 PSD</w:t>
      </w:r>
    </w:p>
    <w:p w14:paraId="59CE935E" w14:textId="3D10FBBD" w:rsidR="00B9614F" w:rsidRPr="002E4F1C" w:rsidRDefault="00475C6F" w:rsidP="002E4F1C">
      <w:pPr>
        <w:rPr>
          <w:lang w:eastAsia="en-US"/>
        </w:rPr>
      </w:pPr>
      <w:r>
        <w:rPr>
          <w:lang w:eastAsia="en-US"/>
        </w:rPr>
        <w:t xml:space="preserve">A targeted literature review undertaken by </w:t>
      </w:r>
      <w:r w:rsidR="008A7C64">
        <w:rPr>
          <w:lang w:eastAsia="en-US"/>
        </w:rPr>
        <w:t xml:space="preserve">the applicant also </w:t>
      </w:r>
      <w:r>
        <w:rPr>
          <w:lang w:eastAsia="en-US"/>
        </w:rPr>
        <w:t xml:space="preserve">identified a publication comparing </w:t>
      </w:r>
      <w:r w:rsidRPr="00955536">
        <w:rPr>
          <w:i/>
          <w:lang w:eastAsia="en-US"/>
        </w:rPr>
        <w:t>ROS1</w:t>
      </w:r>
      <w:r>
        <w:rPr>
          <w:lang w:eastAsia="en-US"/>
        </w:rPr>
        <w:t xml:space="preserve"> testing results using NGS with FISH undertaken in an Australian setting (Rogers et al. 2017)</w:t>
      </w:r>
      <w:r w:rsidR="008A7C64">
        <w:rPr>
          <w:lang w:eastAsia="en-US"/>
        </w:rPr>
        <w:t>,</w:t>
      </w:r>
      <w:r>
        <w:rPr>
          <w:lang w:eastAsia="en-US"/>
        </w:rPr>
        <w:t xml:space="preserve"> </w:t>
      </w:r>
      <w:r w:rsidR="008A7C64">
        <w:rPr>
          <w:lang w:eastAsia="en-US"/>
        </w:rPr>
        <w:t>but</w:t>
      </w:r>
      <w:r>
        <w:rPr>
          <w:lang w:eastAsia="en-US"/>
        </w:rPr>
        <w:t xml:space="preserve"> not outlined in the results presented above. The results of </w:t>
      </w:r>
      <w:r w:rsidRPr="008D42BA">
        <w:rPr>
          <w:i/>
          <w:lang w:eastAsia="en-US"/>
        </w:rPr>
        <w:t>ROS1</w:t>
      </w:r>
      <w:r>
        <w:rPr>
          <w:lang w:eastAsia="en-US"/>
        </w:rPr>
        <w:t xml:space="preserve"> testing performed on 51 FFPE clinical samples using NGS and FISH reported in this Australian study are presented in Table 6.</w:t>
      </w:r>
      <w:bookmarkStart w:id="12" w:name="_Toc21876438"/>
      <w:r w:rsidR="00B9614F">
        <w:br w:type="page"/>
      </w:r>
    </w:p>
    <w:p w14:paraId="7F5F1CB6" w14:textId="3773353F" w:rsidR="00475C6F" w:rsidRPr="006B2221" w:rsidRDefault="00475C6F" w:rsidP="006B2221">
      <w:pPr>
        <w:rPr>
          <w:rFonts w:ascii="Arial Narrow" w:hAnsi="Arial Narrow"/>
          <w:b/>
          <w:sz w:val="20"/>
        </w:rPr>
      </w:pPr>
      <w:r w:rsidRPr="006B2221">
        <w:rPr>
          <w:rFonts w:ascii="Arial Narrow" w:hAnsi="Arial Narrow"/>
          <w:b/>
          <w:sz w:val="20"/>
        </w:rPr>
        <w:lastRenderedPageBreak/>
        <w:t>Table 6</w:t>
      </w:r>
      <w:r w:rsidR="00571D26" w:rsidRPr="006B2221">
        <w:rPr>
          <w:rFonts w:ascii="Arial Narrow" w:hAnsi="Arial Narrow"/>
          <w:b/>
          <w:sz w:val="20"/>
        </w:rPr>
        <w:t>:</w:t>
      </w:r>
      <w:r w:rsidRPr="006B2221">
        <w:rPr>
          <w:rFonts w:ascii="Arial Narrow" w:hAnsi="Arial Narrow"/>
          <w:b/>
          <w:sz w:val="20"/>
        </w:rPr>
        <w:tab/>
        <w:t>Assessment of ROS1 testing with NGS versus FISH in Australian setting</w:t>
      </w:r>
      <w:bookmarkEnd w:id="12"/>
    </w:p>
    <w:tbl>
      <w:tblPr>
        <w:tblStyle w:val="TableGrid"/>
        <w:tblW w:w="4950" w:type="pct"/>
        <w:tblLook w:val="04A0" w:firstRow="1" w:lastRow="0" w:firstColumn="1" w:lastColumn="0" w:noHBand="0" w:noVBand="1"/>
        <w:tblCaption w:val="Table 6: Assessment of ROS1 testing with NGS versus FISH in Australian setting"/>
      </w:tblPr>
      <w:tblGrid>
        <w:gridCol w:w="1127"/>
        <w:gridCol w:w="1127"/>
        <w:gridCol w:w="1127"/>
        <w:gridCol w:w="1127"/>
        <w:gridCol w:w="1128"/>
        <w:gridCol w:w="1126"/>
        <w:gridCol w:w="1030"/>
        <w:gridCol w:w="1134"/>
      </w:tblGrid>
      <w:tr w:rsidR="00475C6F" w14:paraId="7688306B" w14:textId="77777777" w:rsidTr="00686859">
        <w:trPr>
          <w:tblHeader/>
        </w:trPr>
        <w:tc>
          <w:tcPr>
            <w:tcW w:w="631" w:type="pct"/>
            <w:tcBorders>
              <w:top w:val="single" w:sz="4" w:space="0" w:color="auto"/>
              <w:left w:val="single" w:sz="4" w:space="0" w:color="auto"/>
              <w:bottom w:val="nil"/>
              <w:right w:val="nil"/>
            </w:tcBorders>
            <w:shd w:val="clear" w:color="auto" w:fill="auto"/>
          </w:tcPr>
          <w:p w14:paraId="7EDD7863" w14:textId="77777777" w:rsidR="00475C6F" w:rsidRPr="00475C6F" w:rsidRDefault="00475C6F" w:rsidP="00475C6F">
            <w:pPr>
              <w:pStyle w:val="TableText"/>
              <w:rPr>
                <w:b/>
              </w:rPr>
            </w:pPr>
          </w:p>
        </w:tc>
        <w:tc>
          <w:tcPr>
            <w:tcW w:w="631" w:type="pct"/>
            <w:tcBorders>
              <w:top w:val="single" w:sz="4" w:space="0" w:color="auto"/>
              <w:left w:val="nil"/>
              <w:bottom w:val="nil"/>
              <w:right w:val="single" w:sz="4" w:space="0" w:color="auto"/>
            </w:tcBorders>
            <w:shd w:val="clear" w:color="auto" w:fill="auto"/>
          </w:tcPr>
          <w:p w14:paraId="11605AFD" w14:textId="77777777" w:rsidR="00475C6F" w:rsidRPr="00475C6F" w:rsidRDefault="00475C6F" w:rsidP="00475C6F">
            <w:pPr>
              <w:pStyle w:val="TableText"/>
              <w:rPr>
                <w:b/>
              </w:rPr>
            </w:pPr>
          </w:p>
        </w:tc>
        <w:tc>
          <w:tcPr>
            <w:tcW w:w="1894" w:type="pct"/>
            <w:gridSpan w:val="3"/>
            <w:tcBorders>
              <w:left w:val="single" w:sz="4" w:space="0" w:color="auto"/>
            </w:tcBorders>
            <w:shd w:val="clear" w:color="auto" w:fill="auto"/>
          </w:tcPr>
          <w:p w14:paraId="388F5A7A" w14:textId="77777777" w:rsidR="00475C6F" w:rsidRPr="00475C6F" w:rsidRDefault="00475C6F" w:rsidP="008D42BA">
            <w:pPr>
              <w:pStyle w:val="TableText"/>
              <w:jc w:val="center"/>
              <w:rPr>
                <w:b/>
              </w:rPr>
            </w:pPr>
            <w:r w:rsidRPr="00475C6F">
              <w:rPr>
                <w:b/>
              </w:rPr>
              <w:t>FISH</w:t>
            </w:r>
          </w:p>
        </w:tc>
        <w:tc>
          <w:tcPr>
            <w:tcW w:w="1843" w:type="pct"/>
            <w:gridSpan w:val="3"/>
            <w:shd w:val="clear" w:color="auto" w:fill="auto"/>
          </w:tcPr>
          <w:p w14:paraId="6E8EC77E" w14:textId="77777777" w:rsidR="00475C6F" w:rsidRPr="00475C6F" w:rsidRDefault="00475C6F" w:rsidP="008D42BA">
            <w:pPr>
              <w:pStyle w:val="TableText"/>
              <w:jc w:val="center"/>
              <w:rPr>
                <w:b/>
              </w:rPr>
            </w:pPr>
            <w:r w:rsidRPr="00475C6F">
              <w:rPr>
                <w:b/>
              </w:rPr>
              <w:t xml:space="preserve">Agreement </w:t>
            </w:r>
            <w:r w:rsidR="008D42BA">
              <w:rPr>
                <w:b/>
              </w:rPr>
              <w:t>r</w:t>
            </w:r>
            <w:r w:rsidRPr="00475C6F">
              <w:rPr>
                <w:b/>
              </w:rPr>
              <w:t>ates</w:t>
            </w:r>
          </w:p>
        </w:tc>
      </w:tr>
      <w:tr w:rsidR="00475C6F" w14:paraId="127A0B57" w14:textId="77777777" w:rsidTr="00686859">
        <w:tc>
          <w:tcPr>
            <w:tcW w:w="631" w:type="pct"/>
            <w:tcBorders>
              <w:top w:val="nil"/>
              <w:left w:val="single" w:sz="4" w:space="0" w:color="auto"/>
              <w:bottom w:val="single" w:sz="4" w:space="0" w:color="auto"/>
              <w:right w:val="nil"/>
            </w:tcBorders>
            <w:shd w:val="clear" w:color="auto" w:fill="auto"/>
          </w:tcPr>
          <w:p w14:paraId="61B67E9E" w14:textId="77777777" w:rsidR="00475C6F" w:rsidRPr="00475C6F" w:rsidRDefault="00475C6F" w:rsidP="00475C6F">
            <w:pPr>
              <w:pStyle w:val="TableText"/>
              <w:rPr>
                <w:b/>
              </w:rPr>
            </w:pPr>
          </w:p>
        </w:tc>
        <w:tc>
          <w:tcPr>
            <w:tcW w:w="631" w:type="pct"/>
            <w:tcBorders>
              <w:top w:val="nil"/>
              <w:left w:val="nil"/>
              <w:bottom w:val="single" w:sz="4" w:space="0" w:color="auto"/>
              <w:right w:val="single" w:sz="4" w:space="0" w:color="auto"/>
            </w:tcBorders>
            <w:shd w:val="clear" w:color="auto" w:fill="auto"/>
          </w:tcPr>
          <w:p w14:paraId="31245615" w14:textId="77777777" w:rsidR="00475C6F" w:rsidRPr="00475C6F" w:rsidRDefault="00475C6F" w:rsidP="00475C6F">
            <w:pPr>
              <w:pStyle w:val="TableText"/>
              <w:rPr>
                <w:b/>
              </w:rPr>
            </w:pPr>
          </w:p>
        </w:tc>
        <w:tc>
          <w:tcPr>
            <w:tcW w:w="631" w:type="pct"/>
            <w:tcBorders>
              <w:left w:val="single" w:sz="4" w:space="0" w:color="auto"/>
            </w:tcBorders>
            <w:shd w:val="clear" w:color="auto" w:fill="auto"/>
          </w:tcPr>
          <w:p w14:paraId="5A071F92" w14:textId="77777777" w:rsidR="00475C6F" w:rsidRPr="00475C6F" w:rsidRDefault="00475C6F" w:rsidP="008D42BA">
            <w:pPr>
              <w:pStyle w:val="TableText"/>
              <w:jc w:val="center"/>
              <w:rPr>
                <w:b/>
              </w:rPr>
            </w:pPr>
            <w:r w:rsidRPr="00475C6F">
              <w:rPr>
                <w:b/>
              </w:rPr>
              <w:t>Positive</w:t>
            </w:r>
          </w:p>
        </w:tc>
        <w:tc>
          <w:tcPr>
            <w:tcW w:w="631" w:type="pct"/>
            <w:shd w:val="clear" w:color="auto" w:fill="auto"/>
          </w:tcPr>
          <w:p w14:paraId="5E5309DD" w14:textId="77777777" w:rsidR="00475C6F" w:rsidRPr="00475C6F" w:rsidRDefault="00475C6F" w:rsidP="008D42BA">
            <w:pPr>
              <w:pStyle w:val="TableText"/>
              <w:jc w:val="center"/>
              <w:rPr>
                <w:b/>
              </w:rPr>
            </w:pPr>
            <w:r w:rsidRPr="00475C6F">
              <w:rPr>
                <w:b/>
              </w:rPr>
              <w:t>Negative</w:t>
            </w:r>
          </w:p>
        </w:tc>
        <w:tc>
          <w:tcPr>
            <w:tcW w:w="631" w:type="pct"/>
            <w:shd w:val="clear" w:color="auto" w:fill="auto"/>
          </w:tcPr>
          <w:p w14:paraId="32AE5DB8" w14:textId="77777777" w:rsidR="00475C6F" w:rsidRPr="00475C6F" w:rsidRDefault="00475C6F" w:rsidP="008D42BA">
            <w:pPr>
              <w:pStyle w:val="TableText"/>
              <w:jc w:val="center"/>
              <w:rPr>
                <w:b/>
              </w:rPr>
            </w:pPr>
            <w:r w:rsidRPr="00475C6F">
              <w:rPr>
                <w:b/>
              </w:rPr>
              <w:t>Total</w:t>
            </w:r>
          </w:p>
        </w:tc>
        <w:tc>
          <w:tcPr>
            <w:tcW w:w="631" w:type="pct"/>
            <w:shd w:val="clear" w:color="auto" w:fill="auto"/>
          </w:tcPr>
          <w:p w14:paraId="664E2E0A" w14:textId="77777777" w:rsidR="00475C6F" w:rsidRPr="00475C6F" w:rsidRDefault="00475C6F" w:rsidP="008D42BA">
            <w:pPr>
              <w:pStyle w:val="TableText"/>
              <w:jc w:val="center"/>
              <w:rPr>
                <w:b/>
              </w:rPr>
            </w:pPr>
            <w:r w:rsidRPr="00475C6F">
              <w:rPr>
                <w:b/>
              </w:rPr>
              <w:t>Rate</w:t>
            </w:r>
          </w:p>
        </w:tc>
        <w:tc>
          <w:tcPr>
            <w:tcW w:w="577" w:type="pct"/>
            <w:shd w:val="clear" w:color="auto" w:fill="auto"/>
          </w:tcPr>
          <w:p w14:paraId="60491970" w14:textId="77777777" w:rsidR="00475C6F" w:rsidRPr="00475C6F" w:rsidRDefault="00475C6F" w:rsidP="008D42BA">
            <w:pPr>
              <w:pStyle w:val="TableText"/>
              <w:jc w:val="center"/>
              <w:rPr>
                <w:b/>
              </w:rPr>
            </w:pPr>
            <w:r w:rsidRPr="00475C6F">
              <w:rPr>
                <w:b/>
              </w:rPr>
              <w:t>n/N</w:t>
            </w:r>
          </w:p>
        </w:tc>
        <w:tc>
          <w:tcPr>
            <w:tcW w:w="635" w:type="pct"/>
            <w:shd w:val="clear" w:color="auto" w:fill="auto"/>
          </w:tcPr>
          <w:p w14:paraId="6F61B56D" w14:textId="77777777" w:rsidR="00475C6F" w:rsidRPr="00475C6F" w:rsidRDefault="00475C6F" w:rsidP="008D42BA">
            <w:pPr>
              <w:pStyle w:val="TableText"/>
              <w:jc w:val="center"/>
              <w:rPr>
                <w:b/>
              </w:rPr>
            </w:pPr>
            <w:r w:rsidRPr="00475C6F">
              <w:rPr>
                <w:b/>
              </w:rPr>
              <w:t>%</w:t>
            </w:r>
          </w:p>
        </w:tc>
      </w:tr>
      <w:tr w:rsidR="00475C6F" w14:paraId="235A4618" w14:textId="77777777" w:rsidTr="00686859">
        <w:tc>
          <w:tcPr>
            <w:tcW w:w="631" w:type="pct"/>
            <w:vMerge w:val="restart"/>
            <w:tcBorders>
              <w:top w:val="single" w:sz="4" w:space="0" w:color="auto"/>
            </w:tcBorders>
            <w:shd w:val="clear" w:color="auto" w:fill="auto"/>
            <w:vAlign w:val="center"/>
          </w:tcPr>
          <w:p w14:paraId="6F11BC14" w14:textId="77777777" w:rsidR="00475C6F" w:rsidRPr="004D7E5F" w:rsidRDefault="00475C6F" w:rsidP="00475C6F">
            <w:pPr>
              <w:pStyle w:val="TableText"/>
              <w:rPr>
                <w:vertAlign w:val="superscript"/>
              </w:rPr>
            </w:pPr>
            <w:r>
              <w:t>NGS</w:t>
            </w:r>
            <w:r>
              <w:rPr>
                <w:vertAlign w:val="superscript"/>
              </w:rPr>
              <w:t>a</w:t>
            </w:r>
          </w:p>
        </w:tc>
        <w:tc>
          <w:tcPr>
            <w:tcW w:w="631" w:type="pct"/>
            <w:tcBorders>
              <w:top w:val="single" w:sz="4" w:space="0" w:color="auto"/>
            </w:tcBorders>
            <w:shd w:val="clear" w:color="auto" w:fill="auto"/>
          </w:tcPr>
          <w:p w14:paraId="1669434E" w14:textId="77777777" w:rsidR="00475C6F" w:rsidRPr="00651797" w:rsidRDefault="00475C6F" w:rsidP="00475C6F">
            <w:pPr>
              <w:pStyle w:val="TableText"/>
            </w:pPr>
            <w:r w:rsidRPr="00651797">
              <w:t>Positive</w:t>
            </w:r>
          </w:p>
        </w:tc>
        <w:tc>
          <w:tcPr>
            <w:tcW w:w="631" w:type="pct"/>
            <w:shd w:val="clear" w:color="auto" w:fill="auto"/>
          </w:tcPr>
          <w:p w14:paraId="5F47BA83" w14:textId="77777777" w:rsidR="00475C6F" w:rsidRPr="00651797" w:rsidRDefault="00475C6F" w:rsidP="008D42BA">
            <w:pPr>
              <w:pStyle w:val="TableText"/>
              <w:jc w:val="center"/>
            </w:pPr>
            <w:r w:rsidRPr="00651797">
              <w:t>2</w:t>
            </w:r>
          </w:p>
        </w:tc>
        <w:tc>
          <w:tcPr>
            <w:tcW w:w="631" w:type="pct"/>
            <w:shd w:val="clear" w:color="auto" w:fill="auto"/>
          </w:tcPr>
          <w:p w14:paraId="5DCB0FC0" w14:textId="77777777" w:rsidR="00475C6F" w:rsidRPr="00651797" w:rsidRDefault="00475C6F" w:rsidP="008D42BA">
            <w:pPr>
              <w:pStyle w:val="TableText"/>
              <w:jc w:val="center"/>
            </w:pPr>
            <w:r w:rsidRPr="00651797">
              <w:t>1</w:t>
            </w:r>
          </w:p>
        </w:tc>
        <w:tc>
          <w:tcPr>
            <w:tcW w:w="631" w:type="pct"/>
            <w:shd w:val="clear" w:color="auto" w:fill="auto"/>
          </w:tcPr>
          <w:p w14:paraId="5228229F" w14:textId="77777777" w:rsidR="00475C6F" w:rsidRPr="00651797" w:rsidRDefault="00475C6F" w:rsidP="008D42BA">
            <w:pPr>
              <w:pStyle w:val="TableText"/>
              <w:jc w:val="center"/>
            </w:pPr>
            <w:r w:rsidRPr="00651797">
              <w:t>3</w:t>
            </w:r>
          </w:p>
        </w:tc>
        <w:tc>
          <w:tcPr>
            <w:tcW w:w="631" w:type="pct"/>
            <w:shd w:val="clear" w:color="auto" w:fill="auto"/>
          </w:tcPr>
          <w:p w14:paraId="68C520D9" w14:textId="77777777" w:rsidR="00475C6F" w:rsidRPr="00651797" w:rsidRDefault="00475C6F" w:rsidP="008D42BA">
            <w:pPr>
              <w:pStyle w:val="TableText"/>
              <w:jc w:val="center"/>
            </w:pPr>
            <w:r w:rsidRPr="00651797">
              <w:t>PPA</w:t>
            </w:r>
          </w:p>
        </w:tc>
        <w:tc>
          <w:tcPr>
            <w:tcW w:w="577" w:type="pct"/>
            <w:shd w:val="clear" w:color="auto" w:fill="auto"/>
          </w:tcPr>
          <w:p w14:paraId="6D8A2508" w14:textId="77777777" w:rsidR="00475C6F" w:rsidRPr="00651797" w:rsidRDefault="00475C6F" w:rsidP="008D42BA">
            <w:pPr>
              <w:pStyle w:val="TableText"/>
              <w:jc w:val="center"/>
            </w:pPr>
            <w:r w:rsidRPr="00651797">
              <w:t>2/2</w:t>
            </w:r>
          </w:p>
        </w:tc>
        <w:tc>
          <w:tcPr>
            <w:tcW w:w="635" w:type="pct"/>
            <w:shd w:val="clear" w:color="auto" w:fill="auto"/>
          </w:tcPr>
          <w:p w14:paraId="67BB9BF0" w14:textId="77777777" w:rsidR="00475C6F" w:rsidRPr="00651797" w:rsidRDefault="00475C6F" w:rsidP="008D42BA">
            <w:pPr>
              <w:pStyle w:val="TableText"/>
              <w:jc w:val="center"/>
            </w:pPr>
            <w:r w:rsidRPr="00651797">
              <w:t>100</w:t>
            </w:r>
          </w:p>
        </w:tc>
      </w:tr>
      <w:tr w:rsidR="00475C6F" w14:paraId="7F214B7D" w14:textId="77777777" w:rsidTr="00686859">
        <w:tc>
          <w:tcPr>
            <w:tcW w:w="631" w:type="pct"/>
            <w:vMerge/>
            <w:shd w:val="clear" w:color="auto" w:fill="auto"/>
          </w:tcPr>
          <w:p w14:paraId="593FBC84" w14:textId="77777777" w:rsidR="00475C6F" w:rsidRDefault="00475C6F" w:rsidP="00475C6F">
            <w:pPr>
              <w:pStyle w:val="TableText"/>
            </w:pPr>
          </w:p>
        </w:tc>
        <w:tc>
          <w:tcPr>
            <w:tcW w:w="631" w:type="pct"/>
            <w:shd w:val="clear" w:color="auto" w:fill="auto"/>
          </w:tcPr>
          <w:p w14:paraId="7D2FFDD3" w14:textId="77777777" w:rsidR="00475C6F" w:rsidRPr="00651797" w:rsidRDefault="00475C6F" w:rsidP="00475C6F">
            <w:pPr>
              <w:pStyle w:val="TableText"/>
            </w:pPr>
            <w:r w:rsidRPr="00651797">
              <w:t>Negative</w:t>
            </w:r>
          </w:p>
        </w:tc>
        <w:tc>
          <w:tcPr>
            <w:tcW w:w="631" w:type="pct"/>
            <w:shd w:val="clear" w:color="auto" w:fill="auto"/>
          </w:tcPr>
          <w:p w14:paraId="35297ABE" w14:textId="77777777" w:rsidR="00475C6F" w:rsidRPr="00651797" w:rsidRDefault="00475C6F" w:rsidP="008D42BA">
            <w:pPr>
              <w:pStyle w:val="TableText"/>
              <w:jc w:val="center"/>
            </w:pPr>
            <w:r w:rsidRPr="00651797">
              <w:t>0</w:t>
            </w:r>
          </w:p>
        </w:tc>
        <w:tc>
          <w:tcPr>
            <w:tcW w:w="631" w:type="pct"/>
            <w:shd w:val="clear" w:color="auto" w:fill="auto"/>
          </w:tcPr>
          <w:p w14:paraId="1356A4DE" w14:textId="77777777" w:rsidR="00475C6F" w:rsidRPr="00651797" w:rsidRDefault="00475C6F" w:rsidP="008D42BA">
            <w:pPr>
              <w:pStyle w:val="TableText"/>
              <w:jc w:val="center"/>
            </w:pPr>
            <w:r w:rsidRPr="00651797">
              <w:t>48</w:t>
            </w:r>
          </w:p>
        </w:tc>
        <w:tc>
          <w:tcPr>
            <w:tcW w:w="631" w:type="pct"/>
            <w:shd w:val="clear" w:color="auto" w:fill="auto"/>
          </w:tcPr>
          <w:p w14:paraId="7DFF83F4" w14:textId="77777777" w:rsidR="00475C6F" w:rsidRPr="00651797" w:rsidRDefault="00475C6F" w:rsidP="008D42BA">
            <w:pPr>
              <w:pStyle w:val="TableText"/>
              <w:jc w:val="center"/>
            </w:pPr>
            <w:r w:rsidRPr="00651797">
              <w:t>48</w:t>
            </w:r>
          </w:p>
        </w:tc>
        <w:tc>
          <w:tcPr>
            <w:tcW w:w="631" w:type="pct"/>
            <w:shd w:val="clear" w:color="auto" w:fill="auto"/>
          </w:tcPr>
          <w:p w14:paraId="4E762765" w14:textId="77777777" w:rsidR="00475C6F" w:rsidRPr="00651797" w:rsidRDefault="00475C6F" w:rsidP="008D42BA">
            <w:pPr>
              <w:pStyle w:val="TableText"/>
              <w:jc w:val="center"/>
            </w:pPr>
            <w:r w:rsidRPr="00651797">
              <w:t>NPA</w:t>
            </w:r>
          </w:p>
        </w:tc>
        <w:tc>
          <w:tcPr>
            <w:tcW w:w="577" w:type="pct"/>
            <w:shd w:val="clear" w:color="auto" w:fill="auto"/>
          </w:tcPr>
          <w:p w14:paraId="25D21BFE" w14:textId="77777777" w:rsidR="00475C6F" w:rsidRPr="00651797" w:rsidRDefault="00475C6F" w:rsidP="008D42BA">
            <w:pPr>
              <w:pStyle w:val="TableText"/>
              <w:jc w:val="center"/>
            </w:pPr>
            <w:r w:rsidRPr="00651797">
              <w:t>48/49</w:t>
            </w:r>
          </w:p>
        </w:tc>
        <w:tc>
          <w:tcPr>
            <w:tcW w:w="635" w:type="pct"/>
            <w:shd w:val="clear" w:color="auto" w:fill="auto"/>
          </w:tcPr>
          <w:p w14:paraId="0888B1FF" w14:textId="77777777" w:rsidR="00475C6F" w:rsidRPr="00651797" w:rsidRDefault="00475C6F" w:rsidP="008D42BA">
            <w:pPr>
              <w:pStyle w:val="TableText"/>
              <w:jc w:val="center"/>
            </w:pPr>
            <w:r w:rsidRPr="00651797">
              <w:t>98</w:t>
            </w:r>
          </w:p>
        </w:tc>
      </w:tr>
      <w:tr w:rsidR="00475C6F" w14:paraId="52B710FE" w14:textId="77777777" w:rsidTr="00686859">
        <w:tc>
          <w:tcPr>
            <w:tcW w:w="631" w:type="pct"/>
            <w:vMerge/>
            <w:shd w:val="clear" w:color="auto" w:fill="auto"/>
          </w:tcPr>
          <w:p w14:paraId="3B5A0208" w14:textId="77777777" w:rsidR="00475C6F" w:rsidRDefault="00475C6F" w:rsidP="00475C6F">
            <w:pPr>
              <w:pStyle w:val="TableText"/>
            </w:pPr>
          </w:p>
        </w:tc>
        <w:tc>
          <w:tcPr>
            <w:tcW w:w="631" w:type="pct"/>
            <w:shd w:val="clear" w:color="auto" w:fill="auto"/>
          </w:tcPr>
          <w:p w14:paraId="070CBE0F" w14:textId="77777777" w:rsidR="00475C6F" w:rsidRPr="00651797" w:rsidRDefault="00475C6F" w:rsidP="00475C6F">
            <w:pPr>
              <w:pStyle w:val="TableText"/>
            </w:pPr>
            <w:r w:rsidRPr="00651797">
              <w:t>Total</w:t>
            </w:r>
          </w:p>
        </w:tc>
        <w:tc>
          <w:tcPr>
            <w:tcW w:w="631" w:type="pct"/>
            <w:shd w:val="clear" w:color="auto" w:fill="auto"/>
          </w:tcPr>
          <w:p w14:paraId="0EE3EE10" w14:textId="77777777" w:rsidR="00475C6F" w:rsidRPr="00651797" w:rsidRDefault="00475C6F" w:rsidP="008D42BA">
            <w:pPr>
              <w:pStyle w:val="TableText"/>
              <w:jc w:val="center"/>
            </w:pPr>
            <w:r w:rsidRPr="00651797">
              <w:t>2</w:t>
            </w:r>
          </w:p>
        </w:tc>
        <w:tc>
          <w:tcPr>
            <w:tcW w:w="631" w:type="pct"/>
            <w:shd w:val="clear" w:color="auto" w:fill="auto"/>
          </w:tcPr>
          <w:p w14:paraId="5930A085" w14:textId="77777777" w:rsidR="00475C6F" w:rsidRPr="00651797" w:rsidRDefault="00475C6F" w:rsidP="008D42BA">
            <w:pPr>
              <w:pStyle w:val="TableText"/>
              <w:jc w:val="center"/>
            </w:pPr>
            <w:r w:rsidRPr="00651797">
              <w:t>49</w:t>
            </w:r>
          </w:p>
        </w:tc>
        <w:tc>
          <w:tcPr>
            <w:tcW w:w="631" w:type="pct"/>
            <w:shd w:val="clear" w:color="auto" w:fill="auto"/>
          </w:tcPr>
          <w:p w14:paraId="398AFDCF" w14:textId="77777777" w:rsidR="00475C6F" w:rsidRPr="00651797" w:rsidRDefault="00475C6F" w:rsidP="008D42BA">
            <w:pPr>
              <w:pStyle w:val="TableText"/>
              <w:jc w:val="center"/>
            </w:pPr>
            <w:r w:rsidRPr="00651797">
              <w:t>51</w:t>
            </w:r>
          </w:p>
        </w:tc>
        <w:tc>
          <w:tcPr>
            <w:tcW w:w="631" w:type="pct"/>
            <w:shd w:val="clear" w:color="auto" w:fill="auto"/>
          </w:tcPr>
          <w:p w14:paraId="2437D2D4" w14:textId="77777777" w:rsidR="00475C6F" w:rsidRPr="00651797" w:rsidRDefault="00475C6F" w:rsidP="008D42BA">
            <w:pPr>
              <w:pStyle w:val="TableText"/>
              <w:jc w:val="center"/>
            </w:pPr>
            <w:r w:rsidRPr="00651797">
              <w:t>OPA</w:t>
            </w:r>
          </w:p>
        </w:tc>
        <w:tc>
          <w:tcPr>
            <w:tcW w:w="577" w:type="pct"/>
            <w:shd w:val="clear" w:color="auto" w:fill="auto"/>
          </w:tcPr>
          <w:p w14:paraId="0C9FE6AF" w14:textId="77777777" w:rsidR="00475C6F" w:rsidRPr="00651797" w:rsidRDefault="00475C6F" w:rsidP="008D42BA">
            <w:pPr>
              <w:pStyle w:val="TableText"/>
              <w:jc w:val="center"/>
            </w:pPr>
            <w:r w:rsidRPr="00651797">
              <w:t>50/51</w:t>
            </w:r>
          </w:p>
        </w:tc>
        <w:tc>
          <w:tcPr>
            <w:tcW w:w="635" w:type="pct"/>
            <w:shd w:val="clear" w:color="auto" w:fill="auto"/>
          </w:tcPr>
          <w:p w14:paraId="6D618EFA" w14:textId="77777777" w:rsidR="00475C6F" w:rsidRPr="00651797" w:rsidRDefault="00475C6F" w:rsidP="008D42BA">
            <w:pPr>
              <w:pStyle w:val="TableText"/>
              <w:jc w:val="center"/>
            </w:pPr>
            <w:r w:rsidRPr="00651797">
              <w:t>98</w:t>
            </w:r>
          </w:p>
        </w:tc>
      </w:tr>
    </w:tbl>
    <w:p w14:paraId="5413C9FF" w14:textId="77777777" w:rsidR="00475C6F" w:rsidRPr="00090094" w:rsidRDefault="008D42BA" w:rsidP="00090094">
      <w:pPr>
        <w:pStyle w:val="TableNotes"/>
      </w:pPr>
      <w:r w:rsidRPr="008D42BA">
        <w:rPr>
          <w:vertAlign w:val="superscript"/>
        </w:rPr>
        <w:t>a</w:t>
      </w:r>
      <w:r>
        <w:t xml:space="preserve"> </w:t>
      </w:r>
      <w:r w:rsidR="00475C6F" w:rsidRPr="00090094">
        <w:t>RNA-NGS (ThermoFisher NGS Colon and Lung Cancer Research Panel)</w:t>
      </w:r>
    </w:p>
    <w:p w14:paraId="163920CB" w14:textId="77777777" w:rsidR="00475C6F" w:rsidRPr="00090094" w:rsidRDefault="00475C6F" w:rsidP="008D42BA">
      <w:pPr>
        <w:pStyle w:val="TableNotes"/>
        <w:tabs>
          <w:tab w:val="clear" w:pos="1134"/>
        </w:tabs>
        <w:ind w:left="0" w:firstLine="0"/>
      </w:pPr>
      <w:r w:rsidRPr="00090094">
        <w:t>Source:</w:t>
      </w:r>
      <w:r w:rsidR="008D42BA">
        <w:t xml:space="preserve"> </w:t>
      </w:r>
      <w:r w:rsidRPr="00090094">
        <w:t xml:space="preserve">Result of </w:t>
      </w:r>
      <w:r w:rsidRPr="008D42BA">
        <w:rPr>
          <w:i/>
        </w:rPr>
        <w:t>ROS1</w:t>
      </w:r>
      <w:r w:rsidRPr="00090094">
        <w:t xml:space="preserve"> testing for FISH versus ThermoF</w:t>
      </w:r>
      <w:r w:rsidR="00090094">
        <w:t>isher NGS p. 2 or supplement to (Rogers et al. 2017)</w:t>
      </w:r>
    </w:p>
    <w:p w14:paraId="610FF127" w14:textId="67F813EB" w:rsidR="00475C6F" w:rsidRDefault="008D42BA" w:rsidP="002E4F1C">
      <w:pPr>
        <w:pStyle w:val="TableNotes"/>
        <w:tabs>
          <w:tab w:val="clear" w:pos="1134"/>
        </w:tabs>
        <w:ind w:left="0" w:firstLine="0"/>
      </w:pPr>
      <w:r>
        <w:t xml:space="preserve">Abbreviations: </w:t>
      </w:r>
      <w:r w:rsidR="00475C6F" w:rsidRPr="00090094">
        <w:t>OPA = overall percent agreement; NPA = negative percent agreement; PPA = positive percent agreement</w:t>
      </w:r>
    </w:p>
    <w:p w14:paraId="01B1F606" w14:textId="058AE094" w:rsidR="008A7C64" w:rsidRDefault="00475C6F" w:rsidP="002E4F1C">
      <w:pPr>
        <w:spacing w:before="240"/>
      </w:pPr>
      <w:r>
        <w:rPr>
          <w:lang w:eastAsia="en-US"/>
        </w:rPr>
        <w:t xml:space="preserve">In </w:t>
      </w:r>
      <w:r w:rsidR="00E76D48">
        <w:rPr>
          <w:lang w:eastAsia="en-US"/>
        </w:rPr>
        <w:t>relation to</w:t>
      </w:r>
      <w:r>
        <w:rPr>
          <w:lang w:eastAsia="en-US"/>
        </w:rPr>
        <w:t xml:space="preserve"> the results comparing </w:t>
      </w:r>
      <w:r w:rsidRPr="008D42BA">
        <w:rPr>
          <w:i/>
          <w:lang w:eastAsia="en-US"/>
        </w:rPr>
        <w:t>ROS1</w:t>
      </w:r>
      <w:r>
        <w:rPr>
          <w:lang w:eastAsia="en-US"/>
        </w:rPr>
        <w:t xml:space="preserve"> gene rearrangement testing performed using NGS and FISH summarised above</w:t>
      </w:r>
      <w:r w:rsidR="008D42BA">
        <w:rPr>
          <w:lang w:eastAsia="en-US"/>
        </w:rPr>
        <w:t>,</w:t>
      </w:r>
      <w:r>
        <w:rPr>
          <w:lang w:eastAsia="en-US"/>
        </w:rPr>
        <w:t xml:space="preserve"> </w:t>
      </w:r>
      <w:r w:rsidR="008A7C64">
        <w:rPr>
          <w:lang w:eastAsia="en-US"/>
        </w:rPr>
        <w:t xml:space="preserve">the applicant </w:t>
      </w:r>
      <w:r>
        <w:rPr>
          <w:lang w:eastAsia="en-US"/>
        </w:rPr>
        <w:t>conclude</w:t>
      </w:r>
      <w:r w:rsidR="008A7C64">
        <w:rPr>
          <w:lang w:eastAsia="en-US"/>
        </w:rPr>
        <w:t>d</w:t>
      </w:r>
      <w:r>
        <w:rPr>
          <w:lang w:eastAsia="en-US"/>
        </w:rPr>
        <w:t xml:space="preserve"> that these testing methodologies have comparable, and at least non-inferior, performance characteristics. Subsequently, the identification of </w:t>
      </w:r>
      <w:r w:rsidRPr="008D42BA">
        <w:rPr>
          <w:i/>
          <w:lang w:eastAsia="en-US"/>
        </w:rPr>
        <w:t>ROS1</w:t>
      </w:r>
      <w:r>
        <w:rPr>
          <w:lang w:eastAsia="en-US"/>
        </w:rPr>
        <w:t xml:space="preserve"> gene rearrangements using the </w:t>
      </w:r>
      <w:r>
        <w:rPr>
          <w:i/>
          <w:iCs/>
        </w:rPr>
        <w:t>NTRK1/2/3, ROS1</w:t>
      </w:r>
      <w:r>
        <w:t xml:space="preserve"> and </w:t>
      </w:r>
      <w:r>
        <w:rPr>
          <w:i/>
          <w:iCs/>
        </w:rPr>
        <w:t>ALK</w:t>
      </w:r>
      <w:r>
        <w:t xml:space="preserve"> gene rearrangements assay (Trailblaze Pharos™) in the STARTRK-2 study </w:t>
      </w:r>
      <w:r w:rsidR="008A7C64">
        <w:t>would be</w:t>
      </w:r>
      <w:r>
        <w:t xml:space="preserve"> expected to be consistent with testing results had they been undertaken using FISH.</w:t>
      </w:r>
    </w:p>
    <w:p w14:paraId="3278987C" w14:textId="497898F1" w:rsidR="00475C6F" w:rsidRDefault="00475C6F" w:rsidP="002E4F1C">
      <w:pPr>
        <w:spacing w:before="240"/>
      </w:pPr>
      <w:r>
        <w:t xml:space="preserve">In the absence of the future availability of the ‘evidentiary standard’ used to identify </w:t>
      </w:r>
      <w:r w:rsidRPr="008D42BA">
        <w:rPr>
          <w:i/>
        </w:rPr>
        <w:t>ROS1</w:t>
      </w:r>
      <w:r>
        <w:t xml:space="preserve">-positive </w:t>
      </w:r>
      <w:r w:rsidR="008D42BA">
        <w:t>study participants</w:t>
      </w:r>
      <w:r>
        <w:t xml:space="preserve"> </w:t>
      </w:r>
      <w:r w:rsidR="008D42BA">
        <w:t xml:space="preserve">with NSCLC </w:t>
      </w:r>
      <w:r>
        <w:t>enrolled in the STARTRK-2 study,</w:t>
      </w:r>
      <w:r w:rsidR="008A7C64">
        <w:t xml:space="preserve"> </w:t>
      </w:r>
      <w:r w:rsidR="008A7C64">
        <w:rPr>
          <w:lang w:eastAsia="en-US"/>
        </w:rPr>
        <w:t>the applicant concluded that</w:t>
      </w:r>
      <w:r>
        <w:t xml:space="preserve"> </w:t>
      </w:r>
      <w:r w:rsidRPr="008D42BA">
        <w:rPr>
          <w:i/>
        </w:rPr>
        <w:t>ROS1</w:t>
      </w:r>
      <w:r>
        <w:t xml:space="preserve"> testing using FISH represents a valid methodology for identifying </w:t>
      </w:r>
      <w:r w:rsidR="008D42BA">
        <w:t xml:space="preserve">these </w:t>
      </w:r>
      <w:r>
        <w:t>patients eligible to receive entrectinib under the PBS.</w:t>
      </w:r>
    </w:p>
    <w:p w14:paraId="577EACCE" w14:textId="3B938E89" w:rsidR="00475C6F" w:rsidRDefault="008D42BA" w:rsidP="002E4F1C">
      <w:pPr>
        <w:spacing w:before="240"/>
      </w:pPr>
      <w:r>
        <w:t xml:space="preserve">Further, </w:t>
      </w:r>
      <w:r w:rsidR="008A7C64">
        <w:t xml:space="preserve">the applicant quoted from </w:t>
      </w:r>
      <w:r w:rsidR="00475C6F">
        <w:t xml:space="preserve">the </w:t>
      </w:r>
      <w:r w:rsidR="00D27ABD">
        <w:t>PSD</w:t>
      </w:r>
      <w:r w:rsidR="00475C6F">
        <w:t xml:space="preserve"> for MSAC Application 145</w:t>
      </w:r>
      <w:r w:rsidR="008A7C64">
        <w:t>4</w:t>
      </w:r>
      <w:r w:rsidR="00E76D48">
        <w:t xml:space="preserve"> (p. 3)</w:t>
      </w:r>
      <w:r w:rsidR="008A7C64">
        <w:t>:</w:t>
      </w:r>
      <w:r w:rsidR="00475C6F">
        <w:t xml:space="preserve"> “MSAC noted that FISH testing is the reference method for </w:t>
      </w:r>
      <w:r w:rsidR="00475C6F">
        <w:rPr>
          <w:i/>
          <w:iCs/>
        </w:rPr>
        <w:t>ROS1</w:t>
      </w:r>
      <w:r w:rsidR="00475C6F">
        <w:t xml:space="preserve"> testing and as such its analytical validity has been assumed”.</w:t>
      </w:r>
    </w:p>
    <w:p w14:paraId="31B839EC" w14:textId="77777777" w:rsidR="00F875B1" w:rsidRPr="00F715D1" w:rsidRDefault="00F875B1" w:rsidP="00F875B1">
      <w:pPr>
        <w:pStyle w:val="Heading1"/>
      </w:pPr>
      <w:r w:rsidRPr="00F715D1">
        <w:t>Financial/budgetary impacts</w:t>
      </w:r>
    </w:p>
    <w:p w14:paraId="0392D978" w14:textId="77777777" w:rsidR="00090094" w:rsidRPr="00A60E67" w:rsidRDefault="00090094" w:rsidP="00090094">
      <w:r>
        <w:t>The application presented d</w:t>
      </w:r>
      <w:r w:rsidRPr="00A60E67">
        <w:t xml:space="preserve">ata on the number of items processed for </w:t>
      </w:r>
      <w:r w:rsidRPr="00A96EFB">
        <w:rPr>
          <w:i/>
          <w:iCs/>
        </w:rPr>
        <w:t>ROS1</w:t>
      </w:r>
      <w:r w:rsidRPr="00A60E67">
        <w:t xml:space="preserve"> gene rearrangement testing by FISH </w:t>
      </w:r>
      <w:r>
        <w:t>since listing on the MBS on 1 January 2019 (Table 7)</w:t>
      </w:r>
      <w:r w:rsidRPr="00A60E67">
        <w:t>.</w:t>
      </w:r>
    </w:p>
    <w:p w14:paraId="33AD960E" w14:textId="55887252" w:rsidR="00090094" w:rsidRPr="006B2221" w:rsidRDefault="00090094" w:rsidP="006B2221">
      <w:pPr>
        <w:spacing w:before="240"/>
        <w:rPr>
          <w:rFonts w:ascii="Arial Narrow" w:hAnsi="Arial Narrow"/>
          <w:b/>
          <w:sz w:val="20"/>
        </w:rPr>
      </w:pPr>
      <w:bookmarkStart w:id="13" w:name="_Ref12812989"/>
      <w:bookmarkStart w:id="14" w:name="_Toc21876433"/>
      <w:r w:rsidRPr="006B2221">
        <w:rPr>
          <w:rFonts w:ascii="Arial Narrow" w:hAnsi="Arial Narrow"/>
          <w:b/>
          <w:sz w:val="20"/>
        </w:rPr>
        <w:t xml:space="preserve">Table </w:t>
      </w:r>
      <w:bookmarkEnd w:id="13"/>
      <w:r w:rsidRPr="006B2221">
        <w:rPr>
          <w:rFonts w:ascii="Arial Narrow" w:hAnsi="Arial Narrow"/>
          <w:b/>
          <w:sz w:val="20"/>
        </w:rPr>
        <w:t>7</w:t>
      </w:r>
      <w:r w:rsidR="00571D26" w:rsidRPr="006B2221">
        <w:rPr>
          <w:rFonts w:ascii="Arial Narrow" w:hAnsi="Arial Narrow"/>
          <w:b/>
          <w:sz w:val="20"/>
        </w:rPr>
        <w:t>:</w:t>
      </w:r>
      <w:r w:rsidRPr="006B2221">
        <w:rPr>
          <w:rFonts w:ascii="Arial Narrow" w:hAnsi="Arial Narrow"/>
          <w:b/>
          <w:sz w:val="20"/>
        </w:rPr>
        <w:tab/>
        <w:t>Number of items processed for MBS Item 73344: January 2019-August 2019</w:t>
      </w:r>
      <w:bookmarkEnd w:id="14"/>
    </w:p>
    <w:tbl>
      <w:tblPr>
        <w:tblStyle w:val="TableGrid"/>
        <w:tblW w:w="0" w:type="auto"/>
        <w:tblLook w:val="04A0" w:firstRow="1" w:lastRow="0" w:firstColumn="1" w:lastColumn="0" w:noHBand="0" w:noVBand="1"/>
        <w:tblDescription w:val="Page Layout"/>
      </w:tblPr>
      <w:tblGrid>
        <w:gridCol w:w="2405"/>
        <w:gridCol w:w="851"/>
        <w:gridCol w:w="708"/>
        <w:gridCol w:w="709"/>
        <w:gridCol w:w="709"/>
        <w:gridCol w:w="709"/>
        <w:gridCol w:w="708"/>
        <w:gridCol w:w="709"/>
        <w:gridCol w:w="655"/>
        <w:gridCol w:w="763"/>
      </w:tblGrid>
      <w:tr w:rsidR="00090094" w:rsidRPr="007461C2" w14:paraId="132A47F5" w14:textId="77777777" w:rsidTr="00E76D48">
        <w:trPr>
          <w:trHeight w:val="300"/>
          <w:tblHeader/>
        </w:trPr>
        <w:tc>
          <w:tcPr>
            <w:tcW w:w="2405" w:type="dxa"/>
            <w:vMerge w:val="restart"/>
            <w:shd w:val="clear" w:color="auto" w:fill="auto"/>
            <w:hideMark/>
          </w:tcPr>
          <w:p w14:paraId="2562592D" w14:textId="77777777" w:rsidR="00090094" w:rsidRPr="00090094" w:rsidRDefault="00090094" w:rsidP="00090094">
            <w:pPr>
              <w:pStyle w:val="TableText"/>
              <w:rPr>
                <w:b/>
              </w:rPr>
            </w:pPr>
            <w:r w:rsidRPr="00090094">
              <w:rPr>
                <w:b/>
              </w:rPr>
              <w:t> </w:t>
            </w:r>
          </w:p>
        </w:tc>
        <w:tc>
          <w:tcPr>
            <w:tcW w:w="5758" w:type="dxa"/>
            <w:gridSpan w:val="8"/>
            <w:shd w:val="clear" w:color="auto" w:fill="auto"/>
            <w:hideMark/>
          </w:tcPr>
          <w:p w14:paraId="4903CEC4" w14:textId="77777777" w:rsidR="00090094" w:rsidRPr="00090094" w:rsidRDefault="00090094" w:rsidP="008A7C64">
            <w:pPr>
              <w:pStyle w:val="TableText"/>
              <w:jc w:val="center"/>
              <w:rPr>
                <w:b/>
              </w:rPr>
            </w:pPr>
            <w:r w:rsidRPr="00090094">
              <w:rPr>
                <w:b/>
              </w:rPr>
              <w:t>State</w:t>
            </w:r>
            <w:r w:rsidR="008A7C64">
              <w:rPr>
                <w:b/>
              </w:rPr>
              <w:t>/territory</w:t>
            </w:r>
          </w:p>
        </w:tc>
        <w:tc>
          <w:tcPr>
            <w:tcW w:w="763" w:type="dxa"/>
            <w:vMerge w:val="restart"/>
            <w:shd w:val="clear" w:color="auto" w:fill="auto"/>
            <w:hideMark/>
          </w:tcPr>
          <w:p w14:paraId="3220109E" w14:textId="77777777" w:rsidR="00090094" w:rsidRPr="00090094" w:rsidRDefault="00090094" w:rsidP="008A7C64">
            <w:pPr>
              <w:pStyle w:val="TableText"/>
              <w:jc w:val="center"/>
              <w:rPr>
                <w:b/>
              </w:rPr>
            </w:pPr>
            <w:r w:rsidRPr="00090094">
              <w:rPr>
                <w:b/>
              </w:rPr>
              <w:t>Total</w:t>
            </w:r>
          </w:p>
        </w:tc>
      </w:tr>
      <w:tr w:rsidR="00090094" w:rsidRPr="007461C2" w14:paraId="348E199A" w14:textId="77777777" w:rsidTr="00E76D48">
        <w:trPr>
          <w:trHeight w:val="300"/>
        </w:trPr>
        <w:tc>
          <w:tcPr>
            <w:tcW w:w="2405" w:type="dxa"/>
            <w:vMerge/>
            <w:shd w:val="clear" w:color="auto" w:fill="auto"/>
            <w:hideMark/>
          </w:tcPr>
          <w:p w14:paraId="58172B37" w14:textId="77777777" w:rsidR="00090094" w:rsidRPr="00651797" w:rsidRDefault="00090094" w:rsidP="00090094">
            <w:pPr>
              <w:pStyle w:val="TableText"/>
            </w:pPr>
          </w:p>
        </w:tc>
        <w:tc>
          <w:tcPr>
            <w:tcW w:w="851" w:type="dxa"/>
            <w:shd w:val="clear" w:color="auto" w:fill="auto"/>
            <w:hideMark/>
          </w:tcPr>
          <w:p w14:paraId="0BE1B314" w14:textId="77777777" w:rsidR="00090094" w:rsidRPr="00090094" w:rsidRDefault="00090094" w:rsidP="008A7C64">
            <w:pPr>
              <w:pStyle w:val="TableText"/>
              <w:jc w:val="center"/>
              <w:rPr>
                <w:b/>
              </w:rPr>
            </w:pPr>
            <w:r w:rsidRPr="00090094">
              <w:rPr>
                <w:b/>
              </w:rPr>
              <w:t>NSW</w:t>
            </w:r>
          </w:p>
        </w:tc>
        <w:tc>
          <w:tcPr>
            <w:tcW w:w="708" w:type="dxa"/>
            <w:shd w:val="clear" w:color="auto" w:fill="auto"/>
            <w:hideMark/>
          </w:tcPr>
          <w:p w14:paraId="6C9FAE6D" w14:textId="77777777" w:rsidR="00090094" w:rsidRPr="00090094" w:rsidRDefault="00090094" w:rsidP="008A7C64">
            <w:pPr>
              <w:pStyle w:val="TableText"/>
              <w:jc w:val="center"/>
              <w:rPr>
                <w:b/>
              </w:rPr>
            </w:pPr>
            <w:r w:rsidRPr="00090094">
              <w:rPr>
                <w:b/>
              </w:rPr>
              <w:t>VIC</w:t>
            </w:r>
          </w:p>
        </w:tc>
        <w:tc>
          <w:tcPr>
            <w:tcW w:w="709" w:type="dxa"/>
            <w:shd w:val="clear" w:color="auto" w:fill="auto"/>
            <w:hideMark/>
          </w:tcPr>
          <w:p w14:paraId="44F37339" w14:textId="77777777" w:rsidR="00090094" w:rsidRPr="00090094" w:rsidRDefault="00090094" w:rsidP="008A7C64">
            <w:pPr>
              <w:pStyle w:val="TableText"/>
              <w:jc w:val="center"/>
              <w:rPr>
                <w:b/>
              </w:rPr>
            </w:pPr>
            <w:r w:rsidRPr="00090094">
              <w:rPr>
                <w:b/>
              </w:rPr>
              <w:t>QLD</w:t>
            </w:r>
          </w:p>
        </w:tc>
        <w:tc>
          <w:tcPr>
            <w:tcW w:w="709" w:type="dxa"/>
            <w:shd w:val="clear" w:color="auto" w:fill="auto"/>
            <w:hideMark/>
          </w:tcPr>
          <w:p w14:paraId="4A9833A3" w14:textId="77777777" w:rsidR="00090094" w:rsidRPr="00090094" w:rsidRDefault="00090094" w:rsidP="008A7C64">
            <w:pPr>
              <w:pStyle w:val="TableText"/>
              <w:jc w:val="center"/>
              <w:rPr>
                <w:b/>
              </w:rPr>
            </w:pPr>
            <w:r w:rsidRPr="00090094">
              <w:rPr>
                <w:b/>
              </w:rPr>
              <w:t>SA</w:t>
            </w:r>
          </w:p>
        </w:tc>
        <w:tc>
          <w:tcPr>
            <w:tcW w:w="709" w:type="dxa"/>
            <w:shd w:val="clear" w:color="auto" w:fill="auto"/>
            <w:hideMark/>
          </w:tcPr>
          <w:p w14:paraId="4C01DD90" w14:textId="77777777" w:rsidR="00090094" w:rsidRPr="00090094" w:rsidRDefault="00090094" w:rsidP="008A7C64">
            <w:pPr>
              <w:pStyle w:val="TableText"/>
              <w:jc w:val="center"/>
              <w:rPr>
                <w:b/>
              </w:rPr>
            </w:pPr>
            <w:r w:rsidRPr="00090094">
              <w:rPr>
                <w:b/>
              </w:rPr>
              <w:t>WA</w:t>
            </w:r>
          </w:p>
        </w:tc>
        <w:tc>
          <w:tcPr>
            <w:tcW w:w="708" w:type="dxa"/>
            <w:shd w:val="clear" w:color="auto" w:fill="auto"/>
            <w:hideMark/>
          </w:tcPr>
          <w:p w14:paraId="7E9DC5FC" w14:textId="77777777" w:rsidR="00090094" w:rsidRPr="00090094" w:rsidRDefault="00090094" w:rsidP="008A7C64">
            <w:pPr>
              <w:pStyle w:val="TableText"/>
              <w:jc w:val="center"/>
              <w:rPr>
                <w:b/>
              </w:rPr>
            </w:pPr>
            <w:r w:rsidRPr="00090094">
              <w:rPr>
                <w:b/>
              </w:rPr>
              <w:t>TAS</w:t>
            </w:r>
          </w:p>
        </w:tc>
        <w:tc>
          <w:tcPr>
            <w:tcW w:w="709" w:type="dxa"/>
            <w:shd w:val="clear" w:color="auto" w:fill="auto"/>
            <w:hideMark/>
          </w:tcPr>
          <w:p w14:paraId="05C14B3D" w14:textId="77777777" w:rsidR="00090094" w:rsidRPr="00090094" w:rsidRDefault="00090094" w:rsidP="008A7C64">
            <w:pPr>
              <w:pStyle w:val="TableText"/>
              <w:jc w:val="center"/>
              <w:rPr>
                <w:b/>
              </w:rPr>
            </w:pPr>
            <w:r w:rsidRPr="00090094">
              <w:rPr>
                <w:b/>
              </w:rPr>
              <w:t>ACT</w:t>
            </w:r>
          </w:p>
        </w:tc>
        <w:tc>
          <w:tcPr>
            <w:tcW w:w="655" w:type="dxa"/>
            <w:shd w:val="clear" w:color="auto" w:fill="auto"/>
            <w:hideMark/>
          </w:tcPr>
          <w:p w14:paraId="63700BD8" w14:textId="77777777" w:rsidR="00090094" w:rsidRPr="00090094" w:rsidRDefault="00090094" w:rsidP="008A7C64">
            <w:pPr>
              <w:pStyle w:val="TableText"/>
              <w:jc w:val="center"/>
              <w:rPr>
                <w:b/>
              </w:rPr>
            </w:pPr>
            <w:r w:rsidRPr="00090094">
              <w:rPr>
                <w:b/>
              </w:rPr>
              <w:t>NT</w:t>
            </w:r>
          </w:p>
        </w:tc>
        <w:tc>
          <w:tcPr>
            <w:tcW w:w="763" w:type="dxa"/>
            <w:vMerge/>
            <w:shd w:val="clear" w:color="auto" w:fill="auto"/>
            <w:hideMark/>
          </w:tcPr>
          <w:p w14:paraId="5C834F82" w14:textId="77777777" w:rsidR="00090094" w:rsidRPr="00651797" w:rsidRDefault="00090094" w:rsidP="008A7C64">
            <w:pPr>
              <w:pStyle w:val="TableText"/>
              <w:jc w:val="center"/>
            </w:pPr>
          </w:p>
        </w:tc>
      </w:tr>
      <w:tr w:rsidR="00090094" w:rsidRPr="007461C2" w14:paraId="0D116533" w14:textId="77777777" w:rsidTr="00E76D48">
        <w:trPr>
          <w:trHeight w:val="315"/>
        </w:trPr>
        <w:tc>
          <w:tcPr>
            <w:tcW w:w="2405" w:type="dxa"/>
            <w:shd w:val="clear" w:color="auto" w:fill="auto"/>
            <w:hideMark/>
          </w:tcPr>
          <w:p w14:paraId="4A78E796" w14:textId="77777777" w:rsidR="00090094" w:rsidRPr="00651797" w:rsidRDefault="008A7C64" w:rsidP="00090094">
            <w:pPr>
              <w:pStyle w:val="TableText"/>
            </w:pPr>
            <w:r>
              <w:t>Items p</w:t>
            </w:r>
            <w:r w:rsidR="00090094" w:rsidRPr="00651797">
              <w:t>rocessed: 73344</w:t>
            </w:r>
          </w:p>
        </w:tc>
        <w:tc>
          <w:tcPr>
            <w:tcW w:w="851" w:type="dxa"/>
            <w:shd w:val="clear" w:color="auto" w:fill="auto"/>
          </w:tcPr>
          <w:p w14:paraId="1B5939A4" w14:textId="77777777" w:rsidR="00090094" w:rsidRPr="00651797" w:rsidRDefault="00090094" w:rsidP="008A7C64">
            <w:pPr>
              <w:pStyle w:val="TableText"/>
              <w:jc w:val="center"/>
            </w:pPr>
            <w:r w:rsidRPr="00651797">
              <w:t>26</w:t>
            </w:r>
          </w:p>
        </w:tc>
        <w:tc>
          <w:tcPr>
            <w:tcW w:w="708" w:type="dxa"/>
            <w:shd w:val="clear" w:color="auto" w:fill="auto"/>
          </w:tcPr>
          <w:p w14:paraId="4904FB61" w14:textId="77777777" w:rsidR="00090094" w:rsidRPr="00651797" w:rsidRDefault="00090094" w:rsidP="008A7C64">
            <w:pPr>
              <w:pStyle w:val="TableText"/>
              <w:jc w:val="center"/>
            </w:pPr>
            <w:r w:rsidRPr="00651797">
              <w:t>7</w:t>
            </w:r>
          </w:p>
        </w:tc>
        <w:tc>
          <w:tcPr>
            <w:tcW w:w="709" w:type="dxa"/>
            <w:shd w:val="clear" w:color="auto" w:fill="auto"/>
          </w:tcPr>
          <w:p w14:paraId="5F2C97EC" w14:textId="77777777" w:rsidR="00090094" w:rsidRPr="00651797" w:rsidRDefault="00090094" w:rsidP="008A7C64">
            <w:pPr>
              <w:pStyle w:val="TableText"/>
              <w:jc w:val="center"/>
            </w:pPr>
            <w:r w:rsidRPr="00651797">
              <w:t>15</w:t>
            </w:r>
          </w:p>
        </w:tc>
        <w:tc>
          <w:tcPr>
            <w:tcW w:w="709" w:type="dxa"/>
            <w:shd w:val="clear" w:color="auto" w:fill="auto"/>
          </w:tcPr>
          <w:p w14:paraId="4CCD10D9" w14:textId="77777777" w:rsidR="00090094" w:rsidRPr="00651797" w:rsidRDefault="00090094" w:rsidP="008A7C64">
            <w:pPr>
              <w:pStyle w:val="TableText"/>
              <w:jc w:val="center"/>
            </w:pPr>
            <w:r w:rsidRPr="00651797">
              <w:t>3</w:t>
            </w:r>
          </w:p>
        </w:tc>
        <w:tc>
          <w:tcPr>
            <w:tcW w:w="709" w:type="dxa"/>
            <w:shd w:val="clear" w:color="auto" w:fill="auto"/>
          </w:tcPr>
          <w:p w14:paraId="720C460C" w14:textId="77777777" w:rsidR="00090094" w:rsidRPr="00651797" w:rsidRDefault="00090094" w:rsidP="008A7C64">
            <w:pPr>
              <w:pStyle w:val="TableText"/>
              <w:jc w:val="center"/>
            </w:pPr>
            <w:r w:rsidRPr="00651797">
              <w:t>NR</w:t>
            </w:r>
          </w:p>
        </w:tc>
        <w:tc>
          <w:tcPr>
            <w:tcW w:w="708" w:type="dxa"/>
            <w:shd w:val="clear" w:color="auto" w:fill="auto"/>
          </w:tcPr>
          <w:p w14:paraId="5BE825CE" w14:textId="77777777" w:rsidR="00090094" w:rsidRPr="00651797" w:rsidRDefault="00090094" w:rsidP="008A7C64">
            <w:pPr>
              <w:pStyle w:val="TableText"/>
              <w:jc w:val="center"/>
            </w:pPr>
            <w:r w:rsidRPr="00651797">
              <w:t>NR</w:t>
            </w:r>
          </w:p>
        </w:tc>
        <w:tc>
          <w:tcPr>
            <w:tcW w:w="709" w:type="dxa"/>
            <w:shd w:val="clear" w:color="auto" w:fill="auto"/>
          </w:tcPr>
          <w:p w14:paraId="73FF3BF4" w14:textId="77777777" w:rsidR="00090094" w:rsidRPr="00651797" w:rsidRDefault="00090094" w:rsidP="008A7C64">
            <w:pPr>
              <w:pStyle w:val="TableText"/>
              <w:jc w:val="center"/>
            </w:pPr>
            <w:r w:rsidRPr="00651797">
              <w:t>2</w:t>
            </w:r>
          </w:p>
        </w:tc>
        <w:tc>
          <w:tcPr>
            <w:tcW w:w="655" w:type="dxa"/>
            <w:shd w:val="clear" w:color="auto" w:fill="auto"/>
          </w:tcPr>
          <w:p w14:paraId="21AC03F7" w14:textId="77777777" w:rsidR="00090094" w:rsidRPr="00651797" w:rsidRDefault="00090094" w:rsidP="008A7C64">
            <w:pPr>
              <w:pStyle w:val="TableText"/>
              <w:jc w:val="center"/>
            </w:pPr>
            <w:r w:rsidRPr="00651797">
              <w:t>NR</w:t>
            </w:r>
          </w:p>
        </w:tc>
        <w:tc>
          <w:tcPr>
            <w:tcW w:w="763" w:type="dxa"/>
            <w:shd w:val="clear" w:color="auto" w:fill="auto"/>
          </w:tcPr>
          <w:p w14:paraId="5F20EC2D" w14:textId="77777777" w:rsidR="00090094" w:rsidRPr="00651797" w:rsidRDefault="00090094" w:rsidP="008A7C64">
            <w:pPr>
              <w:pStyle w:val="TableText"/>
              <w:jc w:val="center"/>
            </w:pPr>
            <w:r w:rsidRPr="00651797">
              <w:t>52</w:t>
            </w:r>
          </w:p>
        </w:tc>
      </w:tr>
    </w:tbl>
    <w:p w14:paraId="6F6409C0" w14:textId="57881755" w:rsidR="00090094" w:rsidRPr="00A96EFB" w:rsidRDefault="008A7C64" w:rsidP="008A7C64">
      <w:pPr>
        <w:pStyle w:val="TableNotes"/>
        <w:tabs>
          <w:tab w:val="clear" w:pos="1134"/>
        </w:tabs>
        <w:ind w:left="0" w:firstLine="0"/>
        <w:rPr>
          <w:rStyle w:val="Hyperlink"/>
        </w:rPr>
      </w:pPr>
      <w:r>
        <w:t xml:space="preserve">Source: </w:t>
      </w:r>
      <w:r w:rsidR="00090094" w:rsidRPr="00A96EFB">
        <w:t xml:space="preserve">Medicare </w:t>
      </w:r>
      <w:r w:rsidR="00E76D48" w:rsidRPr="00A96EFB">
        <w:t>item r</w:t>
      </w:r>
      <w:r w:rsidR="00090094" w:rsidRPr="00A96EFB">
        <w:t xml:space="preserve">eports: </w:t>
      </w:r>
      <w:hyperlink r:id="rId12" w:tooltip="Link to Dept of Human Services website page for Medicare Item reports" w:history="1">
        <w:r w:rsidR="00090094" w:rsidRPr="00A96EFB">
          <w:rPr>
            <w:rStyle w:val="Hyperlink"/>
          </w:rPr>
          <w:t>http://medicarestatistics.humanservices.gov.au/statistics/mbs_item.jsp</w:t>
        </w:r>
      </w:hyperlink>
    </w:p>
    <w:p w14:paraId="31847E91" w14:textId="3E451531" w:rsidR="00090094" w:rsidRDefault="00090094" w:rsidP="002E4F1C">
      <w:pPr>
        <w:pStyle w:val="TableNotes"/>
        <w:tabs>
          <w:tab w:val="clear" w:pos="1134"/>
        </w:tabs>
        <w:ind w:left="0" w:firstLine="0"/>
      </w:pPr>
      <w:r w:rsidRPr="00A96EFB">
        <w:t>Abbreviation: NR = not reported</w:t>
      </w:r>
    </w:p>
    <w:p w14:paraId="42F852B9" w14:textId="4C651C0C" w:rsidR="00090094" w:rsidRDefault="00090094" w:rsidP="002E4F1C">
      <w:pPr>
        <w:spacing w:before="240"/>
      </w:pPr>
      <w:r w:rsidRPr="000467A5">
        <w:t>As demonstrated by the information in</w:t>
      </w:r>
      <w:r w:rsidR="00CA0084">
        <w:t xml:space="preserve"> Table 7</w:t>
      </w:r>
      <w:r w:rsidRPr="000467A5">
        <w:t xml:space="preserve">, the number of </w:t>
      </w:r>
      <w:r w:rsidRPr="008A7C64">
        <w:rPr>
          <w:i/>
        </w:rPr>
        <w:t>ROS1</w:t>
      </w:r>
      <w:r w:rsidRPr="000467A5">
        <w:t xml:space="preserve"> tests by FISH (</w:t>
      </w:r>
      <w:r>
        <w:t>52</w:t>
      </w:r>
      <w:r w:rsidRPr="000467A5">
        <w:t xml:space="preserve">) </w:t>
      </w:r>
      <w:r>
        <w:t>since listing in January 2019 is</w:t>
      </w:r>
      <w:r w:rsidRPr="000467A5">
        <w:t xml:space="preserve"> low. Any amendment to MBS item 7334</w:t>
      </w:r>
      <w:r>
        <w:t>4</w:t>
      </w:r>
      <w:r w:rsidRPr="000467A5">
        <w:t xml:space="preserve"> allowing its use to determine patient eligibility to access </w:t>
      </w:r>
      <w:r>
        <w:t xml:space="preserve">entrectinib under the </w:t>
      </w:r>
      <w:r w:rsidRPr="000467A5">
        <w:t xml:space="preserve">PBS is </w:t>
      </w:r>
      <w:r>
        <w:t xml:space="preserve">not expected to </w:t>
      </w:r>
      <w:r w:rsidRPr="000467A5">
        <w:t xml:space="preserve">drive further uptake in the number of </w:t>
      </w:r>
      <w:r w:rsidRPr="008A7C64">
        <w:rPr>
          <w:i/>
        </w:rPr>
        <w:t>ROS1</w:t>
      </w:r>
      <w:r>
        <w:t xml:space="preserve"> </w:t>
      </w:r>
      <w:r w:rsidRPr="000467A5">
        <w:t xml:space="preserve">tests by FISH claimed </w:t>
      </w:r>
      <w:r>
        <w:t xml:space="preserve">under </w:t>
      </w:r>
      <w:r w:rsidRPr="000467A5">
        <w:t>the MBS</w:t>
      </w:r>
      <w:r>
        <w:t xml:space="preserve">. This is because testing is already required to access crizotinib and there is no role for repeat </w:t>
      </w:r>
      <w:r w:rsidRPr="008A7C64">
        <w:rPr>
          <w:i/>
        </w:rPr>
        <w:t>ROS1</w:t>
      </w:r>
      <w:r>
        <w:t xml:space="preserve"> testing in the management of NSCLC patients. As such, no increase is expected in the cost of </w:t>
      </w:r>
      <w:r w:rsidRPr="008A7C64">
        <w:rPr>
          <w:i/>
        </w:rPr>
        <w:t>ROS1</w:t>
      </w:r>
      <w:r>
        <w:t xml:space="preserve"> testing to the MBS as a result of amending MBS item 73344 as requested.</w:t>
      </w:r>
    </w:p>
    <w:p w14:paraId="4B8A5913" w14:textId="77777777" w:rsidR="00F875B1" w:rsidRPr="00F715D1" w:rsidRDefault="00F875B1" w:rsidP="00F875B1">
      <w:pPr>
        <w:pStyle w:val="Heading1"/>
      </w:pPr>
      <w:r>
        <w:t>Applicant</w:t>
      </w:r>
      <w:r w:rsidRPr="00F715D1">
        <w:t xml:space="preserve"> comments on MSAC’s Public Summary Document</w:t>
      </w:r>
    </w:p>
    <w:p w14:paraId="15880DE3" w14:textId="7DADA09E" w:rsidR="00F875B1" w:rsidRPr="002E4F1C" w:rsidRDefault="0074394E" w:rsidP="00F875B1">
      <w:pPr>
        <w:spacing w:after="240"/>
        <w:rPr>
          <w:szCs w:val="24"/>
        </w:rPr>
      </w:pPr>
      <w:r w:rsidRPr="002E4F1C">
        <w:rPr>
          <w:szCs w:val="24"/>
        </w:rPr>
        <w:t xml:space="preserve">Roche welcomes the MSAC’s decision to recommend an amendment of Medicare Benefits Schedule (MBS) item 73344 to include entrectinib in the list of medicines for fluorescence in situ hybridization (FISH) testing to help determine eligibility for access to PBS subsidised treatment. </w:t>
      </w:r>
    </w:p>
    <w:p w14:paraId="1F898B18" w14:textId="77777777" w:rsidR="00F875B1" w:rsidRPr="00F715D1" w:rsidRDefault="00F875B1" w:rsidP="00F875B1">
      <w:pPr>
        <w:pStyle w:val="Heading1"/>
      </w:pPr>
      <w:r w:rsidRPr="00F715D1">
        <w:lastRenderedPageBreak/>
        <w:t>Further information on MSAC</w:t>
      </w:r>
    </w:p>
    <w:p w14:paraId="5FED82F0" w14:textId="034FAE22" w:rsidR="00280050" w:rsidRPr="00F7295B" w:rsidRDefault="00F875B1" w:rsidP="00F7295B">
      <w:pPr>
        <w:spacing w:after="240"/>
        <w:rPr>
          <w:szCs w:val="24"/>
        </w:rPr>
      </w:pPr>
      <w:r w:rsidRPr="00F715D1">
        <w:rPr>
          <w:szCs w:val="24"/>
        </w:rPr>
        <w:t xml:space="preserve">MSAC Terms of Reference and other information are available on the MSAC Website: </w:t>
      </w:r>
      <w:r>
        <w:rPr>
          <w:szCs w:val="24"/>
        </w:rPr>
        <w:br/>
      </w:r>
      <w:hyperlink r:id="rId13" w:tooltip="Link to Medical Services Advisory Committee website" w:history="1">
        <w:r w:rsidRPr="00F715D1">
          <w:rPr>
            <w:rStyle w:val="Hyperlink"/>
            <w:szCs w:val="24"/>
          </w:rPr>
          <w:t>visit the MSAC website</w:t>
        </w:r>
      </w:hyperlink>
    </w:p>
    <w:sectPr w:rsidR="00280050" w:rsidRPr="00F7295B" w:rsidSect="009B7ABA">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284"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6298E5" w16cid:durableId="227A0154"/>
  <w16cid:commentId w16cid:paraId="348DDBCC" w16cid:durableId="227A0276"/>
  <w16cid:commentId w16cid:paraId="2A783248" w16cid:durableId="227A056A"/>
  <w16cid:commentId w16cid:paraId="054E0263" w16cid:durableId="227A06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4EFBE" w14:textId="77777777" w:rsidR="007F3E72" w:rsidRDefault="007F3E72">
      <w:r>
        <w:separator/>
      </w:r>
    </w:p>
  </w:endnote>
  <w:endnote w:type="continuationSeparator" w:id="0">
    <w:p w14:paraId="2CAA3A74" w14:textId="77777777" w:rsidR="007F3E72" w:rsidRDefault="007F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9AC0" w14:textId="77777777" w:rsidR="00F82A63" w:rsidRDefault="00F82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062BF642" w14:textId="28357664" w:rsidR="00352224" w:rsidRDefault="00F875B1">
        <w:pPr>
          <w:pStyle w:val="Footer"/>
          <w:jc w:val="right"/>
        </w:pPr>
        <w:r>
          <w:fldChar w:fldCharType="begin"/>
        </w:r>
        <w:r>
          <w:instrText xml:space="preserve"> PAGE   \* MERGEFORMAT </w:instrText>
        </w:r>
        <w:r>
          <w:fldChar w:fldCharType="separate"/>
        </w:r>
        <w:r w:rsidR="00F82A63">
          <w:rPr>
            <w:noProof/>
          </w:rPr>
          <w:t>9</w:t>
        </w:r>
        <w:r>
          <w:rPr>
            <w:noProof/>
          </w:rPr>
          <w:fldChar w:fldCharType="end"/>
        </w:r>
      </w:p>
    </w:sdtContent>
  </w:sdt>
  <w:p w14:paraId="5F92E531" w14:textId="77777777" w:rsidR="00BC1364" w:rsidRDefault="00F82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BCE4" w14:textId="77777777" w:rsidR="00F82A63" w:rsidRDefault="00F82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38535" w14:textId="77777777" w:rsidR="007F3E72" w:rsidRDefault="007F3E72">
      <w:r>
        <w:separator/>
      </w:r>
    </w:p>
  </w:footnote>
  <w:footnote w:type="continuationSeparator" w:id="0">
    <w:p w14:paraId="537BA5E9" w14:textId="77777777" w:rsidR="007F3E72" w:rsidRDefault="007F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3098" w14:textId="77777777" w:rsidR="00F82A63" w:rsidRDefault="00F82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4886" w14:textId="77777777" w:rsidR="00F82A63" w:rsidRDefault="00F82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E4936" w14:textId="77777777" w:rsidR="00F82A63" w:rsidRDefault="00F82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B1"/>
    <w:rsid w:val="00033804"/>
    <w:rsid w:val="00090094"/>
    <w:rsid w:val="00155809"/>
    <w:rsid w:val="001B65AF"/>
    <w:rsid w:val="001D4D00"/>
    <w:rsid w:val="00247051"/>
    <w:rsid w:val="0026026A"/>
    <w:rsid w:val="00280050"/>
    <w:rsid w:val="002A52B4"/>
    <w:rsid w:val="002C5D12"/>
    <w:rsid w:val="002D12EF"/>
    <w:rsid w:val="002E4F1C"/>
    <w:rsid w:val="00300F40"/>
    <w:rsid w:val="00320BF9"/>
    <w:rsid w:val="00407965"/>
    <w:rsid w:val="00425FE8"/>
    <w:rsid w:val="004534C1"/>
    <w:rsid w:val="00464460"/>
    <w:rsid w:val="00475C6F"/>
    <w:rsid w:val="004E6872"/>
    <w:rsid w:val="004F4E80"/>
    <w:rsid w:val="005419C5"/>
    <w:rsid w:val="00571D26"/>
    <w:rsid w:val="005A1B6B"/>
    <w:rsid w:val="005A5743"/>
    <w:rsid w:val="005D7C99"/>
    <w:rsid w:val="005E6FEA"/>
    <w:rsid w:val="006458D6"/>
    <w:rsid w:val="00675BE8"/>
    <w:rsid w:val="006819FE"/>
    <w:rsid w:val="00686859"/>
    <w:rsid w:val="006B2221"/>
    <w:rsid w:val="007073F0"/>
    <w:rsid w:val="00732A99"/>
    <w:rsid w:val="00741AD6"/>
    <w:rsid w:val="0074394E"/>
    <w:rsid w:val="007755C0"/>
    <w:rsid w:val="00776148"/>
    <w:rsid w:val="007915BF"/>
    <w:rsid w:val="007C11FB"/>
    <w:rsid w:val="007E5A14"/>
    <w:rsid w:val="007F3E72"/>
    <w:rsid w:val="00827AEB"/>
    <w:rsid w:val="008A7C64"/>
    <w:rsid w:val="008D42BA"/>
    <w:rsid w:val="00955536"/>
    <w:rsid w:val="009973CD"/>
    <w:rsid w:val="009B7ABA"/>
    <w:rsid w:val="00A37768"/>
    <w:rsid w:val="00A466C7"/>
    <w:rsid w:val="00A72866"/>
    <w:rsid w:val="00A81BEA"/>
    <w:rsid w:val="00AA58E4"/>
    <w:rsid w:val="00AB4B4E"/>
    <w:rsid w:val="00AD6E10"/>
    <w:rsid w:val="00AF0381"/>
    <w:rsid w:val="00B1197E"/>
    <w:rsid w:val="00B42678"/>
    <w:rsid w:val="00B7133D"/>
    <w:rsid w:val="00B71851"/>
    <w:rsid w:val="00B77E7B"/>
    <w:rsid w:val="00B90D6D"/>
    <w:rsid w:val="00B9614F"/>
    <w:rsid w:val="00BD1EF8"/>
    <w:rsid w:val="00BF725F"/>
    <w:rsid w:val="00CA0084"/>
    <w:rsid w:val="00CA0DFA"/>
    <w:rsid w:val="00CB30EF"/>
    <w:rsid w:val="00D04F95"/>
    <w:rsid w:val="00D27ABD"/>
    <w:rsid w:val="00D371BF"/>
    <w:rsid w:val="00D526C2"/>
    <w:rsid w:val="00DA4ACB"/>
    <w:rsid w:val="00DE0712"/>
    <w:rsid w:val="00E14F3A"/>
    <w:rsid w:val="00E757C2"/>
    <w:rsid w:val="00E76D48"/>
    <w:rsid w:val="00EC342E"/>
    <w:rsid w:val="00ED568A"/>
    <w:rsid w:val="00F14D6C"/>
    <w:rsid w:val="00F4409A"/>
    <w:rsid w:val="00F637F6"/>
    <w:rsid w:val="00F7295B"/>
    <w:rsid w:val="00F81EA1"/>
    <w:rsid w:val="00F82A63"/>
    <w:rsid w:val="00F875B1"/>
    <w:rsid w:val="00FA1395"/>
    <w:rsid w:val="00FF57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39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B1"/>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F875B1"/>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475C6F"/>
    <w:pPr>
      <w:keepNext/>
      <w:keepLines/>
      <w:spacing w:before="24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75B1"/>
    <w:rPr>
      <w:rFonts w:ascii="Arial" w:eastAsia="Times New Roman" w:hAnsi="Arial"/>
      <w:b/>
      <w:bCs/>
      <w:szCs w:val="28"/>
      <w:lang w:eastAsia="en-AU"/>
    </w:rPr>
  </w:style>
  <w:style w:type="character" w:styleId="Hyperlink">
    <w:name w:val="Hyperlink"/>
    <w:basedOn w:val="DefaultParagraphFont"/>
    <w:uiPriority w:val="99"/>
    <w:rsid w:val="00F875B1"/>
    <w:rPr>
      <w:rFonts w:cs="Times New Roman"/>
      <w:color w:val="0000FF"/>
      <w:u w:val="single"/>
    </w:rPr>
  </w:style>
  <w:style w:type="paragraph" w:styleId="ListParagraph">
    <w:name w:val="List Paragraph"/>
    <w:basedOn w:val="Normal"/>
    <w:uiPriority w:val="99"/>
    <w:qFormat/>
    <w:rsid w:val="00F875B1"/>
    <w:pPr>
      <w:ind w:left="720"/>
      <w:contextualSpacing/>
    </w:pPr>
  </w:style>
  <w:style w:type="paragraph" w:styleId="Footer">
    <w:name w:val="footer"/>
    <w:basedOn w:val="Normal"/>
    <w:link w:val="FooterChar"/>
    <w:uiPriority w:val="99"/>
    <w:rsid w:val="00F875B1"/>
    <w:pPr>
      <w:tabs>
        <w:tab w:val="center" w:pos="4513"/>
        <w:tab w:val="right" w:pos="9026"/>
      </w:tabs>
    </w:pPr>
  </w:style>
  <w:style w:type="character" w:customStyle="1" w:styleId="FooterChar">
    <w:name w:val="Footer Char"/>
    <w:basedOn w:val="DefaultParagraphFont"/>
    <w:link w:val="Footer"/>
    <w:uiPriority w:val="99"/>
    <w:rsid w:val="00F875B1"/>
    <w:rPr>
      <w:rFonts w:eastAsia="Times New Roman"/>
      <w:szCs w:val="20"/>
      <w:lang w:eastAsia="en-AU"/>
    </w:rPr>
  </w:style>
  <w:style w:type="paragraph" w:customStyle="1" w:styleId="Default">
    <w:name w:val="Default"/>
    <w:rsid w:val="00F875B1"/>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F875B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875B1"/>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F875B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875B1"/>
    <w:rPr>
      <w:rFonts w:ascii="Arial" w:eastAsia="Times New Roman" w:hAnsi="Arial" w:cs="Arial"/>
      <w:b/>
      <w:bCs/>
      <w:i/>
      <w:color w:val="000080"/>
      <w:sz w:val="28"/>
      <w:szCs w:val="28"/>
      <w:lang w:eastAsia="en-AU"/>
    </w:rPr>
  </w:style>
  <w:style w:type="table" w:styleId="TableGrid">
    <w:name w:val="Table Grid"/>
    <w:basedOn w:val="TableNormal"/>
    <w:uiPriority w:val="59"/>
    <w:rsid w:val="00F875B1"/>
    <w:pPr>
      <w:spacing w:after="0" w:line="240" w:lineRule="auto"/>
    </w:pPr>
    <w:rPr>
      <w:rFonts w:eastAsia="Calibr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197E"/>
    <w:rPr>
      <w:color w:val="954F72" w:themeColor="followedHyperlink"/>
      <w:u w:val="single"/>
    </w:rPr>
  </w:style>
  <w:style w:type="paragraph" w:styleId="Caption">
    <w:name w:val="caption"/>
    <w:basedOn w:val="Normal"/>
    <w:next w:val="Normal"/>
    <w:uiPriority w:val="2"/>
    <w:qFormat/>
    <w:rsid w:val="00475C6F"/>
    <w:pPr>
      <w:keepNext/>
      <w:spacing w:before="240" w:after="40"/>
      <w:ind w:left="992" w:hanging="992"/>
      <w:outlineLvl w:val="4"/>
    </w:pPr>
    <w:rPr>
      <w:rFonts w:ascii="Arial Narrow" w:eastAsiaTheme="minorEastAsia" w:hAnsi="Arial Narrow" w:cstheme="minorBidi"/>
      <w:b/>
      <w:bCs/>
      <w:sz w:val="20"/>
      <w:lang w:eastAsia="zh-CN"/>
    </w:rPr>
  </w:style>
  <w:style w:type="character" w:customStyle="1" w:styleId="Heading2Char">
    <w:name w:val="Heading 2 Char"/>
    <w:basedOn w:val="DefaultParagraphFont"/>
    <w:link w:val="Heading2"/>
    <w:uiPriority w:val="9"/>
    <w:rsid w:val="00475C6F"/>
    <w:rPr>
      <w:rFonts w:eastAsiaTheme="majorEastAsia" w:cstheme="majorBidi"/>
      <w:i/>
      <w:szCs w:val="26"/>
      <w:lang w:eastAsia="en-AU"/>
    </w:rPr>
  </w:style>
  <w:style w:type="paragraph" w:customStyle="1" w:styleId="TableText">
    <w:name w:val="TableText"/>
    <w:basedOn w:val="Normal"/>
    <w:link w:val="TableTextChar"/>
    <w:uiPriority w:val="3"/>
    <w:qFormat/>
    <w:rsid w:val="00475C6F"/>
    <w:pPr>
      <w:spacing w:before="20" w:after="20"/>
    </w:pPr>
    <w:rPr>
      <w:rFonts w:ascii="Arial Narrow" w:hAnsi="Arial Narrow" w:cs="Calibri"/>
      <w:bCs/>
      <w:sz w:val="20"/>
      <w:lang w:eastAsia="zh-CN"/>
    </w:rPr>
  </w:style>
  <w:style w:type="character" w:customStyle="1" w:styleId="TableTextChar">
    <w:name w:val="TableText Char"/>
    <w:basedOn w:val="DefaultParagraphFont"/>
    <w:link w:val="TableText"/>
    <w:uiPriority w:val="3"/>
    <w:rsid w:val="00475C6F"/>
    <w:rPr>
      <w:rFonts w:ascii="Arial Narrow" w:eastAsia="Times New Roman" w:hAnsi="Arial Narrow" w:cs="Calibri"/>
      <w:bCs/>
      <w:sz w:val="20"/>
      <w:szCs w:val="20"/>
      <w:lang w:eastAsia="zh-CN"/>
    </w:rPr>
  </w:style>
  <w:style w:type="paragraph" w:customStyle="1" w:styleId="TableNotes">
    <w:name w:val="TableNotes"/>
    <w:basedOn w:val="Normal"/>
    <w:next w:val="Normal"/>
    <w:uiPriority w:val="3"/>
    <w:qFormat/>
    <w:rsid w:val="00090094"/>
    <w:pPr>
      <w:tabs>
        <w:tab w:val="left" w:pos="1134"/>
      </w:tabs>
      <w:ind w:left="1134" w:hanging="1134"/>
    </w:pPr>
    <w:rPr>
      <w:rFonts w:ascii="Arial Narrow" w:eastAsiaTheme="minorEastAsia" w:hAnsi="Arial Narrow" w:cstheme="minorBidi"/>
      <w:sz w:val="18"/>
      <w:szCs w:val="18"/>
      <w:lang w:eastAsia="en-US"/>
    </w:rPr>
  </w:style>
  <w:style w:type="paragraph" w:customStyle="1" w:styleId="TableHeadingRow">
    <w:name w:val="TableHeadingRow"/>
    <w:basedOn w:val="TableText"/>
    <w:uiPriority w:val="3"/>
    <w:qFormat/>
    <w:rsid w:val="00475C6F"/>
    <w:pPr>
      <w:keepNext/>
      <w:spacing w:before="40" w:after="40"/>
      <w:jc w:val="center"/>
    </w:pPr>
    <w:rPr>
      <w:b/>
      <w:bCs w:val="0"/>
    </w:rPr>
  </w:style>
  <w:style w:type="paragraph" w:customStyle="1" w:styleId="TableHeading">
    <w:name w:val="TableHeading"/>
    <w:basedOn w:val="Normal"/>
    <w:qFormat/>
    <w:rsid w:val="00090094"/>
    <w:pPr>
      <w:spacing w:after="60"/>
    </w:pPr>
    <w:rPr>
      <w:rFonts w:ascii="Arial Narrow" w:eastAsiaTheme="minorHAnsi" w:hAnsi="Arial Narrow" w:cstheme="minorBidi"/>
      <w:b/>
      <w:sz w:val="20"/>
      <w:szCs w:val="22"/>
      <w:lang w:eastAsia="en-US"/>
    </w:rPr>
  </w:style>
  <w:style w:type="character" w:styleId="CommentReference">
    <w:name w:val="annotation reference"/>
    <w:basedOn w:val="DefaultParagraphFont"/>
    <w:uiPriority w:val="99"/>
    <w:semiHidden/>
    <w:unhideWhenUsed/>
    <w:rsid w:val="00320BF9"/>
    <w:rPr>
      <w:sz w:val="16"/>
      <w:szCs w:val="16"/>
    </w:rPr>
  </w:style>
  <w:style w:type="paragraph" w:styleId="CommentText">
    <w:name w:val="annotation text"/>
    <w:basedOn w:val="Normal"/>
    <w:link w:val="CommentTextChar"/>
    <w:uiPriority w:val="99"/>
    <w:semiHidden/>
    <w:unhideWhenUsed/>
    <w:rsid w:val="00320BF9"/>
    <w:rPr>
      <w:sz w:val="20"/>
    </w:rPr>
  </w:style>
  <w:style w:type="character" w:customStyle="1" w:styleId="CommentTextChar">
    <w:name w:val="Comment Text Char"/>
    <w:basedOn w:val="DefaultParagraphFont"/>
    <w:link w:val="CommentText"/>
    <w:uiPriority w:val="99"/>
    <w:semiHidden/>
    <w:rsid w:val="00320BF9"/>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20BF9"/>
    <w:rPr>
      <w:b/>
      <w:bCs/>
    </w:rPr>
  </w:style>
  <w:style w:type="character" w:customStyle="1" w:styleId="CommentSubjectChar">
    <w:name w:val="Comment Subject Char"/>
    <w:basedOn w:val="CommentTextChar"/>
    <w:link w:val="CommentSubject"/>
    <w:uiPriority w:val="99"/>
    <w:semiHidden/>
    <w:rsid w:val="00320BF9"/>
    <w:rPr>
      <w:rFonts w:eastAsia="Times New Roman"/>
      <w:b/>
      <w:bCs/>
      <w:sz w:val="20"/>
      <w:szCs w:val="20"/>
      <w:lang w:eastAsia="en-AU"/>
    </w:rPr>
  </w:style>
  <w:style w:type="paragraph" w:styleId="BalloonText">
    <w:name w:val="Balloon Text"/>
    <w:basedOn w:val="Normal"/>
    <w:link w:val="BalloonTextChar"/>
    <w:uiPriority w:val="99"/>
    <w:semiHidden/>
    <w:unhideWhenUsed/>
    <w:rsid w:val="00320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F9"/>
    <w:rPr>
      <w:rFonts w:ascii="Segoe UI" w:eastAsia="Times New Roman" w:hAnsi="Segoe UI" w:cs="Segoe UI"/>
      <w:sz w:val="18"/>
      <w:szCs w:val="18"/>
      <w:lang w:eastAsia="en-AU"/>
    </w:rPr>
  </w:style>
  <w:style w:type="paragraph" w:customStyle="1" w:styleId="TableText0">
    <w:name w:val="Table Text"/>
    <w:basedOn w:val="Normal"/>
    <w:link w:val="TableTextChar0"/>
    <w:qFormat/>
    <w:rsid w:val="00033804"/>
    <w:pPr>
      <w:keepNext/>
      <w:spacing w:before="40" w:after="40"/>
    </w:pPr>
    <w:rPr>
      <w:rFonts w:ascii="Arial Narrow" w:eastAsiaTheme="minorHAnsi" w:hAnsi="Arial Narrow" w:cstheme="minorBidi"/>
      <w:sz w:val="20"/>
      <w:szCs w:val="22"/>
      <w:lang w:eastAsia="en-US"/>
    </w:rPr>
  </w:style>
  <w:style w:type="paragraph" w:customStyle="1" w:styleId="TableFooter">
    <w:name w:val="Table Footer"/>
    <w:basedOn w:val="Normal"/>
    <w:link w:val="TableFooterChar"/>
    <w:qFormat/>
    <w:rsid w:val="00033804"/>
    <w:pPr>
      <w:widowControl w:val="0"/>
      <w:spacing w:after="120"/>
      <w:contextualSpacing/>
      <w:jc w:val="both"/>
    </w:pPr>
    <w:rPr>
      <w:rFonts w:ascii="Arial Narrow" w:hAnsi="Arial Narrow" w:cs="Arial"/>
      <w:snapToGrid w:val="0"/>
      <w:sz w:val="18"/>
      <w:lang w:eastAsia="en-US"/>
    </w:rPr>
  </w:style>
  <w:style w:type="character" w:customStyle="1" w:styleId="TableFooterChar">
    <w:name w:val="Table Footer Char"/>
    <w:link w:val="TableFooter"/>
    <w:rsid w:val="00033804"/>
    <w:rPr>
      <w:rFonts w:ascii="Arial Narrow" w:eastAsia="Times New Roman" w:hAnsi="Arial Narrow" w:cs="Arial"/>
      <w:snapToGrid w:val="0"/>
      <w:sz w:val="18"/>
      <w:szCs w:val="20"/>
    </w:rPr>
  </w:style>
  <w:style w:type="character" w:customStyle="1" w:styleId="TableTextChar0">
    <w:name w:val="Table Text Char"/>
    <w:link w:val="TableText0"/>
    <w:rsid w:val="00033804"/>
    <w:rPr>
      <w:rFonts w:ascii="Arial Narrow" w:hAnsi="Arial Narrow" w:cstheme="minorBidi"/>
      <w:sz w:val="20"/>
      <w:szCs w:val="22"/>
    </w:rPr>
  </w:style>
  <w:style w:type="character" w:styleId="Emphasis">
    <w:name w:val="Emphasis"/>
    <w:basedOn w:val="DefaultParagraphFont"/>
    <w:uiPriority w:val="20"/>
    <w:qFormat/>
    <w:rsid w:val="00A72866"/>
    <w:rPr>
      <w:i/>
      <w:iCs/>
    </w:rPr>
  </w:style>
  <w:style w:type="paragraph" w:styleId="Header">
    <w:name w:val="header"/>
    <w:basedOn w:val="Normal"/>
    <w:link w:val="HeaderChar"/>
    <w:uiPriority w:val="99"/>
    <w:unhideWhenUsed/>
    <w:rsid w:val="00425FE8"/>
    <w:pPr>
      <w:tabs>
        <w:tab w:val="center" w:pos="4513"/>
        <w:tab w:val="right" w:pos="9026"/>
      </w:tabs>
    </w:pPr>
  </w:style>
  <w:style w:type="character" w:customStyle="1" w:styleId="HeaderChar">
    <w:name w:val="Header Char"/>
    <w:basedOn w:val="DefaultParagraphFont"/>
    <w:link w:val="Header"/>
    <w:uiPriority w:val="99"/>
    <w:rsid w:val="00425FE8"/>
    <w:rPr>
      <w:rFonts w:eastAsia="Times New Roman"/>
      <w:szCs w:val="20"/>
      <w:lang w:eastAsia="en-AU"/>
    </w:rPr>
  </w:style>
  <w:style w:type="paragraph" w:styleId="Revision">
    <w:name w:val="Revision"/>
    <w:hidden/>
    <w:uiPriority w:val="99"/>
    <w:semiHidden/>
    <w:rsid w:val="006B2221"/>
    <w:pPr>
      <w:spacing w:after="0" w:line="240" w:lineRule="auto"/>
    </w:pPr>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edicarestatistics.humanservices.gov.au/statistics/mbs_item.j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sac.gov.au/internet/msac/publishing.nsf/Content/DCCD6889E605A081CA25804E007F1DD9/$File/1454-Final%20PSD-updateJul2018.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5EE4-74E6-436A-8C0C-A149AB56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 Final PSD_Apr2020_redacted</dc:title>
  <dc:creator/>
  <cp:lastModifiedBy/>
  <cp:revision>1</cp:revision>
  <dcterms:created xsi:type="dcterms:W3CDTF">2020-06-16T03:49:00Z</dcterms:created>
  <dcterms:modified xsi:type="dcterms:W3CDTF">2020-06-16T04:32:00Z</dcterms:modified>
</cp:coreProperties>
</file>